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770A2" w:rsidRPr="004E6CFC" w:rsidRDefault="00D770A2" w:rsidP="00713589">
      <w:pPr>
        <w:pStyle w:val="TDC1"/>
        <w:tabs>
          <w:tab w:val="left" w:pos="1276"/>
        </w:tabs>
        <w:ind w:left="1276" w:hanging="1276"/>
        <w:jc w:val="center"/>
        <w:rPr>
          <w:b w:val="0"/>
        </w:rPr>
      </w:pPr>
      <w:r w:rsidRPr="004E6CFC">
        <w:rPr>
          <w:b w:val="0"/>
          <w:caps w:val="0"/>
        </w:rPr>
        <w:t>Ministerio de Minas y Energía</w:t>
      </w:r>
    </w:p>
    <w:p w:rsidR="00D770A2" w:rsidRPr="004E6CFC" w:rsidRDefault="00D770A2" w:rsidP="00D770A2">
      <w:pPr>
        <w:pStyle w:val="TDC1"/>
        <w:spacing w:before="480" w:after="480"/>
        <w:jc w:val="center"/>
      </w:pPr>
      <w:r w:rsidRPr="004E6CFC">
        <w:t>COMISIÓN DE REGULACIÓN DE ENERGÍA Y GAS</w:t>
      </w:r>
    </w:p>
    <w:p w:rsidR="00D770A2" w:rsidRPr="004E6CFC" w:rsidRDefault="00D770A2" w:rsidP="00D770A2">
      <w:pPr>
        <w:pStyle w:val="TDC1"/>
        <w:spacing w:before="360" w:after="360"/>
        <w:jc w:val="center"/>
      </w:pPr>
      <w:r w:rsidRPr="004E6CFC">
        <w:t>RESOLUCIÓN N</w:t>
      </w:r>
      <w:r w:rsidRPr="004E6CFC">
        <w:rPr>
          <w:caps w:val="0"/>
        </w:rPr>
        <w:t>o</w:t>
      </w:r>
      <w:r w:rsidRPr="004E6CFC">
        <w:t>.</w:t>
      </w:r>
      <w:r w:rsidR="00637A3F">
        <w:t xml:space="preserve"> 015</w:t>
      </w:r>
      <w:r w:rsidRPr="004E6CFC">
        <w:t xml:space="preserve"> DE 201</w:t>
      </w:r>
      <w:r w:rsidR="00864C46">
        <w:t>8</w:t>
      </w:r>
    </w:p>
    <w:p w:rsidR="00D770A2" w:rsidRPr="004E6CFC" w:rsidRDefault="00D770A2" w:rsidP="00D770A2">
      <w:pPr>
        <w:spacing w:before="480" w:after="480"/>
        <w:jc w:val="center"/>
        <w:rPr>
          <w:b/>
        </w:rPr>
      </w:pPr>
      <w:r w:rsidRPr="004E6CFC">
        <w:rPr>
          <w:b/>
        </w:rPr>
        <w:t>(</w:t>
      </w:r>
      <w:r w:rsidR="00637A3F">
        <w:rPr>
          <w:b/>
        </w:rPr>
        <w:t xml:space="preserve"> ENE.29-2018 </w:t>
      </w:r>
      <w:r w:rsidRPr="004E6CFC">
        <w:rPr>
          <w:b/>
        </w:rPr>
        <w:t>)</w:t>
      </w:r>
    </w:p>
    <w:p w:rsidR="00952F30" w:rsidRPr="004E6CFC" w:rsidRDefault="00952F30" w:rsidP="00952F30">
      <w:pPr>
        <w:spacing w:before="600" w:after="600"/>
        <w:jc w:val="center"/>
      </w:pPr>
      <w:r w:rsidRPr="004E6CFC">
        <w:t>Por la cual se establece la metodología para la remuneración de la actividad de distribución de energía eléctrica en el Sistema Interconectado Nacional</w:t>
      </w:r>
    </w:p>
    <w:p w:rsidR="00193054" w:rsidRPr="004E6CFC" w:rsidRDefault="00193054" w:rsidP="003E3F37">
      <w:pPr>
        <w:spacing w:before="360" w:after="360"/>
        <w:jc w:val="center"/>
        <w:rPr>
          <w:b/>
        </w:rPr>
      </w:pPr>
      <w:r w:rsidRPr="004E6CFC">
        <w:rPr>
          <w:b/>
        </w:rPr>
        <w:t>LA COMISIÓN DE REGULACIÓN DE ENERGÍA Y GAS</w:t>
      </w:r>
    </w:p>
    <w:p w:rsidR="00193054" w:rsidRPr="004E6CFC" w:rsidRDefault="00193054" w:rsidP="00193054">
      <w:r w:rsidRPr="004E6CFC">
        <w:t>En ejercicio de sus atribuciones constitucionales y legales, en especial las conferidas por las Leyes 142 y 143 de 1994, y en desarrollo de l</w:t>
      </w:r>
      <w:r w:rsidR="00F50D3B">
        <w:t>os Decretos 1524, 2253 de 1994,</w:t>
      </w:r>
      <w:r w:rsidRPr="004E6CFC">
        <w:t xml:space="preserve"> 2696 de 2004</w:t>
      </w:r>
      <w:r w:rsidR="00F50D3B">
        <w:t xml:space="preserve"> y</w:t>
      </w:r>
      <w:r w:rsidR="0009294C">
        <w:rPr>
          <w:caps/>
        </w:rPr>
        <w:t xml:space="preserve"> 1260 </w:t>
      </w:r>
      <w:r w:rsidR="0009294C" w:rsidRPr="004E6CFC">
        <w:t>de</w:t>
      </w:r>
      <w:r w:rsidR="00F50D3B" w:rsidRPr="00F50D3B">
        <w:rPr>
          <w:caps/>
        </w:rPr>
        <w:t xml:space="preserve"> 2013</w:t>
      </w:r>
      <w:r w:rsidR="00F50D3B">
        <w:rPr>
          <w:caps/>
        </w:rPr>
        <w:t>.</w:t>
      </w:r>
    </w:p>
    <w:p w:rsidR="00193054" w:rsidRPr="004E6CFC" w:rsidRDefault="00193054" w:rsidP="003E3F37">
      <w:pPr>
        <w:spacing w:before="360" w:after="360"/>
        <w:jc w:val="center"/>
        <w:rPr>
          <w:rFonts w:cs="Arial"/>
          <w:b/>
        </w:rPr>
      </w:pPr>
      <w:r w:rsidRPr="00DA7FDA">
        <w:rPr>
          <w:rFonts w:cs="Arial"/>
          <w:b/>
        </w:rPr>
        <w:t>CONSIDERANDO QUE:</w:t>
      </w:r>
    </w:p>
    <w:p w:rsidR="00637A3F" w:rsidRPr="004E6CFC" w:rsidRDefault="00637A3F" w:rsidP="00637A3F">
      <w:r w:rsidRPr="004E6CFC">
        <w:t>Le corresponde a la CREG señalar las políticas generales de administración y control de eficiencia de los servicios públicos domiciliarios, en los términos de la Constitución Nacional y la Ley, y definir el régimen tarifario con fundamento en los criterios establecidos para garantizar el cumplimiento de los fines de la intervención del Estado en la prestación de los servicios públicos y conforme a la política pública del Gobierno Nacional.</w:t>
      </w:r>
    </w:p>
    <w:p w:rsidR="00637A3F" w:rsidRPr="004E6CFC" w:rsidRDefault="00637A3F" w:rsidP="00637A3F">
      <w:r w:rsidRPr="004E6CFC">
        <w:t>En virtud de lo dispuesto en el Capítulo V de la Ley 142 de 1994, las fórmulas tarifarias tienen una vigencia de cinco años y continuarán rigiendo mientras la Comisión no fije las nuevas; no obstante, la Comisión deberá iniciar la actuación administrativa para fijar las nuevas tarifas, doce meses antes de la fecha prevista para que termine la vigencia de las fórmulas tarifarias y siguiendo el procedimiento establecido en el artículo 11 del Decreto 2696 de 2004 sobre reglas de difusión para la adopción de fórmulas tarifarias.</w:t>
      </w:r>
    </w:p>
    <w:p w:rsidR="00637A3F" w:rsidRPr="004E6CFC" w:rsidRDefault="00637A3F" w:rsidP="00637A3F">
      <w:r w:rsidRPr="004E6CFC">
        <w:t>De acuerdo con lo dispuesto en el artículo 85 de la Ley 143 de 1994, las decisiones de inversión en distribución de energía eléctrica constituyen responsabilidad de aquellos que las acometan, quienes asumen en su integridad los riesgos inherentes a la ejecución y explotación de los proyectos.</w:t>
      </w:r>
    </w:p>
    <w:p w:rsidR="00637A3F" w:rsidRPr="004E6CFC" w:rsidRDefault="00637A3F" w:rsidP="00637A3F">
      <w:r w:rsidRPr="004E6CFC">
        <w:t xml:space="preserve">Mediante el Decreto 387 de 2007, modificado por </w:t>
      </w:r>
      <w:r>
        <w:t>los</w:t>
      </w:r>
      <w:r w:rsidRPr="004E6CFC">
        <w:t xml:space="preserve"> Decreto</w:t>
      </w:r>
      <w:r>
        <w:t>s</w:t>
      </w:r>
      <w:r w:rsidRPr="004E6CFC">
        <w:t xml:space="preserve"> 4977 de 2007</w:t>
      </w:r>
      <w:r>
        <w:t xml:space="preserve"> y 1937 de 2013</w:t>
      </w:r>
      <w:r w:rsidRPr="004E6CFC">
        <w:t>, el Gobierno Nacional estableció políticas generales en relación con la actividad de comercialización del servicio de energía eléctrica, incluyendo a los usuarios del STN como parte de los mercados de comercialización.</w:t>
      </w:r>
    </w:p>
    <w:p w:rsidR="00637A3F" w:rsidRPr="004E6CFC" w:rsidRDefault="00637A3F" w:rsidP="00637A3F">
      <w:r w:rsidRPr="004E6CFC">
        <w:t xml:space="preserve">A su vez, el Decreto 1937 de 2013, estableció que los planes de reducción de pérdidas ordenados por los literales c, d y e del artículo 3° del Decreto 387 de 2007 entrarán en aplicación una vez entren en vigencia los cargos de </w:t>
      </w:r>
      <w:r w:rsidRPr="004E6CFC">
        <w:lastRenderedPageBreak/>
        <w:t>distribución aprobados mediante la metodología de remuneración de la actividad de distribución que remplace la establecida en la Resolución CREG 097 de 2008.</w:t>
      </w:r>
    </w:p>
    <w:p w:rsidR="00637A3F" w:rsidRPr="004E6CFC" w:rsidRDefault="00637A3F" w:rsidP="00637A3F">
      <w:r w:rsidRPr="004E6CFC">
        <w:t>Con la expedición del Decreto 388 de 2007, modificado por los Decretos 1111 de 2008, 3451 de 2008 y 2492 de 2014, el Gobierno Nacional estableció las políticas y directrices relacionadas con el aseguramiento de la cobertura del servicio de electricidad y con la conformación de áreas de distribución de energía eléctrica, ADD, para eliminar diferencias de los costos de distribución entre los usuarios de los mercados que conforman cada una de ellas.</w:t>
      </w:r>
    </w:p>
    <w:p w:rsidR="00637A3F" w:rsidRPr="004E6CFC" w:rsidRDefault="00637A3F" w:rsidP="00637A3F">
      <w:r w:rsidRPr="004E6CFC">
        <w:t xml:space="preserve">Para la expedición de la presente metodología de remuneración de la actividad de distribución de energía eléctrica para el siguiente periodo tarifario, se siguió el procedimiento establecido en el artículo 11 del Decreto 2696 de 2004; </w:t>
      </w:r>
    </w:p>
    <w:p w:rsidR="00637A3F" w:rsidRPr="004E6CFC" w:rsidRDefault="00637A3F" w:rsidP="00637A3F">
      <w:pPr>
        <w:rPr>
          <w:noProof/>
        </w:rPr>
      </w:pPr>
      <w:r w:rsidRPr="004E6CFC">
        <w:rPr>
          <w:noProof/>
        </w:rPr>
        <w:t>Mediante la Resolución CREG 043 de 2013, la Comisión puso en conocimiento de las entidades prestadoras del servicio público domiciliario de energía eléctrica, los usuarios y demás interesados, las bases sobre las cuales la Comisión efectuaría el estudio para determinar los principios generales, la metodología y fórmulas del siguiente periodo tarifario, para el establecimiento de los cargos por uso que remunerarán la actividad de distribución de energía eléctrica en el Sistema Interconectado Nacional. Lo anterior en cumplimiento de lo previsto en los numerales 11.1 y 11.2 del artículo 11 del Decreto 2696 de 2004 cuya publicación se realizó en la página web de la CREG, el 10 de mayo de 2013.</w:t>
      </w:r>
    </w:p>
    <w:p w:rsidR="00637A3F" w:rsidRPr="004E6CFC" w:rsidRDefault="00637A3F" w:rsidP="00637A3F">
      <w:pPr>
        <w:rPr>
          <w:noProof/>
        </w:rPr>
      </w:pPr>
      <w:r w:rsidRPr="004E6CFC">
        <w:rPr>
          <w:noProof/>
        </w:rPr>
        <w:t xml:space="preserve">Los estudios que se adelantaron por parte de la CREG en los temas de gastos eficientes por concepto de administración, operación y mantenimiento para la prestación del servicio, unidades constructivas, pérdidas eficientes en los sistemas de transmisión regional, </w:t>
      </w:r>
      <w:r>
        <w:rPr>
          <w:noProof/>
        </w:rPr>
        <w:t>metodologías de remuneración de la actividad de distribución de energía eléctrica</w:t>
      </w:r>
      <w:r w:rsidRPr="004E6CFC">
        <w:rPr>
          <w:noProof/>
        </w:rPr>
        <w:t>, niveles y metas de calidad del servicio y reconocimiento de la energía reactiva, fueron publicados mediante las Circulares CREG 034, 036, 038 y 063 de 2014, en cumplimiento de lo previsto en el numeral 11.3 del artículo 11 del Decreto 2696 de 2004.</w:t>
      </w:r>
    </w:p>
    <w:p w:rsidR="00637A3F" w:rsidRPr="004E6CFC" w:rsidRDefault="00637A3F" w:rsidP="00637A3F">
      <w:pPr>
        <w:rPr>
          <w:noProof/>
        </w:rPr>
      </w:pPr>
      <w:r w:rsidRPr="004E6CFC">
        <w:rPr>
          <w:noProof/>
        </w:rPr>
        <w:t xml:space="preserve">Los propósitos y lineamientos para la remuneración de la actividad de distribución de energía eléctrica para el periodo tarifario 2015 – 2019, se hicieron públicos con la expedición de la Resolución CREG 079 de 2014, publicada en la página web de la Comisión el 12 de junio de 2014. </w:t>
      </w:r>
    </w:p>
    <w:p w:rsidR="00637A3F" w:rsidRDefault="00637A3F" w:rsidP="00637A3F">
      <w:pPr>
        <w:rPr>
          <w:noProof/>
        </w:rPr>
      </w:pPr>
      <w:r w:rsidRPr="004E6CFC">
        <w:rPr>
          <w:noProof/>
        </w:rPr>
        <w:t>Conforme a lo dispuesto por el numeral  11.4 del artículo 11 del Decreto 2696 de 2004, que establece “tres (3) meses antes de la fecha prevista para que inicie el periodo de vigencia de las fórmulas tarifarias, se deberán hacer públicos en la página Web de la Comisión correspondiente los proyectos de metodologías y de fórmulas, los estudios respectivos y los textos de los proyectos de resoluciones”, la Comisión expidió para comentarios la resolución CREG 179 de 2014, en la cual se prop</w:t>
      </w:r>
      <w:r>
        <w:rPr>
          <w:noProof/>
        </w:rPr>
        <w:t>uso</w:t>
      </w:r>
      <w:r w:rsidRPr="004E6CFC">
        <w:rPr>
          <w:noProof/>
        </w:rPr>
        <w:t xml:space="preserve"> la metodología para la remuneración de la actividad de distribución de energía eléctrica en el Sistema Interconectado Nacional</w:t>
      </w:r>
      <w:r>
        <w:rPr>
          <w:noProof/>
        </w:rPr>
        <w:t>, la cual como más adelante se explica fue publicada en 3 ocasiones más</w:t>
      </w:r>
      <w:r w:rsidRPr="004E6CFC">
        <w:rPr>
          <w:noProof/>
        </w:rPr>
        <w:t>.</w:t>
      </w:r>
    </w:p>
    <w:p w:rsidR="00637A3F" w:rsidRPr="004E6CFC" w:rsidRDefault="00637A3F" w:rsidP="00637A3F">
      <w:pPr>
        <w:rPr>
          <w:noProof/>
        </w:rPr>
      </w:pPr>
      <w:r>
        <w:rPr>
          <w:noProof/>
        </w:rPr>
        <w:t>Mediante el Decreto 2492 de 2014 se establecieron los lineamientos de política pública en materia de implementación de mecanismos de respuesta de la demanda.</w:t>
      </w:r>
    </w:p>
    <w:p w:rsidR="00637A3F" w:rsidRDefault="00637A3F" w:rsidP="00637A3F">
      <w:pPr>
        <w:rPr>
          <w:noProof/>
        </w:rPr>
      </w:pPr>
    </w:p>
    <w:p w:rsidR="00637A3F" w:rsidRDefault="00637A3F" w:rsidP="00637A3F">
      <w:pPr>
        <w:rPr>
          <w:noProof/>
        </w:rPr>
      </w:pPr>
      <w:r w:rsidRPr="004E6CFC">
        <w:rPr>
          <w:noProof/>
        </w:rPr>
        <w:lastRenderedPageBreak/>
        <w:t>Mediante las circulares CREG 053 y 064 del año 2015 se publicaron los estudios realizados por la Comisión sobre calidad del servicio, en la Circular CREG 052 de 2015 sobre AOM y en la Circular CREG 059 de 2015 sobre presentación de planes de inversión.</w:t>
      </w:r>
    </w:p>
    <w:p w:rsidR="00637A3F" w:rsidRPr="004E6CFC" w:rsidRDefault="00637A3F" w:rsidP="00637A3F">
      <w:pPr>
        <w:rPr>
          <w:sz w:val="25"/>
          <w:szCs w:val="25"/>
        </w:rPr>
      </w:pPr>
      <w:r w:rsidRPr="004E6CFC">
        <w:t xml:space="preserve">Mediante la resolución CREG 095 de 2015 se definió la metodología para el cálculo de la tasa de descuento que se aplicará en la actividad de distribución de energía eléctrica en </w:t>
      </w:r>
      <w:r>
        <w:t>e</w:t>
      </w:r>
      <w:r w:rsidRPr="004E6CFC">
        <w:t>l Sistema Interconectado Nacional</w:t>
      </w:r>
      <w:r w:rsidRPr="004E6CFC">
        <w:rPr>
          <w:sz w:val="25"/>
          <w:szCs w:val="25"/>
        </w:rPr>
        <w:t xml:space="preserve">. </w:t>
      </w:r>
    </w:p>
    <w:p w:rsidR="00637A3F" w:rsidRPr="004E6CFC" w:rsidRDefault="00637A3F" w:rsidP="00637A3F">
      <w:pPr>
        <w:rPr>
          <w:noProof/>
        </w:rPr>
      </w:pPr>
      <w:r>
        <w:rPr>
          <w:noProof/>
        </w:rPr>
        <w:t xml:space="preserve">En </w:t>
      </w:r>
      <w:r w:rsidRPr="004E6CFC">
        <w:rPr>
          <w:noProof/>
        </w:rPr>
        <w:t xml:space="preserve">cumplimiento </w:t>
      </w:r>
      <w:r>
        <w:rPr>
          <w:noProof/>
        </w:rPr>
        <w:t>de</w:t>
      </w:r>
      <w:r w:rsidRPr="004E6CFC">
        <w:rPr>
          <w:noProof/>
        </w:rPr>
        <w:t xml:space="preserve"> lo establecido en el Decreto 2696 de 2004, el cual a su vez fue compilado mediante el Decreto 1078 de 2015, en relación con la obligación que tiene la Comisión de publicar los proyectos de metodologías y de fórmulas, los estudios respectivos y los textos de los proyectos de resoluciones para comentarios, se publica la resolución </w:t>
      </w:r>
      <w:r w:rsidRPr="004E6CFC">
        <w:rPr>
          <w:i/>
          <w:noProof/>
        </w:rPr>
        <w:t>Por la cual se establece la metodología para la remuneración de la actividad de distribución de energía eléctrica en el Sistema Interconectado Nacional</w:t>
      </w:r>
      <w:r w:rsidRPr="004E6CFC">
        <w:rPr>
          <w:noProof/>
        </w:rPr>
        <w:t xml:space="preserve"> la cual incorpora los resultados del análisis de los comentarios recibidos sobre la propuesta publicada </w:t>
      </w:r>
      <w:r>
        <w:rPr>
          <w:noProof/>
        </w:rPr>
        <w:t xml:space="preserve">en cuatro oportunidades, </w:t>
      </w:r>
      <w:r w:rsidRPr="004E6CFC">
        <w:rPr>
          <w:noProof/>
        </w:rPr>
        <w:t>mediante la</w:t>
      </w:r>
      <w:r>
        <w:rPr>
          <w:noProof/>
        </w:rPr>
        <w:t>s</w:t>
      </w:r>
      <w:r w:rsidRPr="004E6CFC">
        <w:rPr>
          <w:noProof/>
        </w:rPr>
        <w:t xml:space="preserve"> </w:t>
      </w:r>
      <w:r>
        <w:rPr>
          <w:noProof/>
        </w:rPr>
        <w:t>siguientes resoluciones:</w:t>
      </w:r>
    </w:p>
    <w:p w:rsidR="00637A3F" w:rsidRPr="004E6CFC" w:rsidRDefault="00637A3F" w:rsidP="00637A3F">
      <w:pPr>
        <w:pStyle w:val="Prrafodelista"/>
        <w:numPr>
          <w:ilvl w:val="0"/>
          <w:numId w:val="92"/>
        </w:numPr>
        <w:spacing w:before="120" w:after="120"/>
        <w:ind w:left="425" w:hanging="357"/>
        <w:rPr>
          <w:noProof/>
        </w:rPr>
      </w:pPr>
      <w:r w:rsidRPr="004E6CFC">
        <w:rPr>
          <w:noProof/>
        </w:rPr>
        <w:t xml:space="preserve">La primera a través de la Resolución CREG 179 de 2014, la cual fue publicada tanto en el Diario Oficial como en la página web de la CREG el 13 de febrero de 2015, teniendo como plazo final para la presentación de comentarios el día 14 de mayo de ese mismo año. </w:t>
      </w:r>
    </w:p>
    <w:p w:rsidR="00637A3F" w:rsidRPr="004E6CFC" w:rsidRDefault="00637A3F" w:rsidP="00637A3F">
      <w:pPr>
        <w:pStyle w:val="Prrafodelista"/>
        <w:numPr>
          <w:ilvl w:val="0"/>
          <w:numId w:val="92"/>
        </w:numPr>
        <w:spacing w:before="120" w:after="120"/>
        <w:ind w:left="425" w:hanging="357"/>
        <w:rPr>
          <w:noProof/>
        </w:rPr>
      </w:pPr>
      <w:r w:rsidRPr="004E6CFC">
        <w:rPr>
          <w:noProof/>
        </w:rPr>
        <w:t xml:space="preserve">La segunda, a través de la Resolución CREG 024 de 2016 la cual fue publicada en el Diario Oficial el 20 de marzo de 2016 y en la página web de la CREG el 14 de marzo de 2016, teniendo como plazo final para la presentación de comentarios el día 15 de abril de ese mismo año. No obstante lo anterior, se efectuó una prorroga en el plazo para presentar comentarios a través de la Resolución CREG 048 de 2016, dejando como plazo final el día 25 de abril de ese mismo año. </w:t>
      </w:r>
    </w:p>
    <w:p w:rsidR="00637A3F" w:rsidRDefault="00637A3F" w:rsidP="00637A3F">
      <w:pPr>
        <w:pStyle w:val="Prrafodelista"/>
        <w:numPr>
          <w:ilvl w:val="0"/>
          <w:numId w:val="92"/>
        </w:numPr>
        <w:spacing w:before="120" w:after="120"/>
        <w:ind w:left="425" w:hanging="357"/>
        <w:rPr>
          <w:noProof/>
        </w:rPr>
      </w:pPr>
      <w:r w:rsidRPr="004E6CFC">
        <w:rPr>
          <w:noProof/>
        </w:rPr>
        <w:t xml:space="preserve">La tercera, mediante la expedición de la Resolución CREG 176 de 2016 publicada en el diario oficial el día 9 de noviembre de ese mismo año y en la página web de la CREG el día 4 de noviembre, teniendo como plazo final para la presentación de comentarios el día 22 de noviembre de 2016. </w:t>
      </w:r>
    </w:p>
    <w:p w:rsidR="00637A3F" w:rsidRDefault="00637A3F" w:rsidP="00637A3F">
      <w:pPr>
        <w:pStyle w:val="Prrafodelista"/>
        <w:numPr>
          <w:ilvl w:val="0"/>
          <w:numId w:val="92"/>
        </w:numPr>
        <w:spacing w:before="120" w:after="120"/>
        <w:ind w:left="425" w:hanging="357"/>
        <w:rPr>
          <w:noProof/>
        </w:rPr>
      </w:pPr>
      <w:r>
        <w:rPr>
          <w:noProof/>
        </w:rPr>
        <w:t xml:space="preserve">La cuarta, </w:t>
      </w:r>
      <w:r w:rsidRPr="004E6CFC">
        <w:rPr>
          <w:noProof/>
        </w:rPr>
        <w:t xml:space="preserve">mediante la expedición de la Resolución CREG </w:t>
      </w:r>
      <w:r>
        <w:rPr>
          <w:noProof/>
        </w:rPr>
        <w:t>019</w:t>
      </w:r>
      <w:r w:rsidRPr="004E6CFC">
        <w:rPr>
          <w:noProof/>
        </w:rPr>
        <w:t xml:space="preserve"> de 201</w:t>
      </w:r>
      <w:r>
        <w:rPr>
          <w:noProof/>
        </w:rPr>
        <w:t>7</w:t>
      </w:r>
      <w:r w:rsidRPr="004E6CFC">
        <w:rPr>
          <w:noProof/>
        </w:rPr>
        <w:t xml:space="preserve"> publicada en el diario oficial el día </w:t>
      </w:r>
      <w:r>
        <w:rPr>
          <w:noProof/>
        </w:rPr>
        <w:t>10</w:t>
      </w:r>
      <w:r w:rsidRPr="004E6CFC">
        <w:rPr>
          <w:noProof/>
        </w:rPr>
        <w:t xml:space="preserve"> de </w:t>
      </w:r>
      <w:r>
        <w:rPr>
          <w:noProof/>
        </w:rPr>
        <w:t xml:space="preserve">marzo </w:t>
      </w:r>
      <w:r w:rsidRPr="004E6CFC">
        <w:rPr>
          <w:noProof/>
        </w:rPr>
        <w:t>de ese mismo año y en la página web de la CREG e</w:t>
      </w:r>
      <w:r>
        <w:rPr>
          <w:noProof/>
        </w:rPr>
        <w:t>se mismo d</w:t>
      </w:r>
      <w:r w:rsidRPr="004E6CFC">
        <w:rPr>
          <w:noProof/>
        </w:rPr>
        <w:t xml:space="preserve">ía, teniendo como plazo final para la presentación de comentarios el día </w:t>
      </w:r>
      <w:r>
        <w:rPr>
          <w:noProof/>
        </w:rPr>
        <w:t>11</w:t>
      </w:r>
      <w:r w:rsidRPr="004E6CFC">
        <w:rPr>
          <w:noProof/>
        </w:rPr>
        <w:t xml:space="preserve"> de </w:t>
      </w:r>
      <w:r>
        <w:rPr>
          <w:noProof/>
        </w:rPr>
        <w:t xml:space="preserve">abril </w:t>
      </w:r>
      <w:r w:rsidRPr="004E6CFC">
        <w:rPr>
          <w:noProof/>
        </w:rPr>
        <w:t>de 201</w:t>
      </w:r>
      <w:r>
        <w:rPr>
          <w:noProof/>
        </w:rPr>
        <w:t>7</w:t>
      </w:r>
      <w:r w:rsidRPr="004E6CFC">
        <w:rPr>
          <w:noProof/>
        </w:rPr>
        <w:t xml:space="preserve">. </w:t>
      </w:r>
    </w:p>
    <w:p w:rsidR="00637A3F" w:rsidRDefault="00637A3F" w:rsidP="00637A3F">
      <w:pPr>
        <w:rPr>
          <w:rFonts w:cs="Arial"/>
          <w:color w:val="000000" w:themeColor="text1"/>
          <w:shd w:val="clear" w:color="auto" w:fill="FFFFFF"/>
        </w:rPr>
      </w:pPr>
      <w:r>
        <w:rPr>
          <w:rFonts w:cs="Arial"/>
          <w:color w:val="000000" w:themeColor="text1"/>
          <w:shd w:val="clear" w:color="auto" w:fill="FFFFFF"/>
        </w:rPr>
        <w:t>Mediante el Decreto 348 de 2017 se determinaron los lineamientos de política pública en materia de gestión eficiente de la energía y entrega de excedentes de autogeneración a pequeña escala.</w:t>
      </w:r>
    </w:p>
    <w:p w:rsidR="00391D5C" w:rsidRDefault="00391D5C" w:rsidP="00637A3F">
      <w:pPr>
        <w:rPr>
          <w:rFonts w:cs="Arial"/>
          <w:color w:val="000000" w:themeColor="text1"/>
          <w:shd w:val="clear" w:color="auto" w:fill="FFFFFF"/>
        </w:rPr>
      </w:pPr>
      <w:r>
        <w:rPr>
          <w:rFonts w:cs="Arial"/>
          <w:color w:val="000000" w:themeColor="text1"/>
          <w:shd w:val="clear" w:color="auto" w:fill="FFFFFF"/>
        </w:rPr>
        <w:t>L</w:t>
      </w:r>
      <w:r w:rsidR="00637A3F" w:rsidRPr="00271B91">
        <w:rPr>
          <w:rFonts w:cs="Arial"/>
          <w:color w:val="000000" w:themeColor="text1"/>
          <w:shd w:val="clear" w:color="auto" w:fill="FFFFFF"/>
        </w:rPr>
        <w:t>a Resolución 40072 de 2018 del M</w:t>
      </w:r>
      <w:r w:rsidR="00BA2C10">
        <w:rPr>
          <w:rFonts w:cs="Arial"/>
          <w:color w:val="000000" w:themeColor="text1"/>
          <w:shd w:val="clear" w:color="auto" w:fill="FFFFFF"/>
        </w:rPr>
        <w:t>inisterio de Minas y Energía</w:t>
      </w:r>
      <w:r w:rsidR="00637A3F" w:rsidRPr="00271B91">
        <w:rPr>
          <w:rFonts w:cs="Arial"/>
          <w:color w:val="000000" w:themeColor="text1"/>
          <w:shd w:val="clear" w:color="auto" w:fill="FFFFFF"/>
        </w:rPr>
        <w:t xml:space="preserve"> establece los mecanismos para implementar la infraestructura de medición avanzada en el servic</w:t>
      </w:r>
      <w:r w:rsidR="00BA2C10">
        <w:rPr>
          <w:rFonts w:cs="Arial"/>
          <w:color w:val="000000" w:themeColor="text1"/>
          <w:shd w:val="clear" w:color="auto" w:fill="FFFFFF"/>
        </w:rPr>
        <w:t>io público de energía eléctrica</w:t>
      </w:r>
      <w:r>
        <w:rPr>
          <w:rFonts w:cs="Arial"/>
          <w:color w:val="000000" w:themeColor="text1"/>
          <w:shd w:val="clear" w:color="auto" w:fill="FFFFFF"/>
        </w:rPr>
        <w:t xml:space="preserve">. Conforme con </w:t>
      </w:r>
      <w:r w:rsidRPr="00391D5C">
        <w:rPr>
          <w:rFonts w:cs="Arial"/>
          <w:color w:val="000000" w:themeColor="text1"/>
          <w:shd w:val="clear" w:color="auto" w:fill="FFFFFF"/>
        </w:rPr>
        <w:t>el plazo estipulado para ello</w:t>
      </w:r>
      <w:r>
        <w:rPr>
          <w:rFonts w:cs="Arial"/>
          <w:color w:val="000000" w:themeColor="text1"/>
          <w:shd w:val="clear" w:color="auto" w:fill="FFFFFF"/>
        </w:rPr>
        <w:t xml:space="preserve"> y</w:t>
      </w:r>
      <w:r w:rsidRPr="00391D5C">
        <w:rPr>
          <w:rFonts w:cs="Arial"/>
          <w:color w:val="000000" w:themeColor="text1"/>
          <w:shd w:val="clear" w:color="auto" w:fill="FFFFFF"/>
        </w:rPr>
        <w:t xml:space="preserve"> </w:t>
      </w:r>
      <w:r>
        <w:rPr>
          <w:rFonts w:cs="Arial"/>
          <w:color w:val="000000" w:themeColor="text1"/>
          <w:shd w:val="clear" w:color="auto" w:fill="FFFFFF"/>
        </w:rPr>
        <w:t xml:space="preserve">en resolución aparte, </w:t>
      </w:r>
      <w:r w:rsidRPr="00391D5C">
        <w:rPr>
          <w:rFonts w:cs="Arial"/>
          <w:color w:val="000000" w:themeColor="text1"/>
          <w:shd w:val="clear" w:color="auto" w:fill="FFFFFF"/>
        </w:rPr>
        <w:t xml:space="preserve">la CREG establecerá las condiciones para la implementación de la Infraestructura de Medición Avanzada en la prestación del servicio público domiciliario de energía eléctrica en el Sistema Interconectado Nacional (SIN), incluyendo la responsabilidad de la instalación, administración, operación, mantenimiento y reposición de la Infraestructura de Medición </w:t>
      </w:r>
      <w:r w:rsidRPr="00391D5C">
        <w:rPr>
          <w:rFonts w:cs="Arial"/>
          <w:color w:val="000000" w:themeColor="text1"/>
          <w:shd w:val="clear" w:color="auto" w:fill="FFFFFF"/>
        </w:rPr>
        <w:lastRenderedPageBreak/>
        <w:t>Avanzada, y dado el caso, del medidor avanzado. Asimismo, la CREG adoptará los ajustes regulatorios con el fin de remunerar mediante la tarifa del servicio de energía eléctrica, las inversiones y funcionamiento asociados, para la implementación de la Infraestructura de Medición Avanzada</w:t>
      </w:r>
      <w:r>
        <w:rPr>
          <w:rFonts w:cs="Arial"/>
          <w:color w:val="000000" w:themeColor="text1"/>
          <w:shd w:val="clear" w:color="auto" w:fill="FFFFFF"/>
        </w:rPr>
        <w:t xml:space="preserve"> </w:t>
      </w:r>
    </w:p>
    <w:p w:rsidR="00637A3F" w:rsidRDefault="00637A3F" w:rsidP="00637A3F">
      <w:pPr>
        <w:rPr>
          <w:rFonts w:cs="Arial"/>
          <w:color w:val="000000" w:themeColor="text1"/>
          <w:shd w:val="clear" w:color="auto" w:fill="FFFFFF"/>
        </w:rPr>
      </w:pPr>
      <w:r>
        <w:rPr>
          <w:rFonts w:cs="Arial"/>
          <w:color w:val="000000" w:themeColor="text1"/>
          <w:shd w:val="clear" w:color="auto" w:fill="FFFFFF"/>
        </w:rPr>
        <w:t>En el documento CREG 010 de 2018 se presentan los análisis de los comentarios recibidos a las propuestas regulatorias en consulta antes citadas.</w:t>
      </w:r>
    </w:p>
    <w:p w:rsidR="00637A3F" w:rsidRPr="00FC372D" w:rsidRDefault="00637A3F" w:rsidP="00637A3F">
      <w:pPr>
        <w:rPr>
          <w:rFonts w:cs="Arial"/>
          <w:color w:val="000000" w:themeColor="text1"/>
        </w:rPr>
      </w:pPr>
      <w:r w:rsidRPr="00FC372D">
        <w:rPr>
          <w:rFonts w:cs="Arial"/>
          <w:color w:val="000000" w:themeColor="text1"/>
          <w:shd w:val="clear" w:color="auto" w:fill="FFFFFF"/>
        </w:rPr>
        <w:t>En cumplimiento de lo establecido en el Decreto compilatorio 1074 de 2015</w:t>
      </w:r>
      <w:r>
        <w:rPr>
          <w:rFonts w:cs="Arial"/>
          <w:color w:val="000000" w:themeColor="text1"/>
          <w:shd w:val="clear" w:color="auto" w:fill="FFFFFF"/>
        </w:rPr>
        <w:t>,</w:t>
      </w:r>
      <w:r w:rsidRPr="00FC372D">
        <w:rPr>
          <w:rFonts w:cs="Arial"/>
          <w:b/>
          <w:color w:val="000000" w:themeColor="text1"/>
          <w:shd w:val="clear" w:color="auto" w:fill="FFFFFF"/>
        </w:rPr>
        <w:t xml:space="preserve"> </w:t>
      </w:r>
      <w:r w:rsidRPr="00FC372D">
        <w:rPr>
          <w:rFonts w:cs="Arial"/>
          <w:color w:val="000000" w:themeColor="text1"/>
          <w:shd w:val="clear" w:color="auto" w:fill="FFFFFF"/>
        </w:rPr>
        <w:t>la Comisión</w:t>
      </w:r>
      <w:r>
        <w:rPr>
          <w:rFonts w:cs="Arial"/>
          <w:color w:val="000000" w:themeColor="text1"/>
          <w:shd w:val="clear" w:color="auto" w:fill="FFFFFF"/>
        </w:rPr>
        <w:t xml:space="preserve"> diligenció el correspondiente formato para determinar si la regulación que se adopta mediante la presente resolución, se encuentra dentro del marco de prácticas restrictivas a la competencia, a lo que se observa de acuerdo con su resultado que no, por lo tanto, no se informa a la </w:t>
      </w:r>
      <w:r w:rsidRPr="00FC372D">
        <w:rPr>
          <w:rFonts w:cs="Arial"/>
          <w:color w:val="000000" w:themeColor="text1"/>
          <w:shd w:val="clear" w:color="auto" w:fill="FFFFFF"/>
        </w:rPr>
        <w:t>Superintendencia de Industria y Comercio, SIC, sobre el proyecto de resolución.</w:t>
      </w:r>
    </w:p>
    <w:p w:rsidR="00391D5C" w:rsidRPr="004E6CFC" w:rsidRDefault="00637A3F" w:rsidP="00637A3F">
      <w:pPr>
        <w:rPr>
          <w:sz w:val="25"/>
          <w:szCs w:val="25"/>
        </w:rPr>
      </w:pPr>
      <w:r w:rsidRPr="00271B91">
        <w:t>La Comisión de Regulación de Energía y Gas, en su sesión 83</w:t>
      </w:r>
      <w:r w:rsidR="001F60F1">
        <w:t>6</w:t>
      </w:r>
      <w:r w:rsidRPr="00271B91">
        <w:t xml:space="preserve"> del 29 de enero de 2018, acordó expedir esta resolución</w:t>
      </w:r>
      <w:r w:rsidRPr="00271B91">
        <w:rPr>
          <w:sz w:val="25"/>
          <w:szCs w:val="25"/>
        </w:rPr>
        <w:t>.</w:t>
      </w:r>
      <w:r w:rsidRPr="004E6CFC">
        <w:rPr>
          <w:sz w:val="25"/>
          <w:szCs w:val="25"/>
        </w:rPr>
        <w:t xml:space="preserve"> </w:t>
      </w:r>
    </w:p>
    <w:p w:rsidR="00193054" w:rsidRPr="004E6CFC" w:rsidRDefault="00193054" w:rsidP="00193054">
      <w:pPr>
        <w:spacing w:before="360" w:after="360"/>
        <w:jc w:val="center"/>
        <w:rPr>
          <w:b/>
          <w:spacing w:val="40"/>
        </w:rPr>
      </w:pPr>
      <w:bookmarkStart w:id="0" w:name="_Ref208741538"/>
      <w:bookmarkStart w:id="1" w:name="_Ref208800103"/>
      <w:bookmarkStart w:id="2" w:name="_Ref208800198"/>
      <w:bookmarkStart w:id="3" w:name="_Ref208801482"/>
      <w:bookmarkStart w:id="4" w:name="_Ref208801521"/>
      <w:bookmarkStart w:id="5" w:name="_Ref208804214"/>
      <w:bookmarkStart w:id="6" w:name="_Ref208806182"/>
      <w:bookmarkStart w:id="7" w:name="_Ref209855218"/>
      <w:bookmarkStart w:id="8" w:name="_Ref209855264"/>
      <w:bookmarkStart w:id="9" w:name="_Toc210616028"/>
      <w:r w:rsidRPr="004E6CFC">
        <w:rPr>
          <w:b/>
        </w:rPr>
        <w:t>RESUELV</w:t>
      </w:r>
      <w:r w:rsidRPr="004E6CFC">
        <w:rPr>
          <w:b/>
          <w:spacing w:val="40"/>
        </w:rPr>
        <w:t>E:</w:t>
      </w:r>
    </w:p>
    <w:p w:rsidR="00F574BA" w:rsidRPr="00271B91" w:rsidRDefault="00F574BA" w:rsidP="00F574BA">
      <w:pPr>
        <w:pStyle w:val="Artculo"/>
        <w:tabs>
          <w:tab w:val="left" w:pos="1701"/>
        </w:tabs>
        <w:rPr>
          <w:b w:val="0"/>
        </w:rPr>
      </w:pPr>
      <w:bookmarkStart w:id="10" w:name="_Ref207937090"/>
      <w:r w:rsidRPr="00271B91">
        <w:t>Objeto.</w:t>
      </w:r>
      <w:r w:rsidRPr="00271B91">
        <w:rPr>
          <w:b w:val="0"/>
        </w:rPr>
        <w:t xml:space="preserve"> Mediante esta resolución se adopta la metodología, fórmulas tarifarias y otras disposiciones para la remuneración de la actividad de distribución de energía eléctrica en el Sistema Interconectado Nacional, SIN.</w:t>
      </w:r>
    </w:p>
    <w:p w:rsidR="00F574BA" w:rsidRPr="00271B91" w:rsidRDefault="00F574BA" w:rsidP="00F574BA">
      <w:pPr>
        <w:pStyle w:val="Artculo"/>
        <w:tabs>
          <w:tab w:val="left" w:pos="1701"/>
        </w:tabs>
        <w:rPr>
          <w:b w:val="0"/>
        </w:rPr>
      </w:pPr>
      <w:r w:rsidRPr="00271B91">
        <w:t>Ámbito de Aplicación.</w:t>
      </w:r>
      <w:r w:rsidRPr="00271B91">
        <w:rPr>
          <w:b w:val="0"/>
        </w:rPr>
        <w:t xml:space="preserve"> Esta resolución aplica a los agentes que prestan el servicio de distribución de energía eléctrica y a los usuarios que utilizan el servicio.</w:t>
      </w:r>
    </w:p>
    <w:p w:rsidR="00F574BA" w:rsidRPr="004E6CFC" w:rsidRDefault="00F574BA" w:rsidP="00F574BA">
      <w:pPr>
        <w:pStyle w:val="Artculo"/>
        <w:rPr>
          <w:b w:val="0"/>
        </w:rPr>
      </w:pPr>
      <w:bookmarkStart w:id="11" w:name="_Ref445135063"/>
      <w:r w:rsidRPr="00271B91">
        <w:t xml:space="preserve">Definiciones. </w:t>
      </w:r>
      <w:r w:rsidRPr="00271B91">
        <w:rPr>
          <w:b w:val="0"/>
        </w:rPr>
        <w:t>Para la interpretación y aplicación de esta resolución, se tendrán en</w:t>
      </w:r>
      <w:r w:rsidRPr="004E6CFC">
        <w:rPr>
          <w:b w:val="0"/>
        </w:rPr>
        <w:t xml:space="preserve"> cuenta, además de las definiciones establecidas en las leyes 142 y 143 de 1994, en el Decreto 388 de 2007 y en las resoluciones vigentes de la CREG, las siguientes:</w:t>
      </w:r>
      <w:bookmarkEnd w:id="10"/>
      <w:bookmarkEnd w:id="11"/>
    </w:p>
    <w:p w:rsidR="00F574BA" w:rsidRPr="004E6CFC" w:rsidRDefault="00F574BA" w:rsidP="00F574BA">
      <w:r w:rsidRPr="004E6CFC">
        <w:rPr>
          <w:b/>
          <w:bCs/>
        </w:rPr>
        <w:t>Activos de conexión del OR al STN:</w:t>
      </w:r>
      <w:r w:rsidRPr="004E6CFC">
        <w:t xml:space="preserve"> son los bienes que se requieren para que un operador de red se conecte físicamente al </w:t>
      </w:r>
      <w:r w:rsidR="00E24F2C">
        <w:t>Sistema de Transmisión N</w:t>
      </w:r>
      <w:r w:rsidRPr="004E6CFC">
        <w:t xml:space="preserve">acional, STN. </w:t>
      </w:r>
    </w:p>
    <w:p w:rsidR="00F574BA" w:rsidRPr="004E6CFC" w:rsidRDefault="00F574BA" w:rsidP="00F574BA">
      <w:r w:rsidRPr="004E6CFC">
        <w:t xml:space="preserve">Se consideran como activos de conexión del OR al STN las siguientes UC: la bahía de transformador con tensión mayor o igual a 220 kV, el transformador con una tensión primaria mayor o igual a 220 kV y, secundaria o terciaria, cualquier tensión inferior a 220 kV y las bahías de transformador de los lados de baja tensión. En las subestaciones del STN con configuración de anillo o interruptor y medio no se remunerarán a través de cargos por uso de la actividad de distribución, las bahías con tensión mayor o igual a 220 kV. </w:t>
      </w:r>
    </w:p>
    <w:p w:rsidR="00F574BA" w:rsidRPr="004E6CFC" w:rsidRDefault="00F574BA" w:rsidP="00F574BA">
      <w:r w:rsidRPr="004E6CFC">
        <w:t xml:space="preserve">Los activos de conexión del OR al STN se remunerarán mediante cargos por uso y por lo tanto hacen parte de la base regulatoria de activos. El OR es el responsable por la operación y mantenimiento de estos activos. </w:t>
      </w:r>
    </w:p>
    <w:p w:rsidR="00F574BA" w:rsidRDefault="00F574BA" w:rsidP="00F574BA">
      <w:r w:rsidRPr="00045289">
        <w:t>Cuando estos activos sean</w:t>
      </w:r>
      <w:r>
        <w:t xml:space="preserve"> compartidos por dos o más OR, e</w:t>
      </w:r>
      <w:r w:rsidRPr="00045289">
        <w:t>stos deberán acordar cuál de ellos se encargará de la operación y el mantenimiento, así como el valor a remunerar entre ellos por dichas actividades</w:t>
      </w:r>
      <w:r w:rsidRPr="004E6CFC">
        <w:t>.</w:t>
      </w:r>
    </w:p>
    <w:p w:rsidR="00F574BA" w:rsidRPr="004E6CFC" w:rsidRDefault="00F574BA" w:rsidP="00F574BA">
      <w:r w:rsidRPr="004E6CFC">
        <w:rPr>
          <w:b/>
          <w:bCs/>
        </w:rPr>
        <w:lastRenderedPageBreak/>
        <w:t>Activos de conexión a un STR o a un SDL:</w:t>
      </w:r>
      <w:r w:rsidRPr="004E6CFC">
        <w:t xml:space="preserve"> son los bienes que se requieren para que un </w:t>
      </w:r>
      <w:r w:rsidR="00E24F2C">
        <w:t>OR se conecte físicamente a un Sistema de Transmisión Regional, STR, o a un Sistema de Distribución L</w:t>
      </w:r>
      <w:r w:rsidRPr="004E6CFC">
        <w:t xml:space="preserve">ocal, SDL, de otro OR. También son </w:t>
      </w:r>
      <w:r w:rsidRPr="004E6CFC">
        <w:rPr>
          <w:bCs/>
        </w:rPr>
        <w:t>activos de conexión</w:t>
      </w:r>
      <w:r w:rsidRPr="004E6CFC">
        <w:rPr>
          <w:b/>
          <w:bCs/>
        </w:rPr>
        <w:t xml:space="preserve"> </w:t>
      </w:r>
      <w:r w:rsidRPr="004E6CFC">
        <w:t xml:space="preserve">los utilizados exclusivamente por un usuario final para conectarse a los niveles de tensión 4, 3, 2 o 1. Un usuario está conectado al nivel de tensión en el que está instalado su equipo de medida individual. </w:t>
      </w:r>
    </w:p>
    <w:p w:rsidR="00F574BA" w:rsidRPr="004E6CFC" w:rsidRDefault="00F574BA" w:rsidP="00F574BA">
      <w:r w:rsidRPr="004E6CFC">
        <w:t>Los activos de conexión utilizados para conectar un OR al STR o al SDL de otro OR serán considerados en el cálculo de los cargos por uso del OR que se conecta y su operación y mantenimiento estarán bajo su responsabilidad.</w:t>
      </w:r>
    </w:p>
    <w:p w:rsidR="00F574BA" w:rsidRPr="004E6CFC" w:rsidRDefault="00F574BA" w:rsidP="00F574BA">
      <w:r w:rsidRPr="00045289">
        <w:t>Cuando estos activos sean compartidos por dos o más OR, éstos deberán acordar cuál de ellos se encargará de la operación y el mantenimiento, así como el valor a remunerar entre ellos por dichas actividades</w:t>
      </w:r>
      <w:r w:rsidRPr="004E6CFC">
        <w:t xml:space="preserve">. </w:t>
      </w:r>
    </w:p>
    <w:p w:rsidR="00F574BA" w:rsidRPr="004E6CFC" w:rsidRDefault="00F574BA" w:rsidP="00F574BA">
      <w:r w:rsidRPr="004E6CFC">
        <w:t xml:space="preserve">Se preservan las situaciones particulares y concretas consolidadas con anterioridad a la entrada en vigencia de la Resolución CREG 097 de 2008 en las que, en los términos y con el alcance de la definición de </w:t>
      </w:r>
      <w:r>
        <w:t>a</w:t>
      </w:r>
      <w:r w:rsidRPr="004E6CFC">
        <w:t xml:space="preserve">ctivos de </w:t>
      </w:r>
      <w:r>
        <w:t>c</w:t>
      </w:r>
      <w:r w:rsidRPr="004E6CFC">
        <w:t xml:space="preserve">onexión a un STR o a un SDL prevista en el artículo 12 de la Resolución CREG 082 de 2002, se tengan varios usuarios finales usando </w:t>
      </w:r>
      <w:r>
        <w:t>a</w:t>
      </w:r>
      <w:r w:rsidRPr="004E6CFC">
        <w:t xml:space="preserve">ctivos de </w:t>
      </w:r>
      <w:r>
        <w:t>c</w:t>
      </w:r>
      <w:r w:rsidRPr="004E6CFC">
        <w:t xml:space="preserve">onexión al SDL y con la medida en el </w:t>
      </w:r>
      <w:r>
        <w:t>n</w:t>
      </w:r>
      <w:r w:rsidRPr="004E6CFC">
        <w:t xml:space="preserve">ivel de </w:t>
      </w:r>
      <w:r>
        <w:t>t</w:t>
      </w:r>
      <w:r w:rsidRPr="004E6CFC">
        <w:t xml:space="preserve">ensión 1 y la respectiva solicitud de conexión haya sido presentada en los términos del numeral 4 del </w:t>
      </w:r>
      <w:r>
        <w:t>a</w:t>
      </w:r>
      <w:r w:rsidRPr="004E6CFC">
        <w:t xml:space="preserve">nexo </w:t>
      </w:r>
      <w:r>
        <w:t>g</w:t>
      </w:r>
      <w:r w:rsidRPr="004E6CFC">
        <w:t xml:space="preserve">eneral de la Resolución CREG 070 de 1998. A estos usuarios se les cobrarán cargos por uso de </w:t>
      </w:r>
      <w:r>
        <w:t>n</w:t>
      </w:r>
      <w:r w:rsidRPr="004E6CFC">
        <w:t xml:space="preserve">ivel de </w:t>
      </w:r>
      <w:r>
        <w:t>t</w:t>
      </w:r>
      <w:r w:rsidRPr="004E6CFC">
        <w:t xml:space="preserve">ensión 2 o 3 y para la determinación del consumo se debe referir la medida al </w:t>
      </w:r>
      <w:r>
        <w:t>n</w:t>
      </w:r>
      <w:r w:rsidRPr="004E6CFC">
        <w:t xml:space="preserve">ivel de </w:t>
      </w:r>
      <w:r>
        <w:t>t</w:t>
      </w:r>
      <w:r w:rsidRPr="004E6CFC">
        <w:t xml:space="preserve">ensión que corresponda utilizando el factor </w:t>
      </w:r>
      <w:r>
        <w:t>respectivo</w:t>
      </w:r>
      <w:r w:rsidRPr="004E6CFC">
        <w:t>.</w:t>
      </w:r>
    </w:p>
    <w:p w:rsidR="00F574BA" w:rsidRPr="004E6CFC" w:rsidRDefault="00F574BA" w:rsidP="00F574BA">
      <w:r w:rsidRPr="004E6CFC">
        <w:rPr>
          <w:b/>
          <w:bCs/>
        </w:rPr>
        <w:t>Activos de nivel de tensión 1:</w:t>
      </w:r>
      <w:r w:rsidRPr="004E6CFC">
        <w:t xml:space="preserve"> </w:t>
      </w:r>
      <w:r w:rsidRPr="00E77F05">
        <w:t>son los conformados por las redes de transporte que operan a tensiones menores a 1 kV y los transformadores con voltaje secundario menor a 1 kV que las alimentan para atender dos o más usuarios, incluyendo las protecciones y equipos de maniobra asociados, excepto los que hacen parte de instalaciones internas por ser considerados activos de uso. En esta clasificación se incluyen los transformadores de conexión con capa</w:t>
      </w:r>
      <w:r>
        <w:t>cidad igual o inferior a 15 kVA</w:t>
      </w:r>
      <w:r w:rsidRPr="004E6CFC">
        <w:t>.</w:t>
      </w:r>
    </w:p>
    <w:p w:rsidR="00F574BA" w:rsidRPr="004E6CFC" w:rsidRDefault="00F574BA" w:rsidP="00F574BA">
      <w:r w:rsidRPr="004E6CFC">
        <w:rPr>
          <w:b/>
          <w:bCs/>
        </w:rPr>
        <w:t>Activos de uso de STR y SDL:</w:t>
      </w:r>
      <w:r w:rsidRPr="004E6CFC">
        <w:t xml:space="preserve"> son aquellos activos de transporte de electricidad que operan a tensiones inferiores a 220 kV que son utilizados por más de un usuario y son remunerados mediante cargos por uso de STR o SDL.</w:t>
      </w:r>
    </w:p>
    <w:p w:rsidR="00F574BA" w:rsidRPr="004E6CFC" w:rsidRDefault="00F574BA" w:rsidP="00F574BA">
      <w:r w:rsidRPr="004E6CFC">
        <w:rPr>
          <w:b/>
        </w:rPr>
        <w:t>Activos en operación:</w:t>
      </w:r>
      <w:r w:rsidRPr="004E6CFC">
        <w:t xml:space="preserve"> son aquellos activos eléctricos que forman parte de un sistema utilizado de forma permanente en la actividad de distribución de energía eléctrica, incluyendo aquellos que están normalmente abiertos. Se entiende por sistemas normalmente abiertos aquellos que se encuentran disponibles para entrar en servicio en forma inmediata cuando se requieran. </w:t>
      </w:r>
    </w:p>
    <w:p w:rsidR="00F574BA" w:rsidRPr="004E6CFC" w:rsidRDefault="00F574BA" w:rsidP="00F574BA">
      <w:r w:rsidRPr="004E6CFC">
        <w:rPr>
          <w:b/>
          <w:bCs/>
        </w:rPr>
        <w:t xml:space="preserve">Activos no eléctricos: </w:t>
      </w:r>
      <w:r w:rsidRPr="004E6CFC">
        <w:rPr>
          <w:bCs/>
        </w:rPr>
        <w:t>s</w:t>
      </w:r>
      <w:r w:rsidRPr="004E6CFC">
        <w:t>on aquellos activos que no hacen parte de la infraestructura de transporte de energía eléctrica de los OR, pero que son requeridos para cumplir con su objeto social. Hacen parte de estos activos, entre otros, los siguientes: edificios (sedes administrativas, bodegas, talleres, etc.), maquinaria y equipos (grúas, vehículos, etc.) y equipos de cómputo.</w:t>
      </w:r>
    </w:p>
    <w:p w:rsidR="00F574BA" w:rsidRPr="004E6CFC" w:rsidRDefault="00F574BA" w:rsidP="00F574BA">
      <w:pPr>
        <w:rPr>
          <w:szCs w:val="22"/>
        </w:rPr>
      </w:pPr>
      <w:r w:rsidRPr="004E6CFC">
        <w:rPr>
          <w:b/>
          <w:szCs w:val="22"/>
        </w:rPr>
        <w:t>Activo no operativo:</w:t>
      </w:r>
      <w:r w:rsidRPr="004E6CFC">
        <w:rPr>
          <w:szCs w:val="22"/>
        </w:rPr>
        <w:t xml:space="preserve"> activo que estando en las condiciones necesarias para operar no puede hacerlo debido a la indisponibilidad de otro activo diferente a los que conforman su grupo de activos.</w:t>
      </w:r>
    </w:p>
    <w:p w:rsidR="00F574BA" w:rsidRPr="004E6CFC" w:rsidRDefault="00F574BA" w:rsidP="00F574BA">
      <w:pPr>
        <w:rPr>
          <w:b/>
          <w:bCs/>
        </w:rPr>
      </w:pPr>
      <w:r w:rsidRPr="004E6CFC">
        <w:rPr>
          <w:b/>
          <w:bCs/>
        </w:rPr>
        <w:lastRenderedPageBreak/>
        <w:t xml:space="preserve">AOM: </w:t>
      </w:r>
      <w:r w:rsidRPr="004E6CFC">
        <w:rPr>
          <w:bCs/>
        </w:rPr>
        <w:t>valor de los gastos de administración, operación y mantenimiento correspondientes a la actividad de distribución de energía eléctrica en los STR y SDL.</w:t>
      </w:r>
    </w:p>
    <w:p w:rsidR="00F574BA" w:rsidRPr="004E6CFC" w:rsidRDefault="00F574BA" w:rsidP="00F574BA">
      <w:pPr>
        <w:rPr>
          <w:bCs/>
        </w:rPr>
      </w:pPr>
      <w:r w:rsidRPr="004E6CFC">
        <w:rPr>
          <w:b/>
          <w:bCs/>
        </w:rPr>
        <w:t xml:space="preserve">Base regulatoria de activos, BRA: </w:t>
      </w:r>
      <w:r w:rsidRPr="004E6CFC">
        <w:rPr>
          <w:bCs/>
        </w:rPr>
        <w:t>valor de los activos utilizados para la prestación del servicio por parte del OR. Está compuesta por activos eléctricos</w:t>
      </w:r>
      <w:r>
        <w:rPr>
          <w:bCs/>
        </w:rPr>
        <w:t xml:space="preserve"> y </w:t>
      </w:r>
      <w:r w:rsidRPr="004E6CFC">
        <w:rPr>
          <w:bCs/>
        </w:rPr>
        <w:t>no eléctricos.</w:t>
      </w:r>
    </w:p>
    <w:p w:rsidR="00F574BA" w:rsidRPr="004E6CFC" w:rsidRDefault="00F574BA" w:rsidP="00F574BA">
      <w:pPr>
        <w:rPr>
          <w:rFonts w:cs="Arial"/>
          <w:spacing w:val="-3"/>
          <w:szCs w:val="22"/>
        </w:rPr>
      </w:pPr>
      <w:r w:rsidRPr="004E6CFC">
        <w:rPr>
          <w:b/>
          <w:szCs w:val="22"/>
        </w:rPr>
        <w:t xml:space="preserve">Capacidad disponible del activo: </w:t>
      </w:r>
      <w:r w:rsidRPr="004E6CFC">
        <w:rPr>
          <w:szCs w:val="22"/>
        </w:rPr>
        <w:t>parte de un activo</w:t>
      </w:r>
      <w:r>
        <w:rPr>
          <w:szCs w:val="22"/>
        </w:rPr>
        <w:t xml:space="preserve"> que </w:t>
      </w:r>
      <w:r w:rsidR="00ED0427">
        <w:rPr>
          <w:szCs w:val="22"/>
        </w:rPr>
        <w:t>está</w:t>
      </w:r>
      <w:r>
        <w:rPr>
          <w:szCs w:val="22"/>
        </w:rPr>
        <w:t xml:space="preserve"> siendo utilizada en </w:t>
      </w:r>
      <w:r w:rsidRPr="004E6CFC">
        <w:rPr>
          <w:szCs w:val="22"/>
        </w:rPr>
        <w:t>la prestación del servicio, expresada como un porcentaje de la capacidad total que puede entregar acorde con sus características técnicas o datos de fabricante en condiciones normales de operación.</w:t>
      </w:r>
    </w:p>
    <w:p w:rsidR="00F574BA" w:rsidRPr="004E6CFC" w:rsidRDefault="00F574BA" w:rsidP="00F574BA">
      <w:pPr>
        <w:rPr>
          <w:rFonts w:cs="Arial"/>
          <w:spacing w:val="-3"/>
          <w:szCs w:val="22"/>
        </w:rPr>
      </w:pPr>
      <w:r w:rsidRPr="004E6CFC">
        <w:rPr>
          <w:b/>
          <w:spacing w:val="-3"/>
        </w:rPr>
        <w:t>Carga o Capacidad Instalada</w:t>
      </w:r>
      <w:r>
        <w:rPr>
          <w:b/>
          <w:spacing w:val="-3"/>
        </w:rPr>
        <w:t>:</w:t>
      </w:r>
      <w:r w:rsidRPr="004E6CFC">
        <w:rPr>
          <w:b/>
          <w:spacing w:val="-3"/>
        </w:rPr>
        <w:t xml:space="preserve"> </w:t>
      </w:r>
      <w:r>
        <w:rPr>
          <w:spacing w:val="-3"/>
        </w:rPr>
        <w:t>e</w:t>
      </w:r>
      <w:r w:rsidRPr="004E6CFC">
        <w:rPr>
          <w:spacing w:val="-3"/>
        </w:rPr>
        <w:t>s la carga instalada o la capacidad nominal, declarada al momento de efectuar una conexión a un sistema determinado, que puede soportar el componente limitante de una instalación o sistema eléctrico.</w:t>
      </w:r>
    </w:p>
    <w:p w:rsidR="00F574BA" w:rsidRPr="004E6CFC" w:rsidRDefault="00F574BA" w:rsidP="00F574BA">
      <w:r w:rsidRPr="004E6CFC">
        <w:rPr>
          <w:b/>
          <w:bCs/>
        </w:rPr>
        <w:t xml:space="preserve">Cargos por uso del OR: </w:t>
      </w:r>
      <w:r w:rsidRPr="004E6CFC">
        <w:t xml:space="preserve">son los cargos, expresados en $/kWh, acumulados para cada nivel de tensión, que remuneran a un OR las inversiones en los activos de uso de los SDL y STR y los gastos de AOM en los que incurre para la prestación del servicio. </w:t>
      </w:r>
    </w:p>
    <w:p w:rsidR="00F574BA" w:rsidRPr="004E6CFC" w:rsidRDefault="00F574BA" w:rsidP="00F574BA">
      <w:pPr>
        <w:rPr>
          <w:rFonts w:cs="Arial"/>
        </w:rPr>
      </w:pPr>
      <w:r w:rsidRPr="004E6CFC">
        <w:rPr>
          <w:rFonts w:cs="Arial"/>
          <w:b/>
        </w:rPr>
        <w:t>Centro nacional de despacho, CND:</w:t>
      </w:r>
      <w:r w:rsidRPr="004E6CFC">
        <w:rPr>
          <w:rFonts w:cs="Arial"/>
        </w:rPr>
        <w:t xml:space="preserve"> entidad encargada de la planeación, supervisión y control de la operación integrada de los recursos de generación, interconexión y transmisión del Sistema Interconectado Nacional, teniendo como objetivo una operación segura, confiable y económica, con sujeción a la reglamentación vigente y a los acuerdos del CNO.</w:t>
      </w:r>
    </w:p>
    <w:p w:rsidR="00F574BA" w:rsidRPr="004E6CFC" w:rsidRDefault="00F574BA" w:rsidP="00F574BA">
      <w:pPr>
        <w:rPr>
          <w:b/>
        </w:rPr>
      </w:pPr>
      <w:r w:rsidRPr="004E6CFC">
        <w:rPr>
          <w:b/>
        </w:rPr>
        <w:t>Compensación por energía no suministrada, CNE:</w:t>
      </w:r>
      <w:r w:rsidRPr="004E6CFC">
        <w:t xml:space="preserve"> compensación por ocasionar energía no suministrada o por dejar no operativos otros activos.</w:t>
      </w:r>
    </w:p>
    <w:p w:rsidR="00F574BA" w:rsidRPr="004E6CFC" w:rsidRDefault="00F574BA" w:rsidP="00F574BA">
      <w:r w:rsidRPr="004E6CFC">
        <w:rPr>
          <w:b/>
        </w:rPr>
        <w:t>Conexión y acceso a redes:</w:t>
      </w:r>
      <w:r w:rsidRPr="004E6CFC">
        <w:t xml:space="preserve"> es el derecho que tiene todo usuario a utilizar las redes del STN, STR y/o SDL, previo el cumplimiento de las normas que rijan el servicio, el pago de las retribuciones que correspondan y el principio de eficiencia consignado en la Ley.</w:t>
      </w:r>
    </w:p>
    <w:p w:rsidR="00F574BA" w:rsidRPr="004E6CFC" w:rsidRDefault="00F574BA" w:rsidP="00F574BA">
      <w:r w:rsidRPr="004E6CFC">
        <w:rPr>
          <w:b/>
        </w:rPr>
        <w:t xml:space="preserve">Consignación: </w:t>
      </w:r>
      <w:r w:rsidRPr="004E6CFC">
        <w:t>es el procedimiento mediante el cual un transmisor o distribuidor solicita desconectar temporalmente equipos determinados, que es estudiado y, de ser procedente, autorizado por el CND.</w:t>
      </w:r>
    </w:p>
    <w:p w:rsidR="00F574BA" w:rsidRPr="004E6CFC" w:rsidRDefault="00F574BA" w:rsidP="00F574BA">
      <w:r w:rsidRPr="000948EB">
        <w:rPr>
          <w:b/>
        </w:rPr>
        <w:t>Consignación de emergencia:</w:t>
      </w:r>
      <w:r w:rsidRPr="000948EB">
        <w:t xml:space="preserve"> </w:t>
      </w:r>
      <w:r w:rsidRPr="007E0A2C">
        <w:t>es el procedimiento mediante el cual se autoriza, previa declaración del agente responsable, la desconexión de un equipo o activo del SIN, de una instalación o de parte de ella, cuando su estado ponga en peligro la seguridad de personas, de equipos o de instalaciones de tal forma que no es posible cumplir con el procedimiento de programación del mantenimiento respectivo. Como es una consignación no programada, si se supera el tiempo de desconexión, sobre ese tiempo no hay cálculo de ENS</w:t>
      </w:r>
      <w:r w:rsidRPr="000948EB">
        <w:t>.</w:t>
      </w:r>
    </w:p>
    <w:p w:rsidR="00F574BA" w:rsidRPr="004E6CFC" w:rsidRDefault="00F574BA" w:rsidP="00F574BA">
      <w:pPr>
        <w:rPr>
          <w:rFonts w:cs="Arial"/>
        </w:rPr>
      </w:pPr>
      <w:r w:rsidRPr="004E6CFC">
        <w:rPr>
          <w:rFonts w:cs="Arial"/>
          <w:b/>
        </w:rPr>
        <w:t>Disponibilidad:</w:t>
      </w:r>
      <w:r w:rsidRPr="004E6CFC">
        <w:rPr>
          <w:rFonts w:cs="Arial"/>
        </w:rPr>
        <w:t xml:space="preserve"> se define como el tiempo total sobre un período dado, durante el cual un activo de uso estuvo en servicio o cuando, sin estar en servicio, el agente lo declara disponible y el CND no instruye su conexión por condiciones de topología, seguridad, confiabilidad o calidad del SIN.</w:t>
      </w:r>
    </w:p>
    <w:p w:rsidR="00F574BA" w:rsidRPr="004E6CFC" w:rsidRDefault="00F574BA" w:rsidP="00F574BA">
      <w:pPr>
        <w:rPr>
          <w:rFonts w:cs="Arial"/>
        </w:rPr>
      </w:pPr>
      <w:r w:rsidRPr="004E6CFC">
        <w:rPr>
          <w:rFonts w:cs="Arial"/>
          <w:b/>
        </w:rPr>
        <w:lastRenderedPageBreak/>
        <w:t>Energía no suministrada</w:t>
      </w:r>
      <w:r>
        <w:rPr>
          <w:rFonts w:cs="Arial"/>
          <w:b/>
        </w:rPr>
        <w:t>, ENS</w:t>
      </w:r>
      <w:r w:rsidRPr="004E6CFC">
        <w:rPr>
          <w:rFonts w:cs="Arial"/>
          <w:b/>
        </w:rPr>
        <w:t>:</w:t>
      </w:r>
      <w:r w:rsidRPr="004E6CFC">
        <w:rPr>
          <w:rFonts w:cs="Arial"/>
        </w:rPr>
        <w:t xml:space="preserve"> estimación de la cantidad de energía que no pudo ser entregada cuando se presentan eventos en el sistema, realizada con base en las disposiciones que para tal fin se establecen en la regulación vigente. </w:t>
      </w:r>
    </w:p>
    <w:p w:rsidR="00F574BA" w:rsidRDefault="00F574BA" w:rsidP="00F574BA">
      <w:pPr>
        <w:rPr>
          <w:bCs/>
          <w:szCs w:val="22"/>
        </w:rPr>
      </w:pPr>
      <w:r w:rsidRPr="004E6CFC">
        <w:rPr>
          <w:b/>
          <w:bCs/>
          <w:szCs w:val="22"/>
        </w:rPr>
        <w:t>Evento:</w:t>
      </w:r>
      <w:r w:rsidRPr="004E6CFC">
        <w:rPr>
          <w:bCs/>
          <w:szCs w:val="22"/>
        </w:rPr>
        <w:t xml:space="preserve"> situación que causa la indisponibilidad parcial o total de un activo de uso y que ocurre de manera programada o no programada.</w:t>
      </w:r>
    </w:p>
    <w:p w:rsidR="00F574BA" w:rsidRPr="00070D59" w:rsidRDefault="00F574BA" w:rsidP="00F574BA">
      <w:pPr>
        <w:rPr>
          <w:bCs/>
          <w:szCs w:val="22"/>
        </w:rPr>
      </w:pPr>
      <w:r w:rsidRPr="00070D59">
        <w:rPr>
          <w:b/>
          <w:bCs/>
          <w:szCs w:val="22"/>
        </w:rPr>
        <w:t>Evento de alto impacto:</w:t>
      </w:r>
      <w:r w:rsidRPr="00070D59">
        <w:rPr>
          <w:bCs/>
          <w:szCs w:val="22"/>
        </w:rPr>
        <w:t xml:space="preserve"> Los eventos de alto impacto serán todos aquellos que tengan lugar en el SDL o en el STR y cumplan con alguna de las siguientes condiciones: </w:t>
      </w:r>
    </w:p>
    <w:p w:rsidR="00F574BA" w:rsidRPr="00070D59" w:rsidRDefault="00F574BA" w:rsidP="00462078">
      <w:pPr>
        <w:pStyle w:val="Prrafodelista"/>
        <w:numPr>
          <w:ilvl w:val="0"/>
          <w:numId w:val="94"/>
        </w:numPr>
        <w:ind w:left="426"/>
        <w:rPr>
          <w:bCs/>
          <w:szCs w:val="22"/>
        </w:rPr>
      </w:pPr>
      <w:r w:rsidRPr="00070D59">
        <w:rPr>
          <w:bCs/>
          <w:szCs w:val="22"/>
        </w:rPr>
        <w:t>Afecte más de cincuenta mil (50.000) usuarios por un periodo mayor o igual a tres (3) horas.</w:t>
      </w:r>
    </w:p>
    <w:p w:rsidR="00F574BA" w:rsidRPr="00070D59" w:rsidRDefault="00F574BA" w:rsidP="00462078">
      <w:pPr>
        <w:pStyle w:val="Prrafodelista"/>
        <w:numPr>
          <w:ilvl w:val="0"/>
          <w:numId w:val="94"/>
        </w:numPr>
        <w:ind w:left="426"/>
        <w:rPr>
          <w:bCs/>
          <w:szCs w:val="22"/>
        </w:rPr>
      </w:pPr>
      <w:r w:rsidRPr="00070D59">
        <w:rPr>
          <w:bCs/>
          <w:szCs w:val="22"/>
        </w:rPr>
        <w:t>Afecte a más del treinta por ciento (30%) de los usuarios del mercado de distribución de un OR por un periodo mayor o igual a tres (3) horas.</w:t>
      </w:r>
    </w:p>
    <w:p w:rsidR="00F574BA" w:rsidRPr="004E6CFC" w:rsidRDefault="00F574BA" w:rsidP="00F574BA">
      <w:pPr>
        <w:pStyle w:val="Continuarlista"/>
        <w:spacing w:after="240"/>
        <w:ind w:left="0"/>
        <w:contextualSpacing w:val="0"/>
      </w:pPr>
      <w:r w:rsidRPr="004E6CFC">
        <w:rPr>
          <w:b/>
          <w:bCs/>
        </w:rPr>
        <w:t>Fecha de corte:</w:t>
      </w:r>
      <w:r w:rsidRPr="004E6CFC">
        <w:t xml:space="preserve"> es el 31 de diciembre de</w:t>
      </w:r>
      <w:r>
        <w:t xml:space="preserve"> 2017</w:t>
      </w:r>
      <w:r w:rsidRPr="004E6CFC">
        <w:t xml:space="preserve">. </w:t>
      </w:r>
    </w:p>
    <w:p w:rsidR="00F574BA" w:rsidRPr="004E6CFC" w:rsidRDefault="00F574BA" w:rsidP="00F574BA">
      <w:pPr>
        <w:rPr>
          <w:bCs/>
          <w:szCs w:val="22"/>
        </w:rPr>
      </w:pPr>
      <w:r w:rsidRPr="004E6CFC">
        <w:rPr>
          <w:b/>
          <w:bCs/>
          <w:szCs w:val="22"/>
        </w:rPr>
        <w:t>Grupo de activos:</w:t>
      </w:r>
      <w:r w:rsidRPr="004E6CFC">
        <w:rPr>
          <w:bCs/>
          <w:szCs w:val="22"/>
        </w:rPr>
        <w:t xml:space="preserve"> conjunto de activos en operación cuyas funcionalidades se encuentran interrelacionadas.</w:t>
      </w:r>
    </w:p>
    <w:p w:rsidR="00F574BA" w:rsidRPr="004E6CFC" w:rsidRDefault="00F574BA" w:rsidP="00F574BA">
      <w:r w:rsidRPr="004E6CFC">
        <w:rPr>
          <w:b/>
        </w:rPr>
        <w:t>Índice de precios del productor, IPP</w:t>
      </w:r>
      <w:r w:rsidRPr="004E6CFC">
        <w:t>: corresponde al índice de precios del productor de la serie oferta interna publicado mensualmente por el Departamento Nacional de Estadística, DANE.</w:t>
      </w:r>
    </w:p>
    <w:p w:rsidR="00F574BA" w:rsidRPr="004E6CFC" w:rsidRDefault="00F574BA" w:rsidP="00F574BA">
      <w:pPr>
        <w:rPr>
          <w:rFonts w:cs="Arial"/>
        </w:rPr>
      </w:pPr>
      <w:r w:rsidRPr="004E6CFC">
        <w:rPr>
          <w:rFonts w:cs="Arial"/>
          <w:b/>
        </w:rPr>
        <w:t>Indisponibilidad:</w:t>
      </w:r>
      <w:r w:rsidRPr="004E6CFC">
        <w:rPr>
          <w:rFonts w:cs="Arial"/>
        </w:rPr>
        <w:t xml:space="preserve"> se define como el tiempo durante el cual un activo de uso no estuvo en servicio total o parcialmente. Un activo estará indisponible, y se seguirá considerando en esta condición, aunque su función esté siendo suplida por otro activo del SIN</w:t>
      </w:r>
      <w:r w:rsidRPr="004E6CFC">
        <w:t>.</w:t>
      </w:r>
    </w:p>
    <w:p w:rsidR="00F574BA" w:rsidRPr="004E6CFC" w:rsidRDefault="00F574BA" w:rsidP="00F574BA">
      <w:pPr>
        <w:suppressAutoHyphens/>
        <w:rPr>
          <w:rFonts w:cs="Arial"/>
          <w:szCs w:val="20"/>
          <w:lang w:val="es-CO" w:eastAsia="ar-SA"/>
        </w:rPr>
      </w:pPr>
      <w:r w:rsidRPr="004E6CFC">
        <w:rPr>
          <w:rFonts w:cs="Arial"/>
          <w:b/>
          <w:bCs/>
          <w:szCs w:val="20"/>
          <w:lang w:val="es-CO" w:eastAsia="ar-SA"/>
        </w:rPr>
        <w:t>Liquidador y administrador de cuentas, LAC:</w:t>
      </w:r>
      <w:r w:rsidRPr="004E6CFC">
        <w:rPr>
          <w:rFonts w:cs="Arial"/>
          <w:b/>
          <w:szCs w:val="20"/>
          <w:lang w:val="es-CO" w:eastAsia="ar-SA"/>
        </w:rPr>
        <w:t xml:space="preserve"> </w:t>
      </w:r>
      <w:r w:rsidRPr="004E6CFC">
        <w:rPr>
          <w:rFonts w:cs="Arial"/>
          <w:szCs w:val="20"/>
          <w:lang w:val="es-CO" w:eastAsia="ar-SA"/>
        </w:rPr>
        <w:t>Entidad encargada de la liquidación y administración de cuentas de los cargos por uso de las redes del SIN que le sean asignadas y de calcular el ingreso regulado de los transportadores, de acuerdo con las disposiciones contenidas en la regulación vigente.</w:t>
      </w:r>
    </w:p>
    <w:p w:rsidR="00F574BA" w:rsidRPr="004E6CFC" w:rsidRDefault="00F574BA" w:rsidP="00F574BA">
      <w:pPr>
        <w:rPr>
          <w:rFonts w:cs="Arial"/>
        </w:rPr>
      </w:pPr>
      <w:r w:rsidRPr="004E6CFC">
        <w:rPr>
          <w:rFonts w:cs="Arial"/>
          <w:b/>
        </w:rPr>
        <w:t>Mantenimiento mayor:</w:t>
      </w:r>
      <w:r w:rsidRPr="004E6CFC">
        <w:rPr>
          <w:rFonts w:cs="Arial"/>
        </w:rPr>
        <w:t xml:space="preserve"> mantenimiento de activos de uso de los STR que requiere un tiempo mayor a las máximas horas anuales de indisponibilidad fijadas para el grupo de activos al que pertenece ese activo.</w:t>
      </w:r>
    </w:p>
    <w:p w:rsidR="00F574BA" w:rsidRPr="004E6CFC" w:rsidRDefault="00F574BA" w:rsidP="00F574BA">
      <w:r w:rsidRPr="004E6CFC">
        <w:rPr>
          <w:b/>
        </w:rPr>
        <w:t>Mercado de comercialización:</w:t>
      </w:r>
      <w:r w:rsidRPr="004E6CFC">
        <w:t xml:space="preserve"> conjunto de usuarios regulados y no regulados conectados a un mismo STR y/o SDL, servido por un mismo OR. También hacen parte del mercado de comercialización los usuarios conectados directamente al STN del área de influencia del respectivo OR, así como los usuarios conectados a activos de un TR dentro de esta misma área.</w:t>
      </w:r>
    </w:p>
    <w:p w:rsidR="00F574BA" w:rsidRPr="004E6CFC" w:rsidRDefault="00F574BA" w:rsidP="00F574BA">
      <w:r w:rsidRPr="004E6CFC">
        <w:rPr>
          <w:b/>
        </w:rPr>
        <w:t xml:space="preserve">Migración de usuarios a niveles de tensión superiores, MUNTS: </w:t>
      </w:r>
      <w:r w:rsidRPr="004E6CFC">
        <w:t>es la conexión de un usuario final al sistema de un OR en un nivel de tensión superior al que se encontraba conectado.</w:t>
      </w:r>
    </w:p>
    <w:p w:rsidR="00F574BA" w:rsidRPr="004E6CFC" w:rsidRDefault="00F574BA" w:rsidP="00F574BA">
      <w:r w:rsidRPr="004E6CFC">
        <w:rPr>
          <w:b/>
        </w:rPr>
        <w:t xml:space="preserve">Niveles de tensión: </w:t>
      </w:r>
      <w:r w:rsidRPr="004E6CFC">
        <w:t>los STR y SDL se clasifican por niveles, en función de la tensión nominal de operación, según la siguiente definición:</w:t>
      </w:r>
    </w:p>
    <w:p w:rsidR="00F574BA" w:rsidRPr="004E6CFC" w:rsidRDefault="00F574BA" w:rsidP="00F574BA">
      <w:pPr>
        <w:ind w:left="1416" w:hanging="1416"/>
        <w:rPr>
          <w:b/>
        </w:rPr>
      </w:pPr>
      <w:r w:rsidRPr="004E6CFC">
        <w:lastRenderedPageBreak/>
        <w:t>Nivel 4: sistemas con tensión nominal mayor o igual a 57,5 kV y menor a 220 kV.</w:t>
      </w:r>
    </w:p>
    <w:p w:rsidR="00F574BA" w:rsidRPr="004E6CFC" w:rsidRDefault="00F574BA" w:rsidP="00F574BA">
      <w:pPr>
        <w:ind w:left="1416" w:hanging="1416"/>
      </w:pPr>
      <w:r w:rsidRPr="004E6CFC">
        <w:t>Nivel 3:</w:t>
      </w:r>
      <w:r>
        <w:t xml:space="preserve"> </w:t>
      </w:r>
      <w:r w:rsidRPr="004E6CFC">
        <w:t>sistemas con tensión nominal mayor o igual a 30 kV y menor de 57,5</w:t>
      </w:r>
      <w:r>
        <w:t> </w:t>
      </w:r>
      <w:r w:rsidRPr="004E6CFC">
        <w:t>kV.</w:t>
      </w:r>
    </w:p>
    <w:p w:rsidR="00F574BA" w:rsidRPr="004E6CFC" w:rsidRDefault="00F574BA" w:rsidP="00F574BA">
      <w:pPr>
        <w:ind w:left="1416" w:hanging="1416"/>
      </w:pPr>
      <w:r w:rsidRPr="004E6CFC">
        <w:t>Nivel 2: sistemas con tensión nominal mayor o igual a 1 kV y menor de 30 kV.</w:t>
      </w:r>
    </w:p>
    <w:p w:rsidR="00F574BA" w:rsidRPr="004E6CFC" w:rsidRDefault="00F574BA" w:rsidP="00F574BA">
      <w:pPr>
        <w:ind w:left="1416" w:hanging="1416"/>
      </w:pPr>
      <w:r w:rsidRPr="004E6CFC">
        <w:t>Nivel 1:</w:t>
      </w:r>
      <w:r>
        <w:t xml:space="preserve"> </w:t>
      </w:r>
      <w:r w:rsidRPr="004E6CFC">
        <w:t>sistemas con tensión nominal menor a 1 kV.</w:t>
      </w:r>
    </w:p>
    <w:p w:rsidR="00F574BA" w:rsidRPr="004E6CFC" w:rsidRDefault="00F574BA" w:rsidP="00F574BA">
      <w:r w:rsidRPr="004E6CFC">
        <w:rPr>
          <w:b/>
        </w:rPr>
        <w:t>Nodo:</w:t>
      </w:r>
      <w:r w:rsidRPr="004E6CFC">
        <w:t xml:space="preserve"> punto donde se conectan físicamente varios elementos de un sistema eléctrico. Normalmente es el barraje de una subestación.</w:t>
      </w:r>
    </w:p>
    <w:p w:rsidR="00F574BA" w:rsidRPr="004E6CFC" w:rsidRDefault="00F574BA" w:rsidP="00F574BA">
      <w:r w:rsidRPr="004E6CFC">
        <w:rPr>
          <w:b/>
          <w:bCs/>
        </w:rPr>
        <w:t>Operador de red de STR y SDL, OR:</w:t>
      </w:r>
      <w:r w:rsidRPr="004E6CFC">
        <w:t xml:space="preserve"> persona encargada de la planeación de la expansión, las inversiones, la operación y el mantenimiento de todo o parte de un STR o SDL, incluidas sus conexiones al STN. Los activos pueden ser de su propiedad o de terceros. Para todos los propósitos son las empresas que tienen cargos por uso de los STR o SDL aprobados por la CREG. El OR siempre debe ser una empresa de servicios públicos domiciliarios</w:t>
      </w:r>
      <w:r w:rsidRPr="00E77F05">
        <w:t xml:space="preserve">. La unidad mínima de un SDL para que un OR solicite </w:t>
      </w:r>
      <w:r>
        <w:t>c</w:t>
      </w:r>
      <w:r w:rsidRPr="00E77F05">
        <w:t xml:space="preserve">argos </w:t>
      </w:r>
      <w:r>
        <w:t>por uso corresponde a un m</w:t>
      </w:r>
      <w:r w:rsidRPr="00E77F05">
        <w:t>unicipio</w:t>
      </w:r>
      <w:r w:rsidRPr="004E6CFC">
        <w:t xml:space="preserve">. </w:t>
      </w:r>
    </w:p>
    <w:p w:rsidR="00F574BA" w:rsidRPr="004E6CFC" w:rsidRDefault="00F574BA" w:rsidP="00F574BA">
      <w:pPr>
        <w:rPr>
          <w:b/>
        </w:rPr>
      </w:pPr>
      <w:r w:rsidRPr="004E6CFC">
        <w:rPr>
          <w:b/>
        </w:rPr>
        <w:t xml:space="preserve">RPP: </w:t>
      </w:r>
      <w:r w:rsidRPr="00E009CA">
        <w:t>fracción del costo de una unidad constructiva que es remunerada vía cargos por uso, que no se incluye en el cálculo de la tarifa de acuerdo con lo dispuesto en el numeral 89.7del artículo 89 de la Ley 142 de 1994, modificado por el artículo 99 de la Ley 1450 de 2011</w:t>
      </w:r>
      <w:r w:rsidRPr="004E6CFC">
        <w:t>.</w:t>
      </w:r>
    </w:p>
    <w:p w:rsidR="00F574BA" w:rsidRPr="004E6CFC" w:rsidRDefault="00E24F2C" w:rsidP="00F574BA">
      <w:r>
        <w:rPr>
          <w:b/>
          <w:bCs/>
        </w:rPr>
        <w:t>Sistema de Distribución L</w:t>
      </w:r>
      <w:r w:rsidR="00F574BA" w:rsidRPr="004E6CFC">
        <w:rPr>
          <w:b/>
          <w:bCs/>
        </w:rPr>
        <w:t xml:space="preserve">ocal, SDL: </w:t>
      </w:r>
      <w:r w:rsidR="00F574BA" w:rsidRPr="004E6CFC">
        <w:t>sistema de transporte de energía eléctrica compuesto por el conjunto de líneas y subestaciones, con sus equipos asociados, que operan en los niveles de tensión 3, 2 y 1 y son utilizados para la prestación del servicio en un mercado de comercialización.</w:t>
      </w:r>
    </w:p>
    <w:p w:rsidR="00F574BA" w:rsidRPr="004E6CFC" w:rsidRDefault="00E24F2C" w:rsidP="00F574BA">
      <w:r>
        <w:rPr>
          <w:b/>
          <w:bCs/>
        </w:rPr>
        <w:t>Sistema de Transmisión R</w:t>
      </w:r>
      <w:r w:rsidR="00F574BA" w:rsidRPr="004E6CFC">
        <w:rPr>
          <w:b/>
          <w:bCs/>
        </w:rPr>
        <w:t>egional, STR:</w:t>
      </w:r>
      <w:r w:rsidR="00F574BA" w:rsidRPr="004E6CFC">
        <w:t xml:space="preserve"> sistema de transporte de energía eléctrica compuesto por los activos de conexión del OR o el TR al STN y el conjunto de líneas, equipos y subestaciones, con sus equipos asociados, que operan en el nivel de tensión 4. Los STR pueden estar conformados por los activos de uno o más OR</w:t>
      </w:r>
      <w:r w:rsidR="00F574BA">
        <w:t xml:space="preserve"> o TR</w:t>
      </w:r>
      <w:r w:rsidR="00F574BA" w:rsidRPr="004E6CFC">
        <w:t>.</w:t>
      </w:r>
    </w:p>
    <w:p w:rsidR="00F574BA" w:rsidRPr="004E6CFC" w:rsidRDefault="00E24F2C" w:rsidP="00F574BA">
      <w:r>
        <w:rPr>
          <w:b/>
        </w:rPr>
        <w:t>Sistema de Transmisión N</w:t>
      </w:r>
      <w:r w:rsidR="00F574BA" w:rsidRPr="004E6CFC">
        <w:rPr>
          <w:b/>
        </w:rPr>
        <w:t>acional, STN:</w:t>
      </w:r>
      <w:r w:rsidR="00F574BA" w:rsidRPr="004E6CFC">
        <w:t xml:space="preserve"> es el sistema de transmisión de energía eléctrica compuesto por el conjunto de líneas, equipos de compensación y subestaciones que operan a tensiones iguales o superiores a 220 kV, los transformadores con este nivel de tensión en el lado de baja y los correspondientes módulos de conexión.</w:t>
      </w:r>
    </w:p>
    <w:p w:rsidR="00F574BA" w:rsidRPr="004E6CFC" w:rsidRDefault="00F574BA" w:rsidP="00F574BA">
      <w:pPr>
        <w:rPr>
          <w:bCs/>
          <w:szCs w:val="22"/>
        </w:rPr>
      </w:pPr>
      <w:r w:rsidRPr="004E6CFC">
        <w:rPr>
          <w:b/>
          <w:bCs/>
          <w:szCs w:val="22"/>
        </w:rPr>
        <w:t xml:space="preserve">Supervisión: </w:t>
      </w:r>
      <w:r w:rsidRPr="004E6CFC">
        <w:rPr>
          <w:bCs/>
          <w:szCs w:val="22"/>
        </w:rPr>
        <w:t>adquisición, en forma directa o indirecta, de información de variables operativas del SIN y procesamiento de la misma, sin que esto implique control operativo de tales variables.</w:t>
      </w:r>
    </w:p>
    <w:p w:rsidR="00F574BA" w:rsidRPr="004E6CFC" w:rsidRDefault="00F574BA" w:rsidP="00F574BA">
      <w:r w:rsidRPr="004E6CFC">
        <w:rPr>
          <w:b/>
        </w:rPr>
        <w:t xml:space="preserve">Tasa de retorno: </w:t>
      </w:r>
      <w:r w:rsidRPr="004E6CFC">
        <w:t>tasa establecida para la actividad de distribución de energía eléctrica para un esquema de ingreso máximo</w:t>
      </w:r>
      <w:r>
        <w:t xml:space="preserve"> calculada de acuerdo con la metodología de la Resolución CREG 095 de 2015, aprobada en resolución aparte.</w:t>
      </w:r>
      <w:r w:rsidRPr="004E6CFC">
        <w:t xml:space="preserve"> </w:t>
      </w:r>
    </w:p>
    <w:p w:rsidR="00F574BA" w:rsidRPr="004E6CFC" w:rsidRDefault="00F574BA" w:rsidP="00F574BA">
      <w:r w:rsidRPr="004E6CFC">
        <w:rPr>
          <w:b/>
        </w:rPr>
        <w:t xml:space="preserve">Trabajos de expansión o reposición en la red: </w:t>
      </w:r>
      <w:r w:rsidRPr="004E6CFC">
        <w:t>son las actividades necesarias para la entrada en operación comercial de un generador, de los activos que componen los proyectos de expansión y demás que hagan parte del plan de inversiones que la CREG le haya aprobado al OR o de las expansiones del STR que se ejecuten a través de los procesos de selección que realiza la UPME.</w:t>
      </w:r>
    </w:p>
    <w:p w:rsidR="00F574BA" w:rsidRPr="004E6CFC" w:rsidRDefault="00F574BA" w:rsidP="00F574BA">
      <w:pPr>
        <w:rPr>
          <w:b/>
        </w:rPr>
      </w:pPr>
      <w:r w:rsidRPr="004E6CFC">
        <w:rPr>
          <w:b/>
        </w:rPr>
        <w:lastRenderedPageBreak/>
        <w:t>Transmisor regional, TR:</w:t>
      </w:r>
      <w:r w:rsidRPr="004E6CFC">
        <w:rPr>
          <w:lang w:val="es-CO"/>
        </w:rPr>
        <w:t xml:space="preserve"> persona jurídica que opera y transporta energía eléctrica en un STR o que ha constituido una empresa cuyo objeto es el desarrollo de dichas actividades. En el ejercicio de su actividad, es responsable por la calidad del sistema que opera, así como las demás normas asociadas con la distribución de energía eléctrica en un STR.</w:t>
      </w:r>
    </w:p>
    <w:p w:rsidR="00F574BA" w:rsidRPr="004E6CFC" w:rsidRDefault="00F574BA" w:rsidP="00F574BA">
      <w:r w:rsidRPr="004E6CFC">
        <w:rPr>
          <w:b/>
        </w:rPr>
        <w:t>Unidad constructiva, UC:</w:t>
      </w:r>
      <w:r w:rsidRPr="004E6CFC">
        <w:t xml:space="preserve"> conjunto de elementos que conforman una unidad típica de un sistema eléctrico, destinada a la conexión de otros elementos de una red, al transporte o a la transformación de la energía eléctrica o a la supervisión o al control de la operación de activos de los STR o SDL.</w:t>
      </w:r>
    </w:p>
    <w:p w:rsidR="00F574BA" w:rsidRPr="004E6CFC" w:rsidRDefault="00F574BA" w:rsidP="00F574BA">
      <w:r w:rsidRPr="004E6CFC">
        <w:rPr>
          <w:b/>
        </w:rPr>
        <w:t xml:space="preserve">Unidad constructiva especial: </w:t>
      </w:r>
      <w:r w:rsidRPr="004E6CFC">
        <w:t>es aquella que contiene elementos con características técnicas que no la hace asimilable a las UC definidas.</w:t>
      </w:r>
    </w:p>
    <w:p w:rsidR="00F574BA" w:rsidRPr="004E6CFC" w:rsidRDefault="00F574BA" w:rsidP="00F574BA">
      <w:r w:rsidRPr="004E6CFC">
        <w:rPr>
          <w:b/>
          <w:bCs/>
        </w:rPr>
        <w:t>Usuario:</w:t>
      </w:r>
      <w:r w:rsidRPr="004E6CFC">
        <w:t xml:space="preserve"> persona natural o jurídica que se beneficia con la prestación de un servicio público, bien como propietario del inmueble en donde éste se presta, o como receptor directo del servicio. A este último usuario se le denomina también consumidor y, para los efectos de esta resolución, se le denominará usuario final.</w:t>
      </w:r>
    </w:p>
    <w:p w:rsidR="00F574BA" w:rsidRPr="004E6CFC" w:rsidRDefault="00F574BA" w:rsidP="00F574BA">
      <w:pPr>
        <w:shd w:val="clear" w:color="auto" w:fill="FFFFFF"/>
      </w:pPr>
      <w:r w:rsidRPr="004E6CFC">
        <w:rPr>
          <w:b/>
        </w:rPr>
        <w:t>Usuario conectado directamente al STN:</w:t>
      </w:r>
      <w:r w:rsidRPr="004E6CFC">
        <w:t xml:space="preserve"> es el usuario final del servicio de energía eléctrica conectado al STN mediante equipos destinados en un 100% a su uso exclusivo. </w:t>
      </w:r>
    </w:p>
    <w:p w:rsidR="00F574BA" w:rsidRPr="004E6CFC" w:rsidRDefault="00F574BA" w:rsidP="00F574BA">
      <w:pPr>
        <w:shd w:val="clear" w:color="auto" w:fill="FFFFFF"/>
      </w:pPr>
      <w:r w:rsidRPr="004E6CFC">
        <w:t>Se preservan las situaciones particulares en las que un usuario a la fecha de entrada en vigencia de la Resolución CREG 097 de 2008 estaba reconocido como usuario conectado directamente al STN.</w:t>
      </w:r>
    </w:p>
    <w:p w:rsidR="00F574BA" w:rsidRPr="004E6CFC" w:rsidRDefault="00F574BA" w:rsidP="00F574BA">
      <w:r w:rsidRPr="004E6CFC">
        <w:t>Un usuario conectado directamente al STN pertenece al mercado de comercialización del OR que atiende la mayor cantidad de usuarios en el municipio donde se encuentre ubicado. Cuando el usuario conectado directamente al STN está ubicado en un municipio donde no existan usuarios conectados a ningún OR del SIN, pertenecerá al mercado de comercialización del OR que atienda la mayor cantidad de usuarios en el departamento donde se encuentre ubicado.</w:t>
      </w:r>
    </w:p>
    <w:p w:rsidR="00F574BA" w:rsidRPr="005D4F76" w:rsidRDefault="00F574BA" w:rsidP="00F574BA">
      <w:pPr>
        <w:shd w:val="clear" w:color="auto" w:fill="FFFFFF"/>
        <w:rPr>
          <w:b/>
        </w:rPr>
      </w:pPr>
      <w:r w:rsidRPr="004E6CFC">
        <w:rPr>
          <w:b/>
        </w:rPr>
        <w:t xml:space="preserve">Usuario del STR o SDL: </w:t>
      </w:r>
      <w:r w:rsidRPr="004E6CFC">
        <w:t>es el usuario final del servicio de energía eléctrica, OR, generador, co</w:t>
      </w:r>
      <w:r w:rsidRPr="005D4F76">
        <w:t>generador o autogenerador conectado al STR o al SDL.</w:t>
      </w:r>
    </w:p>
    <w:p w:rsidR="00F574BA" w:rsidRPr="004E6CFC" w:rsidRDefault="00F574BA" w:rsidP="00F574BA">
      <w:pPr>
        <w:pStyle w:val="Artculo"/>
      </w:pPr>
      <w:r w:rsidRPr="005D4F76">
        <w:t xml:space="preserve">Criterios generales. </w:t>
      </w:r>
      <w:r w:rsidRPr="005D4F76">
        <w:rPr>
          <w:b w:val="0"/>
        </w:rPr>
        <w:t>La metodología que se aplicará para el cálculo de los ingresos y cargos por uso de los STR o SDL tendrá en cuenta los siguientes criterios gene</w:t>
      </w:r>
      <w:r w:rsidRPr="004E6CFC">
        <w:rPr>
          <w:b w:val="0"/>
        </w:rPr>
        <w:t>rales:</w:t>
      </w:r>
    </w:p>
    <w:p w:rsidR="00F574BA" w:rsidRPr="004E6CFC" w:rsidRDefault="00F574BA" w:rsidP="00F574BA">
      <w:pPr>
        <w:pStyle w:val="Prrafodelista"/>
        <w:numPr>
          <w:ilvl w:val="0"/>
          <w:numId w:val="18"/>
        </w:numPr>
      </w:pPr>
      <w:r w:rsidRPr="004E6CFC">
        <w:t xml:space="preserve">En virtud del principio de integralidad de la tarifa establecido en la Ley, los </w:t>
      </w:r>
      <w:r>
        <w:t xml:space="preserve">ingresos y </w:t>
      </w:r>
      <w:r w:rsidRPr="004E6CFC">
        <w:t>cargos de los SDL variarán según los índices de calidad del servicio prestado.</w:t>
      </w:r>
    </w:p>
    <w:p w:rsidR="00F574BA" w:rsidRPr="004E6CFC" w:rsidRDefault="00F574BA" w:rsidP="00F574BA">
      <w:pPr>
        <w:pStyle w:val="Prrafodelista"/>
        <w:numPr>
          <w:ilvl w:val="0"/>
          <w:numId w:val="18"/>
        </w:numPr>
      </w:pPr>
      <w:bookmarkStart w:id="12" w:name="_Ref195412735"/>
      <w:r w:rsidRPr="004E6CFC">
        <w:t xml:space="preserve">La base regulatoria de activos de los niveles de tensión 4, 3 y 2, correspondiente a los activos en operación a diciembre de 2007, se determinará a partir del valor implícito en los cargos de distribución vigentes y para los activos que entraron en operación a partir de enero de 2008 a la fecha de corte se determinará con base en los inventarios. </w:t>
      </w:r>
    </w:p>
    <w:p w:rsidR="00F574BA" w:rsidRPr="004E6CFC" w:rsidRDefault="00F574BA" w:rsidP="00F574BA">
      <w:pPr>
        <w:pStyle w:val="Prrafodelista"/>
        <w:numPr>
          <w:ilvl w:val="0"/>
          <w:numId w:val="18"/>
        </w:numPr>
      </w:pPr>
      <w:r w:rsidRPr="004E6CFC">
        <w:t xml:space="preserve">La base regulatoria de activos del nivel de tensión 1, correspondiente a los activos en operación a diciembre de 2007, se determinará a partir del valor </w:t>
      </w:r>
      <w:r w:rsidRPr="004E6CFC">
        <w:lastRenderedPageBreak/>
        <w:t xml:space="preserve">implícito en los cargos de distribución vigentes y para los activos que entraron en operación a partir de enero de 2008 a la fecha de corte se empleará el costo medio por </w:t>
      </w:r>
      <w:r>
        <w:t xml:space="preserve">transformador y </w:t>
      </w:r>
      <w:r w:rsidRPr="004E6CFC">
        <w:t>circuito de cada OR.</w:t>
      </w:r>
    </w:p>
    <w:p w:rsidR="00F574BA" w:rsidRPr="004E6CFC" w:rsidRDefault="00F574BA" w:rsidP="00F574BA">
      <w:pPr>
        <w:pStyle w:val="Prrafodelista"/>
        <w:numPr>
          <w:ilvl w:val="0"/>
          <w:numId w:val="18"/>
        </w:numPr>
      </w:pPr>
      <w:r w:rsidRPr="004E6CFC">
        <w:t xml:space="preserve">Para la determinación de la base regulatoria de activos inicial se podrá incluir el valor de activos en operación a diciembre de 2007 que no fueron reportados y no se encuentran en el valor implícito reconocido en los cargos de distribución vigentes. </w:t>
      </w:r>
    </w:p>
    <w:p w:rsidR="00F574BA" w:rsidRPr="004E6CFC" w:rsidRDefault="00F574BA" w:rsidP="00F574BA">
      <w:pPr>
        <w:pStyle w:val="Prrafodelista"/>
        <w:numPr>
          <w:ilvl w:val="0"/>
          <w:numId w:val="18"/>
        </w:numPr>
      </w:pPr>
      <w:r w:rsidRPr="004E6CFC">
        <w:t>Para la determinación de la base regulatoria de activos inicial se excluirá el valor de los activos que estén fuera de operación a la fecha de corte y que se encuentre en el valor implícito reconocido en los cargos de distribución vigentes, es responsabilidad del OR reportar esta información dentro de la solicitud de ingresos.</w:t>
      </w:r>
    </w:p>
    <w:p w:rsidR="00F574BA" w:rsidRPr="004E6CFC" w:rsidRDefault="00F574BA" w:rsidP="00F574BA">
      <w:pPr>
        <w:pStyle w:val="Prrafodelista"/>
        <w:numPr>
          <w:ilvl w:val="0"/>
          <w:numId w:val="18"/>
        </w:numPr>
      </w:pPr>
      <w:r w:rsidRPr="004E6CFC">
        <w:t>Los costos anuales de los STR se determinarán a partir de los activos de uso pertenecientes al nivel de tensión 4, de las conexiones al STN de los OR y los activos de uso aprobados en los planes de inversión.</w:t>
      </w:r>
    </w:p>
    <w:p w:rsidR="00F574BA" w:rsidRPr="004E6CFC" w:rsidRDefault="00F574BA" w:rsidP="00F574BA">
      <w:pPr>
        <w:pStyle w:val="Prrafodelista"/>
        <w:numPr>
          <w:ilvl w:val="0"/>
          <w:numId w:val="18"/>
        </w:numPr>
      </w:pPr>
      <w:r w:rsidRPr="004E6CFC">
        <w:t>Los costos anuales de los SDL se determinarán a partir de los activos de uso pertenecientes a los niveles de tensión 3, 2 y 1, los activos de uso aprobados en los planes de inversión y los pagos de cargos por uso entre OR.</w:t>
      </w:r>
    </w:p>
    <w:p w:rsidR="00F574BA" w:rsidRDefault="00F574BA" w:rsidP="00F574BA">
      <w:pPr>
        <w:pStyle w:val="Prrafodelista"/>
        <w:numPr>
          <w:ilvl w:val="0"/>
          <w:numId w:val="18"/>
        </w:numPr>
      </w:pPr>
      <w:r>
        <w:t xml:space="preserve">Las unidades constructivas del nivel de tensión 4 de los proyectos que a la fecha de entrada en vigencia de esta resolución se encuentren en construcción y que tengan concepto favorable de la UPME, se valorarán con las UC del capítulo 15 de esta resolución y deben estar incluidas en el plan de inversión. </w:t>
      </w:r>
    </w:p>
    <w:p w:rsidR="00F574BA" w:rsidRPr="004E6CFC" w:rsidRDefault="00F574BA" w:rsidP="00F574BA">
      <w:pPr>
        <w:pStyle w:val="Prrafodelista"/>
        <w:numPr>
          <w:ilvl w:val="0"/>
          <w:numId w:val="18"/>
        </w:numPr>
      </w:pPr>
      <w:r w:rsidRPr="004E6CFC">
        <w:t>Los OR podrán presentar UC especiales para lo cual deberán suministrar la información correspondiente dentro de la respectiva actuación administrativa.</w:t>
      </w:r>
    </w:p>
    <w:p w:rsidR="00F574BA" w:rsidRPr="004E6CFC" w:rsidRDefault="00F574BA" w:rsidP="00F574BA">
      <w:pPr>
        <w:pStyle w:val="Prrafodelista"/>
        <w:numPr>
          <w:ilvl w:val="0"/>
          <w:numId w:val="18"/>
        </w:numPr>
      </w:pPr>
      <w:r w:rsidRPr="004E6CFC">
        <w:t>La elaboración del plan de inversiones y la identificación, priorización y ejecución de las inversiones que lo conforman continuará siendo de entera responsabilidad del OR.</w:t>
      </w:r>
    </w:p>
    <w:p w:rsidR="00F574BA" w:rsidRPr="004E6CFC" w:rsidRDefault="00F574BA" w:rsidP="00F574BA">
      <w:pPr>
        <w:pStyle w:val="Prrafodelista"/>
        <w:numPr>
          <w:ilvl w:val="0"/>
          <w:numId w:val="18"/>
        </w:numPr>
      </w:pPr>
      <w:r w:rsidRPr="004E6CFC">
        <w:t xml:space="preserve">Los activos a incorporar en el sistema y relacionados en los planes de inversión deben ser activos nuevos. No se considerarán </w:t>
      </w:r>
      <w:r>
        <w:t xml:space="preserve">los </w:t>
      </w:r>
      <w:r w:rsidRPr="004E6CFC">
        <w:t xml:space="preserve">activos retirados de otros sistemas o </w:t>
      </w:r>
      <w:r>
        <w:t xml:space="preserve">los </w:t>
      </w:r>
      <w:r w:rsidRPr="004E6CFC">
        <w:t>trasladados dentro del mismo sistema</w:t>
      </w:r>
      <w:r>
        <w:t>.</w:t>
      </w:r>
    </w:p>
    <w:p w:rsidR="00F574BA" w:rsidRPr="004E6CFC" w:rsidRDefault="00F574BA" w:rsidP="00F574BA">
      <w:pPr>
        <w:pStyle w:val="Prrafodelista"/>
        <w:numPr>
          <w:ilvl w:val="0"/>
          <w:numId w:val="18"/>
        </w:numPr>
      </w:pPr>
      <w:r w:rsidRPr="004E6CFC">
        <w:t>La remuneración de los planes de gestión de pérdidas se efectuará con base en los costos eficientes de reducción y mantenimiento de pérdidas y se mantendrá siempre y cuando el OR cumpla con las metas aprobadas.</w:t>
      </w:r>
    </w:p>
    <w:p w:rsidR="00F574BA" w:rsidRPr="004E6CFC" w:rsidRDefault="00F574BA" w:rsidP="00F574BA">
      <w:pPr>
        <w:pStyle w:val="Prrafodelista"/>
        <w:numPr>
          <w:ilvl w:val="0"/>
          <w:numId w:val="18"/>
        </w:numPr>
      </w:pPr>
      <w:r w:rsidRPr="004E6CFC">
        <w:t>Para compartir las mejoras de productividad de la red con los usuarios, los cargos de nivel de tensión 1 se disminuirán teniendo en cuenta los ingresos recibidos por el OR por la prestación de servicios distintos al de distribución de electricidad.</w:t>
      </w:r>
    </w:p>
    <w:p w:rsidR="00F574BA" w:rsidRPr="004E6CFC" w:rsidRDefault="00F574BA" w:rsidP="00F574BA">
      <w:pPr>
        <w:pStyle w:val="Prrafodelista"/>
        <w:numPr>
          <w:ilvl w:val="0"/>
          <w:numId w:val="18"/>
        </w:numPr>
      </w:pPr>
      <w:r w:rsidRPr="004E6CFC">
        <w:t>Los usuarios y las personas naturales o jurídicas que sean propietarios de activos de nivel de tensión 1 pagarán cargos de este nivel de tensión, descontando la parte del cargo que corresponda a la inversión.</w:t>
      </w:r>
    </w:p>
    <w:p w:rsidR="00F574BA" w:rsidRPr="004E6CFC" w:rsidRDefault="00F574BA" w:rsidP="00F574BA">
      <w:pPr>
        <w:pStyle w:val="Prrafodelista"/>
        <w:numPr>
          <w:ilvl w:val="0"/>
          <w:numId w:val="18"/>
        </w:numPr>
      </w:pPr>
      <w:r w:rsidRPr="004E6CFC">
        <w:lastRenderedPageBreak/>
        <w:t>Los usuarios conectados en el nivel de tensión 1 de barrios subnormales pagarán cargos del nivel de tensión donde se conecta el transformador de distribución a la red.</w:t>
      </w:r>
    </w:p>
    <w:p w:rsidR="00F574BA" w:rsidRPr="004E6CFC" w:rsidRDefault="00F574BA" w:rsidP="00F574BA">
      <w:pPr>
        <w:pStyle w:val="Prrafodelista"/>
        <w:numPr>
          <w:ilvl w:val="0"/>
          <w:numId w:val="18"/>
        </w:numPr>
      </w:pPr>
      <w:r w:rsidRPr="004E6CFC">
        <w:t>Los cargos por uso resultantes de aplicar la metodología contenida en esta resolución remunerarán el uso de la infraestructura y los gastos de AOM necesarios para llevar la energía eléctrica desde los puntos de conexión al STN hasta el punto de conexión de los usuarios finales a los STR o SDL. Estos cargos por uso no incluyen los costos de conexión del usuario al respectivo sistema.</w:t>
      </w:r>
    </w:p>
    <w:p w:rsidR="00F574BA" w:rsidRPr="004E6CFC" w:rsidRDefault="00F574BA" w:rsidP="00F574BA">
      <w:pPr>
        <w:pStyle w:val="Prrafodelista"/>
        <w:numPr>
          <w:ilvl w:val="0"/>
          <w:numId w:val="18"/>
        </w:numPr>
      </w:pPr>
      <w:r w:rsidRPr="004E6CFC">
        <w:t>La responsabilidad por el AOM y la reposición de los activos de conexión es del usuario que se conecta al sistema. Se exceptúa el AOM de los activos de conexión del nivel de tensión 1 con capacidades iguales o inferiores a 15 kVA y con equipo de medida en el nivel de tensión 1, el cual debe ser realizado por el OR sin que se requieran pagos adicionales a los del AOM de nivel de tensión 1.</w:t>
      </w:r>
    </w:p>
    <w:p w:rsidR="00F574BA" w:rsidRPr="004E6CFC" w:rsidRDefault="00F574BA" w:rsidP="00F574BA">
      <w:pPr>
        <w:pStyle w:val="Prrafodelista"/>
        <w:numPr>
          <w:ilvl w:val="0"/>
          <w:numId w:val="18"/>
        </w:numPr>
      </w:pPr>
      <w:r w:rsidRPr="004E6CFC">
        <w:t>Un OR será remunerado mediante cargos por uso por la totalidad de los activos de uso que opera y mantiene en desarrollo de la prestación del servicio público domiciliario de energía eléctrica, independientemente de que sea o no propietario de los mismos y sin perjuicio de la remuneración que deberá pagar al propietario por su inversión, con excepción de los bienes o derechos que no deban incluirse en el cálculo de las tarifas en los términos del artículo 87 numeral 87.9 de la Ley 142 de 1994, en la forma en que quedó modificado por el artículo 99 de la Ley 1450 de 2011. Es obligación de los OR reportar los activos que no deben incluirse en la tarifa.</w:t>
      </w:r>
    </w:p>
    <w:p w:rsidR="00F574BA" w:rsidRPr="004E6CFC" w:rsidRDefault="00F574BA" w:rsidP="00F574BA">
      <w:pPr>
        <w:pStyle w:val="Prrafodelista"/>
        <w:numPr>
          <w:ilvl w:val="0"/>
          <w:numId w:val="18"/>
        </w:numPr>
      </w:pPr>
      <w:r w:rsidRPr="004E6CFC">
        <w:t>Los comercializadores facturarán a sus usuarios regulados y no regulados los cargos por uso dependiendo del nivel de tensión al que estén conectados estos usuarios.</w:t>
      </w:r>
    </w:p>
    <w:p w:rsidR="00F574BA" w:rsidRPr="004E6CFC" w:rsidRDefault="00F574BA" w:rsidP="00F574BA">
      <w:pPr>
        <w:pStyle w:val="Prrafodelista"/>
        <w:numPr>
          <w:ilvl w:val="0"/>
          <w:numId w:val="18"/>
        </w:numPr>
        <w:ind w:left="357" w:hanging="357"/>
      </w:pPr>
      <w:r w:rsidRPr="004E6CFC">
        <w:t>Cualquier usuario del STR o SDL podrá contratar la disponibilidad de capacidad de respaldo de la red con el OR del sistema al cual se conecta, siempre y cuando exista la posibilidad técnica de ofrecerla.</w:t>
      </w:r>
    </w:p>
    <w:p w:rsidR="00F574BA" w:rsidRPr="004E6CFC" w:rsidRDefault="00F574BA" w:rsidP="00F574BA">
      <w:pPr>
        <w:pStyle w:val="Prrafodelista"/>
        <w:numPr>
          <w:ilvl w:val="0"/>
          <w:numId w:val="18"/>
        </w:numPr>
        <w:ind w:left="357" w:hanging="357"/>
      </w:pPr>
      <w:r w:rsidRPr="004E6CFC">
        <w:t xml:space="preserve">Los activos dedicados exclusivamente a la prestación del servicio de alumbrado público no hacen parte de los activos que se remuneran vía cargos por uso. </w:t>
      </w:r>
    </w:p>
    <w:p w:rsidR="00F574BA" w:rsidRPr="004E6CFC" w:rsidRDefault="00F574BA" w:rsidP="00F574BA">
      <w:pPr>
        <w:pStyle w:val="Prrafodelista"/>
        <w:numPr>
          <w:ilvl w:val="0"/>
          <w:numId w:val="18"/>
        </w:numPr>
        <w:ind w:left="357" w:hanging="357"/>
      </w:pPr>
      <w:r w:rsidRPr="004E6CFC">
        <w:t>Los comercializadores aplicarán cargos por uso del STR y SDL a la demanda asociada con la prestación del servicio de alumbrado público del nivel de tensión al cual se conecten las redes dedicadas exclusivamente a la prestación de este servicio. Cuando no existan redes exclusivas para el alumbrado público, el comercializador aplicará sobre las demandas respectivas cargos por uso del nivel de tensión 2. Si el alumbrado público posee medida de energía en nivel de tensión 1 y el transformador no es de propiedad del OR, el comercializador aplicará cargos por uso de este nivel, descontando la parte del cargo que corresponda a la inversión.</w:t>
      </w:r>
    </w:p>
    <w:p w:rsidR="00F574BA" w:rsidRPr="004E6CFC" w:rsidRDefault="00F574BA" w:rsidP="00F574BA">
      <w:pPr>
        <w:pStyle w:val="Prrafodelista"/>
        <w:numPr>
          <w:ilvl w:val="0"/>
          <w:numId w:val="18"/>
        </w:numPr>
        <w:ind w:left="357" w:hanging="357"/>
      </w:pPr>
      <w:r w:rsidRPr="004E6CFC">
        <w:t xml:space="preserve">Los activos de uso de los niveles de tensión 3 y 4 que se encuentren dentro del alcance del sistema de gestión de activos podrán tener una remuneración adicional una vez cumplida su vida útil y la recuperación de capital se haya </w:t>
      </w:r>
      <w:r w:rsidRPr="004E6CFC">
        <w:lastRenderedPageBreak/>
        <w:t xml:space="preserve">completado en los términos de la presente resolución. La remuneración adicional podrá darse hasta por un periodo </w:t>
      </w:r>
      <w:r>
        <w:t>de cinco (5) años</w:t>
      </w:r>
      <w:r w:rsidRPr="004E6CFC">
        <w:t>, siempre y cuando la operación de estos activos no afecte la seguridad, confiabilidad y calidad en la prestación del servicio. Se exceptúan los activos de comunicaciones y control de estos niveles de tensión, así como los activos correspondientes a centros de control.</w:t>
      </w:r>
    </w:p>
    <w:p w:rsidR="00F574BA" w:rsidRPr="001C0701" w:rsidRDefault="00F574BA" w:rsidP="00F574BA">
      <w:pPr>
        <w:pStyle w:val="Prrafodelista"/>
        <w:numPr>
          <w:ilvl w:val="0"/>
          <w:numId w:val="18"/>
        </w:numPr>
      </w:pPr>
      <w:r w:rsidRPr="004E6CFC">
        <w:t>Los ingresos que perciben los OR por concepto de contratos de capacidad de respaldo, MUNTS, de compartición de i</w:t>
      </w:r>
      <w:r w:rsidRPr="001C0701">
        <w:t>nfraestructura y de energía reactiva serán tenidos en cuenta en la liquidación del ingreso correspondiente.</w:t>
      </w:r>
    </w:p>
    <w:p w:rsidR="00F574BA" w:rsidRPr="004E6CFC" w:rsidRDefault="00F574BA" w:rsidP="00F574BA">
      <w:pPr>
        <w:pStyle w:val="Artculo"/>
        <w:rPr>
          <w:b w:val="0"/>
        </w:rPr>
      </w:pPr>
      <w:bookmarkStart w:id="13" w:name="_Ref209833384"/>
      <w:bookmarkStart w:id="14" w:name="_Ref476757639"/>
      <w:r w:rsidRPr="001C0701">
        <w:t>Solicitud de aprobación de ingresos.</w:t>
      </w:r>
      <w:bookmarkEnd w:id="12"/>
      <w:bookmarkEnd w:id="13"/>
      <w:r w:rsidRPr="001C0701">
        <w:rPr>
          <w:b w:val="0"/>
        </w:rPr>
        <w:t xml:space="preserve"> Los OR deberán someter a aprobación de la CREG la solicitud de ingresos para el periodo tarifario dentro de los noventa (90) días calendario siguientes a la fecha de publicación de los formatos para el reporte de información de</w:t>
      </w:r>
      <w:r>
        <w:rPr>
          <w:b w:val="0"/>
        </w:rPr>
        <w:t xml:space="preserve"> la solicitud</w:t>
      </w:r>
      <w:r w:rsidRPr="004E6CFC">
        <w:rPr>
          <w:b w:val="0"/>
        </w:rPr>
        <w:t>.</w:t>
      </w:r>
      <w:bookmarkEnd w:id="14"/>
    </w:p>
    <w:p w:rsidR="00F574BA" w:rsidRPr="004E6CFC" w:rsidRDefault="00F574BA" w:rsidP="00F574BA">
      <w:r w:rsidRPr="004E6CFC">
        <w:t>La solicitud deberá ajustarse al procedimiento, contenido y formatos que la Comisi</w:t>
      </w:r>
      <w:r>
        <w:t>ó</w:t>
      </w:r>
      <w:r w:rsidRPr="004E6CFC">
        <w:t xml:space="preserve">n publique </w:t>
      </w:r>
      <w:r w:rsidR="00ED0427" w:rsidRPr="004E6CFC">
        <w:t>vía</w:t>
      </w:r>
      <w:r w:rsidRPr="004E6CFC">
        <w:t xml:space="preserve"> circular para tal fin</w:t>
      </w:r>
      <w:r>
        <w:t>.</w:t>
      </w:r>
    </w:p>
    <w:p w:rsidR="00F574BA" w:rsidRPr="004E6CFC" w:rsidRDefault="00F574BA" w:rsidP="00F574BA">
      <w:pPr>
        <w:pStyle w:val="Continuarlista"/>
        <w:spacing w:after="240"/>
        <w:ind w:left="0"/>
        <w:contextualSpacing w:val="0"/>
        <w:rPr>
          <w:b/>
        </w:rPr>
      </w:pPr>
      <w:bookmarkStart w:id="15" w:name="_Ref194754334"/>
      <w:r w:rsidRPr="004E6CFC">
        <w:rPr>
          <w:b/>
          <w:bCs/>
        </w:rPr>
        <w:t>Parágrafo 1.</w:t>
      </w:r>
      <w:r w:rsidRPr="004E6CFC">
        <w:t xml:space="preserve"> Cuando el OR no someta a aprobación de la CREG la solicitud de ingresos en el plazo previsto, la Comisión fijará </w:t>
      </w:r>
      <w:r>
        <w:t xml:space="preserve">la remuneración </w:t>
      </w:r>
      <w:r w:rsidRPr="004E6CFC">
        <w:t>con la información disponible sin perjuicio de las sanciones y demás medidas a que haya lugar. Estos cargos estarán vigentes hasta que el OR formule la respectiva solicitud y los nuevos le sean aprobados</w:t>
      </w:r>
      <w:r>
        <w:t>.</w:t>
      </w:r>
    </w:p>
    <w:p w:rsidR="00F574BA" w:rsidRPr="001C0701" w:rsidRDefault="00F574BA" w:rsidP="00F574BA">
      <w:pPr>
        <w:pStyle w:val="Continuarlista"/>
        <w:spacing w:after="240"/>
        <w:ind w:left="0"/>
        <w:contextualSpacing w:val="0"/>
      </w:pPr>
      <w:r w:rsidRPr="004E6CFC">
        <w:rPr>
          <w:b/>
        </w:rPr>
        <w:t>Parágrafo 2.</w:t>
      </w:r>
      <w:r w:rsidRPr="004E6CFC">
        <w:t xml:space="preserve"> Para las empresas resultantes de fusiones o desintegraciones la información base, según la antigüedad con que sea requerida en esta resolución, comprenderá la de las empresas que dieron lugar a la fusión o a la desintegració</w:t>
      </w:r>
      <w:r w:rsidRPr="001C0701">
        <w:t>n.</w:t>
      </w:r>
    </w:p>
    <w:p w:rsidR="00F574BA" w:rsidRPr="004E6CFC" w:rsidRDefault="00F574BA" w:rsidP="00F574BA">
      <w:pPr>
        <w:pStyle w:val="Artculo"/>
        <w:rPr>
          <w:b w:val="0"/>
        </w:rPr>
      </w:pPr>
      <w:bookmarkStart w:id="16" w:name="_Ref208046480"/>
      <w:r w:rsidRPr="001C0701">
        <w:t xml:space="preserve"> Activos puestos en operación después de la fecha de corte.  </w:t>
      </w:r>
      <w:r w:rsidRPr="001C0701">
        <w:rPr>
          <w:b w:val="0"/>
        </w:rPr>
        <w:t>Los activos puestos en operación después de la fecha de corte y antes de la entrada en vigencia</w:t>
      </w:r>
      <w:r w:rsidRPr="004E6CFC">
        <w:rPr>
          <w:b w:val="0"/>
        </w:rPr>
        <w:t xml:space="preserve"> de los ingresos aprobados se incorporarán en la base inicial de activos durante el primer año de aplicación de los ingresos aprobados. </w:t>
      </w:r>
    </w:p>
    <w:p w:rsidR="00F574BA" w:rsidRPr="004E6CFC" w:rsidRDefault="00F574BA" w:rsidP="00F574BA">
      <w:r w:rsidRPr="004E6CFC">
        <w:t xml:space="preserve">Estos activos se incluirán mediante un ajuste de la variable </w:t>
      </w:r>
      <w:r w:rsidRPr="004E6CFC">
        <w:rPr>
          <w:i/>
        </w:rPr>
        <w:t>CRIN</w:t>
      </w:r>
      <w:r w:rsidRPr="004E6CFC">
        <w:rPr>
          <w:i/>
          <w:vertAlign w:val="subscript"/>
        </w:rPr>
        <w:t>j,n,l</w:t>
      </w:r>
      <w:r w:rsidRPr="004E6CFC">
        <w:t xml:space="preserve"> y su valor se determinará según lo establecido en el numeral</w:t>
      </w:r>
      <w:r w:rsidR="00452705">
        <w:t xml:space="preserve"> </w:t>
      </w:r>
      <w:r w:rsidR="00452705">
        <w:fldChar w:fldCharType="begin"/>
      </w:r>
      <w:r w:rsidR="00452705">
        <w:instrText xml:space="preserve"> REF _Ref504639236 \r \h </w:instrText>
      </w:r>
      <w:r w:rsidR="00452705">
        <w:fldChar w:fldCharType="separate"/>
      </w:r>
      <w:r w:rsidR="00737178">
        <w:t>3.1.1.1.4</w:t>
      </w:r>
      <w:r w:rsidR="00452705">
        <w:fldChar w:fldCharType="end"/>
      </w:r>
      <w:r w:rsidRPr="004E6CFC">
        <w:t>.</w:t>
      </w:r>
    </w:p>
    <w:p w:rsidR="00F574BA" w:rsidRPr="001C0701" w:rsidRDefault="00F574BA" w:rsidP="00F574BA">
      <w:r w:rsidRPr="004E6CFC">
        <w:t>El OR deberá suministrar la información necesaria para determinar este valor dentro de l</w:t>
      </w:r>
      <w:r w:rsidRPr="001C0701">
        <w:t xml:space="preserve">os tres (3) meses siguientes al inicio de la aplicación de los nuevos cargos determinados con base en esta metodología. </w:t>
      </w:r>
    </w:p>
    <w:bookmarkEnd w:id="15"/>
    <w:bookmarkEnd w:id="16"/>
    <w:p w:rsidR="00F574BA" w:rsidRPr="001C0701" w:rsidRDefault="00F574BA" w:rsidP="00F574BA">
      <w:pPr>
        <w:pStyle w:val="Artculo"/>
        <w:rPr>
          <w:b w:val="0"/>
        </w:rPr>
      </w:pPr>
      <w:r>
        <w:t xml:space="preserve"> </w:t>
      </w:r>
      <w:r w:rsidRPr="001C0701">
        <w:t xml:space="preserve">Cálculo de los cargos de los STR y SDL. </w:t>
      </w:r>
      <w:r w:rsidRPr="001C0701">
        <w:rPr>
          <w:b w:val="0"/>
        </w:rPr>
        <w:t xml:space="preserve">Los cargos de los STR y SDL serán calculados por el LAC de acuerdo con lo establecido en los capítulos </w:t>
      </w:r>
      <w:r w:rsidRPr="001C0701">
        <w:rPr>
          <w:b w:val="0"/>
        </w:rPr>
        <w:fldChar w:fldCharType="begin"/>
      </w:r>
      <w:r w:rsidRPr="001C0701">
        <w:rPr>
          <w:b w:val="0"/>
        </w:rPr>
        <w:instrText xml:space="preserve"> REF _Ref403641580 \r \h\t  \* MERGEFORMAT </w:instrText>
      </w:r>
      <w:r w:rsidRPr="001C0701">
        <w:rPr>
          <w:b w:val="0"/>
        </w:rPr>
      </w:r>
      <w:r w:rsidRPr="001C0701">
        <w:rPr>
          <w:b w:val="0"/>
        </w:rPr>
        <w:fldChar w:fldCharType="separate"/>
      </w:r>
      <w:r w:rsidR="00737178">
        <w:rPr>
          <w:b w:val="0"/>
        </w:rPr>
        <w:t>1</w:t>
      </w:r>
      <w:r w:rsidRPr="001C0701">
        <w:rPr>
          <w:b w:val="0"/>
        </w:rPr>
        <w:fldChar w:fldCharType="end"/>
      </w:r>
      <w:r w:rsidRPr="001C0701">
        <w:rPr>
          <w:b w:val="0"/>
        </w:rPr>
        <w:t xml:space="preserve"> y </w:t>
      </w:r>
      <w:r w:rsidRPr="001C0701">
        <w:rPr>
          <w:b w:val="0"/>
        </w:rPr>
        <w:fldChar w:fldCharType="begin"/>
      </w:r>
      <w:r w:rsidRPr="001C0701">
        <w:rPr>
          <w:b w:val="0"/>
        </w:rPr>
        <w:instrText xml:space="preserve"> REF _Ref445131184 \r \h \t \* MERGEFORMAT </w:instrText>
      </w:r>
      <w:r w:rsidRPr="001C0701">
        <w:rPr>
          <w:b w:val="0"/>
        </w:rPr>
      </w:r>
      <w:r w:rsidRPr="001C0701">
        <w:rPr>
          <w:b w:val="0"/>
        </w:rPr>
        <w:fldChar w:fldCharType="separate"/>
      </w:r>
      <w:r w:rsidR="00737178">
        <w:rPr>
          <w:b w:val="0"/>
        </w:rPr>
        <w:t>9</w:t>
      </w:r>
      <w:r w:rsidRPr="001C0701">
        <w:rPr>
          <w:b w:val="0"/>
        </w:rPr>
        <w:fldChar w:fldCharType="end"/>
      </w:r>
      <w:r w:rsidRPr="001C0701">
        <w:rPr>
          <w:b w:val="0"/>
        </w:rPr>
        <w:t>.</w:t>
      </w:r>
    </w:p>
    <w:p w:rsidR="00F574BA" w:rsidRPr="004E6CFC" w:rsidRDefault="00F574BA" w:rsidP="00F574BA">
      <w:pPr>
        <w:pStyle w:val="Artculo"/>
        <w:rPr>
          <w:b w:val="0"/>
        </w:rPr>
      </w:pPr>
      <w:r>
        <w:t xml:space="preserve"> </w:t>
      </w:r>
      <w:r w:rsidRPr="001C0701">
        <w:t xml:space="preserve">Nuevos sistemas de distribución. </w:t>
      </w:r>
      <w:r w:rsidRPr="001C0701">
        <w:rPr>
          <w:b w:val="0"/>
        </w:rPr>
        <w:t>Quienes pretendan operar nuevos sistemas de distribución que se constituyan con posterioridad a la entrada en vigencia de la presente resolución, deberán obtener previamente la aprobación de cargos por parte de la CREG. Con la solicitud de aprobación de cargos por</w:t>
      </w:r>
      <w:r w:rsidRPr="004E6CFC">
        <w:rPr>
          <w:b w:val="0"/>
        </w:rPr>
        <w:t xml:space="preserve"> uso de STR o SDL, el agente deberá reportar el listado de municipios a atender.</w:t>
      </w:r>
    </w:p>
    <w:p w:rsidR="00F574BA" w:rsidRPr="004E6CFC" w:rsidRDefault="00F574BA" w:rsidP="00F43E69">
      <w:pPr>
        <w:pStyle w:val="Prrafodelista"/>
        <w:numPr>
          <w:ilvl w:val="0"/>
          <w:numId w:val="19"/>
        </w:numPr>
        <w:spacing w:before="120" w:after="120"/>
        <w:ind w:left="357" w:hanging="357"/>
      </w:pPr>
      <w:r w:rsidRPr="004E6CFC">
        <w:lastRenderedPageBreak/>
        <w:t xml:space="preserve">Cuando se trate de la conformación de nuevos sistemas a partir de la división de activos de un OR existente, los respectivos agentes deberán someter en forma previa, para la aprobación de la CREG, la información de que trata esta resolución para los nuevos sistemas que van a operar. </w:t>
      </w:r>
    </w:p>
    <w:p w:rsidR="00F574BA" w:rsidRPr="004E6CFC" w:rsidRDefault="00F574BA" w:rsidP="00F43E69">
      <w:pPr>
        <w:pStyle w:val="Prrafodelista"/>
        <w:numPr>
          <w:ilvl w:val="0"/>
          <w:numId w:val="19"/>
        </w:numPr>
        <w:spacing w:before="120" w:after="120"/>
        <w:ind w:left="357" w:hanging="357"/>
      </w:pPr>
      <w:r w:rsidRPr="004E6CFC">
        <w:t>Un OR que entra a reemplazar a otro OR que opera una red existente, que ya tiene cargos aprobados para un STR o SDL, no requiere una nueva aprobación de cargos por parte de la Comisión.</w:t>
      </w:r>
    </w:p>
    <w:p w:rsidR="00F574BA" w:rsidRPr="001C0701" w:rsidRDefault="00F574BA" w:rsidP="00F43E69">
      <w:pPr>
        <w:pStyle w:val="Prrafodelista"/>
        <w:numPr>
          <w:ilvl w:val="0"/>
          <w:numId w:val="19"/>
        </w:numPr>
        <w:spacing w:before="120" w:after="120"/>
        <w:ind w:left="357" w:hanging="357"/>
      </w:pPr>
      <w:r w:rsidRPr="004E6CFC">
        <w:t xml:space="preserve">Cuando se trate de la unificación de los sistemas de dos o más OR, los cargos para el nuevo sistema se calcularán: i) sumando los ingresos anuales de los niveles de </w:t>
      </w:r>
      <w:r w:rsidRPr="001C0701">
        <w:t xml:space="preserve">tensión, ii) ponderando las pérdidas de energía con base en la energía útil de cada nivel de tensión de los OR antes de la unificación. </w:t>
      </w:r>
    </w:p>
    <w:p w:rsidR="00F574BA" w:rsidRPr="001C0701" w:rsidRDefault="00F574BA" w:rsidP="00F574BA">
      <w:pPr>
        <w:pStyle w:val="Artculo"/>
        <w:rPr>
          <w:b w:val="0"/>
        </w:rPr>
      </w:pPr>
      <w:bookmarkStart w:id="17" w:name="_Ref195540464"/>
      <w:r w:rsidRPr="001C0701">
        <w:t xml:space="preserve"> Índices de pérdidas de energía y planes de gestión de pérdidas. </w:t>
      </w:r>
      <w:r w:rsidRPr="001C0701">
        <w:rPr>
          <w:b w:val="0"/>
        </w:rPr>
        <w:t xml:space="preserve">Las pérdidas de energía en cada nivel de tensión se establecerán con base en la información disponible de cada sistema, acorde con lo contenido en el capítulo </w:t>
      </w:r>
      <w:r w:rsidRPr="001C0701">
        <w:rPr>
          <w:b w:val="0"/>
        </w:rPr>
        <w:fldChar w:fldCharType="begin"/>
      </w:r>
      <w:r w:rsidRPr="001C0701">
        <w:rPr>
          <w:b w:val="0"/>
        </w:rPr>
        <w:instrText xml:space="preserve"> REF _Ref406568597 \r \h\t  \* MERGEFORMAT </w:instrText>
      </w:r>
      <w:r w:rsidRPr="001C0701">
        <w:rPr>
          <w:b w:val="0"/>
        </w:rPr>
      </w:r>
      <w:r w:rsidRPr="001C0701">
        <w:rPr>
          <w:b w:val="0"/>
        </w:rPr>
        <w:fldChar w:fldCharType="separate"/>
      </w:r>
      <w:r w:rsidR="00737178">
        <w:rPr>
          <w:b w:val="0"/>
        </w:rPr>
        <w:t>7</w:t>
      </w:r>
      <w:r w:rsidRPr="001C0701">
        <w:rPr>
          <w:b w:val="0"/>
        </w:rPr>
        <w:fldChar w:fldCharType="end"/>
      </w:r>
      <w:r w:rsidRPr="001C0701">
        <w:rPr>
          <w:b w:val="0"/>
        </w:rPr>
        <w:t xml:space="preserve"> y servirán para definir los índices de referencia al STN.</w:t>
      </w:r>
    </w:p>
    <w:p w:rsidR="00F574BA" w:rsidRPr="001C0701" w:rsidRDefault="00F574BA" w:rsidP="00F574BA">
      <w:r w:rsidRPr="001C0701">
        <w:t>Con base e</w:t>
      </w:r>
      <w:r w:rsidRPr="004E6CFC">
        <w:t xml:space="preserve">n </w:t>
      </w:r>
      <w:r w:rsidRPr="001C0701">
        <w:t>lo establecido en el Decreto 387 de 200</w:t>
      </w:r>
      <w:r w:rsidR="00944106">
        <w:t>7</w:t>
      </w:r>
      <w:r w:rsidRPr="001C0701">
        <w:t xml:space="preserve"> y 1937 de 2013, se definirán planes de gestión de pérdidas acorde con lo dispuesto en el capítulo </w:t>
      </w:r>
      <w:r w:rsidRPr="001C0701">
        <w:fldChar w:fldCharType="begin"/>
      </w:r>
      <w:r w:rsidRPr="001C0701">
        <w:instrText xml:space="preserve"> REF _Ref406568597 \r \h\t \* MERGEFORMAT </w:instrText>
      </w:r>
      <w:r w:rsidRPr="001C0701">
        <w:fldChar w:fldCharType="separate"/>
      </w:r>
      <w:r w:rsidR="00737178">
        <w:t>7</w:t>
      </w:r>
      <w:r w:rsidRPr="001C0701">
        <w:fldChar w:fldCharType="end"/>
      </w:r>
      <w:r w:rsidRPr="001C0701">
        <w:t>.</w:t>
      </w:r>
    </w:p>
    <w:bookmarkEnd w:id="17"/>
    <w:p w:rsidR="00F574BA" w:rsidRPr="004E6CFC" w:rsidRDefault="00F574BA" w:rsidP="00F574BA">
      <w:pPr>
        <w:pStyle w:val="Artculo"/>
        <w:rPr>
          <w:b w:val="0"/>
        </w:rPr>
      </w:pPr>
      <w:r w:rsidRPr="001C0701">
        <w:t xml:space="preserve">Calidad del servicio de distribución. </w:t>
      </w:r>
      <w:r w:rsidRPr="001C0701">
        <w:rPr>
          <w:b w:val="0"/>
        </w:rPr>
        <w:t>La calidad del servicio del STR se determinará a partir de la información recolectada por el CND sobre la duración de las indisponibilidades de los activos de cada STR. La remuneración que reciben l</w:t>
      </w:r>
      <w:r w:rsidRPr="004E6CFC">
        <w:rPr>
          <w:b w:val="0"/>
        </w:rPr>
        <w:t xml:space="preserve">os OR, responsables de tales activos, se disminuirá cuando se incumplan las metas y las exigencias señaladas en el capítulo </w:t>
      </w:r>
      <w:r w:rsidRPr="004E6CFC">
        <w:rPr>
          <w:b w:val="0"/>
        </w:rPr>
        <w:fldChar w:fldCharType="begin"/>
      </w:r>
      <w:r w:rsidRPr="004E6CFC">
        <w:rPr>
          <w:b w:val="0"/>
        </w:rPr>
        <w:instrText xml:space="preserve"> REF _Ref460399206 \r \h\t  \* MERGEFORMAT </w:instrText>
      </w:r>
      <w:r w:rsidRPr="004E6CFC">
        <w:rPr>
          <w:b w:val="0"/>
        </w:rPr>
      </w:r>
      <w:r w:rsidRPr="004E6CFC">
        <w:rPr>
          <w:b w:val="0"/>
        </w:rPr>
        <w:fldChar w:fldCharType="separate"/>
      </w:r>
      <w:r w:rsidR="00737178">
        <w:rPr>
          <w:b w:val="0"/>
        </w:rPr>
        <w:t>5</w:t>
      </w:r>
      <w:r w:rsidRPr="004E6CFC">
        <w:rPr>
          <w:b w:val="0"/>
        </w:rPr>
        <w:fldChar w:fldCharType="end"/>
      </w:r>
      <w:r w:rsidRPr="004E6CFC">
        <w:rPr>
          <w:b w:val="0"/>
        </w:rPr>
        <w:t>.</w:t>
      </w:r>
    </w:p>
    <w:p w:rsidR="00F574BA" w:rsidRPr="001C0701" w:rsidRDefault="00F574BA" w:rsidP="00F574BA">
      <w:r w:rsidRPr="004E6CFC">
        <w:t xml:space="preserve">Para los SDL la calidad del servicio de distribución prestado por un OR se evaluará anualmente en términos de la calidad media brindada a los usuarios conectados a estos niveles de tensión, comparándola con las metas establecidas para cada OR.  En función de las mejoras o desmejoras en la calidad media del servicio prestado respecto de las metas establecidas, el OR podrá obtener un aumento o disminución de sus ingresos y deberá compensar a los usuarios a quienes no les entregue una calidad mínima, definida por la CREG para cada grupo de calidad, con base </w:t>
      </w:r>
      <w:r w:rsidRPr="001C0701">
        <w:t>en la metodología descrita en el</w:t>
      </w:r>
      <w:r w:rsidRPr="001C0701">
        <w:rPr>
          <w:bCs/>
        </w:rPr>
        <w:t xml:space="preserve"> capítulo </w:t>
      </w:r>
      <w:r w:rsidRPr="001C0701">
        <w:fldChar w:fldCharType="begin"/>
      </w:r>
      <w:r w:rsidRPr="001C0701">
        <w:instrText xml:space="preserve"> REF _Ref460399206 \r \h\t  \* MERGEFORMAT </w:instrText>
      </w:r>
      <w:r w:rsidRPr="001C0701">
        <w:fldChar w:fldCharType="separate"/>
      </w:r>
      <w:r w:rsidR="00737178">
        <w:t>5</w:t>
      </w:r>
      <w:r w:rsidRPr="001C0701">
        <w:fldChar w:fldCharType="end"/>
      </w:r>
      <w:r w:rsidRPr="001C0701">
        <w:t>.</w:t>
      </w:r>
    </w:p>
    <w:p w:rsidR="00F574BA" w:rsidRPr="001C0701" w:rsidRDefault="00F574BA" w:rsidP="00F574BA">
      <w:pPr>
        <w:pStyle w:val="Artculo"/>
        <w:rPr>
          <w:b w:val="0"/>
        </w:rPr>
      </w:pPr>
      <w:bookmarkStart w:id="18" w:name="_Ref465865749"/>
      <w:r w:rsidRPr="001C0701">
        <w:t>Obligación de reportar eventos.</w:t>
      </w:r>
      <w:r w:rsidRPr="001C0701">
        <w:rPr>
          <w:b w:val="0"/>
        </w:rPr>
        <w:t xml:space="preserve"> Los agentes que presten servicios de distribución de energía eléctrica en los STR deberán informar al CND la ocurrencia de cualquier evento, dentro de los quince (15) minutos siguientes a la ocurrencia del mismo, y la finalización de la ejecución de maniobras dentro de los cinco (5) minutos siguientes.</w:t>
      </w:r>
      <w:bookmarkEnd w:id="18"/>
    </w:p>
    <w:p w:rsidR="00F574BA" w:rsidRPr="001C0701" w:rsidRDefault="00F574BA" w:rsidP="00F574BA">
      <w:pPr>
        <w:pStyle w:val="Artculo"/>
        <w:rPr>
          <w:b w:val="0"/>
        </w:rPr>
      </w:pPr>
      <w:bookmarkStart w:id="19" w:name="_Ref210144290"/>
      <w:r w:rsidRPr="001C0701">
        <w:t xml:space="preserve">Conformación de los STR y SDL. </w:t>
      </w:r>
      <w:r w:rsidRPr="001C0701">
        <w:rPr>
          <w:b w:val="0"/>
        </w:rPr>
        <w:t xml:space="preserve">Para efectos de la liquidación de cargos por uso se establecen los STR definidos en el capítulo </w:t>
      </w:r>
      <w:r w:rsidRPr="001C0701">
        <w:rPr>
          <w:b w:val="0"/>
        </w:rPr>
        <w:fldChar w:fldCharType="begin"/>
      </w:r>
      <w:r w:rsidRPr="001C0701">
        <w:rPr>
          <w:b w:val="0"/>
        </w:rPr>
        <w:instrText xml:space="preserve"> REF _Ref445131405 \r \h\t  \* MERGEFORMAT </w:instrText>
      </w:r>
      <w:r w:rsidRPr="001C0701">
        <w:rPr>
          <w:b w:val="0"/>
        </w:rPr>
      </w:r>
      <w:r w:rsidRPr="001C0701">
        <w:rPr>
          <w:b w:val="0"/>
        </w:rPr>
        <w:fldChar w:fldCharType="separate"/>
      </w:r>
      <w:r w:rsidR="00737178">
        <w:rPr>
          <w:b w:val="0"/>
        </w:rPr>
        <w:t>8</w:t>
      </w:r>
      <w:r w:rsidRPr="001C0701">
        <w:rPr>
          <w:b w:val="0"/>
        </w:rPr>
        <w:fldChar w:fldCharType="end"/>
      </w:r>
      <w:r w:rsidRPr="001C0701">
        <w:rPr>
          <w:b w:val="0"/>
        </w:rPr>
        <w:t>.</w:t>
      </w:r>
      <w:bookmarkEnd w:id="19"/>
    </w:p>
    <w:p w:rsidR="00F574BA" w:rsidRPr="001C0701" w:rsidRDefault="00F574BA" w:rsidP="00F574BA">
      <w:r w:rsidRPr="001C0701">
        <w:rPr>
          <w:b/>
        </w:rPr>
        <w:t>Parágrafo.</w:t>
      </w:r>
      <w:r w:rsidRPr="001C0701">
        <w:t xml:space="preserve"> Las redes de nuevos OR serán integradas a uno de los STR establecidos dependiendo de la ubicación de sus activos dentro de los referidos sistemas.</w:t>
      </w:r>
    </w:p>
    <w:p w:rsidR="00F574BA" w:rsidRPr="001C0701" w:rsidRDefault="00F574BA" w:rsidP="00F574BA">
      <w:pPr>
        <w:pStyle w:val="Artculo"/>
        <w:rPr>
          <w:b w:val="0"/>
        </w:rPr>
      </w:pPr>
      <w:r w:rsidRPr="001C0701">
        <w:t xml:space="preserve">Tratamiento de activos de conexión al STN. </w:t>
      </w:r>
      <w:r w:rsidRPr="001C0701">
        <w:rPr>
          <w:b w:val="0"/>
        </w:rPr>
        <w:t>Los activos de conexión del OR al STN que utilizan los OR serán considerados en el cálculo de los costos del STR y se remunerarán vía cargos por uso, sin perjuicio de los contratos de conexión que existan con el propietario de los activos.</w:t>
      </w:r>
    </w:p>
    <w:p w:rsidR="00F574BA" w:rsidRPr="001C0701" w:rsidRDefault="00F574BA" w:rsidP="00F574BA">
      <w:r w:rsidRPr="001C0701">
        <w:lastRenderedPageBreak/>
        <w:t>Los usuarios finales pagarán los cargos por uso del nivel de tensión donde se encuentren conectados sus activos de conexión.</w:t>
      </w:r>
    </w:p>
    <w:p w:rsidR="00F574BA" w:rsidRPr="001C0701" w:rsidRDefault="00F574BA" w:rsidP="00F574BA">
      <w:r w:rsidRPr="001C0701">
        <w:rPr>
          <w:b/>
          <w:bCs/>
        </w:rPr>
        <w:t>Parágrafo.</w:t>
      </w:r>
      <w:r w:rsidRPr="001C0701">
        <w:t xml:space="preserve"> Para las situaciones particulares y concretas consolidadas con anterioridad a la entrada en vigencia de la Resolución CREG 097 de 2008 en las que se tengan usuarios finales considerados como conectados directamente al STN no habrá lugar al cobro de cargos por uso de STR o SDL. Para este efecto, el LAC publicará y usará el listado de fronteras de usuarios conectados directamente al STN registrados en la oportunidad citada y excluirá dicha demanda de energía de participar en los cargos por uso de los niveles de tensión 3, 2 o 1.</w:t>
      </w:r>
    </w:p>
    <w:p w:rsidR="00F574BA" w:rsidRPr="004E6CFC" w:rsidRDefault="00F574BA" w:rsidP="00F574BA">
      <w:pPr>
        <w:pStyle w:val="Artculo"/>
      </w:pPr>
      <w:bookmarkStart w:id="20" w:name="_Ref210129032"/>
      <w:r w:rsidRPr="001C0701">
        <w:t xml:space="preserve">Migración de usuarios a niveles de tensión superiores. </w:t>
      </w:r>
      <w:r w:rsidRPr="001C0701">
        <w:rPr>
          <w:b w:val="0"/>
        </w:rPr>
        <w:t>En cualquier momento los usuarios de los SDL podrán solicitar al OR del sistema al cual se conectan, a través de su comercializador, el cambio de nivel de tensión de su cone</w:t>
      </w:r>
      <w:r w:rsidRPr="004E6CFC">
        <w:rPr>
          <w:b w:val="0"/>
        </w:rPr>
        <w:t>xión, previo el cumplimiento de los siguientes requisitos ante el respectivo OR:</w:t>
      </w:r>
      <w:bookmarkEnd w:id="20"/>
    </w:p>
    <w:p w:rsidR="00F574BA" w:rsidRPr="004E6CFC" w:rsidRDefault="00F574BA" w:rsidP="00F43E69">
      <w:pPr>
        <w:pStyle w:val="Prrafodelista"/>
        <w:numPr>
          <w:ilvl w:val="0"/>
          <w:numId w:val="5"/>
        </w:numPr>
        <w:spacing w:before="120" w:after="120"/>
        <w:ind w:left="567" w:hanging="567"/>
      </w:pPr>
      <w:r w:rsidRPr="004E6CFC">
        <w:t>Existencia de capacidad disponible en el punto de conexión de nivel de tensión superior.</w:t>
      </w:r>
    </w:p>
    <w:p w:rsidR="00F574BA" w:rsidRPr="004E6CFC" w:rsidRDefault="00F574BA" w:rsidP="00F43E69">
      <w:pPr>
        <w:pStyle w:val="Prrafodelista"/>
        <w:numPr>
          <w:ilvl w:val="0"/>
          <w:numId w:val="5"/>
        </w:numPr>
        <w:spacing w:before="120" w:after="120"/>
        <w:ind w:left="567" w:hanging="567"/>
      </w:pPr>
      <w:bookmarkStart w:id="21" w:name="_Ref406488199"/>
      <w:r w:rsidRPr="004E6CFC">
        <w:t xml:space="preserve">Pago de los costos asociados con la migración de nivel de tensión, según lo establecido en el capítulo </w:t>
      </w:r>
      <w:r w:rsidRPr="004E6CFC">
        <w:fldChar w:fldCharType="begin"/>
      </w:r>
      <w:r w:rsidRPr="004E6CFC">
        <w:instrText xml:space="preserve"> REF _Ref403636261 \r \h\t  \* MERGEFORMAT </w:instrText>
      </w:r>
      <w:r w:rsidRPr="004E6CFC">
        <w:fldChar w:fldCharType="separate"/>
      </w:r>
      <w:r w:rsidR="00737178">
        <w:t>11</w:t>
      </w:r>
      <w:r w:rsidRPr="004E6CFC">
        <w:fldChar w:fldCharType="end"/>
      </w:r>
      <w:r w:rsidRPr="004E6CFC">
        <w:t>.</w:t>
      </w:r>
      <w:bookmarkEnd w:id="21"/>
    </w:p>
    <w:p w:rsidR="00F574BA" w:rsidRDefault="00F574BA" w:rsidP="00F574BA">
      <w:r w:rsidRPr="004E6CFC">
        <w:t>A los usuarios que por requerimientos de aumento de carga instalada debidamente demostrada y que no sea posible atender por parte del OR en el nivel de tensión existente, no se les exigirá el pago de estos costos.</w:t>
      </w:r>
    </w:p>
    <w:p w:rsidR="00F574BA" w:rsidRPr="004E6CFC" w:rsidRDefault="00F574BA" w:rsidP="00F574BA">
      <w:r w:rsidRPr="004E6CFC">
        <w:t xml:space="preserve">La condición de aumento de carga será verificada 14 meses después de la fecha de entrada en servicio de la nueva conexión mediante la comparación de las energías anuales antes y después de la fecha de entrada de la modificación de la conexión. En caso de que la cantidad de energía consumida durante el año siguiente al de entrada de la conexión sea igual o superior a la cantidad de energía del año anterior multiplicada por el factor resultante de dividir la nueva potencia contratada entre la potencia original, se conservará la exención de cobro por MUNTS, en caso contrario, se efectuará el cobro correspondiente según lo calculado en el capítulo </w:t>
      </w:r>
      <w:r w:rsidRPr="004E6CFC">
        <w:fldChar w:fldCharType="begin"/>
      </w:r>
      <w:r w:rsidRPr="004E6CFC">
        <w:instrText xml:space="preserve"> REF _Ref403636261 \r \h \t  \* MERGEFORMAT </w:instrText>
      </w:r>
      <w:r w:rsidRPr="004E6CFC">
        <w:fldChar w:fldCharType="separate"/>
      </w:r>
      <w:r w:rsidR="00737178">
        <w:t>11</w:t>
      </w:r>
      <w:r w:rsidRPr="004E6CFC">
        <w:fldChar w:fldCharType="end"/>
      </w:r>
      <w:r w:rsidRPr="004E6CFC">
        <w:t>.</w:t>
      </w:r>
    </w:p>
    <w:p w:rsidR="00F574BA" w:rsidRPr="001C0701" w:rsidRDefault="00F574BA" w:rsidP="00F574BA">
      <w:r w:rsidRPr="004E6CFC">
        <w:rPr>
          <w:b/>
        </w:rPr>
        <w:t>Parágrafo:</w:t>
      </w:r>
      <w:r w:rsidRPr="004E6CFC">
        <w:t xml:space="preserve"> El OR deberá aprobar el cambio del nivel de tensión dentro de los quince (15) días siguientes a la fecha de la solicitud cuando exista la capacidad, y el usuario haya justificado la necesidad y se haya efectuado el pago de los costos pre</w:t>
      </w:r>
      <w:r w:rsidRPr="001C0701">
        <w:t xml:space="preserve">vistos en el literal </w:t>
      </w:r>
      <w:r w:rsidRPr="001C0701">
        <w:fldChar w:fldCharType="begin"/>
      </w:r>
      <w:r w:rsidRPr="001C0701">
        <w:instrText xml:space="preserve"> REF _Ref406488199 \n \h  \* MERGEFORMAT </w:instrText>
      </w:r>
      <w:r w:rsidRPr="001C0701">
        <w:fldChar w:fldCharType="separate"/>
      </w:r>
      <w:r w:rsidR="00737178">
        <w:t>b</w:t>
      </w:r>
      <w:r w:rsidRPr="001C0701">
        <w:fldChar w:fldCharType="end"/>
      </w:r>
      <w:r w:rsidRPr="001C0701">
        <w:t xml:space="preserve"> de este artículo.</w:t>
      </w:r>
    </w:p>
    <w:p w:rsidR="00F574BA" w:rsidRPr="001C0701" w:rsidRDefault="00F574BA" w:rsidP="00F574BA">
      <w:r w:rsidRPr="001C0701">
        <w:t xml:space="preserve">El valor total del costo asociado con la migración de nivel de tensión debe ser reportado por el OR al LAC para que su valor sea descontado del ingreso del respectivo nivel de tensión del OR. El LAC debe llevar un registro de las migraciones entre niveles de tensión reportadas por los OR </w:t>
      </w:r>
      <w:r w:rsidRPr="001C0701">
        <w:rPr>
          <w:rFonts w:cs="Arial"/>
        </w:rPr>
        <w:t>donde se encuentre la capacidad, el valor y la subestación en el formato que XM defina para tal fin</w:t>
      </w:r>
      <w:r w:rsidRPr="001C0701">
        <w:t>.</w:t>
      </w:r>
    </w:p>
    <w:p w:rsidR="007C3393" w:rsidRDefault="00F574BA" w:rsidP="007C3393">
      <w:pPr>
        <w:pStyle w:val="Artculo"/>
        <w:rPr>
          <w:b w:val="0"/>
        </w:rPr>
      </w:pPr>
      <w:bookmarkStart w:id="22" w:name="_Ref210573616"/>
      <w:r w:rsidRPr="001C0701">
        <w:t xml:space="preserve">Cargos por disponibilidad de capacidad de respaldo de la red. </w:t>
      </w:r>
      <w:r w:rsidRPr="001C0701">
        <w:rPr>
          <w:b w:val="0"/>
        </w:rPr>
        <w:t>Los usuarios de los STR o SDL podrán solicitar al OR del sistema al cual se conectan, a través de su comercializador, la suscripción de un contrato de disponibilidad de capacidad de respaldo de la red, de acuerdo con lo establecido en el capít</w:t>
      </w:r>
      <w:r w:rsidRPr="004E6CFC">
        <w:rPr>
          <w:b w:val="0"/>
        </w:rPr>
        <w:t xml:space="preserve">ulo </w:t>
      </w:r>
      <w:r w:rsidRPr="004E6CFC">
        <w:rPr>
          <w:b w:val="0"/>
        </w:rPr>
        <w:fldChar w:fldCharType="begin"/>
      </w:r>
      <w:r w:rsidRPr="004E6CFC">
        <w:rPr>
          <w:b w:val="0"/>
        </w:rPr>
        <w:instrText xml:space="preserve"> REF _Ref403636258 \r \h</w:instrText>
      </w:r>
      <w:r w:rsidRPr="004E6CFC">
        <w:instrText>\t</w:instrText>
      </w:r>
      <w:r w:rsidRPr="004E6CFC">
        <w:rPr>
          <w:b w:val="0"/>
        </w:rPr>
        <w:instrText xml:space="preserve">  \* MERGEFORMAT </w:instrText>
      </w:r>
      <w:r w:rsidRPr="004E6CFC">
        <w:rPr>
          <w:b w:val="0"/>
        </w:rPr>
      </w:r>
      <w:r w:rsidRPr="004E6CFC">
        <w:rPr>
          <w:b w:val="0"/>
        </w:rPr>
        <w:fldChar w:fldCharType="separate"/>
      </w:r>
      <w:r w:rsidR="00737178">
        <w:rPr>
          <w:b w:val="0"/>
        </w:rPr>
        <w:t>10</w:t>
      </w:r>
      <w:r w:rsidRPr="004E6CFC">
        <w:rPr>
          <w:b w:val="0"/>
        </w:rPr>
        <w:fldChar w:fldCharType="end"/>
      </w:r>
      <w:r w:rsidR="007C3393">
        <w:rPr>
          <w:b w:val="0"/>
        </w:rPr>
        <w:t xml:space="preserve">, en los plazos vigentes establecidos para la conexión de nuevos </w:t>
      </w:r>
      <w:r w:rsidR="007C3393">
        <w:rPr>
          <w:b w:val="0"/>
        </w:rPr>
        <w:lastRenderedPageBreak/>
        <w:t>usuarios</w:t>
      </w:r>
      <w:r w:rsidRPr="004E6CFC">
        <w:rPr>
          <w:b w:val="0"/>
        </w:rPr>
        <w:t>. El OR deberá otorgar dicha disponibilidad, siempre y cuando tenga la capacidad disponible en su sistema en el punto de conexión solicitado por el usuario</w:t>
      </w:r>
      <w:bookmarkEnd w:id="22"/>
      <w:r w:rsidRPr="004E6CFC">
        <w:rPr>
          <w:b w:val="0"/>
        </w:rPr>
        <w:t>.</w:t>
      </w:r>
    </w:p>
    <w:p w:rsidR="00F574BA" w:rsidRPr="004E6CFC" w:rsidRDefault="00F574BA" w:rsidP="00F574BA">
      <w:pPr>
        <w:rPr>
          <w:rFonts w:cs="Arial"/>
        </w:rPr>
      </w:pPr>
      <w:r w:rsidRPr="004E6CFC">
        <w:rPr>
          <w:b/>
        </w:rPr>
        <w:t>Parágrafo 1.</w:t>
      </w:r>
      <w:r w:rsidRPr="004E6CFC">
        <w:t xml:space="preserve"> </w:t>
      </w:r>
      <w:r w:rsidRPr="004E6CFC">
        <w:rPr>
          <w:rFonts w:cs="Arial"/>
        </w:rPr>
        <w:t xml:space="preserve">El valor total del costo asociado con los cargos de respaldo debe ser reportado por el OR al LAC </w:t>
      </w:r>
      <w:r w:rsidRPr="004E6CFC">
        <w:t>para que su valor sea descontado del ingreso del respectivo nivel de tensión del OR</w:t>
      </w:r>
      <w:r w:rsidRPr="004E6CFC">
        <w:rPr>
          <w:rFonts w:cs="Arial"/>
        </w:rPr>
        <w:t>. El LAC debe llevar un registro de los contratos de respaldo en los SDL y STR donde se encuentre la capacidad, el valor y la subestación en el formato que XM defina para tal fin.</w:t>
      </w:r>
    </w:p>
    <w:p w:rsidR="00F574BA" w:rsidRPr="001C0701" w:rsidRDefault="00F574BA" w:rsidP="00F574BA">
      <w:pPr>
        <w:rPr>
          <w:rFonts w:cs="Arial"/>
        </w:rPr>
      </w:pPr>
      <w:r w:rsidRPr="004E6CFC">
        <w:rPr>
          <w:b/>
        </w:rPr>
        <w:t>Parágrafo 2.</w:t>
      </w:r>
      <w:r w:rsidRPr="004E6CFC">
        <w:t xml:space="preserve"> </w:t>
      </w:r>
      <w:r w:rsidRPr="004E6CFC">
        <w:rPr>
          <w:rFonts w:cs="Arial"/>
        </w:rPr>
        <w:t>Cuando no se contrate el servicio de capacidad de respaldo o no se disponga de la capacidad requerida par</w:t>
      </w:r>
      <w:r w:rsidRPr="001C0701">
        <w:rPr>
          <w:rFonts w:cs="Arial"/>
        </w:rPr>
        <w:t>a la prestación del servicio, los OR no estarán obligados a garantizar la disponibilidad.</w:t>
      </w:r>
    </w:p>
    <w:p w:rsidR="00F574BA" w:rsidRPr="001C0701" w:rsidRDefault="00F574BA" w:rsidP="00F574BA">
      <w:pPr>
        <w:pStyle w:val="Artculo"/>
        <w:rPr>
          <w:b w:val="0"/>
        </w:rPr>
      </w:pPr>
      <w:bookmarkStart w:id="23" w:name="_Ref195623099"/>
      <w:r w:rsidRPr="001C0701">
        <w:t xml:space="preserve">Transporte de energía reactiva. </w:t>
      </w:r>
      <w:bookmarkEnd w:id="23"/>
      <w:r w:rsidRPr="001C0701">
        <w:rPr>
          <w:b w:val="0"/>
        </w:rPr>
        <w:t xml:space="preserve">Los OR o los usuarios finales pagarán por el transporte de energía reactiva cuando superen los límites establecidos en cada caso, de acuerdo con lo establecido en el capítulo </w:t>
      </w:r>
      <w:r w:rsidRPr="001C0701">
        <w:rPr>
          <w:b w:val="0"/>
        </w:rPr>
        <w:fldChar w:fldCharType="begin"/>
      </w:r>
      <w:r w:rsidRPr="001C0701">
        <w:rPr>
          <w:b w:val="0"/>
        </w:rPr>
        <w:instrText xml:space="preserve"> REF _Ref403056342 \r \h \t \* MERGEFORMAT </w:instrText>
      </w:r>
      <w:r w:rsidRPr="001C0701">
        <w:rPr>
          <w:b w:val="0"/>
        </w:rPr>
      </w:r>
      <w:r w:rsidRPr="001C0701">
        <w:rPr>
          <w:b w:val="0"/>
        </w:rPr>
        <w:fldChar w:fldCharType="separate"/>
      </w:r>
      <w:r w:rsidR="00737178">
        <w:rPr>
          <w:b w:val="0"/>
        </w:rPr>
        <w:t>12</w:t>
      </w:r>
      <w:r w:rsidRPr="001C0701">
        <w:rPr>
          <w:b w:val="0"/>
        </w:rPr>
        <w:fldChar w:fldCharType="end"/>
      </w:r>
      <w:r w:rsidRPr="001C0701">
        <w:rPr>
          <w:b w:val="0"/>
        </w:rPr>
        <w:t>.</w:t>
      </w:r>
    </w:p>
    <w:p w:rsidR="00F574BA" w:rsidRPr="001C0701" w:rsidRDefault="00F574BA" w:rsidP="00F574BA">
      <w:r w:rsidRPr="001C0701">
        <w:t xml:space="preserve">El OR podrá conectar equipos de medida de energía reactiva para identificar a aquellos usuarios que por su consumo de energía reactiva estén obligados al pago de la misma conforme a lo establecido en esta disposición y a la instalación del medidor correspondiente. </w:t>
      </w:r>
    </w:p>
    <w:p w:rsidR="00F574BA" w:rsidRPr="001C0701" w:rsidRDefault="00F574BA" w:rsidP="00F574BA">
      <w:pPr>
        <w:pStyle w:val="Artculo"/>
        <w:rPr>
          <w:b w:val="0"/>
        </w:rPr>
      </w:pPr>
      <w:r w:rsidRPr="001C0701">
        <w:t xml:space="preserve">Tratamiento de activos de conexión y activos de uso. </w:t>
      </w:r>
      <w:r w:rsidRPr="001C0701">
        <w:rPr>
          <w:b w:val="0"/>
        </w:rPr>
        <w:t>Los activos que sean declarados para ser remunerados mediante cargos por uso al momento de la solicitud de aprobación de ingresos por parte del OR, mantendrán este tipo de remuneración durante todo el período tarifario. Los activos de conexión existentes que no son declarados para ser remunerados a través de cargos por uso en la misma oportunidad, mantendrán tal condición durante todo el período tarifario.</w:t>
      </w:r>
    </w:p>
    <w:p w:rsidR="00F574BA" w:rsidRPr="001C0701" w:rsidRDefault="00F574BA" w:rsidP="00F574BA">
      <w:r w:rsidRPr="001C0701">
        <w:rPr>
          <w:b/>
          <w:bCs/>
        </w:rPr>
        <w:t>Parágrafo 1.</w:t>
      </w:r>
      <w:r w:rsidRPr="001C0701">
        <w:t xml:space="preserve"> Durante el período tarifario los OR no podrán exigir la remuneración a través de contratos de conexión por activos que hayan sido reportados para ser remunerados mediante cargos por uso.</w:t>
      </w:r>
    </w:p>
    <w:p w:rsidR="00F574BA" w:rsidRPr="001C0701" w:rsidRDefault="00F574BA" w:rsidP="00F574BA">
      <w:pPr>
        <w:rPr>
          <w:bCs/>
        </w:rPr>
      </w:pPr>
      <w:r w:rsidRPr="001C0701">
        <w:rPr>
          <w:b/>
          <w:bCs/>
        </w:rPr>
        <w:t xml:space="preserve">Parágrafo 2. </w:t>
      </w:r>
      <w:r w:rsidRPr="001C0701">
        <w:rPr>
          <w:bCs/>
        </w:rPr>
        <w:t xml:space="preserve">Si a través de un activo se conectan uno o varios transportadores al STR o a un SDL, el activo se remunerará mediante cargos por uso en proporción a la utilización por cada OR. </w:t>
      </w:r>
    </w:p>
    <w:p w:rsidR="00F574BA" w:rsidRPr="001C0701" w:rsidRDefault="00F574BA" w:rsidP="00F574BA">
      <w:pPr>
        <w:pStyle w:val="Artculo"/>
        <w:rPr>
          <w:b w:val="0"/>
        </w:rPr>
      </w:pPr>
      <w:r w:rsidRPr="001C0701">
        <w:t xml:space="preserve">Remuneración de proyectos de expansión de cobertura en zonas interconectables al SIN. </w:t>
      </w:r>
      <w:r w:rsidRPr="001C0701">
        <w:rPr>
          <w:b w:val="0"/>
        </w:rPr>
        <w:t xml:space="preserve">En aplicación del Decreto 1623 de 2015, </w:t>
      </w:r>
      <w:r w:rsidRPr="001C0701">
        <w:rPr>
          <w:b w:val="0"/>
          <w:lang w:val="es-CO"/>
        </w:rPr>
        <w:t>modificado por el Decreto 1513 de 2016,</w:t>
      </w:r>
      <w:r w:rsidRPr="001C0701">
        <w:rPr>
          <w:b w:val="0"/>
        </w:rPr>
        <w:t xml:space="preserve"> los OR deberán presentar en la solicitud de remuneración y anualmente, los proyectos de expansión de cobertura de su área de influencia de acuerdo con los criterios y reglas establecidas en el capítulo </w:t>
      </w:r>
      <w:r w:rsidRPr="001C0701">
        <w:rPr>
          <w:b w:val="0"/>
        </w:rPr>
        <w:fldChar w:fldCharType="begin"/>
      </w:r>
      <w:r w:rsidRPr="001C0701">
        <w:rPr>
          <w:b w:val="0"/>
        </w:rPr>
        <w:instrText xml:space="preserve"> REF _Ref440028500 \r \h\t  \* MERGEFORMAT </w:instrText>
      </w:r>
      <w:r w:rsidRPr="001C0701">
        <w:rPr>
          <w:b w:val="0"/>
        </w:rPr>
      </w:r>
      <w:r w:rsidRPr="001C0701">
        <w:rPr>
          <w:b w:val="0"/>
        </w:rPr>
        <w:fldChar w:fldCharType="separate"/>
      </w:r>
      <w:r w:rsidR="00737178">
        <w:rPr>
          <w:b w:val="0"/>
        </w:rPr>
        <w:t>13</w:t>
      </w:r>
      <w:r w:rsidRPr="001C0701">
        <w:rPr>
          <w:b w:val="0"/>
        </w:rPr>
        <w:fldChar w:fldCharType="end"/>
      </w:r>
      <w:r w:rsidRPr="001C0701">
        <w:rPr>
          <w:b w:val="0"/>
        </w:rPr>
        <w:t xml:space="preserve">. </w:t>
      </w:r>
    </w:p>
    <w:p w:rsidR="00F574BA" w:rsidRPr="001C0701" w:rsidRDefault="00F574BA" w:rsidP="00F574BA">
      <w:pPr>
        <w:pStyle w:val="Artculo"/>
      </w:pPr>
      <w:r w:rsidRPr="001C0701">
        <w:t xml:space="preserve">Decisión sobre aprobación de los ingresos de cada OR. </w:t>
      </w:r>
      <w:r w:rsidRPr="001C0701">
        <w:rPr>
          <w:b w:val="0"/>
        </w:rPr>
        <w:t>Una vez presentada la información por los OR y adelantada la correspondiente actuación administrativa que garantice el derecho al debido proceso de los interesados, de conformidad con los procedimientos establecidos por la ley, la Comisión procederá a aprobar los ingresos anuales de que trata la presente resolución.</w:t>
      </w:r>
    </w:p>
    <w:p w:rsidR="00F574BA" w:rsidRPr="001C0701" w:rsidRDefault="00F574BA" w:rsidP="00F574BA">
      <w:pPr>
        <w:pStyle w:val="Artculo"/>
        <w:rPr>
          <w:b w:val="0"/>
        </w:rPr>
      </w:pPr>
      <w:r w:rsidRPr="001C0701">
        <w:t xml:space="preserve">Costo asociado con la verificación de información. </w:t>
      </w:r>
      <w:r w:rsidRPr="001C0701">
        <w:rPr>
          <w:b w:val="0"/>
        </w:rPr>
        <w:t xml:space="preserve">Los costos asociados con la verificación de información, de existencia de activos, de gastos </w:t>
      </w:r>
      <w:r w:rsidRPr="001C0701">
        <w:rPr>
          <w:b w:val="0"/>
        </w:rPr>
        <w:lastRenderedPageBreak/>
        <w:t>y de calidad del servicio serán asumidos por los OR. Los criterios para las verificaciones serán definidos posteriormente por la Comisión.</w:t>
      </w:r>
    </w:p>
    <w:p w:rsidR="00F574BA" w:rsidRDefault="00F574BA" w:rsidP="00F574BA">
      <w:pPr>
        <w:pStyle w:val="Artculo"/>
        <w:rPr>
          <w:b w:val="0"/>
        </w:rPr>
      </w:pPr>
      <w:r w:rsidRPr="00E35D51">
        <w:t>Reporte de información.</w:t>
      </w:r>
      <w:r>
        <w:t xml:space="preserve"> </w:t>
      </w:r>
      <w:r w:rsidRPr="00E35D51">
        <w:rPr>
          <w:b w:val="0"/>
        </w:rPr>
        <w:t>Anualmente los</w:t>
      </w:r>
      <w:r>
        <w:t xml:space="preserve"> </w:t>
      </w:r>
      <w:r w:rsidRPr="00E35D51">
        <w:rPr>
          <w:b w:val="0"/>
        </w:rPr>
        <w:t xml:space="preserve">OR deberán </w:t>
      </w:r>
      <w:r>
        <w:rPr>
          <w:b w:val="0"/>
        </w:rPr>
        <w:t>enviar a la SSPD y a la CREG un informe sobre la aplicación de la metodología de remuneración contenida en esta resolución.</w:t>
      </w:r>
    </w:p>
    <w:p w:rsidR="00F574BA" w:rsidRPr="00E35D51" w:rsidRDefault="00F574BA" w:rsidP="00F574BA">
      <w:pPr>
        <w:pStyle w:val="Artculo"/>
        <w:numPr>
          <w:ilvl w:val="0"/>
          <w:numId w:val="0"/>
        </w:numPr>
        <w:rPr>
          <w:b w:val="0"/>
        </w:rPr>
      </w:pPr>
      <w:r>
        <w:rPr>
          <w:b w:val="0"/>
        </w:rPr>
        <w:t xml:space="preserve">El informe deberá enviarse el primer </w:t>
      </w:r>
      <w:r w:rsidR="00ED0427">
        <w:rPr>
          <w:b w:val="0"/>
        </w:rPr>
        <w:t>día</w:t>
      </w:r>
      <w:r>
        <w:rPr>
          <w:b w:val="0"/>
        </w:rPr>
        <w:t xml:space="preserve"> hábil del mes de abril de cada año para lo cual deberá seguirse el</w:t>
      </w:r>
      <w:r w:rsidRPr="00516C7E">
        <w:rPr>
          <w:b w:val="0"/>
        </w:rPr>
        <w:t xml:space="preserve"> procedimiento, contenido y formato</w:t>
      </w:r>
      <w:r>
        <w:rPr>
          <w:b w:val="0"/>
        </w:rPr>
        <w:t>s que la Comisió</w:t>
      </w:r>
      <w:r w:rsidRPr="00516C7E">
        <w:rPr>
          <w:b w:val="0"/>
        </w:rPr>
        <w:t xml:space="preserve">n publique </w:t>
      </w:r>
      <w:r w:rsidR="00ED0427" w:rsidRPr="00516C7E">
        <w:rPr>
          <w:b w:val="0"/>
        </w:rPr>
        <w:t>vía</w:t>
      </w:r>
      <w:r w:rsidRPr="00516C7E">
        <w:rPr>
          <w:b w:val="0"/>
        </w:rPr>
        <w:t xml:space="preserve"> circular para tal fin</w:t>
      </w:r>
      <w:r>
        <w:rPr>
          <w:b w:val="0"/>
        </w:rPr>
        <w:t>.</w:t>
      </w:r>
      <w:r w:rsidRPr="00E35D51">
        <w:rPr>
          <w:b w:val="0"/>
        </w:rPr>
        <w:t xml:space="preserve">  </w:t>
      </w:r>
    </w:p>
    <w:p w:rsidR="00F574BA" w:rsidRPr="00431577" w:rsidRDefault="00F574BA" w:rsidP="00F574BA">
      <w:r w:rsidRPr="00431577">
        <w:t>Adicionalmente, el OR deberá contar con un sistema de información de los activos el cual debe ser estructurado con base en el procedimiento, contenido</w:t>
      </w:r>
      <w:r>
        <w:t>, plazos</w:t>
      </w:r>
      <w:r w:rsidRPr="00431577">
        <w:t xml:space="preserve"> y formatos que la Comisión publique </w:t>
      </w:r>
      <w:r w:rsidR="00ED0427" w:rsidRPr="00431577">
        <w:t>vía</w:t>
      </w:r>
      <w:r w:rsidRPr="00431577">
        <w:t xml:space="preserve"> circular para tal fin.</w:t>
      </w:r>
    </w:p>
    <w:p w:rsidR="00F574BA" w:rsidRDefault="00F574BA" w:rsidP="00F574BA">
      <w:pPr>
        <w:pStyle w:val="Artculo"/>
        <w:rPr>
          <w:b w:val="0"/>
        </w:rPr>
      </w:pPr>
      <w:r w:rsidRPr="00E009CA">
        <w:t xml:space="preserve">Principios rectores en la interpretación y aplicación de las obligaciones por parte del OR. </w:t>
      </w:r>
      <w:r w:rsidRPr="00E009CA">
        <w:rPr>
          <w:b w:val="0"/>
        </w:rPr>
        <w:t xml:space="preserve">De conformidad con los principios de libertad de acceso, eficiencia, adaptabilidad y neutralidad contenidos en el numeral 3.9 del artículo 3, numeral 11.6 del artículo 11 y 170 de la Ley 142 de 1994, así como en el artículo 6 de la Ley 143 de 1994, </w:t>
      </w:r>
      <w:r w:rsidR="00AF4B70">
        <w:rPr>
          <w:b w:val="0"/>
        </w:rPr>
        <w:t xml:space="preserve">así como en virtud de lo previsto en los artículos 28 y 169 de la Ley 142 de 1994 y 39 de la Ley 143 de 1994, </w:t>
      </w:r>
      <w:r w:rsidRPr="00E009CA">
        <w:rPr>
          <w:b w:val="0"/>
        </w:rPr>
        <w:t xml:space="preserve">los </w:t>
      </w:r>
      <w:r>
        <w:rPr>
          <w:b w:val="0"/>
        </w:rPr>
        <w:t>OR</w:t>
      </w:r>
      <w:r w:rsidRPr="00E009CA">
        <w:rPr>
          <w:b w:val="0"/>
        </w:rPr>
        <w:t xml:space="preserve"> deberán cumplir con las siguientes obligaciones:</w:t>
      </w:r>
    </w:p>
    <w:p w:rsidR="00F574BA" w:rsidRPr="00E009CA" w:rsidRDefault="00F574BA" w:rsidP="00462078">
      <w:pPr>
        <w:pStyle w:val="Prrafodelista"/>
        <w:numPr>
          <w:ilvl w:val="0"/>
          <w:numId w:val="95"/>
        </w:numPr>
        <w:spacing w:before="120" w:after="120"/>
        <w:ind w:left="567"/>
        <w:rPr>
          <w:bCs/>
        </w:rPr>
      </w:pPr>
      <w:r w:rsidRPr="00E009CA">
        <w:rPr>
          <w:bCs/>
        </w:rPr>
        <w:t xml:space="preserve">Abstenerse de solicitar requisitos distintos a los expresamente previstos en esta resolución. </w:t>
      </w:r>
    </w:p>
    <w:p w:rsidR="00F574BA" w:rsidRPr="00E009CA" w:rsidRDefault="00F574BA" w:rsidP="00462078">
      <w:pPr>
        <w:pStyle w:val="Prrafodelista"/>
        <w:numPr>
          <w:ilvl w:val="0"/>
          <w:numId w:val="95"/>
        </w:numPr>
        <w:spacing w:before="120" w:after="120"/>
        <w:ind w:left="567"/>
        <w:rPr>
          <w:bCs/>
        </w:rPr>
      </w:pPr>
      <w:r w:rsidRPr="00E009CA">
        <w:rPr>
          <w:bCs/>
        </w:rPr>
        <w:t xml:space="preserve">Cumplir diligentemente con los plazos. </w:t>
      </w:r>
    </w:p>
    <w:p w:rsidR="00F574BA" w:rsidRPr="00E009CA" w:rsidRDefault="00F574BA" w:rsidP="00462078">
      <w:pPr>
        <w:pStyle w:val="Prrafodelista"/>
        <w:numPr>
          <w:ilvl w:val="0"/>
          <w:numId w:val="95"/>
        </w:numPr>
        <w:spacing w:before="120" w:after="120"/>
        <w:ind w:left="567"/>
        <w:rPr>
          <w:bCs/>
        </w:rPr>
      </w:pPr>
      <w:r w:rsidRPr="00E009CA">
        <w:rPr>
          <w:bCs/>
        </w:rPr>
        <w:t>Suministrar información veraz, oportuna, confiable y de calidad. En consecuencia, no podrán negar o dilatar el acceso a información. También deberán abstenerse de entregar información que no coincida con la realidad, incompleta, que induzca a error, o no cumpla la finalidad para la cual le fue exigido suministrarla.</w:t>
      </w:r>
    </w:p>
    <w:p w:rsidR="00F574BA" w:rsidRPr="00E15F45" w:rsidRDefault="00F574BA" w:rsidP="00462078">
      <w:pPr>
        <w:pStyle w:val="Prrafodelista"/>
        <w:numPr>
          <w:ilvl w:val="0"/>
          <w:numId w:val="95"/>
        </w:numPr>
        <w:spacing w:before="120" w:after="120"/>
        <w:ind w:left="567"/>
        <w:rPr>
          <w:bCs/>
        </w:rPr>
      </w:pPr>
      <w:r w:rsidRPr="00E009CA">
        <w:rPr>
          <w:bCs/>
        </w:rPr>
        <w:t>Otorgar el mismo tratamiento a todos los interesados. En consecuencia, no podrá favorecer a ningún interesado y deberá respetar la prelación y orden de llegada en los trámites previstos en esta r</w:t>
      </w:r>
      <w:r w:rsidRPr="00E15F45">
        <w:rPr>
          <w:bCs/>
        </w:rPr>
        <w:t>esolución.</w:t>
      </w:r>
    </w:p>
    <w:p w:rsidR="00F574BA" w:rsidRDefault="00F574BA" w:rsidP="00462078">
      <w:pPr>
        <w:pStyle w:val="Prrafodelista"/>
        <w:numPr>
          <w:ilvl w:val="0"/>
          <w:numId w:val="95"/>
        </w:numPr>
        <w:spacing w:before="120" w:after="120"/>
        <w:ind w:left="567"/>
        <w:rPr>
          <w:bCs/>
        </w:rPr>
      </w:pPr>
      <w:r w:rsidRPr="00E15F45">
        <w:rPr>
          <w:bCs/>
        </w:rPr>
        <w:t>Abstenerse de cobrar valores no previstos en la regulación ni valores superiores a los costos en los trámites.</w:t>
      </w:r>
    </w:p>
    <w:p w:rsidR="0093275F" w:rsidRPr="00E15F45" w:rsidRDefault="0093275F" w:rsidP="00462078">
      <w:pPr>
        <w:pStyle w:val="Prrafodelista"/>
        <w:numPr>
          <w:ilvl w:val="0"/>
          <w:numId w:val="95"/>
        </w:numPr>
        <w:spacing w:before="120" w:after="120"/>
        <w:ind w:left="567"/>
        <w:rPr>
          <w:bCs/>
        </w:rPr>
      </w:pPr>
      <w:r>
        <w:rPr>
          <w:bCs/>
        </w:rPr>
        <w:t>Planear, formular y ejecutar diligentemente los planes de inversión y mantenimiento para garantizar a los usuarios la prestación del servicio en condiciones de calidad, continuidad y seguridad exigidos por la regulación.</w:t>
      </w:r>
    </w:p>
    <w:p w:rsidR="00F574BA" w:rsidRPr="00E15F45" w:rsidRDefault="00F574BA" w:rsidP="00F574BA">
      <w:pPr>
        <w:pStyle w:val="Artculo"/>
        <w:rPr>
          <w:b w:val="0"/>
        </w:rPr>
      </w:pPr>
      <w:r w:rsidRPr="00E15F45">
        <w:t xml:space="preserve">Vigencia de los cargos por uso. </w:t>
      </w:r>
      <w:r w:rsidRPr="00E15F45">
        <w:rPr>
          <w:b w:val="0"/>
        </w:rPr>
        <w:t xml:space="preserve">Los ingresos y cargos por uso de los STR y SDL que defina la Comisión estarán vigentes a partir de la firmeza de la resolución particular que los apruebe </w:t>
      </w:r>
      <w:r>
        <w:rPr>
          <w:b w:val="0"/>
        </w:rPr>
        <w:t>p</w:t>
      </w:r>
      <w:r w:rsidRPr="00E15F45">
        <w:rPr>
          <w:b w:val="0"/>
        </w:rPr>
        <w:t>or un periodo de cinco (5) años.</w:t>
      </w:r>
    </w:p>
    <w:p w:rsidR="00193054" w:rsidRPr="004E6CFC" w:rsidRDefault="00F574BA" w:rsidP="004C04B4">
      <w:r w:rsidRPr="00E15F45">
        <w:rPr>
          <w:b/>
          <w:bCs/>
        </w:rPr>
        <w:t xml:space="preserve">Parágrafo. </w:t>
      </w:r>
      <w:r w:rsidRPr="00E15F45">
        <w:t>Vencido el período de vigencia de los cargos por uso que apruebe la Comisión, éstos continuarán rigiendo hasta que</w:t>
      </w:r>
      <w:r>
        <w:t xml:space="preserve"> la Comisión apruebe los nuevos</w:t>
      </w:r>
      <w:r w:rsidR="00193054" w:rsidRPr="004E6CFC">
        <w:t>.</w:t>
      </w:r>
    </w:p>
    <w:p w:rsidR="00F43E69" w:rsidRPr="00E15F45" w:rsidRDefault="00F43E69" w:rsidP="00F43E69">
      <w:pPr>
        <w:pStyle w:val="Artculo"/>
        <w:rPr>
          <w:b w:val="0"/>
        </w:rPr>
      </w:pPr>
      <w:r w:rsidRPr="00E15F45">
        <w:t xml:space="preserve">Solicitudes en curso. </w:t>
      </w:r>
      <w:r w:rsidRPr="00E15F45">
        <w:rPr>
          <w:b w:val="0"/>
        </w:rPr>
        <w:t>El contenido de la presente resolución se aplicará a todas las solicitudes de cargos de distribución que se presenten con posterioridad a la entrada en vigencia de la misma.</w:t>
      </w:r>
    </w:p>
    <w:p w:rsidR="00F43E69" w:rsidRDefault="00F43E69" w:rsidP="00F43E69">
      <w:pPr>
        <w:rPr>
          <w:bCs/>
        </w:rPr>
      </w:pPr>
      <w:r w:rsidRPr="00E15F45">
        <w:rPr>
          <w:bCs/>
        </w:rPr>
        <w:lastRenderedPageBreak/>
        <w:t>Las actuaciones administrativas que se encuentren en curso a la entrada en vigencia de la presente resolución, seguirán rigiéndose y culminarán de acuerdo con lo dispuesto en la metodología de distribución contenida en la Resol</w:t>
      </w:r>
      <w:r>
        <w:rPr>
          <w:bCs/>
        </w:rPr>
        <w:t>ución</w:t>
      </w:r>
      <w:r w:rsidRPr="00E15F45">
        <w:rPr>
          <w:bCs/>
        </w:rPr>
        <w:t xml:space="preserve"> CREG 097 de 2008. </w:t>
      </w:r>
    </w:p>
    <w:p w:rsidR="00607A12" w:rsidRPr="00607A12" w:rsidRDefault="00607A12" w:rsidP="00607A12">
      <w:pPr>
        <w:autoSpaceDE w:val="0"/>
        <w:autoSpaceDN w:val="0"/>
        <w:adjustRightInd w:val="0"/>
        <w:spacing w:after="0"/>
        <w:rPr>
          <w:rFonts w:cs="Tms Rmn"/>
          <w:iCs/>
          <w:lang w:val="es-CO" w:eastAsia="es-CO"/>
        </w:rPr>
      </w:pPr>
      <w:r w:rsidRPr="00607A12">
        <w:rPr>
          <w:b/>
          <w:bCs/>
        </w:rPr>
        <w:t>Artículo 25.</w:t>
      </w:r>
      <w:r w:rsidRPr="00607A12">
        <w:rPr>
          <w:rFonts w:cs="Tms Rmn"/>
          <w:iCs/>
          <w:lang w:val="es-CO" w:eastAsia="es-CO"/>
        </w:rPr>
        <w:t xml:space="preserve"> Dentro del plazo estipulado, la CREG establecerá las condiciones para la implementación de la Infraestructura de Medición Avanzada en la prestación del servicio público domiciliario de energía eléctrica en el Sistema Interconectado Nacional (SIN), incluyendo la responsabilidad de la instalación, administración, operación, mantenimiento y reposición de la Infraestructura de Medición Avanzada, y dado el caso, del medidor avanzado. Asimismo, la CREG adoptará los ajustes regulatorios con el fin de remunerar mediante la tarifa del servicio de energía eléctrica, las inversiones y funcionamiento asociados, para la implementación de la Infraestructura de Medición Avanzada</w:t>
      </w:r>
    </w:p>
    <w:p w:rsidR="00F43E69" w:rsidRPr="00AD5D4A" w:rsidRDefault="00607A12" w:rsidP="00607A12">
      <w:pPr>
        <w:pStyle w:val="Artculo"/>
        <w:numPr>
          <w:ilvl w:val="0"/>
          <w:numId w:val="0"/>
        </w:numPr>
      </w:pPr>
      <w:r>
        <w:t xml:space="preserve">Artículo 26. </w:t>
      </w:r>
      <w:r w:rsidR="00F43E69">
        <w:t xml:space="preserve">Vigencia y </w:t>
      </w:r>
      <w:r w:rsidR="00F43E69" w:rsidRPr="00E15F45">
        <w:t xml:space="preserve">Derogatorias. </w:t>
      </w:r>
      <w:r w:rsidR="00F43E69" w:rsidRPr="00AD5D4A">
        <w:rPr>
          <w:b w:val="0"/>
        </w:rPr>
        <w:t xml:space="preserve">La presente resolución entra en vigencia una vez se publique en el </w:t>
      </w:r>
      <w:r w:rsidR="00F43E69" w:rsidRPr="00AD5D4A">
        <w:rPr>
          <w:b w:val="0"/>
          <w:i/>
        </w:rPr>
        <w:t>Diario Oficial</w:t>
      </w:r>
      <w:r w:rsidR="00F43E69" w:rsidRPr="00AD5D4A">
        <w:rPr>
          <w:b w:val="0"/>
        </w:rPr>
        <w:t>. No obstante lo anterior, su aplicación para cada mercado de comercialización inicia una vez quede en firme el acto administrativo que aprueba los ingresos y cargos con base en lo dispuesto en la presente resolución para el OR respectivo.</w:t>
      </w:r>
    </w:p>
    <w:p w:rsidR="00762555" w:rsidRPr="00F43E69" w:rsidRDefault="00F43E69" w:rsidP="00F43E69">
      <w:pPr>
        <w:rPr>
          <w:bCs/>
        </w:rPr>
      </w:pPr>
      <w:r w:rsidRPr="00F43E69">
        <w:rPr>
          <w:bCs/>
        </w:rPr>
        <w:t>La presente resolución deroga la Resolución CREG 094 de 2012 excepto el capítulo 3 del anexo general y las demás</w:t>
      </w:r>
      <w:r w:rsidRPr="00F43E69" w:rsidDel="000678E7">
        <w:rPr>
          <w:bCs/>
        </w:rPr>
        <w:t xml:space="preserve"> </w:t>
      </w:r>
      <w:r w:rsidRPr="00F43E69">
        <w:rPr>
          <w:bCs/>
        </w:rPr>
        <w:t>disposiciones que le sean contrarias</w:t>
      </w:r>
      <w:r w:rsidR="00762555" w:rsidRPr="00F43E69">
        <w:rPr>
          <w:bCs/>
        </w:rPr>
        <w:t xml:space="preserve">. </w:t>
      </w:r>
    </w:p>
    <w:p w:rsidR="007C5DE6" w:rsidRPr="004E6CFC" w:rsidRDefault="007C5DE6" w:rsidP="00B65A7D">
      <w:pPr>
        <w:jc w:val="center"/>
        <w:rPr>
          <w:b/>
        </w:rPr>
      </w:pPr>
      <w:r w:rsidRPr="004E6CFC">
        <w:rPr>
          <w:b/>
        </w:rPr>
        <w:t>PUBLÍQUESE Y CÚMPLASE</w:t>
      </w:r>
    </w:p>
    <w:p w:rsidR="00334F9E" w:rsidRPr="004E6CFC" w:rsidRDefault="007C5DE6" w:rsidP="00B65A7D">
      <w:r w:rsidRPr="004E6CFC">
        <w:t>Dado en Bogotá, D. C.</w:t>
      </w:r>
    </w:p>
    <w:p w:rsidR="00334F9E" w:rsidRPr="004E6CFC" w:rsidRDefault="00334F9E" w:rsidP="00B65A7D"/>
    <w:p w:rsidR="00B65A7D" w:rsidRPr="004E6CFC" w:rsidRDefault="00B65A7D" w:rsidP="00B65A7D"/>
    <w:tbl>
      <w:tblPr>
        <w:tblW w:w="0" w:type="auto"/>
        <w:tblCellSpacing w:w="0" w:type="dxa"/>
        <w:tblInd w:w="-142" w:type="dxa"/>
        <w:shd w:val="clear" w:color="auto" w:fill="FFFFFF"/>
        <w:tblCellMar>
          <w:left w:w="0" w:type="dxa"/>
          <w:right w:w="0" w:type="dxa"/>
        </w:tblCellMar>
        <w:tblLook w:val="04A0" w:firstRow="1" w:lastRow="0" w:firstColumn="1" w:lastColumn="0" w:noHBand="0" w:noVBand="1"/>
      </w:tblPr>
      <w:tblGrid>
        <w:gridCol w:w="5245"/>
        <w:gridCol w:w="4253"/>
      </w:tblGrid>
      <w:tr w:rsidR="00334F9E" w:rsidRPr="004E6CFC" w:rsidTr="008B04A9">
        <w:trPr>
          <w:trHeight w:val="283"/>
          <w:tblCellSpacing w:w="0" w:type="dxa"/>
        </w:trPr>
        <w:tc>
          <w:tcPr>
            <w:tcW w:w="5245" w:type="dxa"/>
            <w:shd w:val="clear" w:color="auto" w:fill="FFFFFF"/>
            <w:vAlign w:val="center"/>
            <w:hideMark/>
          </w:tcPr>
          <w:p w:rsidR="00334F9E" w:rsidRPr="004E6CFC" w:rsidRDefault="00B65A7D" w:rsidP="00783D05">
            <w:pPr>
              <w:spacing w:before="0" w:after="0"/>
              <w:jc w:val="center"/>
              <w:rPr>
                <w:rFonts w:cs="Arial"/>
                <w:b/>
                <w:lang w:val="es-CO" w:eastAsia="es-CO"/>
              </w:rPr>
            </w:pPr>
            <w:r w:rsidRPr="004E6CFC">
              <w:rPr>
                <w:rFonts w:cs="Arial"/>
                <w:b/>
                <w:bCs/>
                <w:lang w:val="es-CO" w:eastAsia="es-CO"/>
              </w:rPr>
              <w:t>GERMÁN ARCE ZAPATA</w:t>
            </w:r>
          </w:p>
        </w:tc>
        <w:tc>
          <w:tcPr>
            <w:tcW w:w="4253" w:type="dxa"/>
            <w:shd w:val="clear" w:color="auto" w:fill="FFFFFF"/>
            <w:vAlign w:val="center"/>
            <w:hideMark/>
          </w:tcPr>
          <w:p w:rsidR="00334F9E" w:rsidRPr="004E6CFC" w:rsidRDefault="00334F9E" w:rsidP="00783D05">
            <w:pPr>
              <w:spacing w:before="0" w:after="0"/>
              <w:jc w:val="center"/>
              <w:rPr>
                <w:rFonts w:cs="Arial"/>
                <w:lang w:val="es-CO" w:eastAsia="es-CO"/>
              </w:rPr>
            </w:pPr>
            <w:r w:rsidRPr="004E6CFC">
              <w:rPr>
                <w:rFonts w:cs="Arial"/>
                <w:b/>
                <w:bCs/>
                <w:lang w:val="es-CO" w:eastAsia="es-CO"/>
              </w:rPr>
              <w:t>GERMÁN CASTRO FERREIRA</w:t>
            </w:r>
          </w:p>
        </w:tc>
      </w:tr>
      <w:tr w:rsidR="00334F9E" w:rsidRPr="004E6CFC" w:rsidTr="008B04A9">
        <w:trPr>
          <w:trHeight w:val="283"/>
          <w:tblCellSpacing w:w="0" w:type="dxa"/>
        </w:trPr>
        <w:tc>
          <w:tcPr>
            <w:tcW w:w="5245" w:type="dxa"/>
            <w:shd w:val="clear" w:color="auto" w:fill="FFFFFF"/>
            <w:vAlign w:val="center"/>
            <w:hideMark/>
          </w:tcPr>
          <w:p w:rsidR="00334F9E" w:rsidRPr="004E6CFC" w:rsidRDefault="00334F9E" w:rsidP="00783D05">
            <w:pPr>
              <w:spacing w:before="0" w:after="0"/>
              <w:jc w:val="center"/>
              <w:rPr>
                <w:rFonts w:cs="Arial"/>
                <w:lang w:val="es-CO" w:eastAsia="es-CO"/>
              </w:rPr>
            </w:pPr>
            <w:r w:rsidRPr="004E6CFC">
              <w:rPr>
                <w:rFonts w:cs="Arial"/>
                <w:lang w:val="es-CO" w:eastAsia="es-CO"/>
              </w:rPr>
              <w:t>Ministro de Minas y Energía</w:t>
            </w:r>
          </w:p>
        </w:tc>
        <w:tc>
          <w:tcPr>
            <w:tcW w:w="4253" w:type="dxa"/>
            <w:shd w:val="clear" w:color="auto" w:fill="FFFFFF"/>
            <w:vAlign w:val="center"/>
            <w:hideMark/>
          </w:tcPr>
          <w:p w:rsidR="00334F9E" w:rsidRPr="004E6CFC" w:rsidRDefault="00334F9E" w:rsidP="00783D05">
            <w:pPr>
              <w:spacing w:before="0" w:after="0"/>
              <w:jc w:val="center"/>
              <w:rPr>
                <w:rFonts w:cs="Arial"/>
                <w:lang w:val="es-CO" w:eastAsia="es-CO"/>
              </w:rPr>
            </w:pPr>
            <w:r w:rsidRPr="004E6CFC">
              <w:rPr>
                <w:rFonts w:cs="Arial"/>
                <w:lang w:val="es-CO" w:eastAsia="es-CO"/>
              </w:rPr>
              <w:t>Director Ejecutivo</w:t>
            </w:r>
          </w:p>
        </w:tc>
      </w:tr>
      <w:tr w:rsidR="00334F9E" w:rsidRPr="004E6CFC" w:rsidTr="008B04A9">
        <w:trPr>
          <w:trHeight w:val="283"/>
          <w:tblCellSpacing w:w="0" w:type="dxa"/>
        </w:trPr>
        <w:tc>
          <w:tcPr>
            <w:tcW w:w="5245" w:type="dxa"/>
            <w:shd w:val="clear" w:color="auto" w:fill="FFFFFF"/>
            <w:vAlign w:val="center"/>
            <w:hideMark/>
          </w:tcPr>
          <w:p w:rsidR="00334F9E" w:rsidRPr="004E6CFC" w:rsidRDefault="00334F9E" w:rsidP="00783D05">
            <w:pPr>
              <w:spacing w:before="0" w:after="0"/>
              <w:jc w:val="center"/>
              <w:rPr>
                <w:rFonts w:cs="Arial"/>
                <w:lang w:val="es-CO" w:eastAsia="es-CO"/>
              </w:rPr>
            </w:pPr>
            <w:r w:rsidRPr="004E6CFC">
              <w:rPr>
                <w:rFonts w:cs="Arial"/>
                <w:lang w:val="es-CO" w:eastAsia="es-CO"/>
              </w:rPr>
              <w:t>Presidente</w:t>
            </w:r>
          </w:p>
        </w:tc>
        <w:tc>
          <w:tcPr>
            <w:tcW w:w="4253" w:type="dxa"/>
            <w:shd w:val="clear" w:color="auto" w:fill="FFFFFF"/>
            <w:vAlign w:val="center"/>
            <w:hideMark/>
          </w:tcPr>
          <w:p w:rsidR="00334F9E" w:rsidRPr="004E6CFC" w:rsidRDefault="00334F9E" w:rsidP="00783D05">
            <w:pPr>
              <w:spacing w:before="0" w:after="0"/>
              <w:jc w:val="center"/>
              <w:rPr>
                <w:rFonts w:cs="Arial"/>
                <w:lang w:val="es-CO" w:eastAsia="es-CO"/>
              </w:rPr>
            </w:pPr>
            <w:r w:rsidRPr="004E6CFC">
              <w:rPr>
                <w:rFonts w:cs="Arial"/>
                <w:noProof/>
                <w:lang w:val="es-CO" w:eastAsia="es-CO"/>
              </w:rPr>
              <w:drawing>
                <wp:inline distT="0" distB="0" distL="0" distR="0" wp14:anchorId="3D4FF1A9" wp14:editId="3EF6ADA5">
                  <wp:extent cx="9525" cy="9525"/>
                  <wp:effectExtent l="0" t="0" r="0" b="0"/>
                  <wp:docPr id="3" name="Imagen 3" descr="http://apolo.creg.gov.co/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apolo.creg.gov.co/icons/ecblank.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p>
        </w:tc>
      </w:tr>
    </w:tbl>
    <w:p w:rsidR="00334F9E" w:rsidRPr="004E6CFC" w:rsidRDefault="00334F9E" w:rsidP="00334F9E">
      <w:pPr>
        <w:spacing w:before="0" w:after="0"/>
        <w:jc w:val="left"/>
        <w:rPr>
          <w:b/>
        </w:rPr>
      </w:pPr>
      <w:r w:rsidRPr="004E6CFC">
        <w:rPr>
          <w:b/>
        </w:rPr>
        <w:br w:type="page"/>
      </w:r>
    </w:p>
    <w:p w:rsidR="00193054" w:rsidRPr="004E6CFC" w:rsidRDefault="00193054" w:rsidP="00193054">
      <w:pPr>
        <w:spacing w:before="0" w:after="0"/>
        <w:jc w:val="center"/>
        <w:rPr>
          <w:b/>
        </w:rPr>
      </w:pPr>
      <w:r w:rsidRPr="00E24F2C">
        <w:rPr>
          <w:b/>
        </w:rPr>
        <w:lastRenderedPageBreak/>
        <w:t>ANEXO GENERAL</w:t>
      </w:r>
    </w:p>
    <w:p w:rsidR="00193054" w:rsidRPr="004E6CFC" w:rsidRDefault="00193054" w:rsidP="00193054">
      <w:pPr>
        <w:spacing w:before="0" w:after="0"/>
        <w:jc w:val="center"/>
        <w:rPr>
          <w:b/>
        </w:rPr>
      </w:pPr>
    </w:p>
    <w:p w:rsidR="00193054" w:rsidRPr="004E6CFC" w:rsidRDefault="00193054" w:rsidP="00193054">
      <w:pPr>
        <w:spacing w:before="0" w:after="0"/>
        <w:jc w:val="center"/>
        <w:rPr>
          <w:b/>
        </w:rPr>
      </w:pPr>
      <w:r w:rsidRPr="004E6CFC">
        <w:rPr>
          <w:b/>
        </w:rPr>
        <w:t>CONTENIDO</w:t>
      </w:r>
    </w:p>
    <w:p w:rsidR="00193054" w:rsidRPr="004E6CFC" w:rsidRDefault="00193054" w:rsidP="00193054">
      <w:pPr>
        <w:spacing w:before="0" w:after="0"/>
        <w:jc w:val="center"/>
        <w:rPr>
          <w:b/>
        </w:rPr>
      </w:pPr>
    </w:p>
    <w:sdt>
      <w:sdtPr>
        <w:rPr>
          <w:b w:val="0"/>
          <w:caps w:val="0"/>
          <w:noProof w:val="0"/>
        </w:rPr>
        <w:id w:val="634762318"/>
        <w:docPartObj>
          <w:docPartGallery w:val="Table of Contents"/>
          <w:docPartUnique/>
        </w:docPartObj>
      </w:sdtPr>
      <w:sdtEndPr>
        <w:rPr>
          <w:b/>
          <w:bCs/>
          <w:caps/>
          <w:noProof/>
        </w:rPr>
      </w:sdtEndPr>
      <w:sdtContent>
        <w:p w:rsidR="000C43B5" w:rsidRDefault="0014422A">
          <w:pPr>
            <w:pStyle w:val="TDC1"/>
            <w:tabs>
              <w:tab w:val="left" w:pos="1843"/>
            </w:tabs>
            <w:rPr>
              <w:rFonts w:asciiTheme="minorHAnsi" w:eastAsiaTheme="minorEastAsia" w:hAnsiTheme="minorHAnsi" w:cstheme="minorBidi"/>
              <w:b w:val="0"/>
              <w:caps w:val="0"/>
              <w:sz w:val="22"/>
              <w:szCs w:val="22"/>
              <w:lang w:val="es-CO" w:eastAsia="es-CO"/>
            </w:rPr>
          </w:pPr>
          <w:r w:rsidRPr="004E6CFC">
            <w:fldChar w:fldCharType="begin"/>
          </w:r>
          <w:r w:rsidRPr="004E6CFC">
            <w:instrText xml:space="preserve"> TOC \o "1-3" \h \z \u </w:instrText>
          </w:r>
          <w:r w:rsidRPr="004E6CFC">
            <w:fldChar w:fldCharType="separate"/>
          </w:r>
          <w:hyperlink w:anchor="_Toc505335883" w:history="1">
            <w:r w:rsidR="000C43B5" w:rsidRPr="00DD0C8C">
              <w:rPr>
                <w:rStyle w:val="Hipervnculo"/>
              </w:rPr>
              <w:t>CAPITULO 1.</w:t>
            </w:r>
            <w:r w:rsidR="000C43B5">
              <w:rPr>
                <w:rFonts w:asciiTheme="minorHAnsi" w:eastAsiaTheme="minorEastAsia" w:hAnsiTheme="minorHAnsi" w:cstheme="minorBidi"/>
                <w:b w:val="0"/>
                <w:caps w:val="0"/>
                <w:sz w:val="22"/>
                <w:szCs w:val="22"/>
                <w:lang w:val="es-CO" w:eastAsia="es-CO"/>
              </w:rPr>
              <w:tab/>
            </w:r>
            <w:r w:rsidR="000C43B5" w:rsidRPr="00DD0C8C">
              <w:rPr>
                <w:rStyle w:val="Hipervnculo"/>
              </w:rPr>
              <w:t>CÁLCULO DE CARGOS</w:t>
            </w:r>
            <w:r w:rsidR="000C43B5">
              <w:rPr>
                <w:webHidden/>
              </w:rPr>
              <w:tab/>
            </w:r>
            <w:r w:rsidR="000C43B5">
              <w:rPr>
                <w:webHidden/>
              </w:rPr>
              <w:fldChar w:fldCharType="begin"/>
            </w:r>
            <w:r w:rsidR="000C43B5">
              <w:rPr>
                <w:webHidden/>
              </w:rPr>
              <w:instrText xml:space="preserve"> PAGEREF _Toc505335883 \h </w:instrText>
            </w:r>
            <w:r w:rsidR="000C43B5">
              <w:rPr>
                <w:webHidden/>
              </w:rPr>
            </w:r>
            <w:r w:rsidR="000C43B5">
              <w:rPr>
                <w:webHidden/>
              </w:rPr>
              <w:fldChar w:fldCharType="separate"/>
            </w:r>
            <w:r w:rsidR="00737178">
              <w:rPr>
                <w:webHidden/>
              </w:rPr>
              <w:t>23</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884" w:history="1">
            <w:r w:rsidR="000C43B5" w:rsidRPr="00DD0C8C">
              <w:rPr>
                <w:rStyle w:val="Hipervnculo"/>
              </w:rPr>
              <w:t>1.1</w:t>
            </w:r>
            <w:r w:rsidR="000C43B5">
              <w:rPr>
                <w:rFonts w:asciiTheme="minorHAnsi" w:eastAsiaTheme="minorEastAsia" w:hAnsiTheme="minorHAnsi" w:cstheme="minorBidi"/>
                <w:bCs w:val="0"/>
                <w:caps w:val="0"/>
                <w:szCs w:val="22"/>
                <w:lang w:eastAsia="es-CO"/>
              </w:rPr>
              <w:tab/>
            </w:r>
            <w:r w:rsidR="000C43B5" w:rsidRPr="00DD0C8C">
              <w:rPr>
                <w:rStyle w:val="Hipervnculo"/>
              </w:rPr>
              <w:t>CARGOS POR USO</w:t>
            </w:r>
            <w:r w:rsidR="000C43B5">
              <w:rPr>
                <w:webHidden/>
              </w:rPr>
              <w:tab/>
            </w:r>
            <w:r w:rsidR="000C43B5">
              <w:rPr>
                <w:webHidden/>
              </w:rPr>
              <w:fldChar w:fldCharType="begin"/>
            </w:r>
            <w:r w:rsidR="000C43B5">
              <w:rPr>
                <w:webHidden/>
              </w:rPr>
              <w:instrText xml:space="preserve"> PAGEREF _Toc505335884 \h </w:instrText>
            </w:r>
            <w:r w:rsidR="000C43B5">
              <w:rPr>
                <w:webHidden/>
              </w:rPr>
            </w:r>
            <w:r w:rsidR="000C43B5">
              <w:rPr>
                <w:webHidden/>
              </w:rPr>
              <w:fldChar w:fldCharType="separate"/>
            </w:r>
            <w:r w:rsidR="00737178">
              <w:rPr>
                <w:webHidden/>
              </w:rPr>
              <w:t>23</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885" w:history="1">
            <w:r w:rsidR="000C43B5" w:rsidRPr="00DD0C8C">
              <w:rPr>
                <w:rStyle w:val="Hipervnculo"/>
              </w:rPr>
              <w:t>1.1.1</w:t>
            </w:r>
            <w:r w:rsidR="000C43B5">
              <w:rPr>
                <w:rFonts w:asciiTheme="minorHAnsi" w:eastAsiaTheme="minorEastAsia" w:hAnsiTheme="minorHAnsi" w:cstheme="minorBidi"/>
                <w:szCs w:val="22"/>
                <w:lang w:eastAsia="es-CO"/>
              </w:rPr>
              <w:tab/>
            </w:r>
            <w:r w:rsidR="000C43B5" w:rsidRPr="00DD0C8C">
              <w:rPr>
                <w:rStyle w:val="Hipervnculo"/>
              </w:rPr>
              <w:t>Cargos por uso de nivel de tensión 4</w:t>
            </w:r>
            <w:r w:rsidR="000C43B5">
              <w:rPr>
                <w:webHidden/>
              </w:rPr>
              <w:tab/>
            </w:r>
            <w:r w:rsidR="000C43B5">
              <w:rPr>
                <w:webHidden/>
              </w:rPr>
              <w:fldChar w:fldCharType="begin"/>
            </w:r>
            <w:r w:rsidR="000C43B5">
              <w:rPr>
                <w:webHidden/>
              </w:rPr>
              <w:instrText xml:space="preserve"> PAGEREF _Toc505335885 \h </w:instrText>
            </w:r>
            <w:r w:rsidR="000C43B5">
              <w:rPr>
                <w:webHidden/>
              </w:rPr>
            </w:r>
            <w:r w:rsidR="000C43B5">
              <w:rPr>
                <w:webHidden/>
              </w:rPr>
              <w:fldChar w:fldCharType="separate"/>
            </w:r>
            <w:r w:rsidR="00737178">
              <w:rPr>
                <w:webHidden/>
              </w:rPr>
              <w:t>23</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886" w:history="1">
            <w:r w:rsidR="000C43B5" w:rsidRPr="00DD0C8C">
              <w:rPr>
                <w:rStyle w:val="Hipervnculo"/>
              </w:rPr>
              <w:t>1.1.2</w:t>
            </w:r>
            <w:r w:rsidR="000C43B5">
              <w:rPr>
                <w:rFonts w:asciiTheme="minorHAnsi" w:eastAsiaTheme="minorEastAsia" w:hAnsiTheme="minorHAnsi" w:cstheme="minorBidi"/>
                <w:szCs w:val="22"/>
                <w:lang w:eastAsia="es-CO"/>
              </w:rPr>
              <w:tab/>
            </w:r>
            <w:r w:rsidR="000C43B5" w:rsidRPr="00DD0C8C">
              <w:rPr>
                <w:rStyle w:val="Hipervnculo"/>
              </w:rPr>
              <w:t>Cargos por uso de nivel de tensión 3</w:t>
            </w:r>
            <w:r w:rsidR="000C43B5">
              <w:rPr>
                <w:webHidden/>
              </w:rPr>
              <w:tab/>
            </w:r>
            <w:r w:rsidR="000C43B5">
              <w:rPr>
                <w:webHidden/>
              </w:rPr>
              <w:fldChar w:fldCharType="begin"/>
            </w:r>
            <w:r w:rsidR="000C43B5">
              <w:rPr>
                <w:webHidden/>
              </w:rPr>
              <w:instrText xml:space="preserve"> PAGEREF _Toc505335886 \h </w:instrText>
            </w:r>
            <w:r w:rsidR="000C43B5">
              <w:rPr>
                <w:webHidden/>
              </w:rPr>
            </w:r>
            <w:r w:rsidR="000C43B5">
              <w:rPr>
                <w:webHidden/>
              </w:rPr>
              <w:fldChar w:fldCharType="separate"/>
            </w:r>
            <w:r w:rsidR="00737178">
              <w:rPr>
                <w:webHidden/>
              </w:rPr>
              <w:t>23</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887" w:history="1">
            <w:r w:rsidR="000C43B5" w:rsidRPr="00DD0C8C">
              <w:rPr>
                <w:rStyle w:val="Hipervnculo"/>
              </w:rPr>
              <w:t>1.1.3</w:t>
            </w:r>
            <w:r w:rsidR="000C43B5">
              <w:rPr>
                <w:rFonts w:asciiTheme="minorHAnsi" w:eastAsiaTheme="minorEastAsia" w:hAnsiTheme="minorHAnsi" w:cstheme="minorBidi"/>
                <w:szCs w:val="22"/>
                <w:lang w:eastAsia="es-CO"/>
              </w:rPr>
              <w:tab/>
            </w:r>
            <w:r w:rsidR="000C43B5" w:rsidRPr="00DD0C8C">
              <w:rPr>
                <w:rStyle w:val="Hipervnculo"/>
              </w:rPr>
              <w:t>Cargos por uso de nivel de tensión 2</w:t>
            </w:r>
            <w:r w:rsidR="000C43B5">
              <w:rPr>
                <w:webHidden/>
              </w:rPr>
              <w:tab/>
            </w:r>
            <w:r w:rsidR="000C43B5">
              <w:rPr>
                <w:webHidden/>
              </w:rPr>
              <w:fldChar w:fldCharType="begin"/>
            </w:r>
            <w:r w:rsidR="000C43B5">
              <w:rPr>
                <w:webHidden/>
              </w:rPr>
              <w:instrText xml:space="preserve"> PAGEREF _Toc505335887 \h </w:instrText>
            </w:r>
            <w:r w:rsidR="000C43B5">
              <w:rPr>
                <w:webHidden/>
              </w:rPr>
            </w:r>
            <w:r w:rsidR="000C43B5">
              <w:rPr>
                <w:webHidden/>
              </w:rPr>
              <w:fldChar w:fldCharType="separate"/>
            </w:r>
            <w:r w:rsidR="00737178">
              <w:rPr>
                <w:webHidden/>
              </w:rPr>
              <w:t>24</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888" w:history="1">
            <w:r w:rsidR="000C43B5" w:rsidRPr="00DD0C8C">
              <w:rPr>
                <w:rStyle w:val="Hipervnculo"/>
              </w:rPr>
              <w:t>1.1.4</w:t>
            </w:r>
            <w:r w:rsidR="000C43B5">
              <w:rPr>
                <w:rFonts w:asciiTheme="minorHAnsi" w:eastAsiaTheme="minorEastAsia" w:hAnsiTheme="minorHAnsi" w:cstheme="minorBidi"/>
                <w:szCs w:val="22"/>
                <w:lang w:eastAsia="es-CO"/>
              </w:rPr>
              <w:tab/>
            </w:r>
            <w:r w:rsidR="000C43B5" w:rsidRPr="00DD0C8C">
              <w:rPr>
                <w:rStyle w:val="Hipervnculo"/>
              </w:rPr>
              <w:t>Cargos por uso de nivel de tensión 1</w:t>
            </w:r>
            <w:r w:rsidR="000C43B5">
              <w:rPr>
                <w:webHidden/>
              </w:rPr>
              <w:tab/>
            </w:r>
            <w:r w:rsidR="000C43B5">
              <w:rPr>
                <w:webHidden/>
              </w:rPr>
              <w:fldChar w:fldCharType="begin"/>
            </w:r>
            <w:r w:rsidR="000C43B5">
              <w:rPr>
                <w:webHidden/>
              </w:rPr>
              <w:instrText xml:space="preserve"> PAGEREF _Toc505335888 \h </w:instrText>
            </w:r>
            <w:r w:rsidR="000C43B5">
              <w:rPr>
                <w:webHidden/>
              </w:rPr>
            </w:r>
            <w:r w:rsidR="000C43B5">
              <w:rPr>
                <w:webHidden/>
              </w:rPr>
              <w:fldChar w:fldCharType="separate"/>
            </w:r>
            <w:r w:rsidR="00737178">
              <w:rPr>
                <w:webHidden/>
              </w:rPr>
              <w:t>25</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889" w:history="1">
            <w:r w:rsidR="000C43B5" w:rsidRPr="00DD0C8C">
              <w:rPr>
                <w:rStyle w:val="Hipervnculo"/>
              </w:rPr>
              <w:t>1.1.5</w:t>
            </w:r>
            <w:r w:rsidR="000C43B5">
              <w:rPr>
                <w:rFonts w:asciiTheme="minorHAnsi" w:eastAsiaTheme="minorEastAsia" w:hAnsiTheme="minorHAnsi" w:cstheme="minorBidi"/>
                <w:szCs w:val="22"/>
                <w:lang w:eastAsia="es-CO"/>
              </w:rPr>
              <w:tab/>
            </w:r>
            <w:r w:rsidR="000C43B5" w:rsidRPr="00DD0C8C">
              <w:rPr>
                <w:rStyle w:val="Hipervnculo"/>
              </w:rPr>
              <w:t>Cargos por incentivos de calidad del servicio</w:t>
            </w:r>
            <w:r w:rsidR="000C43B5">
              <w:rPr>
                <w:webHidden/>
              </w:rPr>
              <w:tab/>
            </w:r>
            <w:r w:rsidR="000C43B5">
              <w:rPr>
                <w:webHidden/>
              </w:rPr>
              <w:fldChar w:fldCharType="begin"/>
            </w:r>
            <w:r w:rsidR="000C43B5">
              <w:rPr>
                <w:webHidden/>
              </w:rPr>
              <w:instrText xml:space="preserve"> PAGEREF _Toc505335889 \h </w:instrText>
            </w:r>
            <w:r w:rsidR="000C43B5">
              <w:rPr>
                <w:webHidden/>
              </w:rPr>
            </w:r>
            <w:r w:rsidR="000C43B5">
              <w:rPr>
                <w:webHidden/>
              </w:rPr>
              <w:fldChar w:fldCharType="separate"/>
            </w:r>
            <w:r w:rsidR="00737178">
              <w:rPr>
                <w:webHidden/>
              </w:rPr>
              <w:t>26</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890" w:history="1">
            <w:r w:rsidR="000C43B5" w:rsidRPr="00DD0C8C">
              <w:rPr>
                <w:rStyle w:val="Hipervnculo"/>
              </w:rPr>
              <w:t>1.2</w:t>
            </w:r>
            <w:r w:rsidR="000C43B5">
              <w:rPr>
                <w:rFonts w:asciiTheme="minorHAnsi" w:eastAsiaTheme="minorEastAsia" w:hAnsiTheme="minorHAnsi" w:cstheme="minorBidi"/>
                <w:bCs w:val="0"/>
                <w:caps w:val="0"/>
                <w:szCs w:val="22"/>
                <w:lang w:eastAsia="es-CO"/>
              </w:rPr>
              <w:tab/>
            </w:r>
            <w:r w:rsidR="000C43B5" w:rsidRPr="00DD0C8C">
              <w:rPr>
                <w:rStyle w:val="Hipervnculo"/>
              </w:rPr>
              <w:t>CARGOS POR NIVEL DE TENSIÓN</w:t>
            </w:r>
            <w:r w:rsidR="000C43B5">
              <w:rPr>
                <w:webHidden/>
              </w:rPr>
              <w:tab/>
            </w:r>
            <w:r w:rsidR="000C43B5">
              <w:rPr>
                <w:webHidden/>
              </w:rPr>
              <w:fldChar w:fldCharType="begin"/>
            </w:r>
            <w:r w:rsidR="000C43B5">
              <w:rPr>
                <w:webHidden/>
              </w:rPr>
              <w:instrText xml:space="preserve"> PAGEREF _Toc505335890 \h </w:instrText>
            </w:r>
            <w:r w:rsidR="000C43B5">
              <w:rPr>
                <w:webHidden/>
              </w:rPr>
            </w:r>
            <w:r w:rsidR="000C43B5">
              <w:rPr>
                <w:webHidden/>
              </w:rPr>
              <w:fldChar w:fldCharType="separate"/>
            </w:r>
            <w:r w:rsidR="00737178">
              <w:rPr>
                <w:webHidden/>
              </w:rPr>
              <w:t>27</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891" w:history="1">
            <w:r w:rsidR="000C43B5" w:rsidRPr="00DD0C8C">
              <w:rPr>
                <w:rStyle w:val="Hipervnculo"/>
              </w:rPr>
              <w:t>1.2.1</w:t>
            </w:r>
            <w:r w:rsidR="000C43B5">
              <w:rPr>
                <w:rFonts w:asciiTheme="minorHAnsi" w:eastAsiaTheme="minorEastAsia" w:hAnsiTheme="minorHAnsi" w:cstheme="minorBidi"/>
                <w:szCs w:val="22"/>
                <w:lang w:eastAsia="es-CO"/>
              </w:rPr>
              <w:tab/>
            </w:r>
            <w:r w:rsidR="000C43B5" w:rsidRPr="00DD0C8C">
              <w:rPr>
                <w:rStyle w:val="Hipervnculo"/>
              </w:rPr>
              <w:t>Cargos del nivel de tensión 4</w:t>
            </w:r>
            <w:r w:rsidR="000C43B5">
              <w:rPr>
                <w:webHidden/>
              </w:rPr>
              <w:tab/>
            </w:r>
            <w:r w:rsidR="000C43B5">
              <w:rPr>
                <w:webHidden/>
              </w:rPr>
              <w:fldChar w:fldCharType="begin"/>
            </w:r>
            <w:r w:rsidR="000C43B5">
              <w:rPr>
                <w:webHidden/>
              </w:rPr>
              <w:instrText xml:space="preserve"> PAGEREF _Toc505335891 \h </w:instrText>
            </w:r>
            <w:r w:rsidR="000C43B5">
              <w:rPr>
                <w:webHidden/>
              </w:rPr>
            </w:r>
            <w:r w:rsidR="000C43B5">
              <w:rPr>
                <w:webHidden/>
              </w:rPr>
              <w:fldChar w:fldCharType="separate"/>
            </w:r>
            <w:r w:rsidR="00737178">
              <w:rPr>
                <w:webHidden/>
              </w:rPr>
              <w:t>27</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892" w:history="1">
            <w:r w:rsidR="000C43B5" w:rsidRPr="00DD0C8C">
              <w:rPr>
                <w:rStyle w:val="Hipervnculo"/>
              </w:rPr>
              <w:t>1.2.2</w:t>
            </w:r>
            <w:r w:rsidR="000C43B5">
              <w:rPr>
                <w:rFonts w:asciiTheme="minorHAnsi" w:eastAsiaTheme="minorEastAsia" w:hAnsiTheme="minorHAnsi" w:cstheme="minorBidi"/>
                <w:szCs w:val="22"/>
                <w:lang w:eastAsia="es-CO"/>
              </w:rPr>
              <w:tab/>
            </w:r>
            <w:r w:rsidR="000C43B5" w:rsidRPr="00DD0C8C">
              <w:rPr>
                <w:rStyle w:val="Hipervnculo"/>
              </w:rPr>
              <w:t>Cargos del nivel de tensión 3</w:t>
            </w:r>
            <w:r w:rsidR="000C43B5">
              <w:rPr>
                <w:webHidden/>
              </w:rPr>
              <w:tab/>
            </w:r>
            <w:r w:rsidR="000C43B5">
              <w:rPr>
                <w:webHidden/>
              </w:rPr>
              <w:fldChar w:fldCharType="begin"/>
            </w:r>
            <w:r w:rsidR="000C43B5">
              <w:rPr>
                <w:webHidden/>
              </w:rPr>
              <w:instrText xml:space="preserve"> PAGEREF _Toc505335892 \h </w:instrText>
            </w:r>
            <w:r w:rsidR="000C43B5">
              <w:rPr>
                <w:webHidden/>
              </w:rPr>
            </w:r>
            <w:r w:rsidR="000C43B5">
              <w:rPr>
                <w:webHidden/>
              </w:rPr>
              <w:fldChar w:fldCharType="separate"/>
            </w:r>
            <w:r w:rsidR="00737178">
              <w:rPr>
                <w:webHidden/>
              </w:rPr>
              <w:t>28</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893" w:history="1">
            <w:r w:rsidR="000C43B5" w:rsidRPr="00DD0C8C">
              <w:rPr>
                <w:rStyle w:val="Hipervnculo"/>
              </w:rPr>
              <w:t>1.2.3</w:t>
            </w:r>
            <w:r w:rsidR="000C43B5">
              <w:rPr>
                <w:rFonts w:asciiTheme="minorHAnsi" w:eastAsiaTheme="minorEastAsia" w:hAnsiTheme="minorHAnsi" w:cstheme="minorBidi"/>
                <w:szCs w:val="22"/>
                <w:lang w:eastAsia="es-CO"/>
              </w:rPr>
              <w:tab/>
            </w:r>
            <w:r w:rsidR="000C43B5" w:rsidRPr="00DD0C8C">
              <w:rPr>
                <w:rStyle w:val="Hipervnculo"/>
              </w:rPr>
              <w:t>Cargos del nivel de tensión 2</w:t>
            </w:r>
            <w:r w:rsidR="000C43B5">
              <w:rPr>
                <w:webHidden/>
              </w:rPr>
              <w:tab/>
            </w:r>
            <w:r w:rsidR="000C43B5">
              <w:rPr>
                <w:webHidden/>
              </w:rPr>
              <w:fldChar w:fldCharType="begin"/>
            </w:r>
            <w:r w:rsidR="000C43B5">
              <w:rPr>
                <w:webHidden/>
              </w:rPr>
              <w:instrText xml:space="preserve"> PAGEREF _Toc505335893 \h </w:instrText>
            </w:r>
            <w:r w:rsidR="000C43B5">
              <w:rPr>
                <w:webHidden/>
              </w:rPr>
            </w:r>
            <w:r w:rsidR="000C43B5">
              <w:rPr>
                <w:webHidden/>
              </w:rPr>
              <w:fldChar w:fldCharType="separate"/>
            </w:r>
            <w:r w:rsidR="00737178">
              <w:rPr>
                <w:webHidden/>
              </w:rPr>
              <w:t>29</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894" w:history="1">
            <w:r w:rsidR="000C43B5" w:rsidRPr="00DD0C8C">
              <w:rPr>
                <w:rStyle w:val="Hipervnculo"/>
              </w:rPr>
              <w:t>1.2.4</w:t>
            </w:r>
            <w:r w:rsidR="000C43B5">
              <w:rPr>
                <w:rFonts w:asciiTheme="minorHAnsi" w:eastAsiaTheme="minorEastAsia" w:hAnsiTheme="minorHAnsi" w:cstheme="minorBidi"/>
                <w:szCs w:val="22"/>
                <w:lang w:eastAsia="es-CO"/>
              </w:rPr>
              <w:tab/>
            </w:r>
            <w:r w:rsidR="000C43B5" w:rsidRPr="00DD0C8C">
              <w:rPr>
                <w:rStyle w:val="Hipervnculo"/>
              </w:rPr>
              <w:t>Cargos del nivel de tensión 1</w:t>
            </w:r>
            <w:r w:rsidR="000C43B5">
              <w:rPr>
                <w:webHidden/>
              </w:rPr>
              <w:tab/>
            </w:r>
            <w:r w:rsidR="000C43B5">
              <w:rPr>
                <w:webHidden/>
              </w:rPr>
              <w:fldChar w:fldCharType="begin"/>
            </w:r>
            <w:r w:rsidR="000C43B5">
              <w:rPr>
                <w:webHidden/>
              </w:rPr>
              <w:instrText xml:space="preserve"> PAGEREF _Toc505335894 \h </w:instrText>
            </w:r>
            <w:r w:rsidR="000C43B5">
              <w:rPr>
                <w:webHidden/>
              </w:rPr>
            </w:r>
            <w:r w:rsidR="000C43B5">
              <w:rPr>
                <w:webHidden/>
              </w:rPr>
              <w:fldChar w:fldCharType="separate"/>
            </w:r>
            <w:r w:rsidR="00737178">
              <w:rPr>
                <w:webHidden/>
              </w:rPr>
              <w:t>30</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895" w:history="1">
            <w:r w:rsidR="000C43B5" w:rsidRPr="00DD0C8C">
              <w:rPr>
                <w:rStyle w:val="Hipervnculo"/>
              </w:rPr>
              <w:t>1.3</w:t>
            </w:r>
            <w:r w:rsidR="000C43B5">
              <w:rPr>
                <w:rFonts w:asciiTheme="minorHAnsi" w:eastAsiaTheme="minorEastAsia" w:hAnsiTheme="minorHAnsi" w:cstheme="minorBidi"/>
                <w:bCs w:val="0"/>
                <w:caps w:val="0"/>
                <w:szCs w:val="22"/>
                <w:lang w:eastAsia="es-CO"/>
              </w:rPr>
              <w:tab/>
            </w:r>
            <w:r w:rsidR="000C43B5" w:rsidRPr="00DD0C8C">
              <w:rPr>
                <w:rStyle w:val="Hipervnculo"/>
              </w:rPr>
              <w:t>ACTUALIZACIÓN Y LIQUIDACIÓN DE CARGOS</w:t>
            </w:r>
            <w:r w:rsidR="000C43B5">
              <w:rPr>
                <w:webHidden/>
              </w:rPr>
              <w:tab/>
            </w:r>
            <w:r w:rsidR="000C43B5">
              <w:rPr>
                <w:webHidden/>
              </w:rPr>
              <w:fldChar w:fldCharType="begin"/>
            </w:r>
            <w:r w:rsidR="000C43B5">
              <w:rPr>
                <w:webHidden/>
              </w:rPr>
              <w:instrText xml:space="preserve"> PAGEREF _Toc505335895 \h </w:instrText>
            </w:r>
            <w:r w:rsidR="000C43B5">
              <w:rPr>
                <w:webHidden/>
              </w:rPr>
            </w:r>
            <w:r w:rsidR="000C43B5">
              <w:rPr>
                <w:webHidden/>
              </w:rPr>
              <w:fldChar w:fldCharType="separate"/>
            </w:r>
            <w:r w:rsidR="00737178">
              <w:rPr>
                <w:webHidden/>
              </w:rPr>
              <w:t>31</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896" w:history="1">
            <w:r w:rsidR="000C43B5" w:rsidRPr="00DD0C8C">
              <w:rPr>
                <w:rStyle w:val="Hipervnculo"/>
              </w:rPr>
              <w:t>1.3.1</w:t>
            </w:r>
            <w:r w:rsidR="000C43B5">
              <w:rPr>
                <w:rFonts w:asciiTheme="minorHAnsi" w:eastAsiaTheme="minorEastAsia" w:hAnsiTheme="minorHAnsi" w:cstheme="minorBidi"/>
                <w:szCs w:val="22"/>
                <w:lang w:eastAsia="es-CO"/>
              </w:rPr>
              <w:tab/>
            </w:r>
            <w:r w:rsidR="000C43B5" w:rsidRPr="00DD0C8C">
              <w:rPr>
                <w:rStyle w:val="Hipervnculo"/>
              </w:rPr>
              <w:t>Actualización, liquidación y recaudo de cargos del STR</w:t>
            </w:r>
            <w:r w:rsidR="000C43B5">
              <w:rPr>
                <w:webHidden/>
              </w:rPr>
              <w:tab/>
            </w:r>
            <w:r w:rsidR="000C43B5">
              <w:rPr>
                <w:webHidden/>
              </w:rPr>
              <w:fldChar w:fldCharType="begin"/>
            </w:r>
            <w:r w:rsidR="000C43B5">
              <w:rPr>
                <w:webHidden/>
              </w:rPr>
              <w:instrText xml:space="preserve"> PAGEREF _Toc505335896 \h </w:instrText>
            </w:r>
            <w:r w:rsidR="000C43B5">
              <w:rPr>
                <w:webHidden/>
              </w:rPr>
            </w:r>
            <w:r w:rsidR="000C43B5">
              <w:rPr>
                <w:webHidden/>
              </w:rPr>
              <w:fldChar w:fldCharType="separate"/>
            </w:r>
            <w:r w:rsidR="00737178">
              <w:rPr>
                <w:webHidden/>
              </w:rPr>
              <w:t>31</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897" w:history="1">
            <w:r w:rsidR="000C43B5" w:rsidRPr="00DD0C8C">
              <w:rPr>
                <w:rStyle w:val="Hipervnculo"/>
              </w:rPr>
              <w:t>1.3.2</w:t>
            </w:r>
            <w:r w:rsidR="000C43B5">
              <w:rPr>
                <w:rFonts w:asciiTheme="minorHAnsi" w:eastAsiaTheme="minorEastAsia" w:hAnsiTheme="minorHAnsi" w:cstheme="minorBidi"/>
                <w:szCs w:val="22"/>
                <w:lang w:eastAsia="es-CO"/>
              </w:rPr>
              <w:tab/>
            </w:r>
            <w:r w:rsidR="000C43B5" w:rsidRPr="00DD0C8C">
              <w:rPr>
                <w:rStyle w:val="Hipervnculo"/>
              </w:rPr>
              <w:t>Actualización y liquidación de los cargos del SDL</w:t>
            </w:r>
            <w:r w:rsidR="000C43B5">
              <w:rPr>
                <w:webHidden/>
              </w:rPr>
              <w:tab/>
            </w:r>
            <w:r w:rsidR="000C43B5">
              <w:rPr>
                <w:webHidden/>
              </w:rPr>
              <w:fldChar w:fldCharType="begin"/>
            </w:r>
            <w:r w:rsidR="000C43B5">
              <w:rPr>
                <w:webHidden/>
              </w:rPr>
              <w:instrText xml:space="preserve"> PAGEREF _Toc505335897 \h </w:instrText>
            </w:r>
            <w:r w:rsidR="000C43B5">
              <w:rPr>
                <w:webHidden/>
              </w:rPr>
            </w:r>
            <w:r w:rsidR="000C43B5">
              <w:rPr>
                <w:webHidden/>
              </w:rPr>
              <w:fldChar w:fldCharType="separate"/>
            </w:r>
            <w:r w:rsidR="00737178">
              <w:rPr>
                <w:webHidden/>
              </w:rPr>
              <w:t>32</w:t>
            </w:r>
            <w:r w:rsidR="000C43B5">
              <w:rPr>
                <w:webHidden/>
              </w:rPr>
              <w:fldChar w:fldCharType="end"/>
            </w:r>
          </w:hyperlink>
        </w:p>
        <w:p w:rsidR="000C43B5" w:rsidRDefault="00C9592F">
          <w:pPr>
            <w:pStyle w:val="TDC1"/>
            <w:tabs>
              <w:tab w:val="left" w:pos="1843"/>
            </w:tabs>
            <w:rPr>
              <w:rFonts w:asciiTheme="minorHAnsi" w:eastAsiaTheme="minorEastAsia" w:hAnsiTheme="minorHAnsi" w:cstheme="minorBidi"/>
              <w:b w:val="0"/>
              <w:caps w:val="0"/>
              <w:sz w:val="22"/>
              <w:szCs w:val="22"/>
              <w:lang w:val="es-CO" w:eastAsia="es-CO"/>
            </w:rPr>
          </w:pPr>
          <w:hyperlink w:anchor="_Toc505335898" w:history="1">
            <w:r w:rsidR="000C43B5" w:rsidRPr="00DD0C8C">
              <w:rPr>
                <w:rStyle w:val="Hipervnculo"/>
              </w:rPr>
              <w:t>CAPITULO 2.</w:t>
            </w:r>
            <w:r w:rsidR="000C43B5">
              <w:rPr>
                <w:rFonts w:asciiTheme="minorHAnsi" w:eastAsiaTheme="minorEastAsia" w:hAnsiTheme="minorHAnsi" w:cstheme="minorBidi"/>
                <w:b w:val="0"/>
                <w:caps w:val="0"/>
                <w:sz w:val="22"/>
                <w:szCs w:val="22"/>
                <w:lang w:val="es-CO" w:eastAsia="es-CO"/>
              </w:rPr>
              <w:tab/>
            </w:r>
            <w:r w:rsidR="000C43B5" w:rsidRPr="00DD0C8C">
              <w:rPr>
                <w:rStyle w:val="Hipervnculo"/>
              </w:rPr>
              <w:t>CÁLCULO DE LOS INGRESOS DE LOS OR</w:t>
            </w:r>
            <w:r w:rsidR="000C43B5">
              <w:rPr>
                <w:webHidden/>
              </w:rPr>
              <w:tab/>
            </w:r>
            <w:r w:rsidR="000C43B5">
              <w:rPr>
                <w:webHidden/>
              </w:rPr>
              <w:fldChar w:fldCharType="begin"/>
            </w:r>
            <w:r w:rsidR="000C43B5">
              <w:rPr>
                <w:webHidden/>
              </w:rPr>
              <w:instrText xml:space="preserve"> PAGEREF _Toc505335898 \h </w:instrText>
            </w:r>
            <w:r w:rsidR="000C43B5">
              <w:rPr>
                <w:webHidden/>
              </w:rPr>
            </w:r>
            <w:r w:rsidR="000C43B5">
              <w:rPr>
                <w:webHidden/>
              </w:rPr>
              <w:fldChar w:fldCharType="separate"/>
            </w:r>
            <w:r w:rsidR="00737178">
              <w:rPr>
                <w:webHidden/>
              </w:rPr>
              <w:t>34</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899" w:history="1">
            <w:r w:rsidR="000C43B5" w:rsidRPr="00DD0C8C">
              <w:rPr>
                <w:rStyle w:val="Hipervnculo"/>
              </w:rPr>
              <w:t>2.1</w:t>
            </w:r>
            <w:r w:rsidR="000C43B5">
              <w:rPr>
                <w:rFonts w:asciiTheme="minorHAnsi" w:eastAsiaTheme="minorEastAsia" w:hAnsiTheme="minorHAnsi" w:cstheme="minorBidi"/>
                <w:bCs w:val="0"/>
                <w:caps w:val="0"/>
                <w:szCs w:val="22"/>
                <w:lang w:eastAsia="es-CO"/>
              </w:rPr>
              <w:tab/>
            </w:r>
            <w:r w:rsidR="000C43B5" w:rsidRPr="00DD0C8C">
              <w:rPr>
                <w:rStyle w:val="Hipervnculo"/>
              </w:rPr>
              <w:t>INGRESOS DE LOS OR EN EL NIVEL DE TENSIÓN  4</w:t>
            </w:r>
            <w:r w:rsidR="000C43B5">
              <w:rPr>
                <w:webHidden/>
              </w:rPr>
              <w:tab/>
            </w:r>
            <w:r w:rsidR="000C43B5">
              <w:rPr>
                <w:webHidden/>
              </w:rPr>
              <w:fldChar w:fldCharType="begin"/>
            </w:r>
            <w:r w:rsidR="000C43B5">
              <w:rPr>
                <w:webHidden/>
              </w:rPr>
              <w:instrText xml:space="preserve"> PAGEREF _Toc505335899 \h </w:instrText>
            </w:r>
            <w:r w:rsidR="000C43B5">
              <w:rPr>
                <w:webHidden/>
              </w:rPr>
            </w:r>
            <w:r w:rsidR="000C43B5">
              <w:rPr>
                <w:webHidden/>
              </w:rPr>
              <w:fldChar w:fldCharType="separate"/>
            </w:r>
            <w:r w:rsidR="00737178">
              <w:rPr>
                <w:webHidden/>
              </w:rPr>
              <w:t>34</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00" w:history="1">
            <w:r w:rsidR="000C43B5" w:rsidRPr="00DD0C8C">
              <w:rPr>
                <w:rStyle w:val="Hipervnculo"/>
              </w:rPr>
              <w:t>2.2</w:t>
            </w:r>
            <w:r w:rsidR="000C43B5">
              <w:rPr>
                <w:rFonts w:asciiTheme="minorHAnsi" w:eastAsiaTheme="minorEastAsia" w:hAnsiTheme="minorHAnsi" w:cstheme="minorBidi"/>
                <w:bCs w:val="0"/>
                <w:caps w:val="0"/>
                <w:szCs w:val="22"/>
                <w:lang w:eastAsia="es-CO"/>
              </w:rPr>
              <w:tab/>
            </w:r>
            <w:r w:rsidR="000C43B5" w:rsidRPr="00DD0C8C">
              <w:rPr>
                <w:rStyle w:val="Hipervnculo"/>
              </w:rPr>
              <w:t>INGRESOS DE LOS TR EN EL NIVEL DE TENSIÓN  4</w:t>
            </w:r>
            <w:r w:rsidR="000C43B5">
              <w:rPr>
                <w:webHidden/>
              </w:rPr>
              <w:tab/>
            </w:r>
            <w:r w:rsidR="000C43B5">
              <w:rPr>
                <w:webHidden/>
              </w:rPr>
              <w:fldChar w:fldCharType="begin"/>
            </w:r>
            <w:r w:rsidR="000C43B5">
              <w:rPr>
                <w:webHidden/>
              </w:rPr>
              <w:instrText xml:space="preserve"> PAGEREF _Toc505335900 \h </w:instrText>
            </w:r>
            <w:r w:rsidR="000C43B5">
              <w:rPr>
                <w:webHidden/>
              </w:rPr>
            </w:r>
            <w:r w:rsidR="000C43B5">
              <w:rPr>
                <w:webHidden/>
              </w:rPr>
              <w:fldChar w:fldCharType="separate"/>
            </w:r>
            <w:r w:rsidR="00737178">
              <w:rPr>
                <w:webHidden/>
              </w:rPr>
              <w:t>35</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01" w:history="1">
            <w:r w:rsidR="000C43B5" w:rsidRPr="00DD0C8C">
              <w:rPr>
                <w:rStyle w:val="Hipervnculo"/>
              </w:rPr>
              <w:t>2.3</w:t>
            </w:r>
            <w:r w:rsidR="000C43B5">
              <w:rPr>
                <w:rFonts w:asciiTheme="minorHAnsi" w:eastAsiaTheme="minorEastAsia" w:hAnsiTheme="minorHAnsi" w:cstheme="minorBidi"/>
                <w:bCs w:val="0"/>
                <w:caps w:val="0"/>
                <w:szCs w:val="22"/>
                <w:lang w:eastAsia="es-CO"/>
              </w:rPr>
              <w:tab/>
            </w:r>
            <w:r w:rsidR="000C43B5" w:rsidRPr="00DD0C8C">
              <w:rPr>
                <w:rStyle w:val="Hipervnculo"/>
              </w:rPr>
              <w:t>repartición de ingresos de nivel de tensión 4</w:t>
            </w:r>
            <w:r w:rsidR="000C43B5">
              <w:rPr>
                <w:webHidden/>
              </w:rPr>
              <w:tab/>
            </w:r>
            <w:r w:rsidR="000C43B5">
              <w:rPr>
                <w:webHidden/>
              </w:rPr>
              <w:fldChar w:fldCharType="begin"/>
            </w:r>
            <w:r w:rsidR="000C43B5">
              <w:rPr>
                <w:webHidden/>
              </w:rPr>
              <w:instrText xml:space="preserve"> PAGEREF _Toc505335901 \h </w:instrText>
            </w:r>
            <w:r w:rsidR="000C43B5">
              <w:rPr>
                <w:webHidden/>
              </w:rPr>
            </w:r>
            <w:r w:rsidR="000C43B5">
              <w:rPr>
                <w:webHidden/>
              </w:rPr>
              <w:fldChar w:fldCharType="separate"/>
            </w:r>
            <w:r w:rsidR="00737178">
              <w:rPr>
                <w:webHidden/>
              </w:rPr>
              <w:t>35</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02" w:history="1">
            <w:r w:rsidR="000C43B5" w:rsidRPr="00DD0C8C">
              <w:rPr>
                <w:rStyle w:val="Hipervnculo"/>
              </w:rPr>
              <w:t>2.4</w:t>
            </w:r>
            <w:r w:rsidR="000C43B5">
              <w:rPr>
                <w:rFonts w:asciiTheme="minorHAnsi" w:eastAsiaTheme="minorEastAsia" w:hAnsiTheme="minorHAnsi" w:cstheme="minorBidi"/>
                <w:bCs w:val="0"/>
                <w:caps w:val="0"/>
                <w:szCs w:val="22"/>
                <w:lang w:eastAsia="es-CO"/>
              </w:rPr>
              <w:tab/>
            </w:r>
            <w:r w:rsidR="000C43B5" w:rsidRPr="00DD0C8C">
              <w:rPr>
                <w:rStyle w:val="Hipervnculo"/>
              </w:rPr>
              <w:t>INGRESOS DE NIVEL DE TENSIÓN  3</w:t>
            </w:r>
            <w:r w:rsidR="000C43B5">
              <w:rPr>
                <w:webHidden/>
              </w:rPr>
              <w:tab/>
            </w:r>
            <w:r w:rsidR="000C43B5">
              <w:rPr>
                <w:webHidden/>
              </w:rPr>
              <w:fldChar w:fldCharType="begin"/>
            </w:r>
            <w:r w:rsidR="000C43B5">
              <w:rPr>
                <w:webHidden/>
              </w:rPr>
              <w:instrText xml:space="preserve"> PAGEREF _Toc505335902 \h </w:instrText>
            </w:r>
            <w:r w:rsidR="000C43B5">
              <w:rPr>
                <w:webHidden/>
              </w:rPr>
            </w:r>
            <w:r w:rsidR="000C43B5">
              <w:rPr>
                <w:webHidden/>
              </w:rPr>
              <w:fldChar w:fldCharType="separate"/>
            </w:r>
            <w:r w:rsidR="00737178">
              <w:rPr>
                <w:webHidden/>
              </w:rPr>
              <w:t>36</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03" w:history="1">
            <w:r w:rsidR="000C43B5" w:rsidRPr="00DD0C8C">
              <w:rPr>
                <w:rStyle w:val="Hipervnculo"/>
              </w:rPr>
              <w:t>2.5</w:t>
            </w:r>
            <w:r w:rsidR="000C43B5">
              <w:rPr>
                <w:rFonts w:asciiTheme="minorHAnsi" w:eastAsiaTheme="minorEastAsia" w:hAnsiTheme="minorHAnsi" w:cstheme="minorBidi"/>
                <w:bCs w:val="0"/>
                <w:caps w:val="0"/>
                <w:szCs w:val="22"/>
                <w:lang w:eastAsia="es-CO"/>
              </w:rPr>
              <w:tab/>
            </w:r>
            <w:r w:rsidR="000C43B5" w:rsidRPr="00DD0C8C">
              <w:rPr>
                <w:rStyle w:val="Hipervnculo"/>
              </w:rPr>
              <w:t>INGRESOS DE NIVEL DE TENSIÓN  2</w:t>
            </w:r>
            <w:r w:rsidR="000C43B5">
              <w:rPr>
                <w:webHidden/>
              </w:rPr>
              <w:tab/>
            </w:r>
            <w:r w:rsidR="000C43B5">
              <w:rPr>
                <w:webHidden/>
              </w:rPr>
              <w:fldChar w:fldCharType="begin"/>
            </w:r>
            <w:r w:rsidR="000C43B5">
              <w:rPr>
                <w:webHidden/>
              </w:rPr>
              <w:instrText xml:space="preserve"> PAGEREF _Toc505335903 \h </w:instrText>
            </w:r>
            <w:r w:rsidR="000C43B5">
              <w:rPr>
                <w:webHidden/>
              </w:rPr>
            </w:r>
            <w:r w:rsidR="000C43B5">
              <w:rPr>
                <w:webHidden/>
              </w:rPr>
              <w:fldChar w:fldCharType="separate"/>
            </w:r>
            <w:r w:rsidR="00737178">
              <w:rPr>
                <w:webHidden/>
              </w:rPr>
              <w:t>37</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04" w:history="1">
            <w:r w:rsidR="000C43B5" w:rsidRPr="00DD0C8C">
              <w:rPr>
                <w:rStyle w:val="Hipervnculo"/>
              </w:rPr>
              <w:t>2.6</w:t>
            </w:r>
            <w:r w:rsidR="000C43B5">
              <w:rPr>
                <w:rFonts w:asciiTheme="minorHAnsi" w:eastAsiaTheme="minorEastAsia" w:hAnsiTheme="minorHAnsi" w:cstheme="minorBidi"/>
                <w:bCs w:val="0"/>
                <w:caps w:val="0"/>
                <w:szCs w:val="22"/>
                <w:lang w:eastAsia="es-CO"/>
              </w:rPr>
              <w:tab/>
            </w:r>
            <w:r w:rsidR="000C43B5" w:rsidRPr="00DD0C8C">
              <w:rPr>
                <w:rStyle w:val="Hipervnculo"/>
              </w:rPr>
              <w:t>INGRESOS DE NIVEL DE TENSIÓN 1</w:t>
            </w:r>
            <w:r w:rsidR="000C43B5">
              <w:rPr>
                <w:webHidden/>
              </w:rPr>
              <w:tab/>
            </w:r>
            <w:r w:rsidR="000C43B5">
              <w:rPr>
                <w:webHidden/>
              </w:rPr>
              <w:fldChar w:fldCharType="begin"/>
            </w:r>
            <w:r w:rsidR="000C43B5">
              <w:rPr>
                <w:webHidden/>
              </w:rPr>
              <w:instrText xml:space="preserve"> PAGEREF _Toc505335904 \h </w:instrText>
            </w:r>
            <w:r w:rsidR="000C43B5">
              <w:rPr>
                <w:webHidden/>
              </w:rPr>
            </w:r>
            <w:r w:rsidR="000C43B5">
              <w:rPr>
                <w:webHidden/>
              </w:rPr>
              <w:fldChar w:fldCharType="separate"/>
            </w:r>
            <w:r w:rsidR="00737178">
              <w:rPr>
                <w:webHidden/>
              </w:rPr>
              <w:t>37</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05" w:history="1">
            <w:r w:rsidR="000C43B5" w:rsidRPr="00DD0C8C">
              <w:rPr>
                <w:rStyle w:val="Hipervnculo"/>
              </w:rPr>
              <w:t>2.7</w:t>
            </w:r>
            <w:r w:rsidR="000C43B5">
              <w:rPr>
                <w:rFonts w:asciiTheme="minorHAnsi" w:eastAsiaTheme="minorEastAsia" w:hAnsiTheme="minorHAnsi" w:cstheme="minorBidi"/>
                <w:bCs w:val="0"/>
                <w:caps w:val="0"/>
                <w:szCs w:val="22"/>
                <w:lang w:eastAsia="es-CO"/>
              </w:rPr>
              <w:tab/>
            </w:r>
            <w:r w:rsidR="000C43B5" w:rsidRPr="00DD0C8C">
              <w:rPr>
                <w:rStyle w:val="Hipervnculo"/>
              </w:rPr>
              <w:t>INGRESOS POR OTROS CONCEPTOS</w:t>
            </w:r>
            <w:r w:rsidR="000C43B5">
              <w:rPr>
                <w:webHidden/>
              </w:rPr>
              <w:tab/>
            </w:r>
            <w:r w:rsidR="000C43B5">
              <w:rPr>
                <w:webHidden/>
              </w:rPr>
              <w:fldChar w:fldCharType="begin"/>
            </w:r>
            <w:r w:rsidR="000C43B5">
              <w:rPr>
                <w:webHidden/>
              </w:rPr>
              <w:instrText xml:space="preserve"> PAGEREF _Toc505335905 \h </w:instrText>
            </w:r>
            <w:r w:rsidR="000C43B5">
              <w:rPr>
                <w:webHidden/>
              </w:rPr>
            </w:r>
            <w:r w:rsidR="000C43B5">
              <w:rPr>
                <w:webHidden/>
              </w:rPr>
              <w:fldChar w:fldCharType="separate"/>
            </w:r>
            <w:r w:rsidR="00737178">
              <w:rPr>
                <w:webHidden/>
              </w:rPr>
              <w:t>38</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06" w:history="1">
            <w:r w:rsidR="000C43B5" w:rsidRPr="00DD0C8C">
              <w:rPr>
                <w:rStyle w:val="Hipervnculo"/>
              </w:rPr>
              <w:t>2.8</w:t>
            </w:r>
            <w:r w:rsidR="000C43B5">
              <w:rPr>
                <w:rFonts w:asciiTheme="minorHAnsi" w:eastAsiaTheme="minorEastAsia" w:hAnsiTheme="minorHAnsi" w:cstheme="minorBidi"/>
                <w:bCs w:val="0"/>
                <w:caps w:val="0"/>
                <w:szCs w:val="22"/>
                <w:lang w:eastAsia="es-CO"/>
              </w:rPr>
              <w:tab/>
            </w:r>
            <w:r w:rsidR="000C43B5" w:rsidRPr="00DD0C8C">
              <w:rPr>
                <w:rStyle w:val="Hipervnculo"/>
              </w:rPr>
              <w:t>FACTOR PARA CALCULAR VALORES MENSUALES</w:t>
            </w:r>
            <w:r w:rsidR="000C43B5">
              <w:rPr>
                <w:webHidden/>
              </w:rPr>
              <w:tab/>
            </w:r>
            <w:r w:rsidR="000C43B5">
              <w:rPr>
                <w:webHidden/>
              </w:rPr>
              <w:fldChar w:fldCharType="begin"/>
            </w:r>
            <w:r w:rsidR="000C43B5">
              <w:rPr>
                <w:webHidden/>
              </w:rPr>
              <w:instrText xml:space="preserve"> PAGEREF _Toc505335906 \h </w:instrText>
            </w:r>
            <w:r w:rsidR="000C43B5">
              <w:rPr>
                <w:webHidden/>
              </w:rPr>
            </w:r>
            <w:r w:rsidR="000C43B5">
              <w:rPr>
                <w:webHidden/>
              </w:rPr>
              <w:fldChar w:fldCharType="separate"/>
            </w:r>
            <w:r w:rsidR="00737178">
              <w:rPr>
                <w:webHidden/>
              </w:rPr>
              <w:t>38</w:t>
            </w:r>
            <w:r w:rsidR="000C43B5">
              <w:rPr>
                <w:webHidden/>
              </w:rPr>
              <w:fldChar w:fldCharType="end"/>
            </w:r>
          </w:hyperlink>
        </w:p>
        <w:p w:rsidR="000C43B5" w:rsidRDefault="00C9592F">
          <w:pPr>
            <w:pStyle w:val="TDC1"/>
            <w:tabs>
              <w:tab w:val="left" w:pos="1843"/>
            </w:tabs>
            <w:rPr>
              <w:rFonts w:asciiTheme="minorHAnsi" w:eastAsiaTheme="minorEastAsia" w:hAnsiTheme="minorHAnsi" w:cstheme="minorBidi"/>
              <w:b w:val="0"/>
              <w:caps w:val="0"/>
              <w:sz w:val="22"/>
              <w:szCs w:val="22"/>
              <w:lang w:val="es-CO" w:eastAsia="es-CO"/>
            </w:rPr>
          </w:pPr>
          <w:hyperlink w:anchor="_Toc505335907" w:history="1">
            <w:r w:rsidR="000C43B5" w:rsidRPr="00DD0C8C">
              <w:rPr>
                <w:rStyle w:val="Hipervnculo"/>
              </w:rPr>
              <w:t>CAPITULO 3.</w:t>
            </w:r>
            <w:r w:rsidR="000C43B5">
              <w:rPr>
                <w:rFonts w:asciiTheme="minorHAnsi" w:eastAsiaTheme="minorEastAsia" w:hAnsiTheme="minorHAnsi" w:cstheme="minorBidi"/>
                <w:b w:val="0"/>
                <w:caps w:val="0"/>
                <w:sz w:val="22"/>
                <w:szCs w:val="22"/>
                <w:lang w:val="es-CO" w:eastAsia="es-CO"/>
              </w:rPr>
              <w:tab/>
            </w:r>
            <w:r w:rsidR="000C43B5" w:rsidRPr="00DD0C8C">
              <w:rPr>
                <w:rStyle w:val="Hipervnculo"/>
              </w:rPr>
              <w:t>INGRESO ANUAL POR INVERSIONES</w:t>
            </w:r>
            <w:r w:rsidR="000C43B5">
              <w:rPr>
                <w:webHidden/>
              </w:rPr>
              <w:tab/>
            </w:r>
            <w:r w:rsidR="000C43B5">
              <w:rPr>
                <w:webHidden/>
              </w:rPr>
              <w:fldChar w:fldCharType="begin"/>
            </w:r>
            <w:r w:rsidR="000C43B5">
              <w:rPr>
                <w:webHidden/>
              </w:rPr>
              <w:instrText xml:space="preserve"> PAGEREF _Toc505335907 \h </w:instrText>
            </w:r>
            <w:r w:rsidR="000C43B5">
              <w:rPr>
                <w:webHidden/>
              </w:rPr>
            </w:r>
            <w:r w:rsidR="000C43B5">
              <w:rPr>
                <w:webHidden/>
              </w:rPr>
              <w:fldChar w:fldCharType="separate"/>
            </w:r>
            <w:r w:rsidR="00737178">
              <w:rPr>
                <w:webHidden/>
              </w:rPr>
              <w:t>40</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08" w:history="1">
            <w:r w:rsidR="000C43B5" w:rsidRPr="00DD0C8C">
              <w:rPr>
                <w:rStyle w:val="Hipervnculo"/>
              </w:rPr>
              <w:t>3.1</w:t>
            </w:r>
            <w:r w:rsidR="000C43B5">
              <w:rPr>
                <w:rFonts w:asciiTheme="minorHAnsi" w:eastAsiaTheme="minorEastAsia" w:hAnsiTheme="minorHAnsi" w:cstheme="minorBidi"/>
                <w:bCs w:val="0"/>
                <w:caps w:val="0"/>
                <w:szCs w:val="22"/>
                <w:lang w:eastAsia="es-CO"/>
              </w:rPr>
              <w:tab/>
            </w:r>
            <w:r w:rsidR="000C43B5" w:rsidRPr="00DD0C8C">
              <w:rPr>
                <w:rStyle w:val="Hipervnculo"/>
              </w:rPr>
              <w:t>BASE REGULATORIA DE ACTIVOS</w:t>
            </w:r>
            <w:r w:rsidR="000C43B5">
              <w:rPr>
                <w:webHidden/>
              </w:rPr>
              <w:tab/>
            </w:r>
            <w:r w:rsidR="000C43B5">
              <w:rPr>
                <w:webHidden/>
              </w:rPr>
              <w:fldChar w:fldCharType="begin"/>
            </w:r>
            <w:r w:rsidR="000C43B5">
              <w:rPr>
                <w:webHidden/>
              </w:rPr>
              <w:instrText xml:space="preserve"> PAGEREF _Toc505335908 \h </w:instrText>
            </w:r>
            <w:r w:rsidR="000C43B5">
              <w:rPr>
                <w:webHidden/>
              </w:rPr>
            </w:r>
            <w:r w:rsidR="000C43B5">
              <w:rPr>
                <w:webHidden/>
              </w:rPr>
              <w:fldChar w:fldCharType="separate"/>
            </w:r>
            <w:r w:rsidR="00737178">
              <w:rPr>
                <w:webHidden/>
              </w:rPr>
              <w:t>40</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09" w:history="1">
            <w:r w:rsidR="000C43B5" w:rsidRPr="00DD0C8C">
              <w:rPr>
                <w:rStyle w:val="Hipervnculo"/>
              </w:rPr>
              <w:t>3.1.1</w:t>
            </w:r>
            <w:r w:rsidR="000C43B5">
              <w:rPr>
                <w:rFonts w:asciiTheme="minorHAnsi" w:eastAsiaTheme="minorEastAsia" w:hAnsiTheme="minorHAnsi" w:cstheme="minorBidi"/>
                <w:szCs w:val="22"/>
                <w:lang w:eastAsia="es-CO"/>
              </w:rPr>
              <w:tab/>
            </w:r>
            <w:r w:rsidR="000C43B5" w:rsidRPr="00DD0C8C">
              <w:rPr>
                <w:rStyle w:val="Hipervnculo"/>
              </w:rPr>
              <w:t>Base regulatoria de activos eléctricos</w:t>
            </w:r>
            <w:r w:rsidR="000C43B5">
              <w:rPr>
                <w:webHidden/>
              </w:rPr>
              <w:tab/>
            </w:r>
            <w:r w:rsidR="000C43B5">
              <w:rPr>
                <w:webHidden/>
              </w:rPr>
              <w:fldChar w:fldCharType="begin"/>
            </w:r>
            <w:r w:rsidR="000C43B5">
              <w:rPr>
                <w:webHidden/>
              </w:rPr>
              <w:instrText xml:space="preserve"> PAGEREF _Toc505335909 \h </w:instrText>
            </w:r>
            <w:r w:rsidR="000C43B5">
              <w:rPr>
                <w:webHidden/>
              </w:rPr>
            </w:r>
            <w:r w:rsidR="000C43B5">
              <w:rPr>
                <w:webHidden/>
              </w:rPr>
              <w:fldChar w:fldCharType="separate"/>
            </w:r>
            <w:r w:rsidR="00737178">
              <w:rPr>
                <w:webHidden/>
              </w:rPr>
              <w:t>40</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10" w:history="1">
            <w:r w:rsidR="000C43B5" w:rsidRPr="00DD0C8C">
              <w:rPr>
                <w:rStyle w:val="Hipervnculo"/>
              </w:rPr>
              <w:t>3.1.2</w:t>
            </w:r>
            <w:r w:rsidR="000C43B5">
              <w:rPr>
                <w:rFonts w:asciiTheme="minorHAnsi" w:eastAsiaTheme="minorEastAsia" w:hAnsiTheme="minorHAnsi" w:cstheme="minorBidi"/>
                <w:szCs w:val="22"/>
                <w:lang w:eastAsia="es-CO"/>
              </w:rPr>
              <w:tab/>
            </w:r>
            <w:r w:rsidR="000C43B5" w:rsidRPr="00DD0C8C">
              <w:rPr>
                <w:rStyle w:val="Hipervnculo"/>
              </w:rPr>
              <w:t>Base regulatoria de activos no eléctricos</w:t>
            </w:r>
            <w:r w:rsidR="000C43B5">
              <w:rPr>
                <w:webHidden/>
              </w:rPr>
              <w:tab/>
            </w:r>
            <w:r w:rsidR="000C43B5">
              <w:rPr>
                <w:webHidden/>
              </w:rPr>
              <w:fldChar w:fldCharType="begin"/>
            </w:r>
            <w:r w:rsidR="000C43B5">
              <w:rPr>
                <w:webHidden/>
              </w:rPr>
              <w:instrText xml:space="preserve"> PAGEREF _Toc505335910 \h </w:instrText>
            </w:r>
            <w:r w:rsidR="000C43B5">
              <w:rPr>
                <w:webHidden/>
              </w:rPr>
            </w:r>
            <w:r w:rsidR="000C43B5">
              <w:rPr>
                <w:webHidden/>
              </w:rPr>
              <w:fldChar w:fldCharType="separate"/>
            </w:r>
            <w:r w:rsidR="00737178">
              <w:rPr>
                <w:webHidden/>
              </w:rPr>
              <w:t>59</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11" w:history="1">
            <w:r w:rsidR="000C43B5" w:rsidRPr="00DD0C8C">
              <w:rPr>
                <w:rStyle w:val="Hipervnculo"/>
              </w:rPr>
              <w:t>3.2</w:t>
            </w:r>
            <w:r w:rsidR="000C43B5">
              <w:rPr>
                <w:rFonts w:asciiTheme="minorHAnsi" w:eastAsiaTheme="minorEastAsia" w:hAnsiTheme="minorHAnsi" w:cstheme="minorBidi"/>
                <w:bCs w:val="0"/>
                <w:caps w:val="0"/>
                <w:szCs w:val="22"/>
                <w:lang w:eastAsia="es-CO"/>
              </w:rPr>
              <w:tab/>
            </w:r>
            <w:r w:rsidR="000C43B5" w:rsidRPr="00DD0C8C">
              <w:rPr>
                <w:rStyle w:val="Hipervnculo"/>
              </w:rPr>
              <w:t>RECUPERACIÓN DE CAPITAL RECONOCIDA</w:t>
            </w:r>
            <w:r w:rsidR="000C43B5">
              <w:rPr>
                <w:webHidden/>
              </w:rPr>
              <w:tab/>
            </w:r>
            <w:r w:rsidR="000C43B5">
              <w:rPr>
                <w:webHidden/>
              </w:rPr>
              <w:fldChar w:fldCharType="begin"/>
            </w:r>
            <w:r w:rsidR="000C43B5">
              <w:rPr>
                <w:webHidden/>
              </w:rPr>
              <w:instrText xml:space="preserve"> PAGEREF _Toc505335911 \h </w:instrText>
            </w:r>
            <w:r w:rsidR="000C43B5">
              <w:rPr>
                <w:webHidden/>
              </w:rPr>
            </w:r>
            <w:r w:rsidR="000C43B5">
              <w:rPr>
                <w:webHidden/>
              </w:rPr>
              <w:fldChar w:fldCharType="separate"/>
            </w:r>
            <w:r w:rsidR="00737178">
              <w:rPr>
                <w:webHidden/>
              </w:rPr>
              <w:t>59</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12" w:history="1">
            <w:r w:rsidR="000C43B5" w:rsidRPr="00DD0C8C">
              <w:rPr>
                <w:rStyle w:val="Hipervnculo"/>
              </w:rPr>
              <w:t>3.2.1</w:t>
            </w:r>
            <w:r w:rsidR="000C43B5">
              <w:rPr>
                <w:rFonts w:asciiTheme="minorHAnsi" w:eastAsiaTheme="minorEastAsia" w:hAnsiTheme="minorHAnsi" w:cstheme="minorBidi"/>
                <w:szCs w:val="22"/>
                <w:lang w:eastAsia="es-CO"/>
              </w:rPr>
              <w:tab/>
            </w:r>
            <w:r w:rsidR="000C43B5" w:rsidRPr="00DD0C8C">
              <w:rPr>
                <w:rStyle w:val="Hipervnculo"/>
              </w:rPr>
              <w:t>Recuperación de capital de activos de la BRA inicial</w:t>
            </w:r>
            <w:r w:rsidR="000C43B5">
              <w:rPr>
                <w:webHidden/>
              </w:rPr>
              <w:tab/>
            </w:r>
            <w:r w:rsidR="000C43B5">
              <w:rPr>
                <w:webHidden/>
              </w:rPr>
              <w:fldChar w:fldCharType="begin"/>
            </w:r>
            <w:r w:rsidR="000C43B5">
              <w:rPr>
                <w:webHidden/>
              </w:rPr>
              <w:instrText xml:space="preserve"> PAGEREF _Toc505335912 \h </w:instrText>
            </w:r>
            <w:r w:rsidR="000C43B5">
              <w:rPr>
                <w:webHidden/>
              </w:rPr>
            </w:r>
            <w:r w:rsidR="000C43B5">
              <w:rPr>
                <w:webHidden/>
              </w:rPr>
              <w:fldChar w:fldCharType="separate"/>
            </w:r>
            <w:r w:rsidR="00737178">
              <w:rPr>
                <w:webHidden/>
              </w:rPr>
              <w:t>60</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13" w:history="1">
            <w:r w:rsidR="000C43B5" w:rsidRPr="00DD0C8C">
              <w:rPr>
                <w:rStyle w:val="Hipervnculo"/>
              </w:rPr>
              <w:t>3.2.2</w:t>
            </w:r>
            <w:r w:rsidR="000C43B5">
              <w:rPr>
                <w:rFonts w:asciiTheme="minorHAnsi" w:eastAsiaTheme="minorEastAsia" w:hAnsiTheme="minorHAnsi" w:cstheme="minorBidi"/>
                <w:szCs w:val="22"/>
                <w:lang w:eastAsia="es-CO"/>
              </w:rPr>
              <w:tab/>
            </w:r>
            <w:r w:rsidR="000C43B5" w:rsidRPr="00DD0C8C">
              <w:rPr>
                <w:rStyle w:val="Hipervnculo"/>
              </w:rPr>
              <w:t>Recuperación de capital de activos nuevos</w:t>
            </w:r>
            <w:r w:rsidR="000C43B5">
              <w:rPr>
                <w:webHidden/>
              </w:rPr>
              <w:tab/>
            </w:r>
            <w:r w:rsidR="000C43B5">
              <w:rPr>
                <w:webHidden/>
              </w:rPr>
              <w:fldChar w:fldCharType="begin"/>
            </w:r>
            <w:r w:rsidR="000C43B5">
              <w:rPr>
                <w:webHidden/>
              </w:rPr>
              <w:instrText xml:space="preserve"> PAGEREF _Toc505335913 \h </w:instrText>
            </w:r>
            <w:r w:rsidR="000C43B5">
              <w:rPr>
                <w:webHidden/>
              </w:rPr>
            </w:r>
            <w:r w:rsidR="000C43B5">
              <w:rPr>
                <w:webHidden/>
              </w:rPr>
              <w:fldChar w:fldCharType="separate"/>
            </w:r>
            <w:r w:rsidR="00737178">
              <w:rPr>
                <w:webHidden/>
              </w:rPr>
              <w:t>61</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14" w:history="1">
            <w:r w:rsidR="000C43B5" w:rsidRPr="00DD0C8C">
              <w:rPr>
                <w:rStyle w:val="Hipervnculo"/>
              </w:rPr>
              <w:t>3.2.3</w:t>
            </w:r>
            <w:r w:rsidR="000C43B5">
              <w:rPr>
                <w:rFonts w:asciiTheme="minorHAnsi" w:eastAsiaTheme="minorEastAsia" w:hAnsiTheme="minorHAnsi" w:cstheme="minorBidi"/>
                <w:szCs w:val="22"/>
                <w:lang w:eastAsia="es-CO"/>
              </w:rPr>
              <w:tab/>
            </w:r>
            <w:r w:rsidR="000C43B5" w:rsidRPr="00DD0C8C">
              <w:rPr>
                <w:rStyle w:val="Hipervnculo"/>
              </w:rPr>
              <w:t>Ajuste de la recuperación de capital al final del periodo tarifario</w:t>
            </w:r>
            <w:r w:rsidR="000C43B5">
              <w:rPr>
                <w:webHidden/>
              </w:rPr>
              <w:tab/>
            </w:r>
            <w:r w:rsidR="000C43B5">
              <w:rPr>
                <w:webHidden/>
              </w:rPr>
              <w:fldChar w:fldCharType="begin"/>
            </w:r>
            <w:r w:rsidR="000C43B5">
              <w:rPr>
                <w:webHidden/>
              </w:rPr>
              <w:instrText xml:space="preserve"> PAGEREF _Toc505335914 \h </w:instrText>
            </w:r>
            <w:r w:rsidR="000C43B5">
              <w:rPr>
                <w:webHidden/>
              </w:rPr>
            </w:r>
            <w:r w:rsidR="000C43B5">
              <w:rPr>
                <w:webHidden/>
              </w:rPr>
              <w:fldChar w:fldCharType="separate"/>
            </w:r>
            <w:r w:rsidR="00737178">
              <w:rPr>
                <w:webHidden/>
              </w:rPr>
              <w:t>62</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15" w:history="1">
            <w:r w:rsidR="000C43B5" w:rsidRPr="00DD0C8C">
              <w:rPr>
                <w:rStyle w:val="Hipervnculo"/>
              </w:rPr>
              <w:t>3.2.4</w:t>
            </w:r>
            <w:r w:rsidR="000C43B5">
              <w:rPr>
                <w:rFonts w:asciiTheme="minorHAnsi" w:eastAsiaTheme="minorEastAsia" w:hAnsiTheme="minorHAnsi" w:cstheme="minorBidi"/>
                <w:szCs w:val="22"/>
                <w:lang w:eastAsia="es-CO"/>
              </w:rPr>
              <w:tab/>
            </w:r>
            <w:r w:rsidR="000C43B5" w:rsidRPr="00DD0C8C">
              <w:rPr>
                <w:rStyle w:val="Hipervnculo"/>
              </w:rPr>
              <w:t>Vida útil reconocida por categoría de activos</w:t>
            </w:r>
            <w:r w:rsidR="000C43B5">
              <w:rPr>
                <w:webHidden/>
              </w:rPr>
              <w:tab/>
            </w:r>
            <w:r w:rsidR="000C43B5">
              <w:rPr>
                <w:webHidden/>
              </w:rPr>
              <w:fldChar w:fldCharType="begin"/>
            </w:r>
            <w:r w:rsidR="000C43B5">
              <w:rPr>
                <w:webHidden/>
              </w:rPr>
              <w:instrText xml:space="preserve"> PAGEREF _Toc505335915 \h </w:instrText>
            </w:r>
            <w:r w:rsidR="000C43B5">
              <w:rPr>
                <w:webHidden/>
              </w:rPr>
            </w:r>
            <w:r w:rsidR="000C43B5">
              <w:rPr>
                <w:webHidden/>
              </w:rPr>
              <w:fldChar w:fldCharType="separate"/>
            </w:r>
            <w:r w:rsidR="00737178">
              <w:rPr>
                <w:webHidden/>
              </w:rPr>
              <w:t>62</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16" w:history="1">
            <w:r w:rsidR="000C43B5" w:rsidRPr="00DD0C8C">
              <w:rPr>
                <w:rStyle w:val="Hipervnculo"/>
              </w:rPr>
              <w:t>3.3</w:t>
            </w:r>
            <w:r w:rsidR="000C43B5">
              <w:rPr>
                <w:rFonts w:asciiTheme="minorHAnsi" w:eastAsiaTheme="minorEastAsia" w:hAnsiTheme="minorHAnsi" w:cstheme="minorBidi"/>
                <w:bCs w:val="0"/>
                <w:caps w:val="0"/>
                <w:szCs w:val="22"/>
                <w:lang w:eastAsia="es-CO"/>
              </w:rPr>
              <w:tab/>
            </w:r>
            <w:r w:rsidR="000C43B5" w:rsidRPr="00DD0C8C">
              <w:rPr>
                <w:rStyle w:val="Hipervnculo"/>
              </w:rPr>
              <w:t>BASE REGULATORIA DE TERRENOS</w:t>
            </w:r>
            <w:r w:rsidR="000C43B5">
              <w:rPr>
                <w:webHidden/>
              </w:rPr>
              <w:tab/>
            </w:r>
            <w:r w:rsidR="000C43B5">
              <w:rPr>
                <w:webHidden/>
              </w:rPr>
              <w:fldChar w:fldCharType="begin"/>
            </w:r>
            <w:r w:rsidR="000C43B5">
              <w:rPr>
                <w:webHidden/>
              </w:rPr>
              <w:instrText xml:space="preserve"> PAGEREF _Toc505335916 \h </w:instrText>
            </w:r>
            <w:r w:rsidR="000C43B5">
              <w:rPr>
                <w:webHidden/>
              </w:rPr>
            </w:r>
            <w:r w:rsidR="000C43B5">
              <w:rPr>
                <w:webHidden/>
              </w:rPr>
              <w:fldChar w:fldCharType="separate"/>
            </w:r>
            <w:r w:rsidR="00737178">
              <w:rPr>
                <w:webHidden/>
              </w:rPr>
              <w:t>62</w:t>
            </w:r>
            <w:r w:rsidR="000C43B5">
              <w:rPr>
                <w:webHidden/>
              </w:rPr>
              <w:fldChar w:fldCharType="end"/>
            </w:r>
          </w:hyperlink>
        </w:p>
        <w:p w:rsidR="000C43B5" w:rsidRDefault="00C9592F">
          <w:pPr>
            <w:pStyle w:val="TDC1"/>
            <w:tabs>
              <w:tab w:val="left" w:pos="1843"/>
            </w:tabs>
            <w:rPr>
              <w:rFonts w:asciiTheme="minorHAnsi" w:eastAsiaTheme="minorEastAsia" w:hAnsiTheme="minorHAnsi" w:cstheme="minorBidi"/>
              <w:b w:val="0"/>
              <w:caps w:val="0"/>
              <w:sz w:val="22"/>
              <w:szCs w:val="22"/>
              <w:lang w:val="es-CO" w:eastAsia="es-CO"/>
            </w:rPr>
          </w:pPr>
          <w:hyperlink w:anchor="_Toc505335917" w:history="1">
            <w:r w:rsidR="000C43B5" w:rsidRPr="00DD0C8C">
              <w:rPr>
                <w:rStyle w:val="Hipervnculo"/>
              </w:rPr>
              <w:t>CAPITULO 4.</w:t>
            </w:r>
            <w:r w:rsidR="000C43B5">
              <w:rPr>
                <w:rFonts w:asciiTheme="minorHAnsi" w:eastAsiaTheme="minorEastAsia" w:hAnsiTheme="minorHAnsi" w:cstheme="minorBidi"/>
                <w:b w:val="0"/>
                <w:caps w:val="0"/>
                <w:sz w:val="22"/>
                <w:szCs w:val="22"/>
                <w:lang w:val="es-CO" w:eastAsia="es-CO"/>
              </w:rPr>
              <w:tab/>
            </w:r>
            <w:r w:rsidR="000C43B5" w:rsidRPr="00DD0C8C">
              <w:rPr>
                <w:rStyle w:val="Hipervnculo"/>
              </w:rPr>
              <w:t>INGRESO ANUAL POR GASTOS DE AOM</w:t>
            </w:r>
            <w:r w:rsidR="000C43B5">
              <w:rPr>
                <w:webHidden/>
              </w:rPr>
              <w:tab/>
            </w:r>
            <w:r w:rsidR="000C43B5">
              <w:rPr>
                <w:webHidden/>
              </w:rPr>
              <w:fldChar w:fldCharType="begin"/>
            </w:r>
            <w:r w:rsidR="000C43B5">
              <w:rPr>
                <w:webHidden/>
              </w:rPr>
              <w:instrText xml:space="preserve"> PAGEREF _Toc505335917 \h </w:instrText>
            </w:r>
            <w:r w:rsidR="000C43B5">
              <w:rPr>
                <w:webHidden/>
              </w:rPr>
            </w:r>
            <w:r w:rsidR="000C43B5">
              <w:rPr>
                <w:webHidden/>
              </w:rPr>
              <w:fldChar w:fldCharType="separate"/>
            </w:r>
            <w:r w:rsidR="00737178">
              <w:rPr>
                <w:webHidden/>
              </w:rPr>
              <w:t>64</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18" w:history="1">
            <w:r w:rsidR="000C43B5" w:rsidRPr="00DD0C8C">
              <w:rPr>
                <w:rStyle w:val="Hipervnculo"/>
              </w:rPr>
              <w:t>4.1</w:t>
            </w:r>
            <w:r w:rsidR="000C43B5">
              <w:rPr>
                <w:rFonts w:asciiTheme="minorHAnsi" w:eastAsiaTheme="minorEastAsia" w:hAnsiTheme="minorHAnsi" w:cstheme="minorBidi"/>
                <w:bCs w:val="0"/>
                <w:caps w:val="0"/>
                <w:szCs w:val="22"/>
                <w:lang w:eastAsia="es-CO"/>
              </w:rPr>
              <w:tab/>
            </w:r>
            <w:r w:rsidR="000C43B5" w:rsidRPr="00DD0C8C">
              <w:rPr>
                <w:rStyle w:val="Hipervnculo"/>
              </w:rPr>
              <w:t>AOM BASE A RECONOCER</w:t>
            </w:r>
            <w:r w:rsidR="000C43B5">
              <w:rPr>
                <w:webHidden/>
              </w:rPr>
              <w:tab/>
            </w:r>
            <w:r w:rsidR="000C43B5">
              <w:rPr>
                <w:webHidden/>
              </w:rPr>
              <w:fldChar w:fldCharType="begin"/>
            </w:r>
            <w:r w:rsidR="000C43B5">
              <w:rPr>
                <w:webHidden/>
              </w:rPr>
              <w:instrText xml:space="preserve"> PAGEREF _Toc505335918 \h </w:instrText>
            </w:r>
            <w:r w:rsidR="000C43B5">
              <w:rPr>
                <w:webHidden/>
              </w:rPr>
            </w:r>
            <w:r w:rsidR="000C43B5">
              <w:rPr>
                <w:webHidden/>
              </w:rPr>
              <w:fldChar w:fldCharType="separate"/>
            </w:r>
            <w:r w:rsidR="00737178">
              <w:rPr>
                <w:webHidden/>
              </w:rPr>
              <w:t>64</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19" w:history="1">
            <w:r w:rsidR="000C43B5" w:rsidRPr="00DD0C8C">
              <w:rPr>
                <w:rStyle w:val="Hipervnculo"/>
              </w:rPr>
              <w:t>4.1.1</w:t>
            </w:r>
            <w:r w:rsidR="000C43B5">
              <w:rPr>
                <w:rFonts w:asciiTheme="minorHAnsi" w:eastAsiaTheme="minorEastAsia" w:hAnsiTheme="minorHAnsi" w:cstheme="minorBidi"/>
                <w:szCs w:val="22"/>
                <w:lang w:eastAsia="es-CO"/>
              </w:rPr>
              <w:tab/>
            </w:r>
            <w:r w:rsidR="000C43B5" w:rsidRPr="00DD0C8C">
              <w:rPr>
                <w:rStyle w:val="Hipervnculo"/>
              </w:rPr>
              <w:t>AOM inicial</w:t>
            </w:r>
            <w:r w:rsidR="000C43B5">
              <w:rPr>
                <w:webHidden/>
              </w:rPr>
              <w:tab/>
            </w:r>
            <w:r w:rsidR="000C43B5">
              <w:rPr>
                <w:webHidden/>
              </w:rPr>
              <w:fldChar w:fldCharType="begin"/>
            </w:r>
            <w:r w:rsidR="000C43B5">
              <w:rPr>
                <w:webHidden/>
              </w:rPr>
              <w:instrText xml:space="preserve"> PAGEREF _Toc505335919 \h </w:instrText>
            </w:r>
            <w:r w:rsidR="000C43B5">
              <w:rPr>
                <w:webHidden/>
              </w:rPr>
            </w:r>
            <w:r w:rsidR="000C43B5">
              <w:rPr>
                <w:webHidden/>
              </w:rPr>
              <w:fldChar w:fldCharType="separate"/>
            </w:r>
            <w:r w:rsidR="00737178">
              <w:rPr>
                <w:webHidden/>
              </w:rPr>
              <w:t>65</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20" w:history="1">
            <w:r w:rsidR="000C43B5" w:rsidRPr="00DD0C8C">
              <w:rPr>
                <w:rStyle w:val="Hipervnculo"/>
              </w:rPr>
              <w:t>4.1.2</w:t>
            </w:r>
            <w:r w:rsidR="000C43B5">
              <w:rPr>
                <w:rFonts w:asciiTheme="minorHAnsi" w:eastAsiaTheme="minorEastAsia" w:hAnsiTheme="minorHAnsi" w:cstheme="minorBidi"/>
                <w:szCs w:val="22"/>
                <w:lang w:eastAsia="es-CO"/>
              </w:rPr>
              <w:tab/>
            </w:r>
            <w:r w:rsidR="000C43B5" w:rsidRPr="00DD0C8C">
              <w:rPr>
                <w:rStyle w:val="Hipervnculo"/>
              </w:rPr>
              <w:t>AOM objetivo</w:t>
            </w:r>
            <w:r w:rsidR="000C43B5">
              <w:rPr>
                <w:webHidden/>
              </w:rPr>
              <w:tab/>
            </w:r>
            <w:r w:rsidR="000C43B5">
              <w:rPr>
                <w:webHidden/>
              </w:rPr>
              <w:fldChar w:fldCharType="begin"/>
            </w:r>
            <w:r w:rsidR="000C43B5">
              <w:rPr>
                <w:webHidden/>
              </w:rPr>
              <w:instrText xml:space="preserve"> PAGEREF _Toc505335920 \h </w:instrText>
            </w:r>
            <w:r w:rsidR="000C43B5">
              <w:rPr>
                <w:webHidden/>
              </w:rPr>
            </w:r>
            <w:r w:rsidR="000C43B5">
              <w:rPr>
                <w:webHidden/>
              </w:rPr>
              <w:fldChar w:fldCharType="separate"/>
            </w:r>
            <w:r w:rsidR="00737178">
              <w:rPr>
                <w:webHidden/>
              </w:rPr>
              <w:t>65</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21" w:history="1">
            <w:r w:rsidR="000C43B5" w:rsidRPr="00DD0C8C">
              <w:rPr>
                <w:rStyle w:val="Hipervnculo"/>
              </w:rPr>
              <w:t>4.1.3</w:t>
            </w:r>
            <w:r w:rsidR="000C43B5">
              <w:rPr>
                <w:rFonts w:asciiTheme="minorHAnsi" w:eastAsiaTheme="minorEastAsia" w:hAnsiTheme="minorHAnsi" w:cstheme="minorBidi"/>
                <w:szCs w:val="22"/>
                <w:lang w:eastAsia="es-CO"/>
              </w:rPr>
              <w:tab/>
            </w:r>
            <w:r w:rsidR="000C43B5" w:rsidRPr="00DD0C8C">
              <w:rPr>
                <w:rStyle w:val="Hipervnculo"/>
              </w:rPr>
              <w:t>AOM demostrado</w:t>
            </w:r>
            <w:r w:rsidR="000C43B5">
              <w:rPr>
                <w:webHidden/>
              </w:rPr>
              <w:tab/>
            </w:r>
            <w:r w:rsidR="000C43B5">
              <w:rPr>
                <w:webHidden/>
              </w:rPr>
              <w:fldChar w:fldCharType="begin"/>
            </w:r>
            <w:r w:rsidR="000C43B5">
              <w:rPr>
                <w:webHidden/>
              </w:rPr>
              <w:instrText xml:space="preserve"> PAGEREF _Toc505335921 \h </w:instrText>
            </w:r>
            <w:r w:rsidR="000C43B5">
              <w:rPr>
                <w:webHidden/>
              </w:rPr>
            </w:r>
            <w:r w:rsidR="000C43B5">
              <w:rPr>
                <w:webHidden/>
              </w:rPr>
              <w:fldChar w:fldCharType="separate"/>
            </w:r>
            <w:r w:rsidR="00737178">
              <w:rPr>
                <w:webHidden/>
              </w:rPr>
              <w:t>68</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22" w:history="1">
            <w:r w:rsidR="000C43B5" w:rsidRPr="00DD0C8C">
              <w:rPr>
                <w:rStyle w:val="Hipervnculo"/>
              </w:rPr>
              <w:t>4.1.4</w:t>
            </w:r>
            <w:r w:rsidR="000C43B5">
              <w:rPr>
                <w:rFonts w:asciiTheme="minorHAnsi" w:eastAsiaTheme="minorEastAsia" w:hAnsiTheme="minorHAnsi" w:cstheme="minorBidi"/>
                <w:szCs w:val="22"/>
                <w:lang w:eastAsia="es-CO"/>
              </w:rPr>
              <w:tab/>
            </w:r>
            <w:r w:rsidR="000C43B5" w:rsidRPr="00DD0C8C">
              <w:rPr>
                <w:rStyle w:val="Hipervnculo"/>
              </w:rPr>
              <w:t>AOM remunerado</w:t>
            </w:r>
            <w:r w:rsidR="000C43B5">
              <w:rPr>
                <w:webHidden/>
              </w:rPr>
              <w:tab/>
            </w:r>
            <w:r w:rsidR="000C43B5">
              <w:rPr>
                <w:webHidden/>
              </w:rPr>
              <w:fldChar w:fldCharType="begin"/>
            </w:r>
            <w:r w:rsidR="000C43B5">
              <w:rPr>
                <w:webHidden/>
              </w:rPr>
              <w:instrText xml:space="preserve"> PAGEREF _Toc505335922 \h </w:instrText>
            </w:r>
            <w:r w:rsidR="000C43B5">
              <w:rPr>
                <w:webHidden/>
              </w:rPr>
            </w:r>
            <w:r w:rsidR="000C43B5">
              <w:rPr>
                <w:webHidden/>
              </w:rPr>
              <w:fldChar w:fldCharType="separate"/>
            </w:r>
            <w:r w:rsidR="00737178">
              <w:rPr>
                <w:webHidden/>
              </w:rPr>
              <w:t>68</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23" w:history="1">
            <w:r w:rsidR="000C43B5" w:rsidRPr="00DD0C8C">
              <w:rPr>
                <w:rStyle w:val="Hipervnculo"/>
              </w:rPr>
              <w:t>4.1.5</w:t>
            </w:r>
            <w:r w:rsidR="000C43B5">
              <w:rPr>
                <w:rFonts w:asciiTheme="minorHAnsi" w:eastAsiaTheme="minorEastAsia" w:hAnsiTheme="minorHAnsi" w:cstheme="minorBidi"/>
                <w:szCs w:val="22"/>
                <w:lang w:eastAsia="es-CO"/>
              </w:rPr>
              <w:tab/>
            </w:r>
            <w:r w:rsidR="000C43B5" w:rsidRPr="00DD0C8C">
              <w:rPr>
                <w:rStyle w:val="Hipervnculo"/>
              </w:rPr>
              <w:t>Valor de AOM por condiciones ambientales</w:t>
            </w:r>
            <w:r w:rsidR="000C43B5">
              <w:rPr>
                <w:webHidden/>
              </w:rPr>
              <w:tab/>
            </w:r>
            <w:r w:rsidR="000C43B5">
              <w:rPr>
                <w:webHidden/>
              </w:rPr>
              <w:fldChar w:fldCharType="begin"/>
            </w:r>
            <w:r w:rsidR="000C43B5">
              <w:rPr>
                <w:webHidden/>
              </w:rPr>
              <w:instrText xml:space="preserve"> PAGEREF _Toc505335923 \h </w:instrText>
            </w:r>
            <w:r w:rsidR="000C43B5">
              <w:rPr>
                <w:webHidden/>
              </w:rPr>
            </w:r>
            <w:r w:rsidR="000C43B5">
              <w:rPr>
                <w:webHidden/>
              </w:rPr>
              <w:fldChar w:fldCharType="separate"/>
            </w:r>
            <w:r w:rsidR="00737178">
              <w:rPr>
                <w:webHidden/>
              </w:rPr>
              <w:t>69</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24" w:history="1">
            <w:r w:rsidR="000C43B5" w:rsidRPr="00DD0C8C">
              <w:rPr>
                <w:rStyle w:val="Hipervnculo"/>
              </w:rPr>
              <w:t>4.1.6</w:t>
            </w:r>
            <w:r w:rsidR="000C43B5">
              <w:rPr>
                <w:rFonts w:asciiTheme="minorHAnsi" w:eastAsiaTheme="minorEastAsia" w:hAnsiTheme="minorHAnsi" w:cstheme="minorBidi"/>
                <w:szCs w:val="22"/>
                <w:lang w:eastAsia="es-CO"/>
              </w:rPr>
              <w:tab/>
            </w:r>
            <w:r w:rsidR="000C43B5" w:rsidRPr="00DD0C8C">
              <w:rPr>
                <w:rStyle w:val="Hipervnculo"/>
              </w:rPr>
              <w:t>AOM por niveles de tensión</w:t>
            </w:r>
            <w:r w:rsidR="000C43B5">
              <w:rPr>
                <w:webHidden/>
              </w:rPr>
              <w:tab/>
            </w:r>
            <w:r w:rsidR="000C43B5">
              <w:rPr>
                <w:webHidden/>
              </w:rPr>
              <w:fldChar w:fldCharType="begin"/>
            </w:r>
            <w:r w:rsidR="000C43B5">
              <w:rPr>
                <w:webHidden/>
              </w:rPr>
              <w:instrText xml:space="preserve"> PAGEREF _Toc505335924 \h </w:instrText>
            </w:r>
            <w:r w:rsidR="000C43B5">
              <w:rPr>
                <w:webHidden/>
              </w:rPr>
            </w:r>
            <w:r w:rsidR="000C43B5">
              <w:rPr>
                <w:webHidden/>
              </w:rPr>
              <w:fldChar w:fldCharType="separate"/>
            </w:r>
            <w:r w:rsidR="00737178">
              <w:rPr>
                <w:webHidden/>
              </w:rPr>
              <w:t>70</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25" w:history="1">
            <w:r w:rsidR="000C43B5" w:rsidRPr="00DD0C8C">
              <w:rPr>
                <w:rStyle w:val="Hipervnculo"/>
              </w:rPr>
              <w:t>4.2</w:t>
            </w:r>
            <w:r w:rsidR="000C43B5">
              <w:rPr>
                <w:rFonts w:asciiTheme="minorHAnsi" w:eastAsiaTheme="minorEastAsia" w:hAnsiTheme="minorHAnsi" w:cstheme="minorBidi"/>
                <w:bCs w:val="0"/>
                <w:caps w:val="0"/>
                <w:szCs w:val="22"/>
                <w:lang w:eastAsia="es-CO"/>
              </w:rPr>
              <w:tab/>
            </w:r>
            <w:r w:rsidR="000C43B5" w:rsidRPr="00DD0C8C">
              <w:rPr>
                <w:rStyle w:val="Hipervnculo"/>
              </w:rPr>
              <w:t>VALOR DE AOM PARA NUEVAS INVERSIONES</w:t>
            </w:r>
            <w:r w:rsidR="000C43B5">
              <w:rPr>
                <w:webHidden/>
              </w:rPr>
              <w:tab/>
            </w:r>
            <w:r w:rsidR="000C43B5">
              <w:rPr>
                <w:webHidden/>
              </w:rPr>
              <w:fldChar w:fldCharType="begin"/>
            </w:r>
            <w:r w:rsidR="000C43B5">
              <w:rPr>
                <w:webHidden/>
              </w:rPr>
              <w:instrText xml:space="preserve"> PAGEREF _Toc505335925 \h </w:instrText>
            </w:r>
            <w:r w:rsidR="000C43B5">
              <w:rPr>
                <w:webHidden/>
              </w:rPr>
            </w:r>
            <w:r w:rsidR="000C43B5">
              <w:rPr>
                <w:webHidden/>
              </w:rPr>
              <w:fldChar w:fldCharType="separate"/>
            </w:r>
            <w:r w:rsidR="00737178">
              <w:rPr>
                <w:webHidden/>
              </w:rPr>
              <w:t>70</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26" w:history="1">
            <w:r w:rsidR="000C43B5" w:rsidRPr="00DD0C8C">
              <w:rPr>
                <w:rStyle w:val="Hipervnculo"/>
              </w:rPr>
              <w:t>4.3</w:t>
            </w:r>
            <w:r w:rsidR="000C43B5">
              <w:rPr>
                <w:rFonts w:asciiTheme="minorHAnsi" w:eastAsiaTheme="minorEastAsia" w:hAnsiTheme="minorHAnsi" w:cstheme="minorBidi"/>
                <w:bCs w:val="0"/>
                <w:caps w:val="0"/>
                <w:szCs w:val="22"/>
                <w:lang w:eastAsia="es-CO"/>
              </w:rPr>
              <w:tab/>
            </w:r>
            <w:r w:rsidR="000C43B5" w:rsidRPr="00DD0C8C">
              <w:rPr>
                <w:rStyle w:val="Hipervnculo"/>
              </w:rPr>
              <w:t>VERIFICACIÓN DEL VALOR ANUAL DE AOM</w:t>
            </w:r>
            <w:r w:rsidR="000C43B5">
              <w:rPr>
                <w:webHidden/>
              </w:rPr>
              <w:tab/>
            </w:r>
            <w:r w:rsidR="000C43B5">
              <w:rPr>
                <w:webHidden/>
              </w:rPr>
              <w:fldChar w:fldCharType="begin"/>
            </w:r>
            <w:r w:rsidR="000C43B5">
              <w:rPr>
                <w:webHidden/>
              </w:rPr>
              <w:instrText xml:space="preserve"> PAGEREF _Toc505335926 \h </w:instrText>
            </w:r>
            <w:r w:rsidR="000C43B5">
              <w:rPr>
                <w:webHidden/>
              </w:rPr>
            </w:r>
            <w:r w:rsidR="000C43B5">
              <w:rPr>
                <w:webHidden/>
              </w:rPr>
              <w:fldChar w:fldCharType="separate"/>
            </w:r>
            <w:r w:rsidR="00737178">
              <w:rPr>
                <w:webHidden/>
              </w:rPr>
              <w:t>71</w:t>
            </w:r>
            <w:r w:rsidR="000C43B5">
              <w:rPr>
                <w:webHidden/>
              </w:rPr>
              <w:fldChar w:fldCharType="end"/>
            </w:r>
          </w:hyperlink>
        </w:p>
        <w:p w:rsidR="000C43B5" w:rsidRDefault="00C9592F">
          <w:pPr>
            <w:pStyle w:val="TDC1"/>
            <w:tabs>
              <w:tab w:val="left" w:pos="1843"/>
            </w:tabs>
            <w:rPr>
              <w:rFonts w:asciiTheme="minorHAnsi" w:eastAsiaTheme="minorEastAsia" w:hAnsiTheme="minorHAnsi" w:cstheme="minorBidi"/>
              <w:b w:val="0"/>
              <w:caps w:val="0"/>
              <w:sz w:val="22"/>
              <w:szCs w:val="22"/>
              <w:lang w:val="es-CO" w:eastAsia="es-CO"/>
            </w:rPr>
          </w:pPr>
          <w:hyperlink w:anchor="_Toc505335927" w:history="1">
            <w:r w:rsidR="000C43B5" w:rsidRPr="00DD0C8C">
              <w:rPr>
                <w:rStyle w:val="Hipervnculo"/>
              </w:rPr>
              <w:t>CAPITULO 5.</w:t>
            </w:r>
            <w:r w:rsidR="000C43B5">
              <w:rPr>
                <w:rFonts w:asciiTheme="minorHAnsi" w:eastAsiaTheme="minorEastAsia" w:hAnsiTheme="minorHAnsi" w:cstheme="minorBidi"/>
                <w:b w:val="0"/>
                <w:caps w:val="0"/>
                <w:sz w:val="22"/>
                <w:szCs w:val="22"/>
                <w:lang w:val="es-CO" w:eastAsia="es-CO"/>
              </w:rPr>
              <w:tab/>
            </w:r>
            <w:r w:rsidR="000C43B5" w:rsidRPr="00DD0C8C">
              <w:rPr>
                <w:rStyle w:val="Hipervnculo"/>
              </w:rPr>
              <w:t>CALIDAD DEL SERVICIO</w:t>
            </w:r>
            <w:r w:rsidR="000C43B5">
              <w:rPr>
                <w:webHidden/>
              </w:rPr>
              <w:tab/>
            </w:r>
            <w:r w:rsidR="000C43B5">
              <w:rPr>
                <w:webHidden/>
              </w:rPr>
              <w:fldChar w:fldCharType="begin"/>
            </w:r>
            <w:r w:rsidR="000C43B5">
              <w:rPr>
                <w:webHidden/>
              </w:rPr>
              <w:instrText xml:space="preserve"> PAGEREF _Toc505335927 \h </w:instrText>
            </w:r>
            <w:r w:rsidR="000C43B5">
              <w:rPr>
                <w:webHidden/>
              </w:rPr>
            </w:r>
            <w:r w:rsidR="000C43B5">
              <w:rPr>
                <w:webHidden/>
              </w:rPr>
              <w:fldChar w:fldCharType="separate"/>
            </w:r>
            <w:r w:rsidR="00737178">
              <w:rPr>
                <w:webHidden/>
              </w:rPr>
              <w:t>72</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28" w:history="1">
            <w:r w:rsidR="000C43B5" w:rsidRPr="00DD0C8C">
              <w:rPr>
                <w:rStyle w:val="Hipervnculo"/>
              </w:rPr>
              <w:t>5.1</w:t>
            </w:r>
            <w:r w:rsidR="000C43B5">
              <w:rPr>
                <w:rFonts w:asciiTheme="minorHAnsi" w:eastAsiaTheme="minorEastAsia" w:hAnsiTheme="minorHAnsi" w:cstheme="minorBidi"/>
                <w:bCs w:val="0"/>
                <w:caps w:val="0"/>
                <w:szCs w:val="22"/>
                <w:lang w:eastAsia="es-CO"/>
              </w:rPr>
              <w:tab/>
            </w:r>
            <w:r w:rsidR="000C43B5" w:rsidRPr="00DD0C8C">
              <w:rPr>
                <w:rStyle w:val="Hipervnculo"/>
              </w:rPr>
              <w:t>CALIDAD DEL SERVICIO EN LOS STR</w:t>
            </w:r>
            <w:r w:rsidR="000C43B5">
              <w:rPr>
                <w:webHidden/>
              </w:rPr>
              <w:tab/>
            </w:r>
            <w:r w:rsidR="000C43B5">
              <w:rPr>
                <w:webHidden/>
              </w:rPr>
              <w:fldChar w:fldCharType="begin"/>
            </w:r>
            <w:r w:rsidR="000C43B5">
              <w:rPr>
                <w:webHidden/>
              </w:rPr>
              <w:instrText xml:space="preserve"> PAGEREF _Toc505335928 \h </w:instrText>
            </w:r>
            <w:r w:rsidR="000C43B5">
              <w:rPr>
                <w:webHidden/>
              </w:rPr>
            </w:r>
            <w:r w:rsidR="000C43B5">
              <w:rPr>
                <w:webHidden/>
              </w:rPr>
              <w:fldChar w:fldCharType="separate"/>
            </w:r>
            <w:r w:rsidR="00737178">
              <w:rPr>
                <w:webHidden/>
              </w:rPr>
              <w:t>72</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29" w:history="1">
            <w:r w:rsidR="000C43B5" w:rsidRPr="00DD0C8C">
              <w:rPr>
                <w:rStyle w:val="Hipervnculo"/>
              </w:rPr>
              <w:t>5.1.1</w:t>
            </w:r>
            <w:r w:rsidR="000C43B5">
              <w:rPr>
                <w:rFonts w:asciiTheme="minorHAnsi" w:eastAsiaTheme="minorEastAsia" w:hAnsiTheme="minorHAnsi" w:cstheme="minorBidi"/>
                <w:szCs w:val="22"/>
                <w:lang w:eastAsia="es-CO"/>
              </w:rPr>
              <w:tab/>
            </w:r>
            <w:r w:rsidR="000C43B5" w:rsidRPr="00DD0C8C">
              <w:rPr>
                <w:rStyle w:val="Hipervnculo"/>
              </w:rPr>
              <w:t>Características de calidad a la que está asociado el ingreso</w:t>
            </w:r>
            <w:r w:rsidR="000C43B5">
              <w:rPr>
                <w:webHidden/>
              </w:rPr>
              <w:tab/>
            </w:r>
            <w:r w:rsidR="000C43B5">
              <w:rPr>
                <w:webHidden/>
              </w:rPr>
              <w:fldChar w:fldCharType="begin"/>
            </w:r>
            <w:r w:rsidR="000C43B5">
              <w:rPr>
                <w:webHidden/>
              </w:rPr>
              <w:instrText xml:space="preserve"> PAGEREF _Toc505335929 \h </w:instrText>
            </w:r>
            <w:r w:rsidR="000C43B5">
              <w:rPr>
                <w:webHidden/>
              </w:rPr>
            </w:r>
            <w:r w:rsidR="000C43B5">
              <w:rPr>
                <w:webHidden/>
              </w:rPr>
              <w:fldChar w:fldCharType="separate"/>
            </w:r>
            <w:r w:rsidR="00737178">
              <w:rPr>
                <w:webHidden/>
              </w:rPr>
              <w:t>72</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30" w:history="1">
            <w:r w:rsidR="000C43B5" w:rsidRPr="00DD0C8C">
              <w:rPr>
                <w:rStyle w:val="Hipervnculo"/>
              </w:rPr>
              <w:t>5.1.2</w:t>
            </w:r>
            <w:r w:rsidR="000C43B5">
              <w:rPr>
                <w:rFonts w:asciiTheme="minorHAnsi" w:eastAsiaTheme="minorEastAsia" w:hAnsiTheme="minorHAnsi" w:cstheme="minorBidi"/>
                <w:szCs w:val="22"/>
                <w:lang w:eastAsia="es-CO"/>
              </w:rPr>
              <w:tab/>
            </w:r>
            <w:r w:rsidR="000C43B5" w:rsidRPr="00DD0C8C">
              <w:rPr>
                <w:rStyle w:val="Hipervnculo"/>
              </w:rPr>
              <w:t>Activos sujetos al esquema de calidad</w:t>
            </w:r>
            <w:r w:rsidR="000C43B5">
              <w:rPr>
                <w:webHidden/>
              </w:rPr>
              <w:tab/>
            </w:r>
            <w:r w:rsidR="000C43B5">
              <w:rPr>
                <w:webHidden/>
              </w:rPr>
              <w:fldChar w:fldCharType="begin"/>
            </w:r>
            <w:r w:rsidR="000C43B5">
              <w:rPr>
                <w:webHidden/>
              </w:rPr>
              <w:instrText xml:space="preserve"> PAGEREF _Toc505335930 \h </w:instrText>
            </w:r>
            <w:r w:rsidR="000C43B5">
              <w:rPr>
                <w:webHidden/>
              </w:rPr>
            </w:r>
            <w:r w:rsidR="000C43B5">
              <w:rPr>
                <w:webHidden/>
              </w:rPr>
              <w:fldChar w:fldCharType="separate"/>
            </w:r>
            <w:r w:rsidR="00737178">
              <w:rPr>
                <w:webHidden/>
              </w:rPr>
              <w:t>73</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31" w:history="1">
            <w:r w:rsidR="000C43B5" w:rsidRPr="00DD0C8C">
              <w:rPr>
                <w:rStyle w:val="Hipervnculo"/>
              </w:rPr>
              <w:t>5.1.3</w:t>
            </w:r>
            <w:r w:rsidR="000C43B5">
              <w:rPr>
                <w:rFonts w:asciiTheme="minorHAnsi" w:eastAsiaTheme="minorEastAsia" w:hAnsiTheme="minorHAnsi" w:cstheme="minorBidi"/>
                <w:szCs w:val="22"/>
                <w:lang w:eastAsia="es-CO"/>
              </w:rPr>
              <w:tab/>
            </w:r>
            <w:r w:rsidR="000C43B5" w:rsidRPr="00DD0C8C">
              <w:rPr>
                <w:rStyle w:val="Hipervnculo"/>
              </w:rPr>
              <w:t>Bases de datos</w:t>
            </w:r>
            <w:r w:rsidR="000C43B5">
              <w:rPr>
                <w:webHidden/>
              </w:rPr>
              <w:tab/>
            </w:r>
            <w:r w:rsidR="000C43B5">
              <w:rPr>
                <w:webHidden/>
              </w:rPr>
              <w:fldChar w:fldCharType="begin"/>
            </w:r>
            <w:r w:rsidR="000C43B5">
              <w:rPr>
                <w:webHidden/>
              </w:rPr>
              <w:instrText xml:space="preserve"> PAGEREF _Toc505335931 \h </w:instrText>
            </w:r>
            <w:r w:rsidR="000C43B5">
              <w:rPr>
                <w:webHidden/>
              </w:rPr>
            </w:r>
            <w:r w:rsidR="000C43B5">
              <w:rPr>
                <w:webHidden/>
              </w:rPr>
              <w:fldChar w:fldCharType="separate"/>
            </w:r>
            <w:r w:rsidR="00737178">
              <w:rPr>
                <w:webHidden/>
              </w:rPr>
              <w:t>73</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32" w:history="1">
            <w:r w:rsidR="000C43B5" w:rsidRPr="00DD0C8C">
              <w:rPr>
                <w:rStyle w:val="Hipervnculo"/>
              </w:rPr>
              <w:t>5.1.4</w:t>
            </w:r>
            <w:r w:rsidR="000C43B5">
              <w:rPr>
                <w:rFonts w:asciiTheme="minorHAnsi" w:eastAsiaTheme="minorEastAsia" w:hAnsiTheme="minorHAnsi" w:cstheme="minorBidi"/>
                <w:szCs w:val="22"/>
                <w:lang w:eastAsia="es-CO"/>
              </w:rPr>
              <w:tab/>
            </w:r>
            <w:r w:rsidR="000C43B5" w:rsidRPr="00DD0C8C">
              <w:rPr>
                <w:rStyle w:val="Hipervnculo"/>
              </w:rPr>
              <w:t>Reglamento para el reporte de eventos</w:t>
            </w:r>
            <w:r w:rsidR="000C43B5">
              <w:rPr>
                <w:webHidden/>
              </w:rPr>
              <w:tab/>
            </w:r>
            <w:r w:rsidR="000C43B5">
              <w:rPr>
                <w:webHidden/>
              </w:rPr>
              <w:fldChar w:fldCharType="begin"/>
            </w:r>
            <w:r w:rsidR="000C43B5">
              <w:rPr>
                <w:webHidden/>
              </w:rPr>
              <w:instrText xml:space="preserve"> PAGEREF _Toc505335932 \h </w:instrText>
            </w:r>
            <w:r w:rsidR="000C43B5">
              <w:rPr>
                <w:webHidden/>
              </w:rPr>
            </w:r>
            <w:r w:rsidR="000C43B5">
              <w:rPr>
                <w:webHidden/>
              </w:rPr>
              <w:fldChar w:fldCharType="separate"/>
            </w:r>
            <w:r w:rsidR="00737178">
              <w:rPr>
                <w:webHidden/>
              </w:rPr>
              <w:t>73</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33" w:history="1">
            <w:r w:rsidR="000C43B5" w:rsidRPr="00DD0C8C">
              <w:rPr>
                <w:rStyle w:val="Hipervnculo"/>
              </w:rPr>
              <w:t>5.1.5</w:t>
            </w:r>
            <w:r w:rsidR="000C43B5">
              <w:rPr>
                <w:rFonts w:asciiTheme="minorHAnsi" w:eastAsiaTheme="minorEastAsia" w:hAnsiTheme="minorHAnsi" w:cstheme="minorBidi"/>
                <w:szCs w:val="22"/>
                <w:lang w:eastAsia="es-CO"/>
              </w:rPr>
              <w:tab/>
            </w:r>
            <w:r w:rsidR="000C43B5" w:rsidRPr="00DD0C8C">
              <w:rPr>
                <w:rStyle w:val="Hipervnculo"/>
              </w:rPr>
              <w:t>Máximas horas anuales de indisponibilidad</w:t>
            </w:r>
            <w:r w:rsidR="000C43B5">
              <w:rPr>
                <w:webHidden/>
              </w:rPr>
              <w:tab/>
            </w:r>
            <w:r w:rsidR="000C43B5">
              <w:rPr>
                <w:webHidden/>
              </w:rPr>
              <w:fldChar w:fldCharType="begin"/>
            </w:r>
            <w:r w:rsidR="000C43B5">
              <w:rPr>
                <w:webHidden/>
              </w:rPr>
              <w:instrText xml:space="preserve"> PAGEREF _Toc505335933 \h </w:instrText>
            </w:r>
            <w:r w:rsidR="000C43B5">
              <w:rPr>
                <w:webHidden/>
              </w:rPr>
            </w:r>
            <w:r w:rsidR="000C43B5">
              <w:rPr>
                <w:webHidden/>
              </w:rPr>
              <w:fldChar w:fldCharType="separate"/>
            </w:r>
            <w:r w:rsidR="00737178">
              <w:rPr>
                <w:webHidden/>
              </w:rPr>
              <w:t>77</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34" w:history="1">
            <w:r w:rsidR="000C43B5" w:rsidRPr="00DD0C8C">
              <w:rPr>
                <w:rStyle w:val="Hipervnculo"/>
              </w:rPr>
              <w:t>5.1.6</w:t>
            </w:r>
            <w:r w:rsidR="000C43B5">
              <w:rPr>
                <w:rFonts w:asciiTheme="minorHAnsi" w:eastAsiaTheme="minorEastAsia" w:hAnsiTheme="minorHAnsi" w:cstheme="minorBidi"/>
                <w:szCs w:val="22"/>
                <w:lang w:eastAsia="es-CO"/>
              </w:rPr>
              <w:tab/>
            </w:r>
            <w:r w:rsidR="000C43B5" w:rsidRPr="00DD0C8C">
              <w:rPr>
                <w:rStyle w:val="Hipervnculo"/>
              </w:rPr>
              <w:t>Ajuste de máximas horas de indisponibilidad.</w:t>
            </w:r>
            <w:r w:rsidR="000C43B5">
              <w:rPr>
                <w:webHidden/>
              </w:rPr>
              <w:tab/>
            </w:r>
            <w:r w:rsidR="000C43B5">
              <w:rPr>
                <w:webHidden/>
              </w:rPr>
              <w:fldChar w:fldCharType="begin"/>
            </w:r>
            <w:r w:rsidR="000C43B5">
              <w:rPr>
                <w:webHidden/>
              </w:rPr>
              <w:instrText xml:space="preserve"> PAGEREF _Toc505335934 \h </w:instrText>
            </w:r>
            <w:r w:rsidR="000C43B5">
              <w:rPr>
                <w:webHidden/>
              </w:rPr>
            </w:r>
            <w:r w:rsidR="000C43B5">
              <w:rPr>
                <w:webHidden/>
              </w:rPr>
              <w:fldChar w:fldCharType="separate"/>
            </w:r>
            <w:r w:rsidR="00737178">
              <w:rPr>
                <w:webHidden/>
              </w:rPr>
              <w:t>78</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35" w:history="1">
            <w:r w:rsidR="000C43B5" w:rsidRPr="00DD0C8C">
              <w:rPr>
                <w:rStyle w:val="Hipervnculo"/>
              </w:rPr>
              <w:t>5.1.7</w:t>
            </w:r>
            <w:r w:rsidR="000C43B5">
              <w:rPr>
                <w:rFonts w:asciiTheme="minorHAnsi" w:eastAsiaTheme="minorEastAsia" w:hAnsiTheme="minorHAnsi" w:cstheme="minorBidi"/>
                <w:szCs w:val="22"/>
                <w:lang w:eastAsia="es-CO"/>
              </w:rPr>
              <w:tab/>
            </w:r>
            <w:r w:rsidR="000C43B5" w:rsidRPr="00DD0C8C">
              <w:rPr>
                <w:rStyle w:val="Hipervnculo"/>
              </w:rPr>
              <w:t>Indisponibilidad de los activos de uso del STR</w:t>
            </w:r>
            <w:r w:rsidR="000C43B5">
              <w:rPr>
                <w:webHidden/>
              </w:rPr>
              <w:tab/>
            </w:r>
            <w:r w:rsidR="000C43B5">
              <w:rPr>
                <w:webHidden/>
              </w:rPr>
              <w:fldChar w:fldCharType="begin"/>
            </w:r>
            <w:r w:rsidR="000C43B5">
              <w:rPr>
                <w:webHidden/>
              </w:rPr>
              <w:instrText xml:space="preserve"> PAGEREF _Toc505335935 \h </w:instrText>
            </w:r>
            <w:r w:rsidR="000C43B5">
              <w:rPr>
                <w:webHidden/>
              </w:rPr>
            </w:r>
            <w:r w:rsidR="000C43B5">
              <w:rPr>
                <w:webHidden/>
              </w:rPr>
              <w:fldChar w:fldCharType="separate"/>
            </w:r>
            <w:r w:rsidR="00737178">
              <w:rPr>
                <w:webHidden/>
              </w:rPr>
              <w:t>78</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36" w:history="1">
            <w:r w:rsidR="000C43B5" w:rsidRPr="00DD0C8C">
              <w:rPr>
                <w:rStyle w:val="Hipervnculo"/>
              </w:rPr>
              <w:t>5.1.8</w:t>
            </w:r>
            <w:r w:rsidR="000C43B5">
              <w:rPr>
                <w:rFonts w:asciiTheme="minorHAnsi" w:eastAsiaTheme="minorEastAsia" w:hAnsiTheme="minorHAnsi" w:cstheme="minorBidi"/>
                <w:szCs w:val="22"/>
                <w:lang w:eastAsia="es-CO"/>
              </w:rPr>
              <w:tab/>
            </w:r>
            <w:r w:rsidR="000C43B5" w:rsidRPr="00DD0C8C">
              <w:rPr>
                <w:rStyle w:val="Hipervnculo"/>
              </w:rPr>
              <w:t>Estimación de la capacidad disponible por un evento</w:t>
            </w:r>
            <w:r w:rsidR="000C43B5">
              <w:rPr>
                <w:webHidden/>
              </w:rPr>
              <w:tab/>
            </w:r>
            <w:r w:rsidR="000C43B5">
              <w:rPr>
                <w:webHidden/>
              </w:rPr>
              <w:fldChar w:fldCharType="begin"/>
            </w:r>
            <w:r w:rsidR="000C43B5">
              <w:rPr>
                <w:webHidden/>
              </w:rPr>
              <w:instrText xml:space="preserve"> PAGEREF _Toc505335936 \h </w:instrText>
            </w:r>
            <w:r w:rsidR="000C43B5">
              <w:rPr>
                <w:webHidden/>
              </w:rPr>
            </w:r>
            <w:r w:rsidR="000C43B5">
              <w:rPr>
                <w:webHidden/>
              </w:rPr>
              <w:fldChar w:fldCharType="separate"/>
            </w:r>
            <w:r w:rsidR="00737178">
              <w:rPr>
                <w:webHidden/>
              </w:rPr>
              <w:t>79</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37" w:history="1">
            <w:r w:rsidR="000C43B5" w:rsidRPr="00DD0C8C">
              <w:rPr>
                <w:rStyle w:val="Hipervnculo"/>
              </w:rPr>
              <w:t>5.1.9</w:t>
            </w:r>
            <w:r w:rsidR="000C43B5">
              <w:rPr>
                <w:rFonts w:asciiTheme="minorHAnsi" w:eastAsiaTheme="minorEastAsia" w:hAnsiTheme="minorHAnsi" w:cstheme="minorBidi"/>
                <w:szCs w:val="22"/>
                <w:lang w:eastAsia="es-CO"/>
              </w:rPr>
              <w:tab/>
            </w:r>
            <w:r w:rsidR="000C43B5" w:rsidRPr="00DD0C8C">
              <w:rPr>
                <w:rStyle w:val="Hipervnculo"/>
              </w:rPr>
              <w:t>Eventos excluidos</w:t>
            </w:r>
            <w:r w:rsidR="000C43B5">
              <w:rPr>
                <w:webHidden/>
              </w:rPr>
              <w:tab/>
            </w:r>
            <w:r w:rsidR="000C43B5">
              <w:rPr>
                <w:webHidden/>
              </w:rPr>
              <w:fldChar w:fldCharType="begin"/>
            </w:r>
            <w:r w:rsidR="000C43B5">
              <w:rPr>
                <w:webHidden/>
              </w:rPr>
              <w:instrText xml:space="preserve"> PAGEREF _Toc505335937 \h </w:instrText>
            </w:r>
            <w:r w:rsidR="000C43B5">
              <w:rPr>
                <w:webHidden/>
              </w:rPr>
            </w:r>
            <w:r w:rsidR="000C43B5">
              <w:rPr>
                <w:webHidden/>
              </w:rPr>
              <w:fldChar w:fldCharType="separate"/>
            </w:r>
            <w:r w:rsidR="00737178">
              <w:rPr>
                <w:webHidden/>
              </w:rPr>
              <w:t>80</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38" w:history="1">
            <w:r w:rsidR="000C43B5" w:rsidRPr="00DD0C8C">
              <w:rPr>
                <w:rStyle w:val="Hipervnculo"/>
              </w:rPr>
              <w:t>5.1.10</w:t>
            </w:r>
            <w:r w:rsidR="000C43B5">
              <w:rPr>
                <w:rFonts w:asciiTheme="minorHAnsi" w:eastAsiaTheme="minorEastAsia" w:hAnsiTheme="minorHAnsi" w:cstheme="minorBidi"/>
                <w:szCs w:val="22"/>
                <w:lang w:eastAsia="es-CO"/>
              </w:rPr>
              <w:tab/>
            </w:r>
            <w:r w:rsidR="000C43B5" w:rsidRPr="00DD0C8C">
              <w:rPr>
                <w:rStyle w:val="Hipervnculo"/>
              </w:rPr>
              <w:t>Procedimiento para los mantenimientos mayores.</w:t>
            </w:r>
            <w:r w:rsidR="000C43B5">
              <w:rPr>
                <w:webHidden/>
              </w:rPr>
              <w:tab/>
            </w:r>
            <w:r w:rsidR="000C43B5">
              <w:rPr>
                <w:webHidden/>
              </w:rPr>
              <w:fldChar w:fldCharType="begin"/>
            </w:r>
            <w:r w:rsidR="000C43B5">
              <w:rPr>
                <w:webHidden/>
              </w:rPr>
              <w:instrText xml:space="preserve"> PAGEREF _Toc505335938 \h </w:instrText>
            </w:r>
            <w:r w:rsidR="000C43B5">
              <w:rPr>
                <w:webHidden/>
              </w:rPr>
            </w:r>
            <w:r w:rsidR="000C43B5">
              <w:rPr>
                <w:webHidden/>
              </w:rPr>
              <w:fldChar w:fldCharType="separate"/>
            </w:r>
            <w:r w:rsidR="00737178">
              <w:rPr>
                <w:webHidden/>
              </w:rPr>
              <w:t>82</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39" w:history="1">
            <w:r w:rsidR="000C43B5" w:rsidRPr="00DD0C8C">
              <w:rPr>
                <w:rStyle w:val="Hipervnculo"/>
              </w:rPr>
              <w:t>5.1.11</w:t>
            </w:r>
            <w:r w:rsidR="000C43B5">
              <w:rPr>
                <w:rFonts w:asciiTheme="minorHAnsi" w:eastAsiaTheme="minorEastAsia" w:hAnsiTheme="minorHAnsi" w:cstheme="minorBidi"/>
                <w:szCs w:val="22"/>
                <w:lang w:eastAsia="es-CO"/>
              </w:rPr>
              <w:tab/>
            </w:r>
            <w:r w:rsidR="000C43B5" w:rsidRPr="00DD0C8C">
              <w:rPr>
                <w:rStyle w:val="Hipervnculo"/>
              </w:rPr>
              <w:t>Activos que entran en operación comercial.</w:t>
            </w:r>
            <w:r w:rsidR="000C43B5">
              <w:rPr>
                <w:webHidden/>
              </w:rPr>
              <w:tab/>
            </w:r>
            <w:r w:rsidR="000C43B5">
              <w:rPr>
                <w:webHidden/>
              </w:rPr>
              <w:fldChar w:fldCharType="begin"/>
            </w:r>
            <w:r w:rsidR="000C43B5">
              <w:rPr>
                <w:webHidden/>
              </w:rPr>
              <w:instrText xml:space="preserve"> PAGEREF _Toc505335939 \h </w:instrText>
            </w:r>
            <w:r w:rsidR="000C43B5">
              <w:rPr>
                <w:webHidden/>
              </w:rPr>
            </w:r>
            <w:r w:rsidR="000C43B5">
              <w:rPr>
                <w:webHidden/>
              </w:rPr>
              <w:fldChar w:fldCharType="separate"/>
            </w:r>
            <w:r w:rsidR="00737178">
              <w:rPr>
                <w:webHidden/>
              </w:rPr>
              <w:t>82</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40" w:history="1">
            <w:r w:rsidR="000C43B5" w:rsidRPr="00DD0C8C">
              <w:rPr>
                <w:rStyle w:val="Hipervnculo"/>
              </w:rPr>
              <w:t>5.1.12</w:t>
            </w:r>
            <w:r w:rsidR="000C43B5">
              <w:rPr>
                <w:rFonts w:asciiTheme="minorHAnsi" w:eastAsiaTheme="minorEastAsia" w:hAnsiTheme="minorHAnsi" w:cstheme="minorBidi"/>
                <w:szCs w:val="22"/>
                <w:lang w:eastAsia="es-CO"/>
              </w:rPr>
              <w:tab/>
            </w:r>
            <w:r w:rsidR="000C43B5" w:rsidRPr="00DD0C8C">
              <w:rPr>
                <w:rStyle w:val="Hipervnculo"/>
              </w:rPr>
              <w:t>Valor de referencia para compensación</w:t>
            </w:r>
            <w:r w:rsidR="000C43B5">
              <w:rPr>
                <w:webHidden/>
              </w:rPr>
              <w:tab/>
            </w:r>
            <w:r w:rsidR="000C43B5">
              <w:rPr>
                <w:webHidden/>
              </w:rPr>
              <w:fldChar w:fldCharType="begin"/>
            </w:r>
            <w:r w:rsidR="000C43B5">
              <w:rPr>
                <w:webHidden/>
              </w:rPr>
              <w:instrText xml:space="preserve"> PAGEREF _Toc505335940 \h </w:instrText>
            </w:r>
            <w:r w:rsidR="000C43B5">
              <w:rPr>
                <w:webHidden/>
              </w:rPr>
            </w:r>
            <w:r w:rsidR="000C43B5">
              <w:rPr>
                <w:webHidden/>
              </w:rPr>
              <w:fldChar w:fldCharType="separate"/>
            </w:r>
            <w:r w:rsidR="00737178">
              <w:rPr>
                <w:webHidden/>
              </w:rPr>
              <w:t>83</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41" w:history="1">
            <w:r w:rsidR="000C43B5" w:rsidRPr="00DD0C8C">
              <w:rPr>
                <w:rStyle w:val="Hipervnculo"/>
              </w:rPr>
              <w:t>5.1.13</w:t>
            </w:r>
            <w:r w:rsidR="000C43B5">
              <w:rPr>
                <w:rFonts w:asciiTheme="minorHAnsi" w:eastAsiaTheme="minorEastAsia" w:hAnsiTheme="minorHAnsi" w:cstheme="minorBidi"/>
                <w:szCs w:val="22"/>
                <w:lang w:eastAsia="es-CO"/>
              </w:rPr>
              <w:tab/>
            </w:r>
            <w:r w:rsidR="000C43B5" w:rsidRPr="00DD0C8C">
              <w:rPr>
                <w:rStyle w:val="Hipervnculo"/>
              </w:rPr>
              <w:t>Remuneración en algunos casos de indisponibilidad</w:t>
            </w:r>
            <w:r w:rsidR="000C43B5">
              <w:rPr>
                <w:webHidden/>
              </w:rPr>
              <w:tab/>
            </w:r>
            <w:r w:rsidR="000C43B5">
              <w:rPr>
                <w:webHidden/>
              </w:rPr>
              <w:fldChar w:fldCharType="begin"/>
            </w:r>
            <w:r w:rsidR="000C43B5">
              <w:rPr>
                <w:webHidden/>
              </w:rPr>
              <w:instrText xml:space="preserve"> PAGEREF _Toc505335941 \h </w:instrText>
            </w:r>
            <w:r w:rsidR="000C43B5">
              <w:rPr>
                <w:webHidden/>
              </w:rPr>
            </w:r>
            <w:r w:rsidR="000C43B5">
              <w:rPr>
                <w:webHidden/>
              </w:rPr>
              <w:fldChar w:fldCharType="separate"/>
            </w:r>
            <w:r w:rsidR="00737178">
              <w:rPr>
                <w:webHidden/>
              </w:rPr>
              <w:t>83</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42" w:history="1">
            <w:r w:rsidR="000C43B5" w:rsidRPr="00DD0C8C">
              <w:rPr>
                <w:rStyle w:val="Hipervnculo"/>
              </w:rPr>
              <w:t>5.1.14</w:t>
            </w:r>
            <w:r w:rsidR="000C43B5">
              <w:rPr>
                <w:rFonts w:asciiTheme="minorHAnsi" w:eastAsiaTheme="minorEastAsia" w:hAnsiTheme="minorHAnsi" w:cstheme="minorBidi"/>
                <w:szCs w:val="22"/>
                <w:lang w:eastAsia="es-CO"/>
              </w:rPr>
              <w:tab/>
            </w:r>
            <w:r w:rsidR="000C43B5" w:rsidRPr="00DD0C8C">
              <w:rPr>
                <w:rStyle w:val="Hipervnculo"/>
              </w:rPr>
              <w:t>Compensaciones</w:t>
            </w:r>
            <w:r w:rsidR="000C43B5">
              <w:rPr>
                <w:webHidden/>
              </w:rPr>
              <w:tab/>
            </w:r>
            <w:r w:rsidR="000C43B5">
              <w:rPr>
                <w:webHidden/>
              </w:rPr>
              <w:fldChar w:fldCharType="begin"/>
            </w:r>
            <w:r w:rsidR="000C43B5">
              <w:rPr>
                <w:webHidden/>
              </w:rPr>
              <w:instrText xml:space="preserve"> PAGEREF _Toc505335942 \h </w:instrText>
            </w:r>
            <w:r w:rsidR="000C43B5">
              <w:rPr>
                <w:webHidden/>
              </w:rPr>
            </w:r>
            <w:r w:rsidR="000C43B5">
              <w:rPr>
                <w:webHidden/>
              </w:rPr>
              <w:fldChar w:fldCharType="separate"/>
            </w:r>
            <w:r w:rsidR="00737178">
              <w:rPr>
                <w:webHidden/>
              </w:rPr>
              <w:t>84</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43" w:history="1">
            <w:r w:rsidR="000C43B5" w:rsidRPr="00DD0C8C">
              <w:rPr>
                <w:rStyle w:val="Hipervnculo"/>
              </w:rPr>
              <w:t>5.1.15</w:t>
            </w:r>
            <w:r w:rsidR="000C43B5">
              <w:rPr>
                <w:rFonts w:asciiTheme="minorHAnsi" w:eastAsiaTheme="minorEastAsia" w:hAnsiTheme="minorHAnsi" w:cstheme="minorBidi"/>
                <w:szCs w:val="22"/>
                <w:lang w:eastAsia="es-CO"/>
              </w:rPr>
              <w:tab/>
            </w:r>
            <w:r w:rsidR="000C43B5" w:rsidRPr="00DD0C8C">
              <w:rPr>
                <w:rStyle w:val="Hipervnculo"/>
              </w:rPr>
              <w:t>Informe sobre ENS</w:t>
            </w:r>
            <w:r w:rsidR="000C43B5">
              <w:rPr>
                <w:webHidden/>
              </w:rPr>
              <w:tab/>
            </w:r>
            <w:r w:rsidR="000C43B5">
              <w:rPr>
                <w:webHidden/>
              </w:rPr>
              <w:fldChar w:fldCharType="begin"/>
            </w:r>
            <w:r w:rsidR="000C43B5">
              <w:rPr>
                <w:webHidden/>
              </w:rPr>
              <w:instrText xml:space="preserve"> PAGEREF _Toc505335943 \h </w:instrText>
            </w:r>
            <w:r w:rsidR="000C43B5">
              <w:rPr>
                <w:webHidden/>
              </w:rPr>
            </w:r>
            <w:r w:rsidR="000C43B5">
              <w:rPr>
                <w:webHidden/>
              </w:rPr>
              <w:fldChar w:fldCharType="separate"/>
            </w:r>
            <w:r w:rsidR="00737178">
              <w:rPr>
                <w:webHidden/>
              </w:rPr>
              <w:t>87</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44" w:history="1">
            <w:r w:rsidR="000C43B5" w:rsidRPr="00DD0C8C">
              <w:rPr>
                <w:rStyle w:val="Hipervnculo"/>
              </w:rPr>
              <w:t>5.1.16</w:t>
            </w:r>
            <w:r w:rsidR="000C43B5">
              <w:rPr>
                <w:rFonts w:asciiTheme="minorHAnsi" w:eastAsiaTheme="minorEastAsia" w:hAnsiTheme="minorHAnsi" w:cstheme="minorBidi"/>
                <w:szCs w:val="22"/>
                <w:lang w:eastAsia="es-CO"/>
              </w:rPr>
              <w:tab/>
            </w:r>
            <w:r w:rsidR="000C43B5" w:rsidRPr="00DD0C8C">
              <w:rPr>
                <w:rStyle w:val="Hipervnculo"/>
              </w:rPr>
              <w:t>Zona excluida de CNE</w:t>
            </w:r>
            <w:r w:rsidR="000C43B5">
              <w:rPr>
                <w:webHidden/>
              </w:rPr>
              <w:tab/>
            </w:r>
            <w:r w:rsidR="000C43B5">
              <w:rPr>
                <w:webHidden/>
              </w:rPr>
              <w:fldChar w:fldCharType="begin"/>
            </w:r>
            <w:r w:rsidR="000C43B5">
              <w:rPr>
                <w:webHidden/>
              </w:rPr>
              <w:instrText xml:space="preserve"> PAGEREF _Toc505335944 \h </w:instrText>
            </w:r>
            <w:r w:rsidR="000C43B5">
              <w:rPr>
                <w:webHidden/>
              </w:rPr>
            </w:r>
            <w:r w:rsidR="000C43B5">
              <w:rPr>
                <w:webHidden/>
              </w:rPr>
              <w:fldChar w:fldCharType="separate"/>
            </w:r>
            <w:r w:rsidR="00737178">
              <w:rPr>
                <w:webHidden/>
              </w:rPr>
              <w:t>88</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45" w:history="1">
            <w:r w:rsidR="000C43B5" w:rsidRPr="00DD0C8C">
              <w:rPr>
                <w:rStyle w:val="Hipervnculo"/>
              </w:rPr>
              <w:t>5.1.17</w:t>
            </w:r>
            <w:r w:rsidR="000C43B5">
              <w:rPr>
                <w:rFonts w:asciiTheme="minorHAnsi" w:eastAsiaTheme="minorEastAsia" w:hAnsiTheme="minorHAnsi" w:cstheme="minorBidi"/>
                <w:szCs w:val="22"/>
                <w:lang w:eastAsia="es-CO"/>
              </w:rPr>
              <w:tab/>
            </w:r>
            <w:r w:rsidR="000C43B5" w:rsidRPr="00DD0C8C">
              <w:rPr>
                <w:rStyle w:val="Hipervnculo"/>
              </w:rPr>
              <w:t>Límite de los valores a compensar</w:t>
            </w:r>
            <w:r w:rsidR="000C43B5">
              <w:rPr>
                <w:webHidden/>
              </w:rPr>
              <w:tab/>
            </w:r>
            <w:r w:rsidR="000C43B5">
              <w:rPr>
                <w:webHidden/>
              </w:rPr>
              <w:fldChar w:fldCharType="begin"/>
            </w:r>
            <w:r w:rsidR="000C43B5">
              <w:rPr>
                <w:webHidden/>
              </w:rPr>
              <w:instrText xml:space="preserve"> PAGEREF _Toc505335945 \h </w:instrText>
            </w:r>
            <w:r w:rsidR="000C43B5">
              <w:rPr>
                <w:webHidden/>
              </w:rPr>
            </w:r>
            <w:r w:rsidR="000C43B5">
              <w:rPr>
                <w:webHidden/>
              </w:rPr>
              <w:fldChar w:fldCharType="separate"/>
            </w:r>
            <w:r w:rsidR="00737178">
              <w:rPr>
                <w:webHidden/>
              </w:rPr>
              <w:t>89</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46" w:history="1">
            <w:r w:rsidR="000C43B5" w:rsidRPr="00DD0C8C">
              <w:rPr>
                <w:rStyle w:val="Hipervnculo"/>
              </w:rPr>
              <w:t>5.2</w:t>
            </w:r>
            <w:r w:rsidR="000C43B5">
              <w:rPr>
                <w:rFonts w:asciiTheme="minorHAnsi" w:eastAsiaTheme="minorEastAsia" w:hAnsiTheme="minorHAnsi" w:cstheme="minorBidi"/>
                <w:bCs w:val="0"/>
                <w:caps w:val="0"/>
                <w:szCs w:val="22"/>
                <w:lang w:eastAsia="es-CO"/>
              </w:rPr>
              <w:tab/>
            </w:r>
            <w:r w:rsidR="000C43B5" w:rsidRPr="00DD0C8C">
              <w:rPr>
                <w:rStyle w:val="Hipervnculo"/>
              </w:rPr>
              <w:t>Calidad del Servicio en los SDL</w:t>
            </w:r>
            <w:r w:rsidR="000C43B5">
              <w:rPr>
                <w:webHidden/>
              </w:rPr>
              <w:tab/>
            </w:r>
            <w:r w:rsidR="000C43B5">
              <w:rPr>
                <w:webHidden/>
              </w:rPr>
              <w:fldChar w:fldCharType="begin"/>
            </w:r>
            <w:r w:rsidR="000C43B5">
              <w:rPr>
                <w:webHidden/>
              </w:rPr>
              <w:instrText xml:space="preserve"> PAGEREF _Toc505335946 \h </w:instrText>
            </w:r>
            <w:r w:rsidR="000C43B5">
              <w:rPr>
                <w:webHidden/>
              </w:rPr>
            </w:r>
            <w:r w:rsidR="000C43B5">
              <w:rPr>
                <w:webHidden/>
              </w:rPr>
              <w:fldChar w:fldCharType="separate"/>
            </w:r>
            <w:r w:rsidR="00737178">
              <w:rPr>
                <w:webHidden/>
              </w:rPr>
              <w:t>90</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47" w:history="1">
            <w:r w:rsidR="000C43B5" w:rsidRPr="00DD0C8C">
              <w:rPr>
                <w:rStyle w:val="Hipervnculo"/>
              </w:rPr>
              <w:t>5.2.1</w:t>
            </w:r>
            <w:r w:rsidR="000C43B5">
              <w:rPr>
                <w:rFonts w:asciiTheme="minorHAnsi" w:eastAsiaTheme="minorEastAsia" w:hAnsiTheme="minorHAnsi" w:cstheme="minorBidi"/>
                <w:szCs w:val="22"/>
                <w:lang w:eastAsia="es-CO"/>
              </w:rPr>
              <w:tab/>
            </w:r>
            <w:r w:rsidR="000C43B5" w:rsidRPr="00DD0C8C">
              <w:rPr>
                <w:rStyle w:val="Hipervnculo"/>
              </w:rPr>
              <w:t>Clasificación de los eventos</w:t>
            </w:r>
            <w:r w:rsidR="000C43B5">
              <w:rPr>
                <w:webHidden/>
              </w:rPr>
              <w:tab/>
            </w:r>
            <w:r w:rsidR="000C43B5">
              <w:rPr>
                <w:webHidden/>
              </w:rPr>
              <w:fldChar w:fldCharType="begin"/>
            </w:r>
            <w:r w:rsidR="000C43B5">
              <w:rPr>
                <w:webHidden/>
              </w:rPr>
              <w:instrText xml:space="preserve"> PAGEREF _Toc505335947 \h </w:instrText>
            </w:r>
            <w:r w:rsidR="000C43B5">
              <w:rPr>
                <w:webHidden/>
              </w:rPr>
            </w:r>
            <w:r w:rsidR="000C43B5">
              <w:rPr>
                <w:webHidden/>
              </w:rPr>
              <w:fldChar w:fldCharType="separate"/>
            </w:r>
            <w:r w:rsidR="00737178">
              <w:rPr>
                <w:webHidden/>
              </w:rPr>
              <w:t>91</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48" w:history="1">
            <w:r w:rsidR="000C43B5" w:rsidRPr="00DD0C8C">
              <w:rPr>
                <w:rStyle w:val="Hipervnculo"/>
              </w:rPr>
              <w:t>5.2.2</w:t>
            </w:r>
            <w:r w:rsidR="000C43B5">
              <w:rPr>
                <w:rFonts w:asciiTheme="minorHAnsi" w:eastAsiaTheme="minorEastAsia" w:hAnsiTheme="minorHAnsi" w:cstheme="minorBidi"/>
                <w:szCs w:val="22"/>
                <w:lang w:eastAsia="es-CO"/>
              </w:rPr>
              <w:tab/>
            </w:r>
            <w:r w:rsidR="000C43B5" w:rsidRPr="00DD0C8C">
              <w:rPr>
                <w:rStyle w:val="Hipervnculo"/>
              </w:rPr>
              <w:t>Exclusión de eventos</w:t>
            </w:r>
            <w:r w:rsidR="000C43B5">
              <w:rPr>
                <w:webHidden/>
              </w:rPr>
              <w:tab/>
            </w:r>
            <w:r w:rsidR="000C43B5">
              <w:rPr>
                <w:webHidden/>
              </w:rPr>
              <w:fldChar w:fldCharType="begin"/>
            </w:r>
            <w:r w:rsidR="000C43B5">
              <w:rPr>
                <w:webHidden/>
              </w:rPr>
              <w:instrText xml:space="preserve"> PAGEREF _Toc505335948 \h </w:instrText>
            </w:r>
            <w:r w:rsidR="000C43B5">
              <w:rPr>
                <w:webHidden/>
              </w:rPr>
            </w:r>
            <w:r w:rsidR="000C43B5">
              <w:rPr>
                <w:webHidden/>
              </w:rPr>
              <w:fldChar w:fldCharType="separate"/>
            </w:r>
            <w:r w:rsidR="00737178">
              <w:rPr>
                <w:webHidden/>
              </w:rPr>
              <w:t>92</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49" w:history="1">
            <w:r w:rsidR="000C43B5" w:rsidRPr="00DD0C8C">
              <w:rPr>
                <w:rStyle w:val="Hipervnculo"/>
              </w:rPr>
              <w:t>5.2.3</w:t>
            </w:r>
            <w:r w:rsidR="000C43B5">
              <w:rPr>
                <w:rFonts w:asciiTheme="minorHAnsi" w:eastAsiaTheme="minorEastAsia" w:hAnsiTheme="minorHAnsi" w:cstheme="minorBidi"/>
                <w:szCs w:val="22"/>
                <w:lang w:eastAsia="es-CO"/>
              </w:rPr>
              <w:tab/>
            </w:r>
            <w:r w:rsidR="000C43B5" w:rsidRPr="00DD0C8C">
              <w:rPr>
                <w:rStyle w:val="Hipervnculo"/>
              </w:rPr>
              <w:t>Calidad media del sistema</w:t>
            </w:r>
            <w:r w:rsidR="000C43B5">
              <w:rPr>
                <w:webHidden/>
              </w:rPr>
              <w:tab/>
            </w:r>
            <w:r w:rsidR="000C43B5">
              <w:rPr>
                <w:webHidden/>
              </w:rPr>
              <w:fldChar w:fldCharType="begin"/>
            </w:r>
            <w:r w:rsidR="000C43B5">
              <w:rPr>
                <w:webHidden/>
              </w:rPr>
              <w:instrText xml:space="preserve"> PAGEREF _Toc505335949 \h </w:instrText>
            </w:r>
            <w:r w:rsidR="000C43B5">
              <w:rPr>
                <w:webHidden/>
              </w:rPr>
            </w:r>
            <w:r w:rsidR="000C43B5">
              <w:rPr>
                <w:webHidden/>
              </w:rPr>
              <w:fldChar w:fldCharType="separate"/>
            </w:r>
            <w:r w:rsidR="00737178">
              <w:rPr>
                <w:webHidden/>
              </w:rPr>
              <w:t>95</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50" w:history="1">
            <w:r w:rsidR="000C43B5" w:rsidRPr="00DD0C8C">
              <w:rPr>
                <w:rStyle w:val="Hipervnculo"/>
              </w:rPr>
              <w:t>5.2.4</w:t>
            </w:r>
            <w:r w:rsidR="000C43B5">
              <w:rPr>
                <w:rFonts w:asciiTheme="minorHAnsi" w:eastAsiaTheme="minorEastAsia" w:hAnsiTheme="minorHAnsi" w:cstheme="minorBidi"/>
                <w:szCs w:val="22"/>
                <w:lang w:eastAsia="es-CO"/>
              </w:rPr>
              <w:tab/>
            </w:r>
            <w:r w:rsidR="000C43B5" w:rsidRPr="00DD0C8C">
              <w:rPr>
                <w:rStyle w:val="Hipervnculo"/>
              </w:rPr>
              <w:t>Niveles de calidad individual</w:t>
            </w:r>
            <w:r w:rsidR="000C43B5">
              <w:rPr>
                <w:webHidden/>
              </w:rPr>
              <w:tab/>
            </w:r>
            <w:r w:rsidR="000C43B5">
              <w:rPr>
                <w:webHidden/>
              </w:rPr>
              <w:fldChar w:fldCharType="begin"/>
            </w:r>
            <w:r w:rsidR="000C43B5">
              <w:rPr>
                <w:webHidden/>
              </w:rPr>
              <w:instrText xml:space="preserve"> PAGEREF _Toc505335950 \h </w:instrText>
            </w:r>
            <w:r w:rsidR="000C43B5">
              <w:rPr>
                <w:webHidden/>
              </w:rPr>
            </w:r>
            <w:r w:rsidR="000C43B5">
              <w:rPr>
                <w:webHidden/>
              </w:rPr>
              <w:fldChar w:fldCharType="separate"/>
            </w:r>
            <w:r w:rsidR="00737178">
              <w:rPr>
                <w:webHidden/>
              </w:rPr>
              <w:t>103</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51" w:history="1">
            <w:r w:rsidR="000C43B5" w:rsidRPr="00DD0C8C">
              <w:rPr>
                <w:rStyle w:val="Hipervnculo"/>
              </w:rPr>
              <w:t>5.2.5</w:t>
            </w:r>
            <w:r w:rsidR="000C43B5">
              <w:rPr>
                <w:rFonts w:asciiTheme="minorHAnsi" w:eastAsiaTheme="minorEastAsia" w:hAnsiTheme="minorHAnsi" w:cstheme="minorBidi"/>
                <w:szCs w:val="22"/>
                <w:lang w:eastAsia="es-CO"/>
              </w:rPr>
              <w:tab/>
            </w:r>
            <w:r w:rsidR="000C43B5" w:rsidRPr="00DD0C8C">
              <w:rPr>
                <w:rStyle w:val="Hipervnculo"/>
              </w:rPr>
              <w:t>Indicadores de referencia y de calidad mínima garantizada</w:t>
            </w:r>
            <w:r w:rsidR="000C43B5">
              <w:rPr>
                <w:webHidden/>
              </w:rPr>
              <w:tab/>
            </w:r>
            <w:r w:rsidR="000C43B5">
              <w:rPr>
                <w:webHidden/>
              </w:rPr>
              <w:fldChar w:fldCharType="begin"/>
            </w:r>
            <w:r w:rsidR="000C43B5">
              <w:rPr>
                <w:webHidden/>
              </w:rPr>
              <w:instrText xml:space="preserve"> PAGEREF _Toc505335951 \h </w:instrText>
            </w:r>
            <w:r w:rsidR="000C43B5">
              <w:rPr>
                <w:webHidden/>
              </w:rPr>
            </w:r>
            <w:r w:rsidR="000C43B5">
              <w:rPr>
                <w:webHidden/>
              </w:rPr>
              <w:fldChar w:fldCharType="separate"/>
            </w:r>
            <w:r w:rsidR="00737178">
              <w:rPr>
                <w:webHidden/>
              </w:rPr>
              <w:t>109</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52" w:history="1">
            <w:r w:rsidR="000C43B5" w:rsidRPr="00DD0C8C">
              <w:rPr>
                <w:rStyle w:val="Hipervnculo"/>
              </w:rPr>
              <w:t>5.2.6</w:t>
            </w:r>
            <w:r w:rsidR="000C43B5">
              <w:rPr>
                <w:rFonts w:asciiTheme="minorHAnsi" w:eastAsiaTheme="minorEastAsia" w:hAnsiTheme="minorHAnsi" w:cstheme="minorBidi"/>
                <w:szCs w:val="22"/>
                <w:lang w:eastAsia="es-CO"/>
              </w:rPr>
              <w:tab/>
            </w:r>
            <w:r w:rsidR="000C43B5" w:rsidRPr="00DD0C8C">
              <w:rPr>
                <w:rStyle w:val="Hipervnculo"/>
              </w:rPr>
              <w:t>Indicadores adicionales</w:t>
            </w:r>
            <w:r w:rsidR="000C43B5">
              <w:rPr>
                <w:webHidden/>
              </w:rPr>
              <w:tab/>
            </w:r>
            <w:r w:rsidR="000C43B5">
              <w:rPr>
                <w:webHidden/>
              </w:rPr>
              <w:fldChar w:fldCharType="begin"/>
            </w:r>
            <w:r w:rsidR="000C43B5">
              <w:rPr>
                <w:webHidden/>
              </w:rPr>
              <w:instrText xml:space="preserve"> PAGEREF _Toc505335952 \h </w:instrText>
            </w:r>
            <w:r w:rsidR="000C43B5">
              <w:rPr>
                <w:webHidden/>
              </w:rPr>
            </w:r>
            <w:r w:rsidR="000C43B5">
              <w:rPr>
                <w:webHidden/>
              </w:rPr>
              <w:fldChar w:fldCharType="separate"/>
            </w:r>
            <w:r w:rsidR="00737178">
              <w:rPr>
                <w:webHidden/>
              </w:rPr>
              <w:t>109</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53" w:history="1">
            <w:r w:rsidR="000C43B5" w:rsidRPr="00DD0C8C">
              <w:rPr>
                <w:rStyle w:val="Hipervnculo"/>
              </w:rPr>
              <w:t>5.2.7</w:t>
            </w:r>
            <w:r w:rsidR="000C43B5">
              <w:rPr>
                <w:rFonts w:asciiTheme="minorHAnsi" w:eastAsiaTheme="minorEastAsia" w:hAnsiTheme="minorHAnsi" w:cstheme="minorBidi"/>
                <w:szCs w:val="22"/>
                <w:lang w:eastAsia="es-CO"/>
              </w:rPr>
              <w:tab/>
            </w:r>
            <w:r w:rsidR="000C43B5" w:rsidRPr="00DD0C8C">
              <w:rPr>
                <w:rStyle w:val="Hipervnculo"/>
              </w:rPr>
              <w:t>Alumbrado público</w:t>
            </w:r>
            <w:r w:rsidR="000C43B5">
              <w:rPr>
                <w:webHidden/>
              </w:rPr>
              <w:tab/>
            </w:r>
            <w:r w:rsidR="000C43B5">
              <w:rPr>
                <w:webHidden/>
              </w:rPr>
              <w:fldChar w:fldCharType="begin"/>
            </w:r>
            <w:r w:rsidR="000C43B5">
              <w:rPr>
                <w:webHidden/>
              </w:rPr>
              <w:instrText xml:space="preserve"> PAGEREF _Toc505335953 \h </w:instrText>
            </w:r>
            <w:r w:rsidR="000C43B5">
              <w:rPr>
                <w:webHidden/>
              </w:rPr>
            </w:r>
            <w:r w:rsidR="000C43B5">
              <w:rPr>
                <w:webHidden/>
              </w:rPr>
              <w:fldChar w:fldCharType="separate"/>
            </w:r>
            <w:r w:rsidR="00737178">
              <w:rPr>
                <w:webHidden/>
              </w:rPr>
              <w:t>111</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54" w:history="1">
            <w:r w:rsidR="000C43B5" w:rsidRPr="00DD0C8C">
              <w:rPr>
                <w:rStyle w:val="Hipervnculo"/>
              </w:rPr>
              <w:t>5.2.8</w:t>
            </w:r>
            <w:r w:rsidR="000C43B5">
              <w:rPr>
                <w:rFonts w:asciiTheme="minorHAnsi" w:eastAsiaTheme="minorEastAsia" w:hAnsiTheme="minorHAnsi" w:cstheme="minorBidi"/>
                <w:szCs w:val="22"/>
                <w:lang w:eastAsia="es-CO"/>
              </w:rPr>
              <w:tab/>
            </w:r>
            <w:r w:rsidR="000C43B5" w:rsidRPr="00DD0C8C">
              <w:rPr>
                <w:rStyle w:val="Hipervnculo"/>
              </w:rPr>
              <w:t>Usuarios que inyectan energía a la red</w:t>
            </w:r>
            <w:r w:rsidR="000C43B5">
              <w:rPr>
                <w:webHidden/>
              </w:rPr>
              <w:tab/>
            </w:r>
            <w:r w:rsidR="000C43B5">
              <w:rPr>
                <w:webHidden/>
              </w:rPr>
              <w:fldChar w:fldCharType="begin"/>
            </w:r>
            <w:r w:rsidR="000C43B5">
              <w:rPr>
                <w:webHidden/>
              </w:rPr>
              <w:instrText xml:space="preserve"> PAGEREF _Toc505335954 \h </w:instrText>
            </w:r>
            <w:r w:rsidR="000C43B5">
              <w:rPr>
                <w:webHidden/>
              </w:rPr>
            </w:r>
            <w:r w:rsidR="000C43B5">
              <w:rPr>
                <w:webHidden/>
              </w:rPr>
              <w:fldChar w:fldCharType="separate"/>
            </w:r>
            <w:r w:rsidR="00737178">
              <w:rPr>
                <w:webHidden/>
              </w:rPr>
              <w:t>111</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55" w:history="1">
            <w:r w:rsidR="000C43B5" w:rsidRPr="00DD0C8C">
              <w:rPr>
                <w:rStyle w:val="Hipervnculo"/>
              </w:rPr>
              <w:t>5.2.9</w:t>
            </w:r>
            <w:r w:rsidR="000C43B5">
              <w:rPr>
                <w:rFonts w:asciiTheme="minorHAnsi" w:eastAsiaTheme="minorEastAsia" w:hAnsiTheme="minorHAnsi" w:cstheme="minorBidi"/>
                <w:szCs w:val="22"/>
                <w:lang w:eastAsia="es-CO"/>
              </w:rPr>
              <w:tab/>
            </w:r>
            <w:r w:rsidR="000C43B5" w:rsidRPr="00DD0C8C">
              <w:rPr>
                <w:rStyle w:val="Hipervnculo"/>
              </w:rPr>
              <w:t>Contratos de calidad extra</w:t>
            </w:r>
            <w:r w:rsidR="000C43B5">
              <w:rPr>
                <w:webHidden/>
              </w:rPr>
              <w:tab/>
            </w:r>
            <w:r w:rsidR="000C43B5">
              <w:rPr>
                <w:webHidden/>
              </w:rPr>
              <w:fldChar w:fldCharType="begin"/>
            </w:r>
            <w:r w:rsidR="000C43B5">
              <w:rPr>
                <w:webHidden/>
              </w:rPr>
              <w:instrText xml:space="preserve"> PAGEREF _Toc505335955 \h </w:instrText>
            </w:r>
            <w:r w:rsidR="000C43B5">
              <w:rPr>
                <w:webHidden/>
              </w:rPr>
            </w:r>
            <w:r w:rsidR="000C43B5">
              <w:rPr>
                <w:webHidden/>
              </w:rPr>
              <w:fldChar w:fldCharType="separate"/>
            </w:r>
            <w:r w:rsidR="00737178">
              <w:rPr>
                <w:webHidden/>
              </w:rPr>
              <w:t>111</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56" w:history="1">
            <w:r w:rsidR="000C43B5" w:rsidRPr="00DD0C8C">
              <w:rPr>
                <w:rStyle w:val="Hipervnculo"/>
              </w:rPr>
              <w:t>5.2.10</w:t>
            </w:r>
            <w:r w:rsidR="000C43B5">
              <w:rPr>
                <w:rFonts w:asciiTheme="minorHAnsi" w:eastAsiaTheme="minorEastAsia" w:hAnsiTheme="minorHAnsi" w:cstheme="minorBidi"/>
                <w:szCs w:val="22"/>
                <w:lang w:eastAsia="es-CO"/>
              </w:rPr>
              <w:tab/>
            </w:r>
            <w:r w:rsidR="000C43B5" w:rsidRPr="00DD0C8C">
              <w:rPr>
                <w:rStyle w:val="Hipervnculo"/>
              </w:rPr>
              <w:t>Requisitos del esquema de incentivos y compensaciones</w:t>
            </w:r>
            <w:r w:rsidR="000C43B5">
              <w:rPr>
                <w:webHidden/>
              </w:rPr>
              <w:tab/>
            </w:r>
            <w:r w:rsidR="000C43B5">
              <w:rPr>
                <w:webHidden/>
              </w:rPr>
              <w:fldChar w:fldCharType="begin"/>
            </w:r>
            <w:r w:rsidR="000C43B5">
              <w:rPr>
                <w:webHidden/>
              </w:rPr>
              <w:instrText xml:space="preserve"> PAGEREF _Toc505335956 \h </w:instrText>
            </w:r>
            <w:r w:rsidR="000C43B5">
              <w:rPr>
                <w:webHidden/>
              </w:rPr>
            </w:r>
            <w:r w:rsidR="000C43B5">
              <w:rPr>
                <w:webHidden/>
              </w:rPr>
              <w:fldChar w:fldCharType="separate"/>
            </w:r>
            <w:r w:rsidR="00737178">
              <w:rPr>
                <w:webHidden/>
              </w:rPr>
              <w:t>112</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57" w:history="1">
            <w:r w:rsidR="000C43B5" w:rsidRPr="00DD0C8C">
              <w:rPr>
                <w:rStyle w:val="Hipervnculo"/>
              </w:rPr>
              <w:t>5.2.11</w:t>
            </w:r>
            <w:r w:rsidR="000C43B5">
              <w:rPr>
                <w:rFonts w:asciiTheme="minorHAnsi" w:eastAsiaTheme="minorEastAsia" w:hAnsiTheme="minorHAnsi" w:cstheme="minorBidi"/>
                <w:szCs w:val="22"/>
                <w:lang w:eastAsia="es-CO"/>
              </w:rPr>
              <w:tab/>
            </w:r>
            <w:r w:rsidR="000C43B5" w:rsidRPr="00DD0C8C">
              <w:rPr>
                <w:rStyle w:val="Hipervnculo"/>
              </w:rPr>
              <w:t>Información básica para la aplicación del esquema de incentivos y compensaciones</w:t>
            </w:r>
            <w:r w:rsidR="000C43B5">
              <w:rPr>
                <w:webHidden/>
              </w:rPr>
              <w:tab/>
            </w:r>
            <w:r w:rsidR="000C43B5">
              <w:rPr>
                <w:webHidden/>
              </w:rPr>
              <w:fldChar w:fldCharType="begin"/>
            </w:r>
            <w:r w:rsidR="000C43B5">
              <w:rPr>
                <w:webHidden/>
              </w:rPr>
              <w:instrText xml:space="preserve"> PAGEREF _Toc505335957 \h </w:instrText>
            </w:r>
            <w:r w:rsidR="000C43B5">
              <w:rPr>
                <w:webHidden/>
              </w:rPr>
            </w:r>
            <w:r w:rsidR="000C43B5">
              <w:rPr>
                <w:webHidden/>
              </w:rPr>
              <w:fldChar w:fldCharType="separate"/>
            </w:r>
            <w:r w:rsidR="00737178">
              <w:rPr>
                <w:webHidden/>
              </w:rPr>
              <w:t>114</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58" w:history="1">
            <w:r w:rsidR="000C43B5" w:rsidRPr="00DD0C8C">
              <w:rPr>
                <w:rStyle w:val="Hipervnculo"/>
              </w:rPr>
              <w:t>5.2.12</w:t>
            </w:r>
            <w:r w:rsidR="000C43B5">
              <w:rPr>
                <w:rFonts w:asciiTheme="minorHAnsi" w:eastAsiaTheme="minorEastAsia" w:hAnsiTheme="minorHAnsi" w:cstheme="minorBidi"/>
                <w:szCs w:val="22"/>
                <w:lang w:eastAsia="es-CO"/>
              </w:rPr>
              <w:tab/>
            </w:r>
            <w:r w:rsidR="000C43B5" w:rsidRPr="00DD0C8C">
              <w:rPr>
                <w:rStyle w:val="Hipervnculo"/>
              </w:rPr>
              <w:t>Verificaciones a la información</w:t>
            </w:r>
            <w:r w:rsidR="000C43B5">
              <w:rPr>
                <w:webHidden/>
              </w:rPr>
              <w:tab/>
            </w:r>
            <w:r w:rsidR="000C43B5">
              <w:rPr>
                <w:webHidden/>
              </w:rPr>
              <w:fldChar w:fldCharType="begin"/>
            </w:r>
            <w:r w:rsidR="000C43B5">
              <w:rPr>
                <w:webHidden/>
              </w:rPr>
              <w:instrText xml:space="preserve"> PAGEREF _Toc505335958 \h </w:instrText>
            </w:r>
            <w:r w:rsidR="000C43B5">
              <w:rPr>
                <w:webHidden/>
              </w:rPr>
            </w:r>
            <w:r w:rsidR="000C43B5">
              <w:rPr>
                <w:webHidden/>
              </w:rPr>
              <w:fldChar w:fldCharType="separate"/>
            </w:r>
            <w:r w:rsidR="00737178">
              <w:rPr>
                <w:webHidden/>
              </w:rPr>
              <w:t>119</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59" w:history="1">
            <w:r w:rsidR="000C43B5" w:rsidRPr="00DD0C8C">
              <w:rPr>
                <w:rStyle w:val="Hipervnculo"/>
              </w:rPr>
              <w:t>5.2.13</w:t>
            </w:r>
            <w:r w:rsidR="000C43B5">
              <w:rPr>
                <w:rFonts w:asciiTheme="minorHAnsi" w:eastAsiaTheme="minorEastAsia" w:hAnsiTheme="minorHAnsi" w:cstheme="minorBidi"/>
                <w:szCs w:val="22"/>
                <w:lang w:eastAsia="es-CO"/>
              </w:rPr>
              <w:tab/>
            </w:r>
            <w:r w:rsidR="000C43B5" w:rsidRPr="00DD0C8C">
              <w:rPr>
                <w:rStyle w:val="Hipervnculo"/>
              </w:rPr>
              <w:t>Responsabilidades de información sobre la calidad en los SDL</w:t>
            </w:r>
            <w:r w:rsidR="000C43B5">
              <w:rPr>
                <w:webHidden/>
              </w:rPr>
              <w:tab/>
            </w:r>
            <w:r w:rsidR="000C43B5">
              <w:rPr>
                <w:webHidden/>
              </w:rPr>
              <w:fldChar w:fldCharType="begin"/>
            </w:r>
            <w:r w:rsidR="000C43B5">
              <w:rPr>
                <w:webHidden/>
              </w:rPr>
              <w:instrText xml:space="preserve"> PAGEREF _Toc505335959 \h </w:instrText>
            </w:r>
            <w:r w:rsidR="000C43B5">
              <w:rPr>
                <w:webHidden/>
              </w:rPr>
            </w:r>
            <w:r w:rsidR="000C43B5">
              <w:rPr>
                <w:webHidden/>
              </w:rPr>
              <w:fldChar w:fldCharType="separate"/>
            </w:r>
            <w:r w:rsidR="00737178">
              <w:rPr>
                <w:webHidden/>
              </w:rPr>
              <w:t>119</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60" w:history="1">
            <w:r w:rsidR="000C43B5" w:rsidRPr="00DD0C8C">
              <w:rPr>
                <w:rStyle w:val="Hipervnculo"/>
              </w:rPr>
              <w:t>5.2.14</w:t>
            </w:r>
            <w:r w:rsidR="000C43B5">
              <w:rPr>
                <w:rFonts w:asciiTheme="minorHAnsi" w:eastAsiaTheme="minorEastAsia" w:hAnsiTheme="minorHAnsi" w:cstheme="minorBidi"/>
                <w:szCs w:val="22"/>
                <w:lang w:eastAsia="es-CO"/>
              </w:rPr>
              <w:tab/>
            </w:r>
            <w:r w:rsidR="000C43B5" w:rsidRPr="00DD0C8C">
              <w:rPr>
                <w:rStyle w:val="Hipervnculo"/>
              </w:rPr>
              <w:t>Calidad en empresas o en redes que se interconecten al SIN</w:t>
            </w:r>
            <w:r w:rsidR="000C43B5">
              <w:rPr>
                <w:webHidden/>
              </w:rPr>
              <w:tab/>
            </w:r>
            <w:r w:rsidR="000C43B5">
              <w:rPr>
                <w:webHidden/>
              </w:rPr>
              <w:fldChar w:fldCharType="begin"/>
            </w:r>
            <w:r w:rsidR="000C43B5">
              <w:rPr>
                <w:webHidden/>
              </w:rPr>
              <w:instrText xml:space="preserve"> PAGEREF _Toc505335960 \h </w:instrText>
            </w:r>
            <w:r w:rsidR="000C43B5">
              <w:rPr>
                <w:webHidden/>
              </w:rPr>
            </w:r>
            <w:r w:rsidR="000C43B5">
              <w:rPr>
                <w:webHidden/>
              </w:rPr>
              <w:fldChar w:fldCharType="separate"/>
            </w:r>
            <w:r w:rsidR="00737178">
              <w:rPr>
                <w:webHidden/>
              </w:rPr>
              <w:t>121</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61" w:history="1">
            <w:r w:rsidR="000C43B5" w:rsidRPr="00DD0C8C">
              <w:rPr>
                <w:rStyle w:val="Hipervnculo"/>
              </w:rPr>
              <w:t>5.2.15</w:t>
            </w:r>
            <w:r w:rsidR="000C43B5">
              <w:rPr>
                <w:rFonts w:asciiTheme="minorHAnsi" w:eastAsiaTheme="minorEastAsia" w:hAnsiTheme="minorHAnsi" w:cstheme="minorBidi"/>
                <w:szCs w:val="22"/>
                <w:lang w:eastAsia="es-CO"/>
              </w:rPr>
              <w:tab/>
            </w:r>
            <w:r w:rsidR="000C43B5" w:rsidRPr="00DD0C8C">
              <w:rPr>
                <w:rStyle w:val="Hipervnculo"/>
              </w:rPr>
              <w:t>Calidad de empresas que se fusionan o se escinden</w:t>
            </w:r>
            <w:r w:rsidR="000C43B5">
              <w:rPr>
                <w:webHidden/>
              </w:rPr>
              <w:tab/>
            </w:r>
            <w:r w:rsidR="000C43B5">
              <w:rPr>
                <w:webHidden/>
              </w:rPr>
              <w:fldChar w:fldCharType="begin"/>
            </w:r>
            <w:r w:rsidR="000C43B5">
              <w:rPr>
                <w:webHidden/>
              </w:rPr>
              <w:instrText xml:space="preserve"> PAGEREF _Toc505335961 \h </w:instrText>
            </w:r>
            <w:r w:rsidR="000C43B5">
              <w:rPr>
                <w:webHidden/>
              </w:rPr>
            </w:r>
            <w:r w:rsidR="000C43B5">
              <w:rPr>
                <w:webHidden/>
              </w:rPr>
              <w:fldChar w:fldCharType="separate"/>
            </w:r>
            <w:r w:rsidR="00737178">
              <w:rPr>
                <w:webHidden/>
              </w:rPr>
              <w:t>122</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62" w:history="1">
            <w:r w:rsidR="000C43B5" w:rsidRPr="00DD0C8C">
              <w:rPr>
                <w:rStyle w:val="Hipervnculo"/>
              </w:rPr>
              <w:t>5.2.16</w:t>
            </w:r>
            <w:r w:rsidR="000C43B5">
              <w:rPr>
                <w:rFonts w:asciiTheme="minorHAnsi" w:eastAsiaTheme="minorEastAsia" w:hAnsiTheme="minorHAnsi" w:cstheme="minorBidi"/>
                <w:szCs w:val="22"/>
                <w:lang w:eastAsia="es-CO"/>
              </w:rPr>
              <w:tab/>
            </w:r>
            <w:r w:rsidR="000C43B5" w:rsidRPr="00DD0C8C">
              <w:rPr>
                <w:rStyle w:val="Hipervnculo"/>
              </w:rPr>
              <w:t>Transición</w:t>
            </w:r>
            <w:r w:rsidR="000C43B5">
              <w:rPr>
                <w:webHidden/>
              </w:rPr>
              <w:tab/>
            </w:r>
            <w:r w:rsidR="000C43B5">
              <w:rPr>
                <w:webHidden/>
              </w:rPr>
              <w:fldChar w:fldCharType="begin"/>
            </w:r>
            <w:r w:rsidR="000C43B5">
              <w:rPr>
                <w:webHidden/>
              </w:rPr>
              <w:instrText xml:space="preserve"> PAGEREF _Toc505335962 \h </w:instrText>
            </w:r>
            <w:r w:rsidR="000C43B5">
              <w:rPr>
                <w:webHidden/>
              </w:rPr>
            </w:r>
            <w:r w:rsidR="000C43B5">
              <w:rPr>
                <w:webHidden/>
              </w:rPr>
              <w:fldChar w:fldCharType="separate"/>
            </w:r>
            <w:r w:rsidR="00737178">
              <w:rPr>
                <w:webHidden/>
              </w:rPr>
              <w:t>122</w:t>
            </w:r>
            <w:r w:rsidR="000C43B5">
              <w:rPr>
                <w:webHidden/>
              </w:rPr>
              <w:fldChar w:fldCharType="end"/>
            </w:r>
          </w:hyperlink>
        </w:p>
        <w:p w:rsidR="000C43B5" w:rsidRDefault="00C9592F">
          <w:pPr>
            <w:pStyle w:val="TDC1"/>
            <w:tabs>
              <w:tab w:val="left" w:pos="1843"/>
            </w:tabs>
            <w:rPr>
              <w:rFonts w:asciiTheme="minorHAnsi" w:eastAsiaTheme="minorEastAsia" w:hAnsiTheme="minorHAnsi" w:cstheme="minorBidi"/>
              <w:b w:val="0"/>
              <w:caps w:val="0"/>
              <w:sz w:val="22"/>
              <w:szCs w:val="22"/>
              <w:lang w:val="es-CO" w:eastAsia="es-CO"/>
            </w:rPr>
          </w:pPr>
          <w:hyperlink w:anchor="_Toc505335963" w:history="1">
            <w:r w:rsidR="000C43B5" w:rsidRPr="00DD0C8C">
              <w:rPr>
                <w:rStyle w:val="Hipervnculo"/>
              </w:rPr>
              <w:t>CAPITULO 6.</w:t>
            </w:r>
            <w:r w:rsidR="000C43B5">
              <w:rPr>
                <w:rFonts w:asciiTheme="minorHAnsi" w:eastAsiaTheme="minorEastAsia" w:hAnsiTheme="minorHAnsi" w:cstheme="minorBidi"/>
                <w:b w:val="0"/>
                <w:caps w:val="0"/>
                <w:sz w:val="22"/>
                <w:szCs w:val="22"/>
                <w:lang w:val="es-CO" w:eastAsia="es-CO"/>
              </w:rPr>
              <w:tab/>
            </w:r>
            <w:r w:rsidR="000C43B5" w:rsidRPr="00DD0C8C">
              <w:rPr>
                <w:rStyle w:val="Hipervnculo"/>
              </w:rPr>
              <w:t>PLANES DE INVERSIÓN</w:t>
            </w:r>
            <w:r w:rsidR="000C43B5">
              <w:rPr>
                <w:webHidden/>
              </w:rPr>
              <w:tab/>
            </w:r>
            <w:r w:rsidR="000C43B5">
              <w:rPr>
                <w:webHidden/>
              </w:rPr>
              <w:fldChar w:fldCharType="begin"/>
            </w:r>
            <w:r w:rsidR="000C43B5">
              <w:rPr>
                <w:webHidden/>
              </w:rPr>
              <w:instrText xml:space="preserve"> PAGEREF _Toc505335963 \h </w:instrText>
            </w:r>
            <w:r w:rsidR="000C43B5">
              <w:rPr>
                <w:webHidden/>
              </w:rPr>
            </w:r>
            <w:r w:rsidR="000C43B5">
              <w:rPr>
                <w:webHidden/>
              </w:rPr>
              <w:fldChar w:fldCharType="separate"/>
            </w:r>
            <w:r w:rsidR="00737178">
              <w:rPr>
                <w:webHidden/>
              </w:rPr>
              <w:t>124</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64" w:history="1">
            <w:r w:rsidR="000C43B5" w:rsidRPr="00DD0C8C">
              <w:rPr>
                <w:rStyle w:val="Hipervnculo"/>
              </w:rPr>
              <w:t>6.1</w:t>
            </w:r>
            <w:r w:rsidR="000C43B5">
              <w:rPr>
                <w:rFonts w:asciiTheme="minorHAnsi" w:eastAsiaTheme="minorEastAsia" w:hAnsiTheme="minorHAnsi" w:cstheme="minorBidi"/>
                <w:bCs w:val="0"/>
                <w:caps w:val="0"/>
                <w:szCs w:val="22"/>
                <w:lang w:eastAsia="es-CO"/>
              </w:rPr>
              <w:tab/>
            </w:r>
            <w:r w:rsidR="000C43B5" w:rsidRPr="00DD0C8C">
              <w:rPr>
                <w:rStyle w:val="Hipervnculo"/>
              </w:rPr>
              <w:t>Criterios de generales</w:t>
            </w:r>
            <w:r w:rsidR="000C43B5">
              <w:rPr>
                <w:webHidden/>
              </w:rPr>
              <w:tab/>
            </w:r>
            <w:r w:rsidR="000C43B5">
              <w:rPr>
                <w:webHidden/>
              </w:rPr>
              <w:fldChar w:fldCharType="begin"/>
            </w:r>
            <w:r w:rsidR="000C43B5">
              <w:rPr>
                <w:webHidden/>
              </w:rPr>
              <w:instrText xml:space="preserve"> PAGEREF _Toc505335964 \h </w:instrText>
            </w:r>
            <w:r w:rsidR="000C43B5">
              <w:rPr>
                <w:webHidden/>
              </w:rPr>
            </w:r>
            <w:r w:rsidR="000C43B5">
              <w:rPr>
                <w:webHidden/>
              </w:rPr>
              <w:fldChar w:fldCharType="separate"/>
            </w:r>
            <w:r w:rsidR="00737178">
              <w:rPr>
                <w:webHidden/>
              </w:rPr>
              <w:t>124</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65" w:history="1">
            <w:r w:rsidR="000C43B5" w:rsidRPr="00DD0C8C">
              <w:rPr>
                <w:rStyle w:val="Hipervnculo"/>
              </w:rPr>
              <w:t>6.2</w:t>
            </w:r>
            <w:r w:rsidR="000C43B5">
              <w:rPr>
                <w:rFonts w:asciiTheme="minorHAnsi" w:eastAsiaTheme="minorEastAsia" w:hAnsiTheme="minorHAnsi" w:cstheme="minorBidi"/>
                <w:bCs w:val="0"/>
                <w:caps w:val="0"/>
                <w:szCs w:val="22"/>
                <w:lang w:eastAsia="es-CO"/>
              </w:rPr>
              <w:tab/>
            </w:r>
            <w:r w:rsidR="000C43B5" w:rsidRPr="00DD0C8C">
              <w:rPr>
                <w:rStyle w:val="Hipervnculo"/>
              </w:rPr>
              <w:t>Presentación de los planes de inversión</w:t>
            </w:r>
            <w:r w:rsidR="000C43B5">
              <w:rPr>
                <w:webHidden/>
              </w:rPr>
              <w:tab/>
            </w:r>
            <w:r w:rsidR="000C43B5">
              <w:rPr>
                <w:webHidden/>
              </w:rPr>
              <w:fldChar w:fldCharType="begin"/>
            </w:r>
            <w:r w:rsidR="000C43B5">
              <w:rPr>
                <w:webHidden/>
              </w:rPr>
              <w:instrText xml:space="preserve"> PAGEREF _Toc505335965 \h </w:instrText>
            </w:r>
            <w:r w:rsidR="000C43B5">
              <w:rPr>
                <w:webHidden/>
              </w:rPr>
            </w:r>
            <w:r w:rsidR="000C43B5">
              <w:rPr>
                <w:webHidden/>
              </w:rPr>
              <w:fldChar w:fldCharType="separate"/>
            </w:r>
            <w:r w:rsidR="00737178">
              <w:rPr>
                <w:webHidden/>
              </w:rPr>
              <w:t>125</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66" w:history="1">
            <w:r w:rsidR="000C43B5" w:rsidRPr="00DD0C8C">
              <w:rPr>
                <w:rStyle w:val="Hipervnculo"/>
              </w:rPr>
              <w:t>6.3</w:t>
            </w:r>
            <w:r w:rsidR="000C43B5">
              <w:rPr>
                <w:rFonts w:asciiTheme="minorHAnsi" w:eastAsiaTheme="minorEastAsia" w:hAnsiTheme="minorHAnsi" w:cstheme="minorBidi"/>
                <w:bCs w:val="0"/>
                <w:caps w:val="0"/>
                <w:szCs w:val="22"/>
                <w:lang w:eastAsia="es-CO"/>
              </w:rPr>
              <w:tab/>
            </w:r>
            <w:r w:rsidR="000C43B5" w:rsidRPr="00DD0C8C">
              <w:rPr>
                <w:rStyle w:val="Hipervnculo"/>
              </w:rPr>
              <w:t>Contenido de los planes de inversión</w:t>
            </w:r>
            <w:r w:rsidR="000C43B5">
              <w:rPr>
                <w:webHidden/>
              </w:rPr>
              <w:tab/>
            </w:r>
            <w:r w:rsidR="000C43B5">
              <w:rPr>
                <w:webHidden/>
              </w:rPr>
              <w:fldChar w:fldCharType="begin"/>
            </w:r>
            <w:r w:rsidR="000C43B5">
              <w:rPr>
                <w:webHidden/>
              </w:rPr>
              <w:instrText xml:space="preserve"> PAGEREF _Toc505335966 \h </w:instrText>
            </w:r>
            <w:r w:rsidR="000C43B5">
              <w:rPr>
                <w:webHidden/>
              </w:rPr>
            </w:r>
            <w:r w:rsidR="000C43B5">
              <w:rPr>
                <w:webHidden/>
              </w:rPr>
              <w:fldChar w:fldCharType="separate"/>
            </w:r>
            <w:r w:rsidR="00737178">
              <w:rPr>
                <w:webHidden/>
              </w:rPr>
              <w:t>126</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67" w:history="1">
            <w:r w:rsidR="000C43B5" w:rsidRPr="00DD0C8C">
              <w:rPr>
                <w:rStyle w:val="Hipervnculo"/>
              </w:rPr>
              <w:t>6.3.1</w:t>
            </w:r>
            <w:r w:rsidR="000C43B5">
              <w:rPr>
                <w:rFonts w:asciiTheme="minorHAnsi" w:eastAsiaTheme="minorEastAsia" w:hAnsiTheme="minorHAnsi" w:cstheme="minorBidi"/>
                <w:szCs w:val="22"/>
                <w:lang w:eastAsia="es-CO"/>
              </w:rPr>
              <w:tab/>
            </w:r>
            <w:r w:rsidR="000C43B5" w:rsidRPr="00DD0C8C">
              <w:rPr>
                <w:rStyle w:val="Hipervnculo"/>
              </w:rPr>
              <w:t>Diagnostico</w:t>
            </w:r>
            <w:r w:rsidR="000C43B5">
              <w:rPr>
                <w:webHidden/>
              </w:rPr>
              <w:tab/>
            </w:r>
            <w:r w:rsidR="000C43B5">
              <w:rPr>
                <w:webHidden/>
              </w:rPr>
              <w:fldChar w:fldCharType="begin"/>
            </w:r>
            <w:r w:rsidR="000C43B5">
              <w:rPr>
                <w:webHidden/>
              </w:rPr>
              <w:instrText xml:space="preserve"> PAGEREF _Toc505335967 \h </w:instrText>
            </w:r>
            <w:r w:rsidR="000C43B5">
              <w:rPr>
                <w:webHidden/>
              </w:rPr>
            </w:r>
            <w:r w:rsidR="000C43B5">
              <w:rPr>
                <w:webHidden/>
              </w:rPr>
              <w:fldChar w:fldCharType="separate"/>
            </w:r>
            <w:r w:rsidR="00737178">
              <w:rPr>
                <w:webHidden/>
              </w:rPr>
              <w:t>126</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68" w:history="1">
            <w:r w:rsidR="000C43B5" w:rsidRPr="00DD0C8C">
              <w:rPr>
                <w:rStyle w:val="Hipervnculo"/>
              </w:rPr>
              <w:t>6.3.2</w:t>
            </w:r>
            <w:r w:rsidR="000C43B5">
              <w:rPr>
                <w:rFonts w:asciiTheme="minorHAnsi" w:eastAsiaTheme="minorEastAsia" w:hAnsiTheme="minorHAnsi" w:cstheme="minorBidi"/>
                <w:szCs w:val="22"/>
                <w:lang w:eastAsia="es-CO"/>
              </w:rPr>
              <w:tab/>
            </w:r>
            <w:r w:rsidR="000C43B5" w:rsidRPr="00DD0C8C">
              <w:rPr>
                <w:rStyle w:val="Hipervnculo"/>
                <w:rFonts w:cs="Arial"/>
              </w:rPr>
              <w:t>Proyectos de inversión motivados en la atención de demanda</w:t>
            </w:r>
            <w:r w:rsidR="000C43B5">
              <w:rPr>
                <w:webHidden/>
              </w:rPr>
              <w:tab/>
            </w:r>
            <w:r w:rsidR="000C43B5">
              <w:rPr>
                <w:webHidden/>
              </w:rPr>
              <w:fldChar w:fldCharType="begin"/>
            </w:r>
            <w:r w:rsidR="000C43B5">
              <w:rPr>
                <w:webHidden/>
              </w:rPr>
              <w:instrText xml:space="preserve"> PAGEREF _Toc505335968 \h </w:instrText>
            </w:r>
            <w:r w:rsidR="000C43B5">
              <w:rPr>
                <w:webHidden/>
              </w:rPr>
            </w:r>
            <w:r w:rsidR="000C43B5">
              <w:rPr>
                <w:webHidden/>
              </w:rPr>
              <w:fldChar w:fldCharType="separate"/>
            </w:r>
            <w:r w:rsidR="00737178">
              <w:rPr>
                <w:webHidden/>
              </w:rPr>
              <w:t>126</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69" w:history="1">
            <w:r w:rsidR="000C43B5" w:rsidRPr="00DD0C8C">
              <w:rPr>
                <w:rStyle w:val="Hipervnculo"/>
              </w:rPr>
              <w:t>6.3.3</w:t>
            </w:r>
            <w:r w:rsidR="000C43B5">
              <w:rPr>
                <w:rFonts w:asciiTheme="minorHAnsi" w:eastAsiaTheme="minorEastAsia" w:hAnsiTheme="minorHAnsi" w:cstheme="minorBidi"/>
                <w:szCs w:val="22"/>
                <w:lang w:eastAsia="es-CO"/>
              </w:rPr>
              <w:tab/>
            </w:r>
            <w:r w:rsidR="000C43B5" w:rsidRPr="00DD0C8C">
              <w:rPr>
                <w:rStyle w:val="Hipervnculo"/>
              </w:rPr>
              <w:t>Proyectos de inversión no motivados en la atención de demanda</w:t>
            </w:r>
            <w:r w:rsidR="000C43B5">
              <w:rPr>
                <w:webHidden/>
              </w:rPr>
              <w:tab/>
            </w:r>
            <w:r w:rsidR="000C43B5">
              <w:rPr>
                <w:webHidden/>
              </w:rPr>
              <w:fldChar w:fldCharType="begin"/>
            </w:r>
            <w:r w:rsidR="000C43B5">
              <w:rPr>
                <w:webHidden/>
              </w:rPr>
              <w:instrText xml:space="preserve"> PAGEREF _Toc505335969 \h </w:instrText>
            </w:r>
            <w:r w:rsidR="000C43B5">
              <w:rPr>
                <w:webHidden/>
              </w:rPr>
            </w:r>
            <w:r w:rsidR="000C43B5">
              <w:rPr>
                <w:webHidden/>
              </w:rPr>
              <w:fldChar w:fldCharType="separate"/>
            </w:r>
            <w:r w:rsidR="00737178">
              <w:rPr>
                <w:webHidden/>
              </w:rPr>
              <w:t>128</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70" w:history="1">
            <w:r w:rsidR="000C43B5" w:rsidRPr="00DD0C8C">
              <w:rPr>
                <w:rStyle w:val="Hipervnculo"/>
              </w:rPr>
              <w:t>6.3.4</w:t>
            </w:r>
            <w:r w:rsidR="000C43B5">
              <w:rPr>
                <w:rFonts w:asciiTheme="minorHAnsi" w:eastAsiaTheme="minorEastAsia" w:hAnsiTheme="minorHAnsi" w:cstheme="minorBidi"/>
                <w:szCs w:val="22"/>
                <w:lang w:eastAsia="es-CO"/>
              </w:rPr>
              <w:tab/>
            </w:r>
            <w:r w:rsidR="000C43B5" w:rsidRPr="00DD0C8C">
              <w:rPr>
                <w:rStyle w:val="Hipervnculo"/>
              </w:rPr>
              <w:t>Proyectos de inversión en el STR</w:t>
            </w:r>
            <w:r w:rsidR="000C43B5">
              <w:rPr>
                <w:webHidden/>
              </w:rPr>
              <w:tab/>
            </w:r>
            <w:r w:rsidR="000C43B5">
              <w:rPr>
                <w:webHidden/>
              </w:rPr>
              <w:fldChar w:fldCharType="begin"/>
            </w:r>
            <w:r w:rsidR="000C43B5">
              <w:rPr>
                <w:webHidden/>
              </w:rPr>
              <w:instrText xml:space="preserve"> PAGEREF _Toc505335970 \h </w:instrText>
            </w:r>
            <w:r w:rsidR="000C43B5">
              <w:rPr>
                <w:webHidden/>
              </w:rPr>
            </w:r>
            <w:r w:rsidR="000C43B5">
              <w:rPr>
                <w:webHidden/>
              </w:rPr>
              <w:fldChar w:fldCharType="separate"/>
            </w:r>
            <w:r w:rsidR="00737178">
              <w:rPr>
                <w:webHidden/>
              </w:rPr>
              <w:t>131</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71" w:history="1">
            <w:r w:rsidR="000C43B5" w:rsidRPr="00DD0C8C">
              <w:rPr>
                <w:rStyle w:val="Hipervnculo"/>
                <w:lang w:val="es-ES_tradnl"/>
              </w:rPr>
              <w:t>6.4</w:t>
            </w:r>
            <w:r w:rsidR="000C43B5">
              <w:rPr>
                <w:rFonts w:asciiTheme="minorHAnsi" w:eastAsiaTheme="minorEastAsia" w:hAnsiTheme="minorHAnsi" w:cstheme="minorBidi"/>
                <w:bCs w:val="0"/>
                <w:caps w:val="0"/>
                <w:szCs w:val="22"/>
                <w:lang w:eastAsia="es-CO"/>
              </w:rPr>
              <w:tab/>
            </w:r>
            <w:r w:rsidR="000C43B5" w:rsidRPr="00DD0C8C">
              <w:rPr>
                <w:rStyle w:val="Hipervnculo"/>
                <w:lang w:val="es-ES_tradnl"/>
              </w:rPr>
              <w:t>Aprobación de los planes de inversión</w:t>
            </w:r>
            <w:r w:rsidR="000C43B5">
              <w:rPr>
                <w:webHidden/>
              </w:rPr>
              <w:tab/>
            </w:r>
            <w:r w:rsidR="000C43B5">
              <w:rPr>
                <w:webHidden/>
              </w:rPr>
              <w:fldChar w:fldCharType="begin"/>
            </w:r>
            <w:r w:rsidR="000C43B5">
              <w:rPr>
                <w:webHidden/>
              </w:rPr>
              <w:instrText xml:space="preserve"> PAGEREF _Toc505335971 \h </w:instrText>
            </w:r>
            <w:r w:rsidR="000C43B5">
              <w:rPr>
                <w:webHidden/>
              </w:rPr>
            </w:r>
            <w:r w:rsidR="000C43B5">
              <w:rPr>
                <w:webHidden/>
              </w:rPr>
              <w:fldChar w:fldCharType="separate"/>
            </w:r>
            <w:r w:rsidR="00737178">
              <w:rPr>
                <w:webHidden/>
              </w:rPr>
              <w:t>131</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72" w:history="1">
            <w:r w:rsidR="000C43B5" w:rsidRPr="00DD0C8C">
              <w:rPr>
                <w:rStyle w:val="Hipervnculo"/>
              </w:rPr>
              <w:t>6.4.1</w:t>
            </w:r>
            <w:r w:rsidR="000C43B5">
              <w:rPr>
                <w:rFonts w:asciiTheme="minorHAnsi" w:eastAsiaTheme="minorEastAsia" w:hAnsiTheme="minorHAnsi" w:cstheme="minorBidi"/>
                <w:szCs w:val="22"/>
                <w:lang w:eastAsia="es-CO"/>
              </w:rPr>
              <w:tab/>
            </w:r>
            <w:r w:rsidR="000C43B5" w:rsidRPr="00DD0C8C">
              <w:rPr>
                <w:rStyle w:val="Hipervnculo"/>
              </w:rPr>
              <w:t>Valor del plan de inversión para evaluación</w:t>
            </w:r>
            <w:r w:rsidR="000C43B5">
              <w:rPr>
                <w:webHidden/>
              </w:rPr>
              <w:tab/>
            </w:r>
            <w:r w:rsidR="000C43B5">
              <w:rPr>
                <w:webHidden/>
              </w:rPr>
              <w:fldChar w:fldCharType="begin"/>
            </w:r>
            <w:r w:rsidR="000C43B5">
              <w:rPr>
                <w:webHidden/>
              </w:rPr>
              <w:instrText xml:space="preserve"> PAGEREF _Toc505335972 \h </w:instrText>
            </w:r>
            <w:r w:rsidR="000C43B5">
              <w:rPr>
                <w:webHidden/>
              </w:rPr>
            </w:r>
            <w:r w:rsidR="000C43B5">
              <w:rPr>
                <w:webHidden/>
              </w:rPr>
              <w:fldChar w:fldCharType="separate"/>
            </w:r>
            <w:r w:rsidR="00737178">
              <w:rPr>
                <w:webHidden/>
              </w:rPr>
              <w:t>132</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73" w:history="1">
            <w:r w:rsidR="000C43B5" w:rsidRPr="00DD0C8C">
              <w:rPr>
                <w:rStyle w:val="Hipervnculo"/>
              </w:rPr>
              <w:t>6.4.2</w:t>
            </w:r>
            <w:r w:rsidR="000C43B5">
              <w:rPr>
                <w:rFonts w:asciiTheme="minorHAnsi" w:eastAsiaTheme="minorEastAsia" w:hAnsiTheme="minorHAnsi" w:cstheme="minorBidi"/>
                <w:szCs w:val="22"/>
                <w:lang w:eastAsia="es-CO"/>
              </w:rPr>
              <w:tab/>
            </w:r>
            <w:r w:rsidR="000C43B5" w:rsidRPr="00DD0C8C">
              <w:rPr>
                <w:rStyle w:val="Hipervnculo"/>
              </w:rPr>
              <w:t>Costo de reposición de referencia</w:t>
            </w:r>
            <w:r w:rsidR="000C43B5">
              <w:rPr>
                <w:webHidden/>
              </w:rPr>
              <w:tab/>
            </w:r>
            <w:r w:rsidR="000C43B5">
              <w:rPr>
                <w:webHidden/>
              </w:rPr>
              <w:fldChar w:fldCharType="begin"/>
            </w:r>
            <w:r w:rsidR="000C43B5">
              <w:rPr>
                <w:webHidden/>
              </w:rPr>
              <w:instrText xml:space="preserve"> PAGEREF _Toc505335973 \h </w:instrText>
            </w:r>
            <w:r w:rsidR="000C43B5">
              <w:rPr>
                <w:webHidden/>
              </w:rPr>
            </w:r>
            <w:r w:rsidR="000C43B5">
              <w:rPr>
                <w:webHidden/>
              </w:rPr>
              <w:fldChar w:fldCharType="separate"/>
            </w:r>
            <w:r w:rsidR="00737178">
              <w:rPr>
                <w:webHidden/>
              </w:rPr>
              <w:t>133</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74" w:history="1">
            <w:r w:rsidR="000C43B5" w:rsidRPr="00DD0C8C">
              <w:rPr>
                <w:rStyle w:val="Hipervnculo"/>
                <w:lang w:val="es-ES_tradnl"/>
              </w:rPr>
              <w:t>6.5</w:t>
            </w:r>
            <w:r w:rsidR="000C43B5">
              <w:rPr>
                <w:rFonts w:asciiTheme="minorHAnsi" w:eastAsiaTheme="minorEastAsia" w:hAnsiTheme="minorHAnsi" w:cstheme="minorBidi"/>
                <w:bCs w:val="0"/>
                <w:caps w:val="0"/>
                <w:szCs w:val="22"/>
                <w:lang w:eastAsia="es-CO"/>
              </w:rPr>
              <w:tab/>
            </w:r>
            <w:r w:rsidR="000C43B5" w:rsidRPr="00DD0C8C">
              <w:rPr>
                <w:rStyle w:val="Hipervnculo"/>
                <w:lang w:val="es-ES_tradnl"/>
              </w:rPr>
              <w:t>Seguimiento de los planes de inversión</w:t>
            </w:r>
            <w:r w:rsidR="000C43B5">
              <w:rPr>
                <w:webHidden/>
              </w:rPr>
              <w:tab/>
            </w:r>
            <w:r w:rsidR="000C43B5">
              <w:rPr>
                <w:webHidden/>
              </w:rPr>
              <w:fldChar w:fldCharType="begin"/>
            </w:r>
            <w:r w:rsidR="000C43B5">
              <w:rPr>
                <w:webHidden/>
              </w:rPr>
              <w:instrText xml:space="preserve"> PAGEREF _Toc505335974 \h </w:instrText>
            </w:r>
            <w:r w:rsidR="000C43B5">
              <w:rPr>
                <w:webHidden/>
              </w:rPr>
            </w:r>
            <w:r w:rsidR="000C43B5">
              <w:rPr>
                <w:webHidden/>
              </w:rPr>
              <w:fldChar w:fldCharType="separate"/>
            </w:r>
            <w:r w:rsidR="00737178">
              <w:rPr>
                <w:webHidden/>
              </w:rPr>
              <w:t>134</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75" w:history="1">
            <w:r w:rsidR="000C43B5" w:rsidRPr="00DD0C8C">
              <w:rPr>
                <w:rStyle w:val="Hipervnculo"/>
              </w:rPr>
              <w:t>6.6</w:t>
            </w:r>
            <w:r w:rsidR="000C43B5">
              <w:rPr>
                <w:rFonts w:asciiTheme="minorHAnsi" w:eastAsiaTheme="minorEastAsia" w:hAnsiTheme="minorHAnsi" w:cstheme="minorBidi"/>
                <w:bCs w:val="0"/>
                <w:caps w:val="0"/>
                <w:szCs w:val="22"/>
                <w:lang w:eastAsia="es-CO"/>
              </w:rPr>
              <w:tab/>
            </w:r>
            <w:r w:rsidR="000C43B5" w:rsidRPr="00DD0C8C">
              <w:rPr>
                <w:rStyle w:val="Hipervnculo"/>
              </w:rPr>
              <w:t>Ajuste de los planes de inversión</w:t>
            </w:r>
            <w:r w:rsidR="000C43B5">
              <w:rPr>
                <w:webHidden/>
              </w:rPr>
              <w:tab/>
            </w:r>
            <w:r w:rsidR="000C43B5">
              <w:rPr>
                <w:webHidden/>
              </w:rPr>
              <w:fldChar w:fldCharType="begin"/>
            </w:r>
            <w:r w:rsidR="000C43B5">
              <w:rPr>
                <w:webHidden/>
              </w:rPr>
              <w:instrText xml:space="preserve"> PAGEREF _Toc505335975 \h </w:instrText>
            </w:r>
            <w:r w:rsidR="000C43B5">
              <w:rPr>
                <w:webHidden/>
              </w:rPr>
            </w:r>
            <w:r w:rsidR="000C43B5">
              <w:rPr>
                <w:webHidden/>
              </w:rPr>
              <w:fldChar w:fldCharType="separate"/>
            </w:r>
            <w:r w:rsidR="00737178">
              <w:rPr>
                <w:webHidden/>
              </w:rPr>
              <w:t>136</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76" w:history="1">
            <w:r w:rsidR="000C43B5" w:rsidRPr="00DD0C8C">
              <w:rPr>
                <w:rStyle w:val="Hipervnculo"/>
              </w:rPr>
              <w:t>6.7</w:t>
            </w:r>
            <w:r w:rsidR="000C43B5">
              <w:rPr>
                <w:rFonts w:asciiTheme="minorHAnsi" w:eastAsiaTheme="minorEastAsia" w:hAnsiTheme="minorHAnsi" w:cstheme="minorBidi"/>
                <w:bCs w:val="0"/>
                <w:caps w:val="0"/>
                <w:szCs w:val="22"/>
                <w:lang w:eastAsia="es-CO"/>
              </w:rPr>
              <w:tab/>
            </w:r>
            <w:r w:rsidR="000C43B5" w:rsidRPr="00DD0C8C">
              <w:rPr>
                <w:rStyle w:val="Hipervnculo"/>
              </w:rPr>
              <w:t>Publicidad y difusión de los planes de inversión</w:t>
            </w:r>
            <w:r w:rsidR="000C43B5">
              <w:rPr>
                <w:webHidden/>
              </w:rPr>
              <w:tab/>
            </w:r>
            <w:r w:rsidR="000C43B5">
              <w:rPr>
                <w:webHidden/>
              </w:rPr>
              <w:fldChar w:fldCharType="begin"/>
            </w:r>
            <w:r w:rsidR="000C43B5">
              <w:rPr>
                <w:webHidden/>
              </w:rPr>
              <w:instrText xml:space="preserve"> PAGEREF _Toc505335976 \h </w:instrText>
            </w:r>
            <w:r w:rsidR="000C43B5">
              <w:rPr>
                <w:webHidden/>
              </w:rPr>
            </w:r>
            <w:r w:rsidR="000C43B5">
              <w:rPr>
                <w:webHidden/>
              </w:rPr>
              <w:fldChar w:fldCharType="separate"/>
            </w:r>
            <w:r w:rsidR="00737178">
              <w:rPr>
                <w:webHidden/>
              </w:rPr>
              <w:t>136</w:t>
            </w:r>
            <w:r w:rsidR="000C43B5">
              <w:rPr>
                <w:webHidden/>
              </w:rPr>
              <w:fldChar w:fldCharType="end"/>
            </w:r>
          </w:hyperlink>
        </w:p>
        <w:p w:rsidR="000C43B5" w:rsidRDefault="00C9592F">
          <w:pPr>
            <w:pStyle w:val="TDC1"/>
            <w:tabs>
              <w:tab w:val="left" w:pos="1843"/>
            </w:tabs>
            <w:rPr>
              <w:rFonts w:asciiTheme="minorHAnsi" w:eastAsiaTheme="minorEastAsia" w:hAnsiTheme="minorHAnsi" w:cstheme="minorBidi"/>
              <w:b w:val="0"/>
              <w:caps w:val="0"/>
              <w:sz w:val="22"/>
              <w:szCs w:val="22"/>
              <w:lang w:val="es-CO" w:eastAsia="es-CO"/>
            </w:rPr>
          </w:pPr>
          <w:hyperlink w:anchor="_Toc505335977" w:history="1">
            <w:r w:rsidR="000C43B5" w:rsidRPr="00DD0C8C">
              <w:rPr>
                <w:rStyle w:val="Hipervnculo"/>
              </w:rPr>
              <w:t>CAPITULO 7.</w:t>
            </w:r>
            <w:r w:rsidR="000C43B5">
              <w:rPr>
                <w:rFonts w:asciiTheme="minorHAnsi" w:eastAsiaTheme="minorEastAsia" w:hAnsiTheme="minorHAnsi" w:cstheme="minorBidi"/>
                <w:b w:val="0"/>
                <w:caps w:val="0"/>
                <w:sz w:val="22"/>
                <w:szCs w:val="22"/>
                <w:lang w:val="es-CO" w:eastAsia="es-CO"/>
              </w:rPr>
              <w:tab/>
            </w:r>
            <w:r w:rsidR="000C43B5" w:rsidRPr="00DD0C8C">
              <w:rPr>
                <w:rStyle w:val="Hipervnculo"/>
              </w:rPr>
              <w:t>PÉRDIDAS DE ENERGÍA ELÉCTRICA</w:t>
            </w:r>
            <w:r w:rsidR="000C43B5">
              <w:rPr>
                <w:webHidden/>
              </w:rPr>
              <w:tab/>
            </w:r>
            <w:r w:rsidR="000C43B5">
              <w:rPr>
                <w:webHidden/>
              </w:rPr>
              <w:fldChar w:fldCharType="begin"/>
            </w:r>
            <w:r w:rsidR="000C43B5">
              <w:rPr>
                <w:webHidden/>
              </w:rPr>
              <w:instrText xml:space="preserve"> PAGEREF _Toc505335977 \h </w:instrText>
            </w:r>
            <w:r w:rsidR="000C43B5">
              <w:rPr>
                <w:webHidden/>
              </w:rPr>
            </w:r>
            <w:r w:rsidR="000C43B5">
              <w:rPr>
                <w:webHidden/>
              </w:rPr>
              <w:fldChar w:fldCharType="separate"/>
            </w:r>
            <w:r w:rsidR="00737178">
              <w:rPr>
                <w:webHidden/>
              </w:rPr>
              <w:t>138</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78" w:history="1">
            <w:r w:rsidR="000C43B5" w:rsidRPr="00DD0C8C">
              <w:rPr>
                <w:rStyle w:val="Hipervnculo"/>
              </w:rPr>
              <w:t>7.1</w:t>
            </w:r>
            <w:r w:rsidR="000C43B5">
              <w:rPr>
                <w:rFonts w:asciiTheme="minorHAnsi" w:eastAsiaTheme="minorEastAsia" w:hAnsiTheme="minorHAnsi" w:cstheme="minorBidi"/>
                <w:bCs w:val="0"/>
                <w:caps w:val="0"/>
                <w:szCs w:val="22"/>
                <w:lang w:eastAsia="es-CO"/>
              </w:rPr>
              <w:tab/>
            </w:r>
            <w:r w:rsidR="000C43B5" w:rsidRPr="00DD0C8C">
              <w:rPr>
                <w:rStyle w:val="Hipervnculo"/>
              </w:rPr>
              <w:t>PÉRDIDAS RECONOCIDAS POR NIVEL DE TENSIÓN</w:t>
            </w:r>
            <w:r w:rsidR="000C43B5">
              <w:rPr>
                <w:webHidden/>
              </w:rPr>
              <w:tab/>
            </w:r>
            <w:r w:rsidR="000C43B5">
              <w:rPr>
                <w:webHidden/>
              </w:rPr>
              <w:fldChar w:fldCharType="begin"/>
            </w:r>
            <w:r w:rsidR="000C43B5">
              <w:rPr>
                <w:webHidden/>
              </w:rPr>
              <w:instrText xml:space="preserve"> PAGEREF _Toc505335978 \h </w:instrText>
            </w:r>
            <w:r w:rsidR="000C43B5">
              <w:rPr>
                <w:webHidden/>
              </w:rPr>
            </w:r>
            <w:r w:rsidR="000C43B5">
              <w:rPr>
                <w:webHidden/>
              </w:rPr>
              <w:fldChar w:fldCharType="separate"/>
            </w:r>
            <w:r w:rsidR="00737178">
              <w:rPr>
                <w:webHidden/>
              </w:rPr>
              <w:t>138</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79" w:history="1">
            <w:r w:rsidR="000C43B5" w:rsidRPr="00DD0C8C">
              <w:rPr>
                <w:rStyle w:val="Hipervnculo"/>
              </w:rPr>
              <w:t>7.1.1</w:t>
            </w:r>
            <w:r w:rsidR="000C43B5">
              <w:rPr>
                <w:rFonts w:asciiTheme="minorHAnsi" w:eastAsiaTheme="minorEastAsia" w:hAnsiTheme="minorHAnsi" w:cstheme="minorBidi"/>
                <w:szCs w:val="22"/>
                <w:lang w:eastAsia="es-CO"/>
              </w:rPr>
              <w:tab/>
            </w:r>
            <w:r w:rsidR="000C43B5" w:rsidRPr="00DD0C8C">
              <w:rPr>
                <w:rStyle w:val="Hipervnculo"/>
              </w:rPr>
              <w:t>Pérdidas eficientes</w:t>
            </w:r>
            <w:r w:rsidR="000C43B5">
              <w:rPr>
                <w:webHidden/>
              </w:rPr>
              <w:tab/>
            </w:r>
            <w:r w:rsidR="000C43B5">
              <w:rPr>
                <w:webHidden/>
              </w:rPr>
              <w:fldChar w:fldCharType="begin"/>
            </w:r>
            <w:r w:rsidR="000C43B5">
              <w:rPr>
                <w:webHidden/>
              </w:rPr>
              <w:instrText xml:space="preserve"> PAGEREF _Toc505335979 \h </w:instrText>
            </w:r>
            <w:r w:rsidR="000C43B5">
              <w:rPr>
                <w:webHidden/>
              </w:rPr>
            </w:r>
            <w:r w:rsidR="000C43B5">
              <w:rPr>
                <w:webHidden/>
              </w:rPr>
              <w:fldChar w:fldCharType="separate"/>
            </w:r>
            <w:r w:rsidR="00737178">
              <w:rPr>
                <w:webHidden/>
              </w:rPr>
              <w:t>138</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80" w:history="1">
            <w:r w:rsidR="000C43B5" w:rsidRPr="00DD0C8C">
              <w:rPr>
                <w:rStyle w:val="Hipervnculo"/>
              </w:rPr>
              <w:t>7.1.2</w:t>
            </w:r>
            <w:r w:rsidR="000C43B5">
              <w:rPr>
                <w:rFonts w:asciiTheme="minorHAnsi" w:eastAsiaTheme="minorEastAsia" w:hAnsiTheme="minorHAnsi" w:cstheme="minorBidi"/>
                <w:szCs w:val="22"/>
                <w:lang w:eastAsia="es-CO"/>
              </w:rPr>
              <w:tab/>
            </w:r>
            <w:r w:rsidR="000C43B5" w:rsidRPr="00DD0C8C">
              <w:rPr>
                <w:rStyle w:val="Hipervnculo"/>
              </w:rPr>
              <w:t>Pérdidas reconocidas para OR que no aplican para optar a plan de reducción.</w:t>
            </w:r>
            <w:r w:rsidR="000C43B5">
              <w:rPr>
                <w:webHidden/>
              </w:rPr>
              <w:tab/>
            </w:r>
            <w:r w:rsidR="000C43B5">
              <w:rPr>
                <w:webHidden/>
              </w:rPr>
              <w:fldChar w:fldCharType="begin"/>
            </w:r>
            <w:r w:rsidR="000C43B5">
              <w:rPr>
                <w:webHidden/>
              </w:rPr>
              <w:instrText xml:space="preserve"> PAGEREF _Toc505335980 \h </w:instrText>
            </w:r>
            <w:r w:rsidR="000C43B5">
              <w:rPr>
                <w:webHidden/>
              </w:rPr>
            </w:r>
            <w:r w:rsidR="000C43B5">
              <w:rPr>
                <w:webHidden/>
              </w:rPr>
              <w:fldChar w:fldCharType="separate"/>
            </w:r>
            <w:r w:rsidR="00737178">
              <w:rPr>
                <w:webHidden/>
              </w:rPr>
              <w:t>141</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81" w:history="1">
            <w:r w:rsidR="000C43B5" w:rsidRPr="00DD0C8C">
              <w:rPr>
                <w:rStyle w:val="Hipervnculo"/>
              </w:rPr>
              <w:t>7.1.3</w:t>
            </w:r>
            <w:r w:rsidR="000C43B5">
              <w:rPr>
                <w:rFonts w:asciiTheme="minorHAnsi" w:eastAsiaTheme="minorEastAsia" w:hAnsiTheme="minorHAnsi" w:cstheme="minorBidi"/>
                <w:szCs w:val="22"/>
                <w:lang w:eastAsia="es-CO"/>
              </w:rPr>
              <w:tab/>
            </w:r>
            <w:r w:rsidR="000C43B5" w:rsidRPr="00DD0C8C">
              <w:rPr>
                <w:rStyle w:val="Hipervnculo"/>
              </w:rPr>
              <w:t>Pérdidas reconocidas para OR que pueden optar a presentar plan de reducción de pérdidas</w:t>
            </w:r>
            <w:r w:rsidR="000C43B5">
              <w:rPr>
                <w:webHidden/>
              </w:rPr>
              <w:tab/>
            </w:r>
            <w:r w:rsidR="000C43B5">
              <w:rPr>
                <w:webHidden/>
              </w:rPr>
              <w:fldChar w:fldCharType="begin"/>
            </w:r>
            <w:r w:rsidR="000C43B5">
              <w:rPr>
                <w:webHidden/>
              </w:rPr>
              <w:instrText xml:space="preserve"> PAGEREF _Toc505335981 \h </w:instrText>
            </w:r>
            <w:r w:rsidR="000C43B5">
              <w:rPr>
                <w:webHidden/>
              </w:rPr>
            </w:r>
            <w:r w:rsidR="000C43B5">
              <w:rPr>
                <w:webHidden/>
              </w:rPr>
              <w:fldChar w:fldCharType="separate"/>
            </w:r>
            <w:r w:rsidR="00737178">
              <w:rPr>
                <w:webHidden/>
              </w:rPr>
              <w:t>142</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82" w:history="1">
            <w:r w:rsidR="000C43B5" w:rsidRPr="00DD0C8C">
              <w:rPr>
                <w:rStyle w:val="Hipervnculo"/>
              </w:rPr>
              <w:t>7.1.4</w:t>
            </w:r>
            <w:r w:rsidR="000C43B5">
              <w:rPr>
                <w:rFonts w:asciiTheme="minorHAnsi" w:eastAsiaTheme="minorEastAsia" w:hAnsiTheme="minorHAnsi" w:cstheme="minorBidi"/>
                <w:szCs w:val="22"/>
                <w:lang w:eastAsia="es-CO"/>
              </w:rPr>
              <w:tab/>
            </w:r>
            <w:r w:rsidR="000C43B5" w:rsidRPr="00DD0C8C">
              <w:rPr>
                <w:rStyle w:val="Hipervnculo"/>
              </w:rPr>
              <w:t>Cálculo de índices de pérdidas</w:t>
            </w:r>
            <w:r w:rsidR="000C43B5">
              <w:rPr>
                <w:webHidden/>
              </w:rPr>
              <w:tab/>
            </w:r>
            <w:r w:rsidR="000C43B5">
              <w:rPr>
                <w:webHidden/>
              </w:rPr>
              <w:fldChar w:fldCharType="begin"/>
            </w:r>
            <w:r w:rsidR="000C43B5">
              <w:rPr>
                <w:webHidden/>
              </w:rPr>
              <w:instrText xml:space="preserve"> PAGEREF _Toc505335982 \h </w:instrText>
            </w:r>
            <w:r w:rsidR="000C43B5">
              <w:rPr>
                <w:webHidden/>
              </w:rPr>
            </w:r>
            <w:r w:rsidR="000C43B5">
              <w:rPr>
                <w:webHidden/>
              </w:rPr>
              <w:fldChar w:fldCharType="separate"/>
            </w:r>
            <w:r w:rsidR="00737178">
              <w:rPr>
                <w:webHidden/>
              </w:rPr>
              <w:t>144</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83" w:history="1">
            <w:r w:rsidR="000C43B5" w:rsidRPr="00DD0C8C">
              <w:rPr>
                <w:rStyle w:val="Hipervnculo"/>
              </w:rPr>
              <w:t>7.2</w:t>
            </w:r>
            <w:r w:rsidR="000C43B5">
              <w:rPr>
                <w:rFonts w:asciiTheme="minorHAnsi" w:eastAsiaTheme="minorEastAsia" w:hAnsiTheme="minorHAnsi" w:cstheme="minorBidi"/>
                <w:bCs w:val="0"/>
                <w:caps w:val="0"/>
                <w:szCs w:val="22"/>
                <w:lang w:eastAsia="es-CO"/>
              </w:rPr>
              <w:tab/>
            </w:r>
            <w:r w:rsidR="000C43B5" w:rsidRPr="00DD0C8C">
              <w:rPr>
                <w:rStyle w:val="Hipervnculo"/>
              </w:rPr>
              <w:t>Determinación de los factores para referir al STN</w:t>
            </w:r>
            <w:r w:rsidR="000C43B5">
              <w:rPr>
                <w:webHidden/>
              </w:rPr>
              <w:tab/>
            </w:r>
            <w:r w:rsidR="000C43B5">
              <w:rPr>
                <w:webHidden/>
              </w:rPr>
              <w:fldChar w:fldCharType="begin"/>
            </w:r>
            <w:r w:rsidR="000C43B5">
              <w:rPr>
                <w:webHidden/>
              </w:rPr>
              <w:instrText xml:space="preserve"> PAGEREF _Toc505335983 \h </w:instrText>
            </w:r>
            <w:r w:rsidR="000C43B5">
              <w:rPr>
                <w:webHidden/>
              </w:rPr>
            </w:r>
            <w:r w:rsidR="000C43B5">
              <w:rPr>
                <w:webHidden/>
              </w:rPr>
              <w:fldChar w:fldCharType="separate"/>
            </w:r>
            <w:r w:rsidR="00737178">
              <w:rPr>
                <w:webHidden/>
              </w:rPr>
              <w:t>147</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84" w:history="1">
            <w:r w:rsidR="000C43B5" w:rsidRPr="00DD0C8C">
              <w:rPr>
                <w:rStyle w:val="Hipervnculo"/>
              </w:rPr>
              <w:t>7.2.1</w:t>
            </w:r>
            <w:r w:rsidR="000C43B5">
              <w:rPr>
                <w:rFonts w:asciiTheme="minorHAnsi" w:eastAsiaTheme="minorEastAsia" w:hAnsiTheme="minorHAnsi" w:cstheme="minorBidi"/>
                <w:szCs w:val="22"/>
                <w:lang w:eastAsia="es-CO"/>
              </w:rPr>
              <w:tab/>
            </w:r>
            <w:r w:rsidR="000C43B5" w:rsidRPr="00DD0C8C">
              <w:rPr>
                <w:rStyle w:val="Hipervnculo"/>
              </w:rPr>
              <w:t>Nivel de tensión 4</w:t>
            </w:r>
            <w:r w:rsidR="000C43B5">
              <w:rPr>
                <w:webHidden/>
              </w:rPr>
              <w:tab/>
            </w:r>
            <w:r w:rsidR="000C43B5">
              <w:rPr>
                <w:webHidden/>
              </w:rPr>
              <w:fldChar w:fldCharType="begin"/>
            </w:r>
            <w:r w:rsidR="000C43B5">
              <w:rPr>
                <w:webHidden/>
              </w:rPr>
              <w:instrText xml:space="preserve"> PAGEREF _Toc505335984 \h </w:instrText>
            </w:r>
            <w:r w:rsidR="000C43B5">
              <w:rPr>
                <w:webHidden/>
              </w:rPr>
            </w:r>
            <w:r w:rsidR="000C43B5">
              <w:rPr>
                <w:webHidden/>
              </w:rPr>
              <w:fldChar w:fldCharType="separate"/>
            </w:r>
            <w:r w:rsidR="00737178">
              <w:rPr>
                <w:webHidden/>
              </w:rPr>
              <w:t>147</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85" w:history="1">
            <w:r w:rsidR="000C43B5" w:rsidRPr="00DD0C8C">
              <w:rPr>
                <w:rStyle w:val="Hipervnculo"/>
              </w:rPr>
              <w:t>7.2.2</w:t>
            </w:r>
            <w:r w:rsidR="000C43B5">
              <w:rPr>
                <w:rFonts w:asciiTheme="minorHAnsi" w:eastAsiaTheme="minorEastAsia" w:hAnsiTheme="minorHAnsi" w:cstheme="minorBidi"/>
                <w:szCs w:val="22"/>
                <w:lang w:eastAsia="es-CO"/>
              </w:rPr>
              <w:tab/>
            </w:r>
            <w:r w:rsidR="000C43B5" w:rsidRPr="00DD0C8C">
              <w:rPr>
                <w:rStyle w:val="Hipervnculo"/>
              </w:rPr>
              <w:t>Nivel de tensión 3</w:t>
            </w:r>
            <w:r w:rsidR="000C43B5">
              <w:rPr>
                <w:webHidden/>
              </w:rPr>
              <w:tab/>
            </w:r>
            <w:r w:rsidR="000C43B5">
              <w:rPr>
                <w:webHidden/>
              </w:rPr>
              <w:fldChar w:fldCharType="begin"/>
            </w:r>
            <w:r w:rsidR="000C43B5">
              <w:rPr>
                <w:webHidden/>
              </w:rPr>
              <w:instrText xml:space="preserve"> PAGEREF _Toc505335985 \h </w:instrText>
            </w:r>
            <w:r w:rsidR="000C43B5">
              <w:rPr>
                <w:webHidden/>
              </w:rPr>
            </w:r>
            <w:r w:rsidR="000C43B5">
              <w:rPr>
                <w:webHidden/>
              </w:rPr>
              <w:fldChar w:fldCharType="separate"/>
            </w:r>
            <w:r w:rsidR="00737178">
              <w:rPr>
                <w:webHidden/>
              </w:rPr>
              <w:t>147</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86" w:history="1">
            <w:r w:rsidR="000C43B5" w:rsidRPr="00DD0C8C">
              <w:rPr>
                <w:rStyle w:val="Hipervnculo"/>
              </w:rPr>
              <w:t>7.2.3</w:t>
            </w:r>
            <w:r w:rsidR="000C43B5">
              <w:rPr>
                <w:rFonts w:asciiTheme="minorHAnsi" w:eastAsiaTheme="minorEastAsia" w:hAnsiTheme="minorHAnsi" w:cstheme="minorBidi"/>
                <w:szCs w:val="22"/>
                <w:lang w:eastAsia="es-CO"/>
              </w:rPr>
              <w:tab/>
            </w:r>
            <w:r w:rsidR="000C43B5" w:rsidRPr="00DD0C8C">
              <w:rPr>
                <w:rStyle w:val="Hipervnculo"/>
              </w:rPr>
              <w:t>Nivel de tensión 2</w:t>
            </w:r>
            <w:r w:rsidR="000C43B5">
              <w:rPr>
                <w:webHidden/>
              </w:rPr>
              <w:tab/>
            </w:r>
            <w:r w:rsidR="000C43B5">
              <w:rPr>
                <w:webHidden/>
              </w:rPr>
              <w:fldChar w:fldCharType="begin"/>
            </w:r>
            <w:r w:rsidR="000C43B5">
              <w:rPr>
                <w:webHidden/>
              </w:rPr>
              <w:instrText xml:space="preserve"> PAGEREF _Toc505335986 \h </w:instrText>
            </w:r>
            <w:r w:rsidR="000C43B5">
              <w:rPr>
                <w:webHidden/>
              </w:rPr>
            </w:r>
            <w:r w:rsidR="000C43B5">
              <w:rPr>
                <w:webHidden/>
              </w:rPr>
              <w:fldChar w:fldCharType="separate"/>
            </w:r>
            <w:r w:rsidR="00737178">
              <w:rPr>
                <w:webHidden/>
              </w:rPr>
              <w:t>148</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87" w:history="1">
            <w:r w:rsidR="000C43B5" w:rsidRPr="00DD0C8C">
              <w:rPr>
                <w:rStyle w:val="Hipervnculo"/>
              </w:rPr>
              <w:t>7.2.4</w:t>
            </w:r>
            <w:r w:rsidR="000C43B5">
              <w:rPr>
                <w:rFonts w:asciiTheme="minorHAnsi" w:eastAsiaTheme="minorEastAsia" w:hAnsiTheme="minorHAnsi" w:cstheme="minorBidi"/>
                <w:szCs w:val="22"/>
                <w:lang w:eastAsia="es-CO"/>
              </w:rPr>
              <w:tab/>
            </w:r>
            <w:r w:rsidR="000C43B5" w:rsidRPr="00DD0C8C">
              <w:rPr>
                <w:rStyle w:val="Hipervnculo"/>
              </w:rPr>
              <w:t>Nivel de tensión 1</w:t>
            </w:r>
            <w:r w:rsidR="000C43B5">
              <w:rPr>
                <w:webHidden/>
              </w:rPr>
              <w:tab/>
            </w:r>
            <w:r w:rsidR="000C43B5">
              <w:rPr>
                <w:webHidden/>
              </w:rPr>
              <w:fldChar w:fldCharType="begin"/>
            </w:r>
            <w:r w:rsidR="000C43B5">
              <w:rPr>
                <w:webHidden/>
              </w:rPr>
              <w:instrText xml:space="preserve"> PAGEREF _Toc505335987 \h </w:instrText>
            </w:r>
            <w:r w:rsidR="000C43B5">
              <w:rPr>
                <w:webHidden/>
              </w:rPr>
            </w:r>
            <w:r w:rsidR="000C43B5">
              <w:rPr>
                <w:webHidden/>
              </w:rPr>
              <w:fldChar w:fldCharType="separate"/>
            </w:r>
            <w:r w:rsidR="00737178">
              <w:rPr>
                <w:webHidden/>
              </w:rPr>
              <w:t>149</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88" w:history="1">
            <w:r w:rsidR="000C43B5" w:rsidRPr="00DD0C8C">
              <w:rPr>
                <w:rStyle w:val="Hipervnculo"/>
              </w:rPr>
              <w:t>7.2.5</w:t>
            </w:r>
            <w:r w:rsidR="000C43B5">
              <w:rPr>
                <w:rFonts w:asciiTheme="minorHAnsi" w:eastAsiaTheme="minorEastAsia" w:hAnsiTheme="minorHAnsi" w:cstheme="minorBidi"/>
                <w:szCs w:val="22"/>
                <w:lang w:eastAsia="es-CO"/>
              </w:rPr>
              <w:tab/>
            </w:r>
            <w:r w:rsidR="000C43B5" w:rsidRPr="00DD0C8C">
              <w:rPr>
                <w:rStyle w:val="Hipervnculo"/>
              </w:rPr>
              <w:t>Pérdidas de transformadores de conexión al STN:</w:t>
            </w:r>
            <w:r w:rsidR="000C43B5">
              <w:rPr>
                <w:webHidden/>
              </w:rPr>
              <w:tab/>
            </w:r>
            <w:r w:rsidR="000C43B5">
              <w:rPr>
                <w:webHidden/>
              </w:rPr>
              <w:fldChar w:fldCharType="begin"/>
            </w:r>
            <w:r w:rsidR="000C43B5">
              <w:rPr>
                <w:webHidden/>
              </w:rPr>
              <w:instrText xml:space="preserve"> PAGEREF _Toc505335988 \h </w:instrText>
            </w:r>
            <w:r w:rsidR="000C43B5">
              <w:rPr>
                <w:webHidden/>
              </w:rPr>
            </w:r>
            <w:r w:rsidR="000C43B5">
              <w:rPr>
                <w:webHidden/>
              </w:rPr>
              <w:fldChar w:fldCharType="separate"/>
            </w:r>
            <w:r w:rsidR="00737178">
              <w:rPr>
                <w:webHidden/>
              </w:rPr>
              <w:t>149</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89" w:history="1">
            <w:r w:rsidR="000C43B5" w:rsidRPr="00DD0C8C">
              <w:rPr>
                <w:rStyle w:val="Hipervnculo"/>
              </w:rPr>
              <w:t>7.3</w:t>
            </w:r>
            <w:r w:rsidR="000C43B5">
              <w:rPr>
                <w:rFonts w:asciiTheme="minorHAnsi" w:eastAsiaTheme="minorEastAsia" w:hAnsiTheme="minorHAnsi" w:cstheme="minorBidi"/>
                <w:bCs w:val="0"/>
                <w:caps w:val="0"/>
                <w:szCs w:val="22"/>
                <w:lang w:eastAsia="es-CO"/>
              </w:rPr>
              <w:tab/>
            </w:r>
            <w:r w:rsidR="000C43B5" w:rsidRPr="00DD0C8C">
              <w:rPr>
                <w:rStyle w:val="Hipervnculo"/>
              </w:rPr>
              <w:t>gestión de pérdidas</w:t>
            </w:r>
            <w:r w:rsidR="000C43B5">
              <w:rPr>
                <w:webHidden/>
              </w:rPr>
              <w:tab/>
            </w:r>
            <w:r w:rsidR="000C43B5">
              <w:rPr>
                <w:webHidden/>
              </w:rPr>
              <w:fldChar w:fldCharType="begin"/>
            </w:r>
            <w:r w:rsidR="000C43B5">
              <w:rPr>
                <w:webHidden/>
              </w:rPr>
              <w:instrText xml:space="preserve"> PAGEREF _Toc505335989 \h </w:instrText>
            </w:r>
            <w:r w:rsidR="000C43B5">
              <w:rPr>
                <w:webHidden/>
              </w:rPr>
            </w:r>
            <w:r w:rsidR="000C43B5">
              <w:rPr>
                <w:webHidden/>
              </w:rPr>
              <w:fldChar w:fldCharType="separate"/>
            </w:r>
            <w:r w:rsidR="00737178">
              <w:rPr>
                <w:webHidden/>
              </w:rPr>
              <w:t>149</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90" w:history="1">
            <w:r w:rsidR="000C43B5" w:rsidRPr="00DD0C8C">
              <w:rPr>
                <w:rStyle w:val="Hipervnculo"/>
              </w:rPr>
              <w:t>7.3.1</w:t>
            </w:r>
            <w:r w:rsidR="000C43B5">
              <w:rPr>
                <w:rFonts w:asciiTheme="minorHAnsi" w:eastAsiaTheme="minorEastAsia" w:hAnsiTheme="minorHAnsi" w:cstheme="minorBidi"/>
                <w:szCs w:val="22"/>
                <w:lang w:eastAsia="es-CO"/>
              </w:rPr>
              <w:tab/>
            </w:r>
            <w:r w:rsidR="000C43B5" w:rsidRPr="00DD0C8C">
              <w:rPr>
                <w:rStyle w:val="Hipervnculo"/>
              </w:rPr>
              <w:t>Requisitos para la presentación del plan de reducción.</w:t>
            </w:r>
            <w:r w:rsidR="000C43B5">
              <w:rPr>
                <w:webHidden/>
              </w:rPr>
              <w:tab/>
            </w:r>
            <w:r w:rsidR="000C43B5">
              <w:rPr>
                <w:webHidden/>
              </w:rPr>
              <w:fldChar w:fldCharType="begin"/>
            </w:r>
            <w:r w:rsidR="000C43B5">
              <w:rPr>
                <w:webHidden/>
              </w:rPr>
              <w:instrText xml:space="preserve"> PAGEREF _Toc505335990 \h </w:instrText>
            </w:r>
            <w:r w:rsidR="000C43B5">
              <w:rPr>
                <w:webHidden/>
              </w:rPr>
            </w:r>
            <w:r w:rsidR="000C43B5">
              <w:rPr>
                <w:webHidden/>
              </w:rPr>
              <w:fldChar w:fldCharType="separate"/>
            </w:r>
            <w:r w:rsidR="00737178">
              <w:rPr>
                <w:webHidden/>
              </w:rPr>
              <w:t>150</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91" w:history="1">
            <w:r w:rsidR="000C43B5" w:rsidRPr="00DD0C8C">
              <w:rPr>
                <w:rStyle w:val="Hipervnculo"/>
              </w:rPr>
              <w:t>7.3.2</w:t>
            </w:r>
            <w:r w:rsidR="000C43B5">
              <w:rPr>
                <w:rFonts w:asciiTheme="minorHAnsi" w:eastAsiaTheme="minorEastAsia" w:hAnsiTheme="minorHAnsi" w:cstheme="minorBidi"/>
                <w:szCs w:val="22"/>
                <w:lang w:eastAsia="es-CO"/>
              </w:rPr>
              <w:tab/>
            </w:r>
            <w:r w:rsidR="000C43B5" w:rsidRPr="00DD0C8C">
              <w:rPr>
                <w:rStyle w:val="Hipervnculo"/>
              </w:rPr>
              <w:t>Cálculo del costo total del plan.</w:t>
            </w:r>
            <w:r w:rsidR="000C43B5">
              <w:rPr>
                <w:webHidden/>
              </w:rPr>
              <w:tab/>
            </w:r>
            <w:r w:rsidR="000C43B5">
              <w:rPr>
                <w:webHidden/>
              </w:rPr>
              <w:fldChar w:fldCharType="begin"/>
            </w:r>
            <w:r w:rsidR="000C43B5">
              <w:rPr>
                <w:webHidden/>
              </w:rPr>
              <w:instrText xml:space="preserve"> PAGEREF _Toc505335991 \h </w:instrText>
            </w:r>
            <w:r w:rsidR="000C43B5">
              <w:rPr>
                <w:webHidden/>
              </w:rPr>
            </w:r>
            <w:r w:rsidR="000C43B5">
              <w:rPr>
                <w:webHidden/>
              </w:rPr>
              <w:fldChar w:fldCharType="separate"/>
            </w:r>
            <w:r w:rsidR="00737178">
              <w:rPr>
                <w:webHidden/>
              </w:rPr>
              <w:t>151</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92" w:history="1">
            <w:r w:rsidR="000C43B5" w:rsidRPr="00DD0C8C">
              <w:rPr>
                <w:rStyle w:val="Hipervnculo"/>
              </w:rPr>
              <w:t>7.3.3</w:t>
            </w:r>
            <w:r w:rsidR="000C43B5">
              <w:rPr>
                <w:rFonts w:asciiTheme="minorHAnsi" w:eastAsiaTheme="minorEastAsia" w:hAnsiTheme="minorHAnsi" w:cstheme="minorBidi"/>
                <w:szCs w:val="22"/>
                <w:lang w:eastAsia="es-CO"/>
              </w:rPr>
              <w:tab/>
            </w:r>
            <w:r w:rsidR="000C43B5" w:rsidRPr="00DD0C8C">
              <w:rPr>
                <w:rStyle w:val="Hipervnculo"/>
              </w:rPr>
              <w:t>Inicio del plan de mantenimiento de pérdidas.</w:t>
            </w:r>
            <w:r w:rsidR="000C43B5">
              <w:rPr>
                <w:webHidden/>
              </w:rPr>
              <w:tab/>
            </w:r>
            <w:r w:rsidR="000C43B5">
              <w:rPr>
                <w:webHidden/>
              </w:rPr>
              <w:fldChar w:fldCharType="begin"/>
            </w:r>
            <w:r w:rsidR="000C43B5">
              <w:rPr>
                <w:webHidden/>
              </w:rPr>
              <w:instrText xml:space="preserve"> PAGEREF _Toc505335992 \h </w:instrText>
            </w:r>
            <w:r w:rsidR="000C43B5">
              <w:rPr>
                <w:webHidden/>
              </w:rPr>
            </w:r>
            <w:r w:rsidR="000C43B5">
              <w:rPr>
                <w:webHidden/>
              </w:rPr>
              <w:fldChar w:fldCharType="separate"/>
            </w:r>
            <w:r w:rsidR="00737178">
              <w:rPr>
                <w:webHidden/>
              </w:rPr>
              <w:t>154</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93" w:history="1">
            <w:r w:rsidR="000C43B5" w:rsidRPr="00DD0C8C">
              <w:rPr>
                <w:rStyle w:val="Hipervnculo"/>
              </w:rPr>
              <w:t>7.3.4</w:t>
            </w:r>
            <w:r w:rsidR="000C43B5">
              <w:rPr>
                <w:rFonts w:asciiTheme="minorHAnsi" w:eastAsiaTheme="minorEastAsia" w:hAnsiTheme="minorHAnsi" w:cstheme="minorBidi"/>
                <w:szCs w:val="22"/>
                <w:lang w:eastAsia="es-CO"/>
              </w:rPr>
              <w:tab/>
            </w:r>
            <w:r w:rsidR="000C43B5" w:rsidRPr="00DD0C8C">
              <w:rPr>
                <w:rStyle w:val="Hipervnculo"/>
              </w:rPr>
              <w:t>Inicio y seguimiento del plan de reducción de pérdidas</w:t>
            </w:r>
            <w:r w:rsidR="000C43B5">
              <w:rPr>
                <w:webHidden/>
              </w:rPr>
              <w:tab/>
            </w:r>
            <w:r w:rsidR="000C43B5">
              <w:rPr>
                <w:webHidden/>
              </w:rPr>
              <w:fldChar w:fldCharType="begin"/>
            </w:r>
            <w:r w:rsidR="000C43B5">
              <w:rPr>
                <w:webHidden/>
              </w:rPr>
              <w:instrText xml:space="preserve"> PAGEREF _Toc505335993 \h </w:instrText>
            </w:r>
            <w:r w:rsidR="000C43B5">
              <w:rPr>
                <w:webHidden/>
              </w:rPr>
            </w:r>
            <w:r w:rsidR="000C43B5">
              <w:rPr>
                <w:webHidden/>
              </w:rPr>
              <w:fldChar w:fldCharType="separate"/>
            </w:r>
            <w:r w:rsidR="00737178">
              <w:rPr>
                <w:webHidden/>
              </w:rPr>
              <w:t>154</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94" w:history="1">
            <w:r w:rsidR="000C43B5" w:rsidRPr="00DD0C8C">
              <w:rPr>
                <w:rStyle w:val="Hipervnculo"/>
              </w:rPr>
              <w:t>7.3.5</w:t>
            </w:r>
            <w:r w:rsidR="000C43B5">
              <w:rPr>
                <w:rFonts w:asciiTheme="minorHAnsi" w:eastAsiaTheme="minorEastAsia" w:hAnsiTheme="minorHAnsi" w:cstheme="minorBidi"/>
                <w:szCs w:val="22"/>
                <w:lang w:eastAsia="es-CO"/>
              </w:rPr>
              <w:tab/>
            </w:r>
            <w:r w:rsidR="000C43B5" w:rsidRPr="00DD0C8C">
              <w:rPr>
                <w:rStyle w:val="Hipervnculo"/>
              </w:rPr>
              <w:t xml:space="preserve">Liquidación, Recaudo y Actualización del </w:t>
            </w:r>
            <w:r w:rsidR="000C43B5" w:rsidRPr="00DD0C8C">
              <w:rPr>
                <w:rStyle w:val="Hipervnculo"/>
                <w:i/>
              </w:rPr>
              <w:t>CPROG</w:t>
            </w:r>
            <w:r w:rsidR="000C43B5" w:rsidRPr="00DD0C8C">
              <w:rPr>
                <w:rStyle w:val="Hipervnculo"/>
                <w:i/>
                <w:vertAlign w:val="subscript"/>
              </w:rPr>
              <w:t>j,m</w:t>
            </w:r>
            <w:r w:rsidR="000C43B5" w:rsidRPr="00DD0C8C">
              <w:rPr>
                <w:rStyle w:val="Hipervnculo"/>
              </w:rPr>
              <w:t>.</w:t>
            </w:r>
            <w:r w:rsidR="000C43B5">
              <w:rPr>
                <w:webHidden/>
              </w:rPr>
              <w:tab/>
            </w:r>
            <w:r w:rsidR="000C43B5">
              <w:rPr>
                <w:webHidden/>
              </w:rPr>
              <w:fldChar w:fldCharType="begin"/>
            </w:r>
            <w:r w:rsidR="000C43B5">
              <w:rPr>
                <w:webHidden/>
              </w:rPr>
              <w:instrText xml:space="preserve"> PAGEREF _Toc505335994 \h </w:instrText>
            </w:r>
            <w:r w:rsidR="000C43B5">
              <w:rPr>
                <w:webHidden/>
              </w:rPr>
            </w:r>
            <w:r w:rsidR="000C43B5">
              <w:rPr>
                <w:webHidden/>
              </w:rPr>
              <w:fldChar w:fldCharType="separate"/>
            </w:r>
            <w:r w:rsidR="00737178">
              <w:rPr>
                <w:webHidden/>
              </w:rPr>
              <w:t>157</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95" w:history="1">
            <w:r w:rsidR="000C43B5" w:rsidRPr="00DD0C8C">
              <w:rPr>
                <w:rStyle w:val="Hipervnculo"/>
              </w:rPr>
              <w:t>7.3.6</w:t>
            </w:r>
            <w:r w:rsidR="000C43B5">
              <w:rPr>
                <w:rFonts w:asciiTheme="minorHAnsi" w:eastAsiaTheme="minorEastAsia" w:hAnsiTheme="minorHAnsi" w:cstheme="minorBidi"/>
                <w:szCs w:val="22"/>
                <w:lang w:eastAsia="es-CO"/>
              </w:rPr>
              <w:tab/>
            </w:r>
            <w:r w:rsidR="000C43B5" w:rsidRPr="00DD0C8C">
              <w:rPr>
                <w:rStyle w:val="Hipervnculo"/>
              </w:rPr>
              <w:t>Suspensión, cancelación del plan de reducción y devolución de ingresos.</w:t>
            </w:r>
            <w:r w:rsidR="000C43B5">
              <w:rPr>
                <w:webHidden/>
              </w:rPr>
              <w:tab/>
            </w:r>
            <w:r w:rsidR="000C43B5">
              <w:rPr>
                <w:webHidden/>
              </w:rPr>
              <w:fldChar w:fldCharType="begin"/>
            </w:r>
            <w:r w:rsidR="000C43B5">
              <w:rPr>
                <w:webHidden/>
              </w:rPr>
              <w:instrText xml:space="preserve"> PAGEREF _Toc505335995 \h </w:instrText>
            </w:r>
            <w:r w:rsidR="000C43B5">
              <w:rPr>
                <w:webHidden/>
              </w:rPr>
            </w:r>
            <w:r w:rsidR="000C43B5">
              <w:rPr>
                <w:webHidden/>
              </w:rPr>
              <w:fldChar w:fldCharType="separate"/>
            </w:r>
            <w:r w:rsidR="00737178">
              <w:rPr>
                <w:webHidden/>
              </w:rPr>
              <w:t>161</w:t>
            </w:r>
            <w:r w:rsidR="000C43B5">
              <w:rPr>
                <w:webHidden/>
              </w:rPr>
              <w:fldChar w:fldCharType="end"/>
            </w:r>
          </w:hyperlink>
        </w:p>
        <w:p w:rsidR="000C43B5" w:rsidRDefault="00C9592F">
          <w:pPr>
            <w:pStyle w:val="TDC3"/>
            <w:rPr>
              <w:rFonts w:asciiTheme="minorHAnsi" w:eastAsiaTheme="minorEastAsia" w:hAnsiTheme="minorHAnsi" w:cstheme="minorBidi"/>
              <w:szCs w:val="22"/>
              <w:lang w:eastAsia="es-CO"/>
            </w:rPr>
          </w:pPr>
          <w:hyperlink w:anchor="_Toc505335996" w:history="1">
            <w:r w:rsidR="000C43B5" w:rsidRPr="00DD0C8C">
              <w:rPr>
                <w:rStyle w:val="Hipervnculo"/>
              </w:rPr>
              <w:t>7.3.7</w:t>
            </w:r>
            <w:r w:rsidR="000C43B5">
              <w:rPr>
                <w:rFonts w:asciiTheme="minorHAnsi" w:eastAsiaTheme="minorEastAsia" w:hAnsiTheme="minorHAnsi" w:cstheme="minorBidi"/>
                <w:szCs w:val="22"/>
                <w:lang w:eastAsia="es-CO"/>
              </w:rPr>
              <w:tab/>
            </w:r>
            <w:r w:rsidR="000C43B5" w:rsidRPr="00DD0C8C">
              <w:rPr>
                <w:rStyle w:val="Hipervnculo"/>
              </w:rPr>
              <w:t>Cálculo de flujos de energía</w:t>
            </w:r>
            <w:r w:rsidR="000C43B5">
              <w:rPr>
                <w:webHidden/>
              </w:rPr>
              <w:tab/>
            </w:r>
            <w:r w:rsidR="000C43B5">
              <w:rPr>
                <w:webHidden/>
              </w:rPr>
              <w:fldChar w:fldCharType="begin"/>
            </w:r>
            <w:r w:rsidR="000C43B5">
              <w:rPr>
                <w:webHidden/>
              </w:rPr>
              <w:instrText xml:space="preserve"> PAGEREF _Toc505335996 \h </w:instrText>
            </w:r>
            <w:r w:rsidR="000C43B5">
              <w:rPr>
                <w:webHidden/>
              </w:rPr>
            </w:r>
            <w:r w:rsidR="000C43B5">
              <w:rPr>
                <w:webHidden/>
              </w:rPr>
              <w:fldChar w:fldCharType="separate"/>
            </w:r>
            <w:r w:rsidR="00737178">
              <w:rPr>
                <w:webHidden/>
              </w:rPr>
              <w:t>167</w:t>
            </w:r>
            <w:r w:rsidR="000C43B5">
              <w:rPr>
                <w:webHidden/>
              </w:rPr>
              <w:fldChar w:fldCharType="end"/>
            </w:r>
          </w:hyperlink>
        </w:p>
        <w:p w:rsidR="000C43B5" w:rsidRDefault="00C9592F">
          <w:pPr>
            <w:pStyle w:val="TDC1"/>
            <w:tabs>
              <w:tab w:val="left" w:pos="1843"/>
            </w:tabs>
            <w:rPr>
              <w:rFonts w:asciiTheme="minorHAnsi" w:eastAsiaTheme="minorEastAsia" w:hAnsiTheme="minorHAnsi" w:cstheme="minorBidi"/>
              <w:b w:val="0"/>
              <w:caps w:val="0"/>
              <w:sz w:val="22"/>
              <w:szCs w:val="22"/>
              <w:lang w:val="es-CO" w:eastAsia="es-CO"/>
            </w:rPr>
          </w:pPr>
          <w:hyperlink w:anchor="_Toc505335997" w:history="1">
            <w:r w:rsidR="000C43B5" w:rsidRPr="00DD0C8C">
              <w:rPr>
                <w:rStyle w:val="Hipervnculo"/>
              </w:rPr>
              <w:t>CAPITULO 8.</w:t>
            </w:r>
            <w:r w:rsidR="000C43B5">
              <w:rPr>
                <w:rFonts w:asciiTheme="minorHAnsi" w:eastAsiaTheme="minorEastAsia" w:hAnsiTheme="minorHAnsi" w:cstheme="minorBidi"/>
                <w:b w:val="0"/>
                <w:caps w:val="0"/>
                <w:sz w:val="22"/>
                <w:szCs w:val="22"/>
                <w:lang w:val="es-CO" w:eastAsia="es-CO"/>
              </w:rPr>
              <w:tab/>
            </w:r>
            <w:r w:rsidR="000C43B5" w:rsidRPr="00DD0C8C">
              <w:rPr>
                <w:rStyle w:val="Hipervnculo"/>
              </w:rPr>
              <w:t>CONFORMACIÓN DE STR</w:t>
            </w:r>
            <w:r w:rsidR="000C43B5">
              <w:rPr>
                <w:webHidden/>
              </w:rPr>
              <w:tab/>
            </w:r>
            <w:r w:rsidR="000C43B5">
              <w:rPr>
                <w:webHidden/>
              </w:rPr>
              <w:fldChar w:fldCharType="begin"/>
            </w:r>
            <w:r w:rsidR="000C43B5">
              <w:rPr>
                <w:webHidden/>
              </w:rPr>
              <w:instrText xml:space="preserve"> PAGEREF _Toc505335997 \h </w:instrText>
            </w:r>
            <w:r w:rsidR="000C43B5">
              <w:rPr>
                <w:webHidden/>
              </w:rPr>
            </w:r>
            <w:r w:rsidR="000C43B5">
              <w:rPr>
                <w:webHidden/>
              </w:rPr>
              <w:fldChar w:fldCharType="separate"/>
            </w:r>
            <w:r w:rsidR="00737178">
              <w:rPr>
                <w:webHidden/>
              </w:rPr>
              <w:t>170</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98" w:history="1">
            <w:r w:rsidR="000C43B5" w:rsidRPr="00DD0C8C">
              <w:rPr>
                <w:rStyle w:val="Hipervnculo"/>
              </w:rPr>
              <w:t>8.1</w:t>
            </w:r>
            <w:r w:rsidR="000C43B5">
              <w:rPr>
                <w:rFonts w:asciiTheme="minorHAnsi" w:eastAsiaTheme="minorEastAsia" w:hAnsiTheme="minorHAnsi" w:cstheme="minorBidi"/>
                <w:bCs w:val="0"/>
                <w:caps w:val="0"/>
                <w:szCs w:val="22"/>
                <w:lang w:eastAsia="es-CO"/>
              </w:rPr>
              <w:tab/>
            </w:r>
            <w:r w:rsidR="000C43B5" w:rsidRPr="00DD0C8C">
              <w:rPr>
                <w:rStyle w:val="Hipervnculo"/>
              </w:rPr>
              <w:t>STR NORTE</w:t>
            </w:r>
            <w:r w:rsidR="000C43B5">
              <w:rPr>
                <w:webHidden/>
              </w:rPr>
              <w:tab/>
            </w:r>
            <w:r w:rsidR="000C43B5">
              <w:rPr>
                <w:webHidden/>
              </w:rPr>
              <w:fldChar w:fldCharType="begin"/>
            </w:r>
            <w:r w:rsidR="000C43B5">
              <w:rPr>
                <w:webHidden/>
              </w:rPr>
              <w:instrText xml:space="preserve"> PAGEREF _Toc505335998 \h </w:instrText>
            </w:r>
            <w:r w:rsidR="000C43B5">
              <w:rPr>
                <w:webHidden/>
              </w:rPr>
            </w:r>
            <w:r w:rsidR="000C43B5">
              <w:rPr>
                <w:webHidden/>
              </w:rPr>
              <w:fldChar w:fldCharType="separate"/>
            </w:r>
            <w:r w:rsidR="00737178">
              <w:rPr>
                <w:webHidden/>
              </w:rPr>
              <w:t>170</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5999" w:history="1">
            <w:r w:rsidR="000C43B5" w:rsidRPr="00DD0C8C">
              <w:rPr>
                <w:rStyle w:val="Hipervnculo"/>
              </w:rPr>
              <w:t>8.2</w:t>
            </w:r>
            <w:r w:rsidR="000C43B5">
              <w:rPr>
                <w:rFonts w:asciiTheme="minorHAnsi" w:eastAsiaTheme="minorEastAsia" w:hAnsiTheme="minorHAnsi" w:cstheme="minorBidi"/>
                <w:bCs w:val="0"/>
                <w:caps w:val="0"/>
                <w:szCs w:val="22"/>
                <w:lang w:eastAsia="es-CO"/>
              </w:rPr>
              <w:tab/>
            </w:r>
            <w:r w:rsidR="000C43B5" w:rsidRPr="00DD0C8C">
              <w:rPr>
                <w:rStyle w:val="Hipervnculo"/>
              </w:rPr>
              <w:t>STR CENTRO-SUR</w:t>
            </w:r>
            <w:r w:rsidR="000C43B5">
              <w:rPr>
                <w:webHidden/>
              </w:rPr>
              <w:tab/>
            </w:r>
            <w:r w:rsidR="000C43B5">
              <w:rPr>
                <w:webHidden/>
              </w:rPr>
              <w:fldChar w:fldCharType="begin"/>
            </w:r>
            <w:r w:rsidR="000C43B5">
              <w:rPr>
                <w:webHidden/>
              </w:rPr>
              <w:instrText xml:space="preserve"> PAGEREF _Toc505335999 \h </w:instrText>
            </w:r>
            <w:r w:rsidR="000C43B5">
              <w:rPr>
                <w:webHidden/>
              </w:rPr>
            </w:r>
            <w:r w:rsidR="000C43B5">
              <w:rPr>
                <w:webHidden/>
              </w:rPr>
              <w:fldChar w:fldCharType="separate"/>
            </w:r>
            <w:r w:rsidR="00737178">
              <w:rPr>
                <w:webHidden/>
              </w:rPr>
              <w:t>170</w:t>
            </w:r>
            <w:r w:rsidR="000C43B5">
              <w:rPr>
                <w:webHidden/>
              </w:rPr>
              <w:fldChar w:fldCharType="end"/>
            </w:r>
          </w:hyperlink>
        </w:p>
        <w:p w:rsidR="000C43B5" w:rsidRDefault="00C9592F">
          <w:pPr>
            <w:pStyle w:val="TDC1"/>
            <w:tabs>
              <w:tab w:val="left" w:pos="1843"/>
            </w:tabs>
            <w:rPr>
              <w:rFonts w:asciiTheme="minorHAnsi" w:eastAsiaTheme="minorEastAsia" w:hAnsiTheme="minorHAnsi" w:cstheme="minorBidi"/>
              <w:b w:val="0"/>
              <w:caps w:val="0"/>
              <w:sz w:val="22"/>
              <w:szCs w:val="22"/>
              <w:lang w:val="es-CO" w:eastAsia="es-CO"/>
            </w:rPr>
          </w:pPr>
          <w:hyperlink w:anchor="_Toc505336000" w:history="1">
            <w:r w:rsidR="000C43B5" w:rsidRPr="00DD0C8C">
              <w:rPr>
                <w:rStyle w:val="Hipervnculo"/>
              </w:rPr>
              <w:t>CAPITULO 9.</w:t>
            </w:r>
            <w:r w:rsidR="000C43B5">
              <w:rPr>
                <w:rFonts w:asciiTheme="minorHAnsi" w:eastAsiaTheme="minorEastAsia" w:hAnsiTheme="minorHAnsi" w:cstheme="minorBidi"/>
                <w:b w:val="0"/>
                <w:caps w:val="0"/>
                <w:sz w:val="22"/>
                <w:szCs w:val="22"/>
                <w:lang w:val="es-CO" w:eastAsia="es-CO"/>
              </w:rPr>
              <w:tab/>
            </w:r>
            <w:r w:rsidR="000C43B5" w:rsidRPr="00DD0C8C">
              <w:rPr>
                <w:rStyle w:val="Hipervnculo"/>
              </w:rPr>
              <w:t>CARGOS HORARIOS</w:t>
            </w:r>
            <w:r w:rsidR="000C43B5">
              <w:rPr>
                <w:webHidden/>
              </w:rPr>
              <w:tab/>
            </w:r>
            <w:r w:rsidR="000C43B5">
              <w:rPr>
                <w:webHidden/>
              </w:rPr>
              <w:fldChar w:fldCharType="begin"/>
            </w:r>
            <w:r w:rsidR="000C43B5">
              <w:rPr>
                <w:webHidden/>
              </w:rPr>
              <w:instrText xml:space="preserve"> PAGEREF _Toc505336000 \h </w:instrText>
            </w:r>
            <w:r w:rsidR="000C43B5">
              <w:rPr>
                <w:webHidden/>
              </w:rPr>
            </w:r>
            <w:r w:rsidR="000C43B5">
              <w:rPr>
                <w:webHidden/>
              </w:rPr>
              <w:fldChar w:fldCharType="separate"/>
            </w:r>
            <w:r w:rsidR="00737178">
              <w:rPr>
                <w:webHidden/>
              </w:rPr>
              <w:t>171</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6001" w:history="1">
            <w:r w:rsidR="000C43B5" w:rsidRPr="00DD0C8C">
              <w:rPr>
                <w:rStyle w:val="Hipervnculo"/>
              </w:rPr>
              <w:t>9.1</w:t>
            </w:r>
            <w:r w:rsidR="000C43B5">
              <w:rPr>
                <w:rFonts w:asciiTheme="minorHAnsi" w:eastAsiaTheme="minorEastAsia" w:hAnsiTheme="minorHAnsi" w:cstheme="minorBidi"/>
                <w:bCs w:val="0"/>
                <w:caps w:val="0"/>
                <w:szCs w:val="22"/>
                <w:lang w:eastAsia="es-CO"/>
              </w:rPr>
              <w:tab/>
            </w:r>
            <w:r w:rsidR="000C43B5" w:rsidRPr="00DD0C8C">
              <w:rPr>
                <w:rStyle w:val="Hipervnculo"/>
              </w:rPr>
              <w:t>PERIODOS DE CARGA MÁXIMA, MEDIA Y MÍNIMA</w:t>
            </w:r>
            <w:r w:rsidR="000C43B5">
              <w:rPr>
                <w:webHidden/>
              </w:rPr>
              <w:tab/>
            </w:r>
            <w:r w:rsidR="000C43B5">
              <w:rPr>
                <w:webHidden/>
              </w:rPr>
              <w:fldChar w:fldCharType="begin"/>
            </w:r>
            <w:r w:rsidR="000C43B5">
              <w:rPr>
                <w:webHidden/>
              </w:rPr>
              <w:instrText xml:space="preserve"> PAGEREF _Toc505336001 \h </w:instrText>
            </w:r>
            <w:r w:rsidR="000C43B5">
              <w:rPr>
                <w:webHidden/>
              </w:rPr>
            </w:r>
            <w:r w:rsidR="000C43B5">
              <w:rPr>
                <w:webHidden/>
              </w:rPr>
              <w:fldChar w:fldCharType="separate"/>
            </w:r>
            <w:r w:rsidR="00737178">
              <w:rPr>
                <w:webHidden/>
              </w:rPr>
              <w:t>171</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6002" w:history="1">
            <w:r w:rsidR="000C43B5" w:rsidRPr="00DD0C8C">
              <w:rPr>
                <w:rStyle w:val="Hipervnculo"/>
              </w:rPr>
              <w:t>9.2</w:t>
            </w:r>
            <w:r w:rsidR="000C43B5">
              <w:rPr>
                <w:rFonts w:asciiTheme="minorHAnsi" w:eastAsiaTheme="minorEastAsia" w:hAnsiTheme="minorHAnsi" w:cstheme="minorBidi"/>
                <w:bCs w:val="0"/>
                <w:caps w:val="0"/>
                <w:szCs w:val="22"/>
                <w:lang w:eastAsia="es-CO"/>
              </w:rPr>
              <w:tab/>
            </w:r>
            <w:r w:rsidR="000C43B5" w:rsidRPr="00DD0C8C">
              <w:rPr>
                <w:rStyle w:val="Hipervnculo"/>
              </w:rPr>
              <w:t>CÁLCULO DE CARGOS HORARIOS.</w:t>
            </w:r>
            <w:r w:rsidR="000C43B5">
              <w:rPr>
                <w:webHidden/>
              </w:rPr>
              <w:tab/>
            </w:r>
            <w:r w:rsidR="000C43B5">
              <w:rPr>
                <w:webHidden/>
              </w:rPr>
              <w:fldChar w:fldCharType="begin"/>
            </w:r>
            <w:r w:rsidR="000C43B5">
              <w:rPr>
                <w:webHidden/>
              </w:rPr>
              <w:instrText xml:space="preserve"> PAGEREF _Toc505336002 \h </w:instrText>
            </w:r>
            <w:r w:rsidR="000C43B5">
              <w:rPr>
                <w:webHidden/>
              </w:rPr>
            </w:r>
            <w:r w:rsidR="000C43B5">
              <w:rPr>
                <w:webHidden/>
              </w:rPr>
              <w:fldChar w:fldCharType="separate"/>
            </w:r>
            <w:r w:rsidR="00737178">
              <w:rPr>
                <w:webHidden/>
              </w:rPr>
              <w:t>171</w:t>
            </w:r>
            <w:r w:rsidR="000C43B5">
              <w:rPr>
                <w:webHidden/>
              </w:rPr>
              <w:fldChar w:fldCharType="end"/>
            </w:r>
          </w:hyperlink>
        </w:p>
        <w:p w:rsidR="000C43B5" w:rsidRDefault="00C9592F">
          <w:pPr>
            <w:pStyle w:val="TDC1"/>
            <w:tabs>
              <w:tab w:val="left" w:pos="1996"/>
            </w:tabs>
            <w:rPr>
              <w:rFonts w:asciiTheme="minorHAnsi" w:eastAsiaTheme="minorEastAsia" w:hAnsiTheme="minorHAnsi" w:cstheme="minorBidi"/>
              <w:b w:val="0"/>
              <w:caps w:val="0"/>
              <w:sz w:val="22"/>
              <w:szCs w:val="22"/>
              <w:lang w:val="es-CO" w:eastAsia="es-CO"/>
            </w:rPr>
          </w:pPr>
          <w:hyperlink w:anchor="_Toc505336003" w:history="1">
            <w:r w:rsidR="000C43B5" w:rsidRPr="00DD0C8C">
              <w:rPr>
                <w:rStyle w:val="Hipervnculo"/>
              </w:rPr>
              <w:t>CAPITULO 10.</w:t>
            </w:r>
            <w:r w:rsidR="000C43B5">
              <w:rPr>
                <w:rFonts w:asciiTheme="minorHAnsi" w:eastAsiaTheme="minorEastAsia" w:hAnsiTheme="minorHAnsi" w:cstheme="minorBidi"/>
                <w:b w:val="0"/>
                <w:caps w:val="0"/>
                <w:sz w:val="22"/>
                <w:szCs w:val="22"/>
                <w:lang w:val="es-CO" w:eastAsia="es-CO"/>
              </w:rPr>
              <w:tab/>
            </w:r>
            <w:r w:rsidR="000C43B5" w:rsidRPr="00DD0C8C">
              <w:rPr>
                <w:rStyle w:val="Hipervnculo"/>
              </w:rPr>
              <w:t>CARGOS POR RESPALDO DE LA RED</w:t>
            </w:r>
            <w:r w:rsidR="000C43B5">
              <w:rPr>
                <w:webHidden/>
              </w:rPr>
              <w:tab/>
            </w:r>
            <w:r w:rsidR="000C43B5">
              <w:rPr>
                <w:webHidden/>
              </w:rPr>
              <w:fldChar w:fldCharType="begin"/>
            </w:r>
            <w:r w:rsidR="000C43B5">
              <w:rPr>
                <w:webHidden/>
              </w:rPr>
              <w:instrText xml:space="preserve"> PAGEREF _Toc505336003 \h </w:instrText>
            </w:r>
            <w:r w:rsidR="000C43B5">
              <w:rPr>
                <w:webHidden/>
              </w:rPr>
            </w:r>
            <w:r w:rsidR="000C43B5">
              <w:rPr>
                <w:webHidden/>
              </w:rPr>
              <w:fldChar w:fldCharType="separate"/>
            </w:r>
            <w:r w:rsidR="00737178">
              <w:rPr>
                <w:webHidden/>
              </w:rPr>
              <w:t>173</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6004" w:history="1">
            <w:r w:rsidR="000C43B5" w:rsidRPr="00DD0C8C">
              <w:rPr>
                <w:rStyle w:val="Hipervnculo"/>
              </w:rPr>
              <w:t>10.1</w:t>
            </w:r>
            <w:r w:rsidR="000C43B5">
              <w:rPr>
                <w:rFonts w:asciiTheme="minorHAnsi" w:eastAsiaTheme="minorEastAsia" w:hAnsiTheme="minorHAnsi" w:cstheme="minorBidi"/>
                <w:bCs w:val="0"/>
                <w:caps w:val="0"/>
                <w:szCs w:val="22"/>
                <w:lang w:eastAsia="es-CO"/>
              </w:rPr>
              <w:tab/>
            </w:r>
            <w:r w:rsidR="000C43B5" w:rsidRPr="00DD0C8C">
              <w:rPr>
                <w:rStyle w:val="Hipervnculo"/>
              </w:rPr>
              <w:t>costo de respaldo contratado (</w:t>
            </w:r>
            <w:r w:rsidR="000C43B5" w:rsidRPr="00DD0C8C">
              <w:rPr>
                <w:rStyle w:val="Hipervnculo"/>
                <w:rFonts w:cs="Arial"/>
                <w:i/>
              </w:rPr>
              <w:t>CR</w:t>
            </w:r>
            <w:r w:rsidR="000C43B5" w:rsidRPr="00DD0C8C">
              <w:rPr>
                <w:rStyle w:val="Hipervnculo"/>
                <w:rFonts w:cs="Arial"/>
                <w:i/>
                <w:vertAlign w:val="subscript"/>
              </w:rPr>
              <w:t>u,n,0</w:t>
            </w:r>
            <w:r w:rsidR="000C43B5" w:rsidRPr="00DD0C8C">
              <w:rPr>
                <w:rStyle w:val="Hipervnculo"/>
              </w:rPr>
              <w:t>).</w:t>
            </w:r>
            <w:r w:rsidR="000C43B5">
              <w:rPr>
                <w:webHidden/>
              </w:rPr>
              <w:tab/>
            </w:r>
            <w:r w:rsidR="000C43B5">
              <w:rPr>
                <w:webHidden/>
              </w:rPr>
              <w:fldChar w:fldCharType="begin"/>
            </w:r>
            <w:r w:rsidR="000C43B5">
              <w:rPr>
                <w:webHidden/>
              </w:rPr>
              <w:instrText xml:space="preserve"> PAGEREF _Toc505336004 \h </w:instrText>
            </w:r>
            <w:r w:rsidR="000C43B5">
              <w:rPr>
                <w:webHidden/>
              </w:rPr>
            </w:r>
            <w:r w:rsidR="000C43B5">
              <w:rPr>
                <w:webHidden/>
              </w:rPr>
              <w:fldChar w:fldCharType="separate"/>
            </w:r>
            <w:r w:rsidR="00737178">
              <w:rPr>
                <w:webHidden/>
              </w:rPr>
              <w:t>173</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6005" w:history="1">
            <w:r w:rsidR="000C43B5" w:rsidRPr="00DD0C8C">
              <w:rPr>
                <w:rStyle w:val="Hipervnculo"/>
              </w:rPr>
              <w:t>10.2</w:t>
            </w:r>
            <w:r w:rsidR="000C43B5">
              <w:rPr>
                <w:rFonts w:asciiTheme="minorHAnsi" w:eastAsiaTheme="minorEastAsia" w:hAnsiTheme="minorHAnsi" w:cstheme="minorBidi"/>
                <w:bCs w:val="0"/>
                <w:caps w:val="0"/>
                <w:szCs w:val="22"/>
                <w:lang w:eastAsia="es-CO"/>
              </w:rPr>
              <w:tab/>
            </w:r>
            <w:r w:rsidR="000C43B5" w:rsidRPr="00DD0C8C">
              <w:rPr>
                <w:rStyle w:val="Hipervnculo"/>
              </w:rPr>
              <w:t>costo de respaldo de red (</w:t>
            </w:r>
            <w:r w:rsidR="000C43B5" w:rsidRPr="00DD0C8C">
              <w:rPr>
                <w:rStyle w:val="Hipervnculo"/>
                <w:rFonts w:cs="Arial"/>
                <w:i/>
              </w:rPr>
              <w:t>CRESP</w:t>
            </w:r>
            <w:r w:rsidR="000C43B5" w:rsidRPr="00DD0C8C">
              <w:rPr>
                <w:rStyle w:val="Hipervnculo"/>
                <w:rFonts w:cs="Arial"/>
                <w:i/>
                <w:vertAlign w:val="subscript"/>
              </w:rPr>
              <w:t>u,n</w:t>
            </w:r>
            <w:r w:rsidR="000C43B5" w:rsidRPr="00DD0C8C">
              <w:rPr>
                <w:rStyle w:val="Hipervnculo"/>
              </w:rPr>
              <w:t>).</w:t>
            </w:r>
            <w:r w:rsidR="000C43B5">
              <w:rPr>
                <w:webHidden/>
              </w:rPr>
              <w:tab/>
            </w:r>
            <w:r w:rsidR="000C43B5">
              <w:rPr>
                <w:webHidden/>
              </w:rPr>
              <w:fldChar w:fldCharType="begin"/>
            </w:r>
            <w:r w:rsidR="000C43B5">
              <w:rPr>
                <w:webHidden/>
              </w:rPr>
              <w:instrText xml:space="preserve"> PAGEREF _Toc505336005 \h </w:instrText>
            </w:r>
            <w:r w:rsidR="000C43B5">
              <w:rPr>
                <w:webHidden/>
              </w:rPr>
            </w:r>
            <w:r w:rsidR="000C43B5">
              <w:rPr>
                <w:webHidden/>
              </w:rPr>
              <w:fldChar w:fldCharType="separate"/>
            </w:r>
            <w:r w:rsidR="00737178">
              <w:rPr>
                <w:webHidden/>
              </w:rPr>
              <w:t>175</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6006" w:history="1">
            <w:r w:rsidR="000C43B5" w:rsidRPr="00DD0C8C">
              <w:rPr>
                <w:rStyle w:val="Hipervnculo"/>
              </w:rPr>
              <w:t>10.3</w:t>
            </w:r>
            <w:r w:rsidR="000C43B5">
              <w:rPr>
                <w:rFonts w:asciiTheme="minorHAnsi" w:eastAsiaTheme="minorEastAsia" w:hAnsiTheme="minorHAnsi" w:cstheme="minorBidi"/>
                <w:bCs w:val="0"/>
                <w:caps w:val="0"/>
                <w:szCs w:val="22"/>
                <w:lang w:eastAsia="es-CO"/>
              </w:rPr>
              <w:tab/>
            </w:r>
            <w:r w:rsidR="000C43B5" w:rsidRPr="00DD0C8C">
              <w:rPr>
                <w:rStyle w:val="Hipervnculo"/>
              </w:rPr>
              <w:t>cOntenido del contrato de RESPALDO.</w:t>
            </w:r>
            <w:r w:rsidR="000C43B5">
              <w:rPr>
                <w:webHidden/>
              </w:rPr>
              <w:tab/>
            </w:r>
            <w:r w:rsidR="000C43B5">
              <w:rPr>
                <w:webHidden/>
              </w:rPr>
              <w:fldChar w:fldCharType="begin"/>
            </w:r>
            <w:r w:rsidR="000C43B5">
              <w:rPr>
                <w:webHidden/>
              </w:rPr>
              <w:instrText xml:space="preserve"> PAGEREF _Toc505336006 \h </w:instrText>
            </w:r>
            <w:r w:rsidR="000C43B5">
              <w:rPr>
                <w:webHidden/>
              </w:rPr>
            </w:r>
            <w:r w:rsidR="000C43B5">
              <w:rPr>
                <w:webHidden/>
              </w:rPr>
              <w:fldChar w:fldCharType="separate"/>
            </w:r>
            <w:r w:rsidR="00737178">
              <w:rPr>
                <w:webHidden/>
              </w:rPr>
              <w:t>176</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6007" w:history="1">
            <w:r w:rsidR="000C43B5" w:rsidRPr="00DD0C8C">
              <w:rPr>
                <w:rStyle w:val="Hipervnculo"/>
              </w:rPr>
              <w:t>10.4</w:t>
            </w:r>
            <w:r w:rsidR="000C43B5">
              <w:rPr>
                <w:rFonts w:asciiTheme="minorHAnsi" w:eastAsiaTheme="minorEastAsia" w:hAnsiTheme="minorHAnsi" w:cstheme="minorBidi"/>
                <w:bCs w:val="0"/>
                <w:caps w:val="0"/>
                <w:szCs w:val="22"/>
                <w:lang w:eastAsia="es-CO"/>
              </w:rPr>
              <w:tab/>
            </w:r>
            <w:r w:rsidR="000C43B5" w:rsidRPr="00DD0C8C">
              <w:rPr>
                <w:rStyle w:val="Hipervnculo"/>
              </w:rPr>
              <w:t>DETERMINACIÓN DE CURVAS DE CARGA.</w:t>
            </w:r>
            <w:r w:rsidR="000C43B5">
              <w:rPr>
                <w:webHidden/>
              </w:rPr>
              <w:tab/>
            </w:r>
            <w:r w:rsidR="000C43B5">
              <w:rPr>
                <w:webHidden/>
              </w:rPr>
              <w:fldChar w:fldCharType="begin"/>
            </w:r>
            <w:r w:rsidR="000C43B5">
              <w:rPr>
                <w:webHidden/>
              </w:rPr>
              <w:instrText xml:space="preserve"> PAGEREF _Toc505336007 \h </w:instrText>
            </w:r>
            <w:r w:rsidR="000C43B5">
              <w:rPr>
                <w:webHidden/>
              </w:rPr>
            </w:r>
            <w:r w:rsidR="000C43B5">
              <w:rPr>
                <w:webHidden/>
              </w:rPr>
              <w:fldChar w:fldCharType="separate"/>
            </w:r>
            <w:r w:rsidR="00737178">
              <w:rPr>
                <w:webHidden/>
              </w:rPr>
              <w:t>176</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6008" w:history="1">
            <w:r w:rsidR="000C43B5" w:rsidRPr="00DD0C8C">
              <w:rPr>
                <w:rStyle w:val="Hipervnculo"/>
              </w:rPr>
              <w:t>10.5</w:t>
            </w:r>
            <w:r w:rsidR="000C43B5">
              <w:rPr>
                <w:rFonts w:asciiTheme="minorHAnsi" w:eastAsiaTheme="minorEastAsia" w:hAnsiTheme="minorHAnsi" w:cstheme="minorBidi"/>
                <w:bCs w:val="0"/>
                <w:caps w:val="0"/>
                <w:szCs w:val="22"/>
                <w:lang w:eastAsia="es-CO"/>
              </w:rPr>
              <w:tab/>
            </w:r>
            <w:r w:rsidR="000C43B5" w:rsidRPr="00DD0C8C">
              <w:rPr>
                <w:rStyle w:val="Hipervnculo"/>
              </w:rPr>
              <w:t>INGRESOS RECIBIDOS POR RESPALDO.</w:t>
            </w:r>
            <w:r w:rsidR="000C43B5">
              <w:rPr>
                <w:webHidden/>
              </w:rPr>
              <w:tab/>
            </w:r>
            <w:r w:rsidR="000C43B5">
              <w:rPr>
                <w:webHidden/>
              </w:rPr>
              <w:fldChar w:fldCharType="begin"/>
            </w:r>
            <w:r w:rsidR="000C43B5">
              <w:rPr>
                <w:webHidden/>
              </w:rPr>
              <w:instrText xml:space="preserve"> PAGEREF _Toc505336008 \h </w:instrText>
            </w:r>
            <w:r w:rsidR="000C43B5">
              <w:rPr>
                <w:webHidden/>
              </w:rPr>
            </w:r>
            <w:r w:rsidR="000C43B5">
              <w:rPr>
                <w:webHidden/>
              </w:rPr>
              <w:fldChar w:fldCharType="separate"/>
            </w:r>
            <w:r w:rsidR="00737178">
              <w:rPr>
                <w:webHidden/>
              </w:rPr>
              <w:t>177</w:t>
            </w:r>
            <w:r w:rsidR="000C43B5">
              <w:rPr>
                <w:webHidden/>
              </w:rPr>
              <w:fldChar w:fldCharType="end"/>
            </w:r>
          </w:hyperlink>
        </w:p>
        <w:p w:rsidR="000C43B5" w:rsidRDefault="00C9592F">
          <w:pPr>
            <w:pStyle w:val="TDC1"/>
            <w:tabs>
              <w:tab w:val="left" w:pos="1996"/>
            </w:tabs>
            <w:rPr>
              <w:rFonts w:asciiTheme="minorHAnsi" w:eastAsiaTheme="minorEastAsia" w:hAnsiTheme="minorHAnsi" w:cstheme="minorBidi"/>
              <w:b w:val="0"/>
              <w:caps w:val="0"/>
              <w:sz w:val="22"/>
              <w:szCs w:val="22"/>
              <w:lang w:val="es-CO" w:eastAsia="es-CO"/>
            </w:rPr>
          </w:pPr>
          <w:hyperlink w:anchor="_Toc505336009" w:history="1">
            <w:r w:rsidR="000C43B5" w:rsidRPr="00DD0C8C">
              <w:rPr>
                <w:rStyle w:val="Hipervnculo"/>
              </w:rPr>
              <w:t>CAPITULO 11.</w:t>
            </w:r>
            <w:r w:rsidR="000C43B5">
              <w:rPr>
                <w:rFonts w:asciiTheme="minorHAnsi" w:eastAsiaTheme="minorEastAsia" w:hAnsiTheme="minorHAnsi" w:cstheme="minorBidi"/>
                <w:b w:val="0"/>
                <w:caps w:val="0"/>
                <w:sz w:val="22"/>
                <w:szCs w:val="22"/>
                <w:lang w:val="es-CO" w:eastAsia="es-CO"/>
              </w:rPr>
              <w:tab/>
            </w:r>
            <w:r w:rsidR="000C43B5" w:rsidRPr="00DD0C8C">
              <w:rPr>
                <w:rStyle w:val="Hipervnculo"/>
              </w:rPr>
              <w:t>COSTOS ASOCIADOS CON MUNTS</w:t>
            </w:r>
            <w:r w:rsidR="000C43B5">
              <w:rPr>
                <w:webHidden/>
              </w:rPr>
              <w:tab/>
            </w:r>
            <w:r w:rsidR="000C43B5">
              <w:rPr>
                <w:webHidden/>
              </w:rPr>
              <w:fldChar w:fldCharType="begin"/>
            </w:r>
            <w:r w:rsidR="000C43B5">
              <w:rPr>
                <w:webHidden/>
              </w:rPr>
              <w:instrText xml:space="preserve"> PAGEREF _Toc505336009 \h </w:instrText>
            </w:r>
            <w:r w:rsidR="000C43B5">
              <w:rPr>
                <w:webHidden/>
              </w:rPr>
            </w:r>
            <w:r w:rsidR="000C43B5">
              <w:rPr>
                <w:webHidden/>
              </w:rPr>
              <w:fldChar w:fldCharType="separate"/>
            </w:r>
            <w:r w:rsidR="00737178">
              <w:rPr>
                <w:webHidden/>
              </w:rPr>
              <w:t>178</w:t>
            </w:r>
            <w:r w:rsidR="000C43B5">
              <w:rPr>
                <w:webHidden/>
              </w:rPr>
              <w:fldChar w:fldCharType="end"/>
            </w:r>
          </w:hyperlink>
        </w:p>
        <w:p w:rsidR="000C43B5" w:rsidRDefault="00C9592F">
          <w:pPr>
            <w:pStyle w:val="TDC1"/>
            <w:tabs>
              <w:tab w:val="left" w:pos="1996"/>
            </w:tabs>
            <w:rPr>
              <w:rFonts w:asciiTheme="minorHAnsi" w:eastAsiaTheme="minorEastAsia" w:hAnsiTheme="minorHAnsi" w:cstheme="minorBidi"/>
              <w:b w:val="0"/>
              <w:caps w:val="0"/>
              <w:sz w:val="22"/>
              <w:szCs w:val="22"/>
              <w:lang w:val="es-CO" w:eastAsia="es-CO"/>
            </w:rPr>
          </w:pPr>
          <w:hyperlink w:anchor="_Toc505336010" w:history="1">
            <w:r w:rsidR="000C43B5" w:rsidRPr="00DD0C8C">
              <w:rPr>
                <w:rStyle w:val="Hipervnculo"/>
              </w:rPr>
              <w:t>CAPITULO 12.</w:t>
            </w:r>
            <w:r w:rsidR="000C43B5">
              <w:rPr>
                <w:rFonts w:asciiTheme="minorHAnsi" w:eastAsiaTheme="minorEastAsia" w:hAnsiTheme="minorHAnsi" w:cstheme="minorBidi"/>
                <w:b w:val="0"/>
                <w:caps w:val="0"/>
                <w:sz w:val="22"/>
                <w:szCs w:val="22"/>
                <w:lang w:val="es-CO" w:eastAsia="es-CO"/>
              </w:rPr>
              <w:tab/>
            </w:r>
            <w:r w:rsidR="000C43B5" w:rsidRPr="00DD0C8C">
              <w:rPr>
                <w:rStyle w:val="Hipervnculo"/>
              </w:rPr>
              <w:t>COSTOS DE TRANSPORTE DE ENERGÍA REACTIVA</w:t>
            </w:r>
            <w:r w:rsidR="000C43B5">
              <w:rPr>
                <w:webHidden/>
              </w:rPr>
              <w:tab/>
            </w:r>
            <w:r w:rsidR="000C43B5">
              <w:rPr>
                <w:webHidden/>
              </w:rPr>
              <w:fldChar w:fldCharType="begin"/>
            </w:r>
            <w:r w:rsidR="000C43B5">
              <w:rPr>
                <w:webHidden/>
              </w:rPr>
              <w:instrText xml:space="preserve"> PAGEREF _Toc505336010 \h </w:instrText>
            </w:r>
            <w:r w:rsidR="000C43B5">
              <w:rPr>
                <w:webHidden/>
              </w:rPr>
            </w:r>
            <w:r w:rsidR="000C43B5">
              <w:rPr>
                <w:webHidden/>
              </w:rPr>
              <w:fldChar w:fldCharType="separate"/>
            </w:r>
            <w:r w:rsidR="00737178">
              <w:rPr>
                <w:webHidden/>
              </w:rPr>
              <w:t>179</w:t>
            </w:r>
            <w:r w:rsidR="000C43B5">
              <w:rPr>
                <w:webHidden/>
              </w:rPr>
              <w:fldChar w:fldCharType="end"/>
            </w:r>
          </w:hyperlink>
        </w:p>
        <w:p w:rsidR="000C43B5" w:rsidRDefault="00C9592F">
          <w:pPr>
            <w:pStyle w:val="TDC1"/>
            <w:tabs>
              <w:tab w:val="left" w:pos="1996"/>
            </w:tabs>
            <w:rPr>
              <w:rFonts w:asciiTheme="minorHAnsi" w:eastAsiaTheme="minorEastAsia" w:hAnsiTheme="minorHAnsi" w:cstheme="minorBidi"/>
              <w:b w:val="0"/>
              <w:caps w:val="0"/>
              <w:sz w:val="22"/>
              <w:szCs w:val="22"/>
              <w:lang w:val="es-CO" w:eastAsia="es-CO"/>
            </w:rPr>
          </w:pPr>
          <w:hyperlink w:anchor="_Toc505336011" w:history="1">
            <w:r w:rsidR="000C43B5" w:rsidRPr="00DD0C8C">
              <w:rPr>
                <w:rStyle w:val="Hipervnculo"/>
              </w:rPr>
              <w:t>CAPITULO 13.</w:t>
            </w:r>
            <w:r w:rsidR="000C43B5">
              <w:rPr>
                <w:rFonts w:asciiTheme="minorHAnsi" w:eastAsiaTheme="minorEastAsia" w:hAnsiTheme="minorHAnsi" w:cstheme="minorBidi"/>
                <w:b w:val="0"/>
                <w:caps w:val="0"/>
                <w:sz w:val="22"/>
                <w:szCs w:val="22"/>
                <w:lang w:val="es-CO" w:eastAsia="es-CO"/>
              </w:rPr>
              <w:tab/>
            </w:r>
            <w:r w:rsidR="000C43B5" w:rsidRPr="00DD0C8C">
              <w:rPr>
                <w:rStyle w:val="Hipervnculo"/>
              </w:rPr>
              <w:t>REMUNERACIÓN DE PROYECTOS DE EXPANSIÓN DE COBERTURA EN ZONAS INTERCONECTABLES</w:t>
            </w:r>
            <w:r w:rsidR="000C43B5">
              <w:rPr>
                <w:webHidden/>
              </w:rPr>
              <w:tab/>
            </w:r>
            <w:r w:rsidR="000C43B5">
              <w:rPr>
                <w:webHidden/>
              </w:rPr>
              <w:fldChar w:fldCharType="begin"/>
            </w:r>
            <w:r w:rsidR="000C43B5">
              <w:rPr>
                <w:webHidden/>
              </w:rPr>
              <w:instrText xml:space="preserve"> PAGEREF _Toc505336011 \h </w:instrText>
            </w:r>
            <w:r w:rsidR="000C43B5">
              <w:rPr>
                <w:webHidden/>
              </w:rPr>
            </w:r>
            <w:r w:rsidR="000C43B5">
              <w:rPr>
                <w:webHidden/>
              </w:rPr>
              <w:fldChar w:fldCharType="separate"/>
            </w:r>
            <w:r w:rsidR="00737178">
              <w:rPr>
                <w:webHidden/>
              </w:rPr>
              <w:t>182</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6012" w:history="1">
            <w:r w:rsidR="000C43B5" w:rsidRPr="00DD0C8C">
              <w:rPr>
                <w:rStyle w:val="Hipervnculo"/>
              </w:rPr>
              <w:t>13.1</w:t>
            </w:r>
            <w:r w:rsidR="000C43B5">
              <w:rPr>
                <w:rFonts w:asciiTheme="minorHAnsi" w:eastAsiaTheme="minorEastAsia" w:hAnsiTheme="minorHAnsi" w:cstheme="minorBidi"/>
                <w:bCs w:val="0"/>
                <w:caps w:val="0"/>
                <w:szCs w:val="22"/>
                <w:lang w:eastAsia="es-CO"/>
              </w:rPr>
              <w:tab/>
            </w:r>
            <w:r w:rsidR="000C43B5" w:rsidRPr="00DD0C8C">
              <w:rPr>
                <w:rStyle w:val="Hipervnculo"/>
              </w:rPr>
              <w:t>Alcance</w:t>
            </w:r>
            <w:r w:rsidR="000C43B5">
              <w:rPr>
                <w:webHidden/>
              </w:rPr>
              <w:tab/>
            </w:r>
            <w:r w:rsidR="000C43B5">
              <w:rPr>
                <w:webHidden/>
              </w:rPr>
              <w:fldChar w:fldCharType="begin"/>
            </w:r>
            <w:r w:rsidR="000C43B5">
              <w:rPr>
                <w:webHidden/>
              </w:rPr>
              <w:instrText xml:space="preserve"> PAGEREF _Toc505336012 \h </w:instrText>
            </w:r>
            <w:r w:rsidR="000C43B5">
              <w:rPr>
                <w:webHidden/>
              </w:rPr>
            </w:r>
            <w:r w:rsidR="000C43B5">
              <w:rPr>
                <w:webHidden/>
              </w:rPr>
              <w:fldChar w:fldCharType="separate"/>
            </w:r>
            <w:r w:rsidR="00737178">
              <w:rPr>
                <w:webHidden/>
              </w:rPr>
              <w:t>182</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6013" w:history="1">
            <w:r w:rsidR="000C43B5" w:rsidRPr="00DD0C8C">
              <w:rPr>
                <w:rStyle w:val="Hipervnculo"/>
              </w:rPr>
              <w:t>13.2</w:t>
            </w:r>
            <w:r w:rsidR="000C43B5">
              <w:rPr>
                <w:rFonts w:asciiTheme="minorHAnsi" w:eastAsiaTheme="minorEastAsia" w:hAnsiTheme="minorHAnsi" w:cstheme="minorBidi"/>
                <w:bCs w:val="0"/>
                <w:caps w:val="0"/>
                <w:szCs w:val="22"/>
                <w:lang w:eastAsia="es-CO"/>
              </w:rPr>
              <w:tab/>
            </w:r>
            <w:r w:rsidR="000C43B5" w:rsidRPr="00DD0C8C">
              <w:rPr>
                <w:rStyle w:val="Hipervnculo"/>
              </w:rPr>
              <w:t>Criterios para la presentación de los proyectos</w:t>
            </w:r>
            <w:r w:rsidR="000C43B5">
              <w:rPr>
                <w:webHidden/>
              </w:rPr>
              <w:tab/>
            </w:r>
            <w:r w:rsidR="000C43B5">
              <w:rPr>
                <w:webHidden/>
              </w:rPr>
              <w:fldChar w:fldCharType="begin"/>
            </w:r>
            <w:r w:rsidR="000C43B5">
              <w:rPr>
                <w:webHidden/>
              </w:rPr>
              <w:instrText xml:space="preserve"> PAGEREF _Toc505336013 \h </w:instrText>
            </w:r>
            <w:r w:rsidR="000C43B5">
              <w:rPr>
                <w:webHidden/>
              </w:rPr>
            </w:r>
            <w:r w:rsidR="000C43B5">
              <w:rPr>
                <w:webHidden/>
              </w:rPr>
              <w:fldChar w:fldCharType="separate"/>
            </w:r>
            <w:r w:rsidR="00737178">
              <w:rPr>
                <w:webHidden/>
              </w:rPr>
              <w:t>182</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6014" w:history="1">
            <w:r w:rsidR="000C43B5" w:rsidRPr="00DD0C8C">
              <w:rPr>
                <w:rStyle w:val="Hipervnculo"/>
              </w:rPr>
              <w:t>13.3</w:t>
            </w:r>
            <w:r w:rsidR="000C43B5">
              <w:rPr>
                <w:rFonts w:asciiTheme="minorHAnsi" w:eastAsiaTheme="minorEastAsia" w:hAnsiTheme="minorHAnsi" w:cstheme="minorBidi"/>
                <w:bCs w:val="0"/>
                <w:caps w:val="0"/>
                <w:szCs w:val="22"/>
                <w:lang w:eastAsia="es-CO"/>
              </w:rPr>
              <w:tab/>
            </w:r>
            <w:r w:rsidR="000C43B5" w:rsidRPr="00DD0C8C">
              <w:rPr>
                <w:rStyle w:val="Hipervnculo"/>
              </w:rPr>
              <w:t>Priorización de proyectos</w:t>
            </w:r>
            <w:r w:rsidR="000C43B5">
              <w:rPr>
                <w:webHidden/>
              </w:rPr>
              <w:tab/>
            </w:r>
            <w:r w:rsidR="000C43B5">
              <w:rPr>
                <w:webHidden/>
              </w:rPr>
              <w:fldChar w:fldCharType="begin"/>
            </w:r>
            <w:r w:rsidR="000C43B5">
              <w:rPr>
                <w:webHidden/>
              </w:rPr>
              <w:instrText xml:space="preserve"> PAGEREF _Toc505336014 \h </w:instrText>
            </w:r>
            <w:r w:rsidR="000C43B5">
              <w:rPr>
                <w:webHidden/>
              </w:rPr>
            </w:r>
            <w:r w:rsidR="000C43B5">
              <w:rPr>
                <w:webHidden/>
              </w:rPr>
              <w:fldChar w:fldCharType="separate"/>
            </w:r>
            <w:r w:rsidR="00737178">
              <w:rPr>
                <w:webHidden/>
              </w:rPr>
              <w:t>183</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6015" w:history="1">
            <w:r w:rsidR="000C43B5" w:rsidRPr="00DD0C8C">
              <w:rPr>
                <w:rStyle w:val="Hipervnculo"/>
              </w:rPr>
              <w:t>13.4</w:t>
            </w:r>
            <w:r w:rsidR="000C43B5">
              <w:rPr>
                <w:rFonts w:asciiTheme="minorHAnsi" w:eastAsiaTheme="minorEastAsia" w:hAnsiTheme="minorHAnsi" w:cstheme="minorBidi"/>
                <w:bCs w:val="0"/>
                <w:caps w:val="0"/>
                <w:szCs w:val="22"/>
                <w:lang w:eastAsia="es-CO"/>
              </w:rPr>
              <w:tab/>
            </w:r>
            <w:r w:rsidR="000C43B5" w:rsidRPr="00DD0C8C">
              <w:rPr>
                <w:rStyle w:val="Hipervnculo"/>
              </w:rPr>
              <w:t>Solicitud anual de remuneración</w:t>
            </w:r>
            <w:r w:rsidR="000C43B5">
              <w:rPr>
                <w:webHidden/>
              </w:rPr>
              <w:tab/>
            </w:r>
            <w:r w:rsidR="000C43B5">
              <w:rPr>
                <w:webHidden/>
              </w:rPr>
              <w:fldChar w:fldCharType="begin"/>
            </w:r>
            <w:r w:rsidR="000C43B5">
              <w:rPr>
                <w:webHidden/>
              </w:rPr>
              <w:instrText xml:space="preserve"> PAGEREF _Toc505336015 \h </w:instrText>
            </w:r>
            <w:r w:rsidR="000C43B5">
              <w:rPr>
                <w:webHidden/>
              </w:rPr>
            </w:r>
            <w:r w:rsidR="000C43B5">
              <w:rPr>
                <w:webHidden/>
              </w:rPr>
              <w:fldChar w:fldCharType="separate"/>
            </w:r>
            <w:r w:rsidR="00737178">
              <w:rPr>
                <w:webHidden/>
              </w:rPr>
              <w:t>183</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6016" w:history="1">
            <w:r w:rsidR="000C43B5" w:rsidRPr="00DD0C8C">
              <w:rPr>
                <w:rStyle w:val="Hipervnculo"/>
              </w:rPr>
              <w:t>13.5</w:t>
            </w:r>
            <w:r w:rsidR="000C43B5">
              <w:rPr>
                <w:rFonts w:asciiTheme="minorHAnsi" w:eastAsiaTheme="minorEastAsia" w:hAnsiTheme="minorHAnsi" w:cstheme="minorBidi"/>
                <w:bCs w:val="0"/>
                <w:caps w:val="0"/>
                <w:szCs w:val="22"/>
                <w:lang w:eastAsia="es-CO"/>
              </w:rPr>
              <w:tab/>
            </w:r>
            <w:r w:rsidR="000C43B5" w:rsidRPr="00DD0C8C">
              <w:rPr>
                <w:rStyle w:val="Hipervnculo"/>
              </w:rPr>
              <w:t>VAloraciÓn de los proyectos</w:t>
            </w:r>
            <w:r w:rsidR="000C43B5">
              <w:rPr>
                <w:webHidden/>
              </w:rPr>
              <w:tab/>
            </w:r>
            <w:r w:rsidR="000C43B5">
              <w:rPr>
                <w:webHidden/>
              </w:rPr>
              <w:fldChar w:fldCharType="begin"/>
            </w:r>
            <w:r w:rsidR="000C43B5">
              <w:rPr>
                <w:webHidden/>
              </w:rPr>
              <w:instrText xml:space="preserve"> PAGEREF _Toc505336016 \h </w:instrText>
            </w:r>
            <w:r w:rsidR="000C43B5">
              <w:rPr>
                <w:webHidden/>
              </w:rPr>
            </w:r>
            <w:r w:rsidR="000C43B5">
              <w:rPr>
                <w:webHidden/>
              </w:rPr>
              <w:fldChar w:fldCharType="separate"/>
            </w:r>
            <w:r w:rsidR="00737178">
              <w:rPr>
                <w:webHidden/>
              </w:rPr>
              <w:t>183</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6017" w:history="1">
            <w:r w:rsidR="000C43B5" w:rsidRPr="00DD0C8C">
              <w:rPr>
                <w:rStyle w:val="Hipervnculo"/>
              </w:rPr>
              <w:t>13.6</w:t>
            </w:r>
            <w:r w:rsidR="000C43B5">
              <w:rPr>
                <w:rFonts w:asciiTheme="minorHAnsi" w:eastAsiaTheme="minorEastAsia" w:hAnsiTheme="minorHAnsi" w:cstheme="minorBidi"/>
                <w:bCs w:val="0"/>
                <w:caps w:val="0"/>
                <w:szCs w:val="22"/>
                <w:lang w:eastAsia="es-CO"/>
              </w:rPr>
              <w:tab/>
            </w:r>
            <w:r w:rsidR="000C43B5" w:rsidRPr="00DD0C8C">
              <w:rPr>
                <w:rStyle w:val="Hipervnculo"/>
              </w:rPr>
              <w:t>Obligaciones de los OR</w:t>
            </w:r>
            <w:r w:rsidR="000C43B5">
              <w:rPr>
                <w:webHidden/>
              </w:rPr>
              <w:tab/>
            </w:r>
            <w:r w:rsidR="000C43B5">
              <w:rPr>
                <w:webHidden/>
              </w:rPr>
              <w:fldChar w:fldCharType="begin"/>
            </w:r>
            <w:r w:rsidR="000C43B5">
              <w:rPr>
                <w:webHidden/>
              </w:rPr>
              <w:instrText xml:space="preserve"> PAGEREF _Toc505336017 \h </w:instrText>
            </w:r>
            <w:r w:rsidR="000C43B5">
              <w:rPr>
                <w:webHidden/>
              </w:rPr>
            </w:r>
            <w:r w:rsidR="000C43B5">
              <w:rPr>
                <w:webHidden/>
              </w:rPr>
              <w:fldChar w:fldCharType="separate"/>
            </w:r>
            <w:r w:rsidR="00737178">
              <w:rPr>
                <w:webHidden/>
              </w:rPr>
              <w:t>184</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6018" w:history="1">
            <w:r w:rsidR="000C43B5" w:rsidRPr="00DD0C8C">
              <w:rPr>
                <w:rStyle w:val="Hipervnculo"/>
              </w:rPr>
              <w:t>13.7</w:t>
            </w:r>
            <w:r w:rsidR="000C43B5">
              <w:rPr>
                <w:rFonts w:asciiTheme="minorHAnsi" w:eastAsiaTheme="minorEastAsia" w:hAnsiTheme="minorHAnsi" w:cstheme="minorBidi"/>
                <w:bCs w:val="0"/>
                <w:caps w:val="0"/>
                <w:szCs w:val="22"/>
                <w:lang w:eastAsia="es-CO"/>
              </w:rPr>
              <w:tab/>
            </w:r>
            <w:r w:rsidR="000C43B5" w:rsidRPr="00DD0C8C">
              <w:rPr>
                <w:rStyle w:val="Hipervnculo"/>
              </w:rPr>
              <w:t>Cálculo del incremento TARIFARIO</w:t>
            </w:r>
            <w:r w:rsidR="000C43B5">
              <w:rPr>
                <w:webHidden/>
              </w:rPr>
              <w:tab/>
            </w:r>
            <w:r w:rsidR="000C43B5">
              <w:rPr>
                <w:webHidden/>
              </w:rPr>
              <w:fldChar w:fldCharType="begin"/>
            </w:r>
            <w:r w:rsidR="000C43B5">
              <w:rPr>
                <w:webHidden/>
              </w:rPr>
              <w:instrText xml:space="preserve"> PAGEREF _Toc505336018 \h </w:instrText>
            </w:r>
            <w:r w:rsidR="000C43B5">
              <w:rPr>
                <w:webHidden/>
              </w:rPr>
            </w:r>
            <w:r w:rsidR="000C43B5">
              <w:rPr>
                <w:webHidden/>
              </w:rPr>
              <w:fldChar w:fldCharType="separate"/>
            </w:r>
            <w:r w:rsidR="00737178">
              <w:rPr>
                <w:webHidden/>
              </w:rPr>
              <w:t>185</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6019" w:history="1">
            <w:r w:rsidR="000C43B5" w:rsidRPr="00DD0C8C">
              <w:rPr>
                <w:rStyle w:val="Hipervnculo"/>
              </w:rPr>
              <w:t>13.8</w:t>
            </w:r>
            <w:r w:rsidR="000C43B5">
              <w:rPr>
                <w:rFonts w:asciiTheme="minorHAnsi" w:eastAsiaTheme="minorEastAsia" w:hAnsiTheme="minorHAnsi" w:cstheme="minorBidi"/>
                <w:bCs w:val="0"/>
                <w:caps w:val="0"/>
                <w:szCs w:val="22"/>
                <w:lang w:eastAsia="es-CO"/>
              </w:rPr>
              <w:tab/>
            </w:r>
            <w:r w:rsidR="000C43B5" w:rsidRPr="00DD0C8C">
              <w:rPr>
                <w:rStyle w:val="Hipervnculo"/>
              </w:rPr>
              <w:t>Formato de reporte de información</w:t>
            </w:r>
            <w:r w:rsidR="000C43B5">
              <w:rPr>
                <w:webHidden/>
              </w:rPr>
              <w:tab/>
            </w:r>
            <w:r w:rsidR="000C43B5">
              <w:rPr>
                <w:webHidden/>
              </w:rPr>
              <w:fldChar w:fldCharType="begin"/>
            </w:r>
            <w:r w:rsidR="000C43B5">
              <w:rPr>
                <w:webHidden/>
              </w:rPr>
              <w:instrText xml:space="preserve"> PAGEREF _Toc505336019 \h </w:instrText>
            </w:r>
            <w:r w:rsidR="000C43B5">
              <w:rPr>
                <w:webHidden/>
              </w:rPr>
            </w:r>
            <w:r w:rsidR="000C43B5">
              <w:rPr>
                <w:webHidden/>
              </w:rPr>
              <w:fldChar w:fldCharType="separate"/>
            </w:r>
            <w:r w:rsidR="00737178">
              <w:rPr>
                <w:webHidden/>
              </w:rPr>
              <w:t>186</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6020" w:history="1">
            <w:r w:rsidR="000C43B5" w:rsidRPr="00DD0C8C">
              <w:rPr>
                <w:rStyle w:val="Hipervnculo"/>
              </w:rPr>
              <w:t>13.9</w:t>
            </w:r>
            <w:r w:rsidR="000C43B5">
              <w:rPr>
                <w:rFonts w:asciiTheme="minorHAnsi" w:eastAsiaTheme="minorEastAsia" w:hAnsiTheme="minorHAnsi" w:cstheme="minorBidi"/>
                <w:bCs w:val="0"/>
                <w:caps w:val="0"/>
                <w:szCs w:val="22"/>
                <w:lang w:eastAsia="es-CO"/>
              </w:rPr>
              <w:tab/>
            </w:r>
            <w:r w:rsidR="000C43B5" w:rsidRPr="00DD0C8C">
              <w:rPr>
                <w:rStyle w:val="Hipervnculo"/>
              </w:rPr>
              <w:t>SEGUIMIENTO PLANES DE expansión de cobertura</w:t>
            </w:r>
            <w:r w:rsidR="000C43B5">
              <w:rPr>
                <w:webHidden/>
              </w:rPr>
              <w:tab/>
            </w:r>
            <w:r w:rsidR="000C43B5">
              <w:rPr>
                <w:webHidden/>
              </w:rPr>
              <w:fldChar w:fldCharType="begin"/>
            </w:r>
            <w:r w:rsidR="000C43B5">
              <w:rPr>
                <w:webHidden/>
              </w:rPr>
              <w:instrText xml:space="preserve"> PAGEREF _Toc505336020 \h </w:instrText>
            </w:r>
            <w:r w:rsidR="000C43B5">
              <w:rPr>
                <w:webHidden/>
              </w:rPr>
            </w:r>
            <w:r w:rsidR="000C43B5">
              <w:rPr>
                <w:webHidden/>
              </w:rPr>
              <w:fldChar w:fldCharType="separate"/>
            </w:r>
            <w:r w:rsidR="00737178">
              <w:rPr>
                <w:webHidden/>
              </w:rPr>
              <w:t>186</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6021" w:history="1">
            <w:r w:rsidR="000C43B5" w:rsidRPr="00DD0C8C">
              <w:rPr>
                <w:rStyle w:val="Hipervnculo"/>
              </w:rPr>
              <w:t>13.10</w:t>
            </w:r>
            <w:r w:rsidR="000C43B5">
              <w:rPr>
                <w:rFonts w:asciiTheme="minorHAnsi" w:eastAsiaTheme="minorEastAsia" w:hAnsiTheme="minorHAnsi" w:cstheme="minorBidi"/>
                <w:bCs w:val="0"/>
                <w:caps w:val="0"/>
                <w:szCs w:val="22"/>
                <w:lang w:eastAsia="es-CO"/>
              </w:rPr>
              <w:tab/>
            </w:r>
            <w:r w:rsidR="000C43B5" w:rsidRPr="00DD0C8C">
              <w:rPr>
                <w:rStyle w:val="Hipervnculo"/>
              </w:rPr>
              <w:t>Publicidad y difusión de los planes de inversión</w:t>
            </w:r>
            <w:r w:rsidR="000C43B5">
              <w:rPr>
                <w:webHidden/>
              </w:rPr>
              <w:tab/>
            </w:r>
            <w:r w:rsidR="000C43B5">
              <w:rPr>
                <w:webHidden/>
              </w:rPr>
              <w:fldChar w:fldCharType="begin"/>
            </w:r>
            <w:r w:rsidR="000C43B5">
              <w:rPr>
                <w:webHidden/>
              </w:rPr>
              <w:instrText xml:space="preserve"> PAGEREF _Toc505336021 \h </w:instrText>
            </w:r>
            <w:r w:rsidR="000C43B5">
              <w:rPr>
                <w:webHidden/>
              </w:rPr>
            </w:r>
            <w:r w:rsidR="000C43B5">
              <w:rPr>
                <w:webHidden/>
              </w:rPr>
              <w:fldChar w:fldCharType="separate"/>
            </w:r>
            <w:r w:rsidR="00737178">
              <w:rPr>
                <w:webHidden/>
              </w:rPr>
              <w:t>186</w:t>
            </w:r>
            <w:r w:rsidR="000C43B5">
              <w:rPr>
                <w:webHidden/>
              </w:rPr>
              <w:fldChar w:fldCharType="end"/>
            </w:r>
          </w:hyperlink>
        </w:p>
        <w:p w:rsidR="000C43B5" w:rsidRDefault="00C9592F">
          <w:pPr>
            <w:pStyle w:val="TDC1"/>
            <w:tabs>
              <w:tab w:val="left" w:pos="1996"/>
            </w:tabs>
            <w:rPr>
              <w:rFonts w:asciiTheme="minorHAnsi" w:eastAsiaTheme="minorEastAsia" w:hAnsiTheme="minorHAnsi" w:cstheme="minorBidi"/>
              <w:b w:val="0"/>
              <w:caps w:val="0"/>
              <w:sz w:val="22"/>
              <w:szCs w:val="22"/>
              <w:lang w:val="es-CO" w:eastAsia="es-CO"/>
            </w:rPr>
          </w:pPr>
          <w:hyperlink w:anchor="_Toc505336022" w:history="1">
            <w:r w:rsidR="000C43B5" w:rsidRPr="00DD0C8C">
              <w:rPr>
                <w:rStyle w:val="Hipervnculo"/>
              </w:rPr>
              <w:t>CAPITULO 14.</w:t>
            </w:r>
            <w:r w:rsidR="000C43B5">
              <w:rPr>
                <w:rFonts w:asciiTheme="minorHAnsi" w:eastAsiaTheme="minorEastAsia" w:hAnsiTheme="minorHAnsi" w:cstheme="minorBidi"/>
                <w:b w:val="0"/>
                <w:caps w:val="0"/>
                <w:sz w:val="22"/>
                <w:szCs w:val="22"/>
                <w:lang w:val="es-CO" w:eastAsia="es-CO"/>
              </w:rPr>
              <w:tab/>
            </w:r>
            <w:r w:rsidR="000C43B5" w:rsidRPr="00DD0C8C">
              <w:rPr>
                <w:rStyle w:val="Hipervnculo"/>
              </w:rPr>
              <w:t>UC PARA VALORACIÓN DE ACTIVOS NUEVOS</w:t>
            </w:r>
            <w:r w:rsidR="000C43B5">
              <w:rPr>
                <w:webHidden/>
              </w:rPr>
              <w:tab/>
            </w:r>
            <w:r w:rsidR="000C43B5">
              <w:rPr>
                <w:webHidden/>
              </w:rPr>
              <w:fldChar w:fldCharType="begin"/>
            </w:r>
            <w:r w:rsidR="000C43B5">
              <w:rPr>
                <w:webHidden/>
              </w:rPr>
              <w:instrText xml:space="preserve"> PAGEREF _Toc505336022 \h </w:instrText>
            </w:r>
            <w:r w:rsidR="000C43B5">
              <w:rPr>
                <w:webHidden/>
              </w:rPr>
            </w:r>
            <w:r w:rsidR="000C43B5">
              <w:rPr>
                <w:webHidden/>
              </w:rPr>
              <w:fldChar w:fldCharType="separate"/>
            </w:r>
            <w:r w:rsidR="00737178">
              <w:rPr>
                <w:webHidden/>
              </w:rPr>
              <w:t>187</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6023" w:history="1">
            <w:r w:rsidR="000C43B5" w:rsidRPr="00DD0C8C">
              <w:rPr>
                <w:rStyle w:val="Hipervnculo"/>
              </w:rPr>
              <w:t>14.1</w:t>
            </w:r>
            <w:r w:rsidR="000C43B5">
              <w:rPr>
                <w:rFonts w:asciiTheme="minorHAnsi" w:eastAsiaTheme="minorEastAsia" w:hAnsiTheme="minorHAnsi" w:cstheme="minorBidi"/>
                <w:bCs w:val="0"/>
                <w:caps w:val="0"/>
                <w:szCs w:val="22"/>
                <w:lang w:eastAsia="es-CO"/>
              </w:rPr>
              <w:tab/>
            </w:r>
            <w:r w:rsidR="000C43B5" w:rsidRPr="00DD0C8C">
              <w:rPr>
                <w:rStyle w:val="Hipervnculo"/>
              </w:rPr>
              <w:t>UC asociadas a subestaciones</w:t>
            </w:r>
            <w:r w:rsidR="000C43B5">
              <w:rPr>
                <w:webHidden/>
              </w:rPr>
              <w:tab/>
            </w:r>
            <w:r w:rsidR="000C43B5">
              <w:rPr>
                <w:webHidden/>
              </w:rPr>
              <w:fldChar w:fldCharType="begin"/>
            </w:r>
            <w:r w:rsidR="000C43B5">
              <w:rPr>
                <w:webHidden/>
              </w:rPr>
              <w:instrText xml:space="preserve"> PAGEREF _Toc505336023 \h </w:instrText>
            </w:r>
            <w:r w:rsidR="000C43B5">
              <w:rPr>
                <w:webHidden/>
              </w:rPr>
            </w:r>
            <w:r w:rsidR="000C43B5">
              <w:rPr>
                <w:webHidden/>
              </w:rPr>
              <w:fldChar w:fldCharType="separate"/>
            </w:r>
            <w:r w:rsidR="00737178">
              <w:rPr>
                <w:webHidden/>
              </w:rPr>
              <w:t>187</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6024" w:history="1">
            <w:r w:rsidR="000C43B5" w:rsidRPr="00DD0C8C">
              <w:rPr>
                <w:rStyle w:val="Hipervnculo"/>
              </w:rPr>
              <w:t>14.2</w:t>
            </w:r>
            <w:r w:rsidR="000C43B5">
              <w:rPr>
                <w:rFonts w:asciiTheme="minorHAnsi" w:eastAsiaTheme="minorEastAsia" w:hAnsiTheme="minorHAnsi" w:cstheme="minorBidi"/>
                <w:bCs w:val="0"/>
                <w:caps w:val="0"/>
                <w:szCs w:val="22"/>
                <w:lang w:eastAsia="es-CO"/>
              </w:rPr>
              <w:tab/>
            </w:r>
            <w:r w:rsidR="000C43B5" w:rsidRPr="00DD0C8C">
              <w:rPr>
                <w:rStyle w:val="Hipervnculo"/>
              </w:rPr>
              <w:t>UC asociadas a líneas</w:t>
            </w:r>
            <w:r w:rsidR="000C43B5">
              <w:rPr>
                <w:webHidden/>
              </w:rPr>
              <w:tab/>
            </w:r>
            <w:r w:rsidR="000C43B5">
              <w:rPr>
                <w:webHidden/>
              </w:rPr>
              <w:fldChar w:fldCharType="begin"/>
            </w:r>
            <w:r w:rsidR="000C43B5">
              <w:rPr>
                <w:webHidden/>
              </w:rPr>
              <w:instrText xml:space="preserve"> PAGEREF _Toc505336024 \h </w:instrText>
            </w:r>
            <w:r w:rsidR="000C43B5">
              <w:rPr>
                <w:webHidden/>
              </w:rPr>
            </w:r>
            <w:r w:rsidR="000C43B5">
              <w:rPr>
                <w:webHidden/>
              </w:rPr>
              <w:fldChar w:fldCharType="separate"/>
            </w:r>
            <w:r w:rsidR="00737178">
              <w:rPr>
                <w:webHidden/>
              </w:rPr>
              <w:t>191</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6025" w:history="1">
            <w:r w:rsidR="000C43B5" w:rsidRPr="00DD0C8C">
              <w:rPr>
                <w:rStyle w:val="Hipervnculo"/>
              </w:rPr>
              <w:t>14.3</w:t>
            </w:r>
            <w:r w:rsidR="000C43B5">
              <w:rPr>
                <w:rFonts w:asciiTheme="minorHAnsi" w:eastAsiaTheme="minorEastAsia" w:hAnsiTheme="minorHAnsi" w:cstheme="minorBidi"/>
                <w:bCs w:val="0"/>
                <w:caps w:val="0"/>
                <w:szCs w:val="22"/>
                <w:lang w:eastAsia="es-CO"/>
              </w:rPr>
              <w:tab/>
            </w:r>
            <w:r w:rsidR="000C43B5" w:rsidRPr="00DD0C8C">
              <w:rPr>
                <w:rStyle w:val="Hipervnculo"/>
              </w:rPr>
              <w:t>costos activos de NIVEL DE TENSIÓN 1.</w:t>
            </w:r>
            <w:r w:rsidR="000C43B5">
              <w:rPr>
                <w:webHidden/>
              </w:rPr>
              <w:tab/>
            </w:r>
            <w:r w:rsidR="000C43B5">
              <w:rPr>
                <w:webHidden/>
              </w:rPr>
              <w:fldChar w:fldCharType="begin"/>
            </w:r>
            <w:r w:rsidR="000C43B5">
              <w:rPr>
                <w:webHidden/>
              </w:rPr>
              <w:instrText xml:space="preserve"> PAGEREF _Toc505336025 \h </w:instrText>
            </w:r>
            <w:r w:rsidR="000C43B5">
              <w:rPr>
                <w:webHidden/>
              </w:rPr>
            </w:r>
            <w:r w:rsidR="000C43B5">
              <w:rPr>
                <w:webHidden/>
              </w:rPr>
              <w:fldChar w:fldCharType="separate"/>
            </w:r>
            <w:r w:rsidR="00737178">
              <w:rPr>
                <w:webHidden/>
              </w:rPr>
              <w:t>204</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6026" w:history="1">
            <w:r w:rsidR="000C43B5" w:rsidRPr="00DD0C8C">
              <w:rPr>
                <w:rStyle w:val="Hipervnculo"/>
              </w:rPr>
              <w:t>14.4</w:t>
            </w:r>
            <w:r w:rsidR="000C43B5">
              <w:rPr>
                <w:rFonts w:asciiTheme="minorHAnsi" w:eastAsiaTheme="minorEastAsia" w:hAnsiTheme="minorHAnsi" w:cstheme="minorBidi"/>
                <w:bCs w:val="0"/>
                <w:caps w:val="0"/>
                <w:szCs w:val="22"/>
                <w:lang w:eastAsia="es-CO"/>
              </w:rPr>
              <w:tab/>
            </w:r>
            <w:r w:rsidR="000C43B5" w:rsidRPr="00DD0C8C">
              <w:rPr>
                <w:rStyle w:val="Hipervnculo"/>
              </w:rPr>
              <w:t>CATEGORIAS DE UNIDADES CONSTRUCTIVAS</w:t>
            </w:r>
            <w:r w:rsidR="000C43B5">
              <w:rPr>
                <w:webHidden/>
              </w:rPr>
              <w:tab/>
            </w:r>
            <w:r w:rsidR="000C43B5">
              <w:rPr>
                <w:webHidden/>
              </w:rPr>
              <w:fldChar w:fldCharType="begin"/>
            </w:r>
            <w:r w:rsidR="000C43B5">
              <w:rPr>
                <w:webHidden/>
              </w:rPr>
              <w:instrText xml:space="preserve"> PAGEREF _Toc505336026 \h </w:instrText>
            </w:r>
            <w:r w:rsidR="000C43B5">
              <w:rPr>
                <w:webHidden/>
              </w:rPr>
            </w:r>
            <w:r w:rsidR="000C43B5">
              <w:rPr>
                <w:webHidden/>
              </w:rPr>
              <w:fldChar w:fldCharType="separate"/>
            </w:r>
            <w:r w:rsidR="00737178">
              <w:rPr>
                <w:webHidden/>
              </w:rPr>
              <w:t>212</w:t>
            </w:r>
            <w:r w:rsidR="000C43B5">
              <w:rPr>
                <w:webHidden/>
              </w:rPr>
              <w:fldChar w:fldCharType="end"/>
            </w:r>
          </w:hyperlink>
        </w:p>
        <w:p w:rsidR="000C43B5" w:rsidRDefault="00C9592F">
          <w:pPr>
            <w:pStyle w:val="TDC1"/>
            <w:tabs>
              <w:tab w:val="left" w:pos="1996"/>
            </w:tabs>
            <w:rPr>
              <w:rFonts w:asciiTheme="minorHAnsi" w:eastAsiaTheme="minorEastAsia" w:hAnsiTheme="minorHAnsi" w:cstheme="minorBidi"/>
              <w:b w:val="0"/>
              <w:caps w:val="0"/>
              <w:sz w:val="22"/>
              <w:szCs w:val="22"/>
              <w:lang w:val="es-CO" w:eastAsia="es-CO"/>
            </w:rPr>
          </w:pPr>
          <w:hyperlink w:anchor="_Toc505336027" w:history="1">
            <w:r w:rsidR="000C43B5" w:rsidRPr="00DD0C8C">
              <w:rPr>
                <w:rStyle w:val="Hipervnculo"/>
              </w:rPr>
              <w:t>CAPITULO 15.</w:t>
            </w:r>
            <w:r w:rsidR="000C43B5">
              <w:rPr>
                <w:rFonts w:asciiTheme="minorHAnsi" w:eastAsiaTheme="minorEastAsia" w:hAnsiTheme="minorHAnsi" w:cstheme="minorBidi"/>
                <w:b w:val="0"/>
                <w:caps w:val="0"/>
                <w:sz w:val="22"/>
                <w:szCs w:val="22"/>
                <w:lang w:val="es-CO" w:eastAsia="es-CO"/>
              </w:rPr>
              <w:tab/>
            </w:r>
            <w:r w:rsidR="000C43B5" w:rsidRPr="00DD0C8C">
              <w:rPr>
                <w:rStyle w:val="Hipervnculo"/>
              </w:rPr>
              <w:t>UC PARA VALORACIÓN DE ACTIVOS BRA INICIAL</w:t>
            </w:r>
            <w:r w:rsidR="000C43B5">
              <w:rPr>
                <w:webHidden/>
              </w:rPr>
              <w:tab/>
            </w:r>
            <w:r w:rsidR="000C43B5">
              <w:rPr>
                <w:webHidden/>
              </w:rPr>
              <w:fldChar w:fldCharType="begin"/>
            </w:r>
            <w:r w:rsidR="000C43B5">
              <w:rPr>
                <w:webHidden/>
              </w:rPr>
              <w:instrText xml:space="preserve"> PAGEREF _Toc505336027 \h </w:instrText>
            </w:r>
            <w:r w:rsidR="000C43B5">
              <w:rPr>
                <w:webHidden/>
              </w:rPr>
            </w:r>
            <w:r w:rsidR="000C43B5">
              <w:rPr>
                <w:webHidden/>
              </w:rPr>
              <w:fldChar w:fldCharType="separate"/>
            </w:r>
            <w:r w:rsidR="00737178">
              <w:rPr>
                <w:webHidden/>
              </w:rPr>
              <w:t>215</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6028" w:history="1">
            <w:r w:rsidR="000C43B5" w:rsidRPr="00DD0C8C">
              <w:rPr>
                <w:rStyle w:val="Hipervnculo"/>
              </w:rPr>
              <w:t>15.1</w:t>
            </w:r>
            <w:r w:rsidR="000C43B5">
              <w:rPr>
                <w:rFonts w:asciiTheme="minorHAnsi" w:eastAsiaTheme="minorEastAsia" w:hAnsiTheme="minorHAnsi" w:cstheme="minorBidi"/>
                <w:bCs w:val="0"/>
                <w:caps w:val="0"/>
                <w:szCs w:val="22"/>
                <w:lang w:eastAsia="es-CO"/>
              </w:rPr>
              <w:tab/>
            </w:r>
            <w:r w:rsidR="000C43B5" w:rsidRPr="00DD0C8C">
              <w:rPr>
                <w:rStyle w:val="Hipervnculo"/>
              </w:rPr>
              <w:t>UC DE NIVELES DE TENSIÓN 4, 3 Y 2</w:t>
            </w:r>
            <w:r w:rsidR="000C43B5">
              <w:rPr>
                <w:webHidden/>
              </w:rPr>
              <w:tab/>
            </w:r>
            <w:r w:rsidR="000C43B5">
              <w:rPr>
                <w:webHidden/>
              </w:rPr>
              <w:fldChar w:fldCharType="begin"/>
            </w:r>
            <w:r w:rsidR="000C43B5">
              <w:rPr>
                <w:webHidden/>
              </w:rPr>
              <w:instrText xml:space="preserve"> PAGEREF _Toc505336028 \h </w:instrText>
            </w:r>
            <w:r w:rsidR="000C43B5">
              <w:rPr>
                <w:webHidden/>
              </w:rPr>
            </w:r>
            <w:r w:rsidR="000C43B5">
              <w:rPr>
                <w:webHidden/>
              </w:rPr>
              <w:fldChar w:fldCharType="separate"/>
            </w:r>
            <w:r w:rsidR="00737178">
              <w:rPr>
                <w:webHidden/>
              </w:rPr>
              <w:t>215</w:t>
            </w:r>
            <w:r w:rsidR="000C43B5">
              <w:rPr>
                <w:webHidden/>
              </w:rPr>
              <w:fldChar w:fldCharType="end"/>
            </w:r>
          </w:hyperlink>
        </w:p>
        <w:p w:rsidR="000C43B5" w:rsidRDefault="00C9592F">
          <w:pPr>
            <w:pStyle w:val="TDC2"/>
            <w:rPr>
              <w:rFonts w:asciiTheme="minorHAnsi" w:eastAsiaTheme="minorEastAsia" w:hAnsiTheme="minorHAnsi" w:cstheme="minorBidi"/>
              <w:bCs w:val="0"/>
              <w:caps w:val="0"/>
              <w:szCs w:val="22"/>
              <w:lang w:eastAsia="es-CO"/>
            </w:rPr>
          </w:pPr>
          <w:hyperlink w:anchor="_Toc505336029" w:history="1">
            <w:r w:rsidR="000C43B5" w:rsidRPr="00DD0C8C">
              <w:rPr>
                <w:rStyle w:val="Hipervnculo"/>
              </w:rPr>
              <w:t>15.2</w:t>
            </w:r>
            <w:r w:rsidR="000C43B5">
              <w:rPr>
                <w:rFonts w:asciiTheme="minorHAnsi" w:eastAsiaTheme="minorEastAsia" w:hAnsiTheme="minorHAnsi" w:cstheme="minorBidi"/>
                <w:bCs w:val="0"/>
                <w:caps w:val="0"/>
                <w:szCs w:val="22"/>
                <w:lang w:eastAsia="es-CO"/>
              </w:rPr>
              <w:tab/>
            </w:r>
            <w:r w:rsidR="000C43B5" w:rsidRPr="00DD0C8C">
              <w:rPr>
                <w:rStyle w:val="Hipervnculo"/>
              </w:rPr>
              <w:t>CATEGORIAS DE UNIDADES CONSTRUCTIVAS</w:t>
            </w:r>
            <w:r w:rsidR="000C43B5">
              <w:rPr>
                <w:webHidden/>
              </w:rPr>
              <w:tab/>
            </w:r>
            <w:r w:rsidR="000C43B5">
              <w:rPr>
                <w:webHidden/>
              </w:rPr>
              <w:fldChar w:fldCharType="begin"/>
            </w:r>
            <w:r w:rsidR="000C43B5">
              <w:rPr>
                <w:webHidden/>
              </w:rPr>
              <w:instrText xml:space="preserve"> PAGEREF _Toc505336029 \h </w:instrText>
            </w:r>
            <w:r w:rsidR="000C43B5">
              <w:rPr>
                <w:webHidden/>
              </w:rPr>
            </w:r>
            <w:r w:rsidR="000C43B5">
              <w:rPr>
                <w:webHidden/>
              </w:rPr>
              <w:fldChar w:fldCharType="separate"/>
            </w:r>
            <w:r w:rsidR="00737178">
              <w:rPr>
                <w:webHidden/>
              </w:rPr>
              <w:t>228</w:t>
            </w:r>
            <w:r w:rsidR="000C43B5">
              <w:rPr>
                <w:webHidden/>
              </w:rPr>
              <w:fldChar w:fldCharType="end"/>
            </w:r>
          </w:hyperlink>
        </w:p>
        <w:p w:rsidR="000C43B5" w:rsidRDefault="00C9592F">
          <w:pPr>
            <w:pStyle w:val="TDC1"/>
            <w:tabs>
              <w:tab w:val="left" w:pos="1996"/>
            </w:tabs>
            <w:rPr>
              <w:rFonts w:asciiTheme="minorHAnsi" w:eastAsiaTheme="minorEastAsia" w:hAnsiTheme="minorHAnsi" w:cstheme="minorBidi"/>
              <w:b w:val="0"/>
              <w:caps w:val="0"/>
              <w:sz w:val="22"/>
              <w:szCs w:val="22"/>
              <w:lang w:val="es-CO" w:eastAsia="es-CO"/>
            </w:rPr>
          </w:pPr>
          <w:hyperlink w:anchor="_Toc505336030" w:history="1">
            <w:r w:rsidR="000C43B5" w:rsidRPr="00DD0C8C">
              <w:rPr>
                <w:rStyle w:val="Hipervnculo"/>
              </w:rPr>
              <w:t>CAPITULO 16.</w:t>
            </w:r>
            <w:r w:rsidR="000C43B5">
              <w:rPr>
                <w:rFonts w:asciiTheme="minorHAnsi" w:eastAsiaTheme="minorEastAsia" w:hAnsiTheme="minorHAnsi" w:cstheme="minorBidi"/>
                <w:b w:val="0"/>
                <w:caps w:val="0"/>
                <w:sz w:val="22"/>
                <w:szCs w:val="22"/>
                <w:lang w:val="es-CO" w:eastAsia="es-CO"/>
              </w:rPr>
              <w:tab/>
            </w:r>
            <w:r w:rsidR="000C43B5" w:rsidRPr="00DD0C8C">
              <w:rPr>
                <w:rStyle w:val="Hipervnculo"/>
              </w:rPr>
              <w:t>ÍNDICES DE RIESGO POR MUNICIPIO</w:t>
            </w:r>
            <w:r w:rsidR="000C43B5">
              <w:rPr>
                <w:webHidden/>
              </w:rPr>
              <w:tab/>
            </w:r>
            <w:r w:rsidR="000C43B5">
              <w:rPr>
                <w:webHidden/>
              </w:rPr>
              <w:fldChar w:fldCharType="begin"/>
            </w:r>
            <w:r w:rsidR="000C43B5">
              <w:rPr>
                <w:webHidden/>
              </w:rPr>
              <w:instrText xml:space="preserve"> PAGEREF _Toc505336030 \h </w:instrText>
            </w:r>
            <w:r w:rsidR="000C43B5">
              <w:rPr>
                <w:webHidden/>
              </w:rPr>
            </w:r>
            <w:r w:rsidR="000C43B5">
              <w:rPr>
                <w:webHidden/>
              </w:rPr>
              <w:fldChar w:fldCharType="separate"/>
            </w:r>
            <w:r w:rsidR="00737178">
              <w:rPr>
                <w:webHidden/>
              </w:rPr>
              <w:t>230</w:t>
            </w:r>
            <w:r w:rsidR="000C43B5">
              <w:rPr>
                <w:webHidden/>
              </w:rPr>
              <w:fldChar w:fldCharType="end"/>
            </w:r>
          </w:hyperlink>
        </w:p>
        <w:p w:rsidR="00193054" w:rsidRPr="004E6CFC" w:rsidRDefault="0014422A" w:rsidP="006178BD">
          <w:pPr>
            <w:pStyle w:val="TDC1"/>
            <w:tabs>
              <w:tab w:val="left" w:pos="1996"/>
            </w:tabs>
            <w:rPr>
              <w:b w:val="0"/>
            </w:rPr>
          </w:pPr>
          <w:r w:rsidRPr="004E6CFC">
            <w:rPr>
              <w:b w:val="0"/>
              <w:bCs/>
            </w:rPr>
            <w:fldChar w:fldCharType="end"/>
          </w:r>
        </w:p>
      </w:sdtContent>
    </w:sdt>
    <w:p w:rsidR="00D8423C" w:rsidRPr="004E6CFC" w:rsidRDefault="00D8423C">
      <w:pPr>
        <w:spacing w:before="0" w:after="0"/>
        <w:jc w:val="left"/>
        <w:rPr>
          <w:b/>
        </w:rPr>
      </w:pPr>
      <w:r w:rsidRPr="004E6CFC">
        <w:rPr>
          <w:b/>
        </w:rPr>
        <w:br w:type="page"/>
      </w:r>
    </w:p>
    <w:p w:rsidR="00193054" w:rsidRPr="00DA7FDA" w:rsidRDefault="002063F9" w:rsidP="00E30B87">
      <w:pPr>
        <w:pStyle w:val="Ttulo1"/>
      </w:pPr>
      <w:bookmarkStart w:id="24" w:name="_Toc191987516"/>
      <w:bookmarkStart w:id="25" w:name="_Toc191987519"/>
      <w:bookmarkStart w:id="26" w:name="_Toc191987520"/>
      <w:bookmarkStart w:id="27" w:name="_Toc191987521"/>
      <w:bookmarkStart w:id="28" w:name="_Toc191987522"/>
      <w:bookmarkStart w:id="29" w:name="_Ref403641580"/>
      <w:bookmarkStart w:id="30" w:name="_Toc408493115"/>
      <w:bookmarkStart w:id="31" w:name="_Toc505335883"/>
      <w:bookmarkStart w:id="32" w:name="_Ref403033921"/>
      <w:bookmarkEnd w:id="0"/>
      <w:bookmarkEnd w:id="1"/>
      <w:bookmarkEnd w:id="2"/>
      <w:bookmarkEnd w:id="3"/>
      <w:bookmarkEnd w:id="4"/>
      <w:bookmarkEnd w:id="5"/>
      <w:bookmarkEnd w:id="6"/>
      <w:bookmarkEnd w:id="7"/>
      <w:bookmarkEnd w:id="8"/>
      <w:bookmarkEnd w:id="9"/>
      <w:bookmarkEnd w:id="24"/>
      <w:bookmarkEnd w:id="25"/>
      <w:bookmarkEnd w:id="26"/>
      <w:bookmarkEnd w:id="27"/>
      <w:bookmarkEnd w:id="28"/>
      <w:r w:rsidRPr="00DA7FDA">
        <w:rPr>
          <w:caps w:val="0"/>
        </w:rPr>
        <w:lastRenderedPageBreak/>
        <w:t>CÁLCULO DE CARGOS</w:t>
      </w:r>
      <w:bookmarkEnd w:id="29"/>
      <w:bookmarkEnd w:id="30"/>
      <w:bookmarkEnd w:id="31"/>
    </w:p>
    <w:p w:rsidR="00E33562" w:rsidRPr="004E6CFC" w:rsidRDefault="00E33562" w:rsidP="00E33562">
      <w:pPr>
        <w:pStyle w:val="Ttulo2"/>
      </w:pPr>
      <w:bookmarkStart w:id="33" w:name="_Ref445132368"/>
      <w:bookmarkStart w:id="34" w:name="_Toc476824105"/>
      <w:bookmarkStart w:id="35" w:name="_Toc505335884"/>
      <w:r w:rsidRPr="004E6CFC">
        <w:t>CARGOS POR USO</w:t>
      </w:r>
      <w:bookmarkEnd w:id="33"/>
      <w:bookmarkEnd w:id="34"/>
      <w:bookmarkEnd w:id="35"/>
    </w:p>
    <w:p w:rsidR="00E9756B" w:rsidRPr="004E6CFC" w:rsidRDefault="00E9756B" w:rsidP="00E9756B">
      <w:r w:rsidRPr="004E6CFC">
        <w:t>El LAC calculará mensualmente los cargos por uso de cada nivel de tensión de acuerdo con las siguientes expresiones.</w:t>
      </w:r>
    </w:p>
    <w:p w:rsidR="00E9756B" w:rsidRPr="004E6CFC" w:rsidRDefault="00E9756B" w:rsidP="00E9756B">
      <w:pPr>
        <w:pStyle w:val="Ttulo3"/>
      </w:pPr>
      <w:bookmarkStart w:id="36" w:name="_Toc408493116"/>
      <w:bookmarkStart w:id="37" w:name="_Ref439921332"/>
      <w:bookmarkStart w:id="38" w:name="_Toc476824106"/>
      <w:bookmarkStart w:id="39" w:name="_Ref505156359"/>
      <w:bookmarkStart w:id="40" w:name="_Ref505174675"/>
      <w:bookmarkStart w:id="41" w:name="_Ref505174733"/>
      <w:bookmarkStart w:id="42" w:name="_Ref505174854"/>
      <w:bookmarkStart w:id="43" w:name="_Toc505335885"/>
      <w:r w:rsidRPr="004E6CFC">
        <w:t>Cargos por uso de nivel de tensión 4</w:t>
      </w:r>
      <w:bookmarkEnd w:id="36"/>
      <w:bookmarkEnd w:id="37"/>
      <w:bookmarkEnd w:id="38"/>
      <w:bookmarkEnd w:id="39"/>
      <w:bookmarkEnd w:id="40"/>
      <w:bookmarkEnd w:id="41"/>
      <w:bookmarkEnd w:id="42"/>
      <w:bookmarkEnd w:id="43"/>
    </w:p>
    <w:p w:rsidR="00E9756B" w:rsidRPr="004E6CFC" w:rsidRDefault="00E9756B" w:rsidP="00E9756B">
      <w:r w:rsidRPr="004E6CFC">
        <w:t xml:space="preserve">El LAC calculará para cada </w:t>
      </w:r>
      <w:r>
        <w:t>STR</w:t>
      </w:r>
      <w:r w:rsidRPr="004E6CFC">
        <w:t xml:space="preserve"> los cargos por uso de nivel de tensión 4 de la siguiente manera:</w:t>
      </w:r>
    </w:p>
    <w:p w:rsidR="00E9756B" w:rsidRPr="004E6CFC" w:rsidRDefault="00C9592F" w:rsidP="00E9756B">
      <w:pPr>
        <w:jc w:val="center"/>
        <w:rPr>
          <w:position w:val="-32"/>
        </w:rPr>
      </w:pPr>
      <m:oMathPara>
        <m:oMath>
          <m:sSub>
            <m:sSubPr>
              <m:ctrlPr>
                <w:rPr>
                  <w:rFonts w:ascii="Cambria Math" w:hAnsi="Cambria Math"/>
                  <w:i/>
                </w:rPr>
              </m:ctrlPr>
            </m:sSubPr>
            <m:e>
              <m:r>
                <w:rPr>
                  <w:rFonts w:ascii="Cambria Math" w:hAnsi="Cambria Math"/>
                </w:rPr>
                <m:t>Dt</m:t>
              </m:r>
            </m:e>
            <m:sub>
              <m:r>
                <w:rPr>
                  <w:rFonts w:ascii="Cambria Math" w:hAnsi="Cambria Math"/>
                </w:rPr>
                <m:t>4,R,m</m:t>
              </m:r>
              <m:r>
                <w:rPr>
                  <w:rFonts w:ascii="Cambria Math"/>
                </w:rPr>
                <m:t>,</m:t>
              </m:r>
              <m:r>
                <w:rPr>
                  <w:rFonts w:ascii="Cambria Math" w:hAnsi="Cambria Math"/>
                </w:rPr>
                <m:t>t</m:t>
              </m:r>
            </m:sub>
          </m:sSub>
          <m:r>
            <w:rPr>
              <w:rFonts w:asci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CD</m:t>
                  </m:r>
                </m:e>
                <m:sub>
                  <m:r>
                    <w:rPr>
                      <w:rFonts w:ascii="Cambria Math" w:hAnsi="Cambria Math"/>
                    </w:rPr>
                    <m:t>4</m:t>
                  </m:r>
                  <m:r>
                    <w:rPr>
                      <w:rFonts w:ascii="Cambria Math"/>
                    </w:rPr>
                    <m:t>,</m:t>
                  </m:r>
                  <m:r>
                    <w:rPr>
                      <w:rFonts w:ascii="Cambria Math" w:hAnsi="Cambria Math"/>
                    </w:rPr>
                    <m:t>R</m:t>
                  </m:r>
                  <m:r>
                    <w:rPr>
                      <w:rFonts w:ascii="Cambria Math"/>
                    </w:rPr>
                    <m:t>,</m:t>
                  </m:r>
                  <m:r>
                    <w:rPr>
                      <w:rFonts w:ascii="Cambria Math" w:hAnsi="Cambria Math"/>
                    </w:rPr>
                    <m:t>m,t</m:t>
                  </m:r>
                </m:sub>
              </m:sSub>
            </m:num>
            <m:den>
              <m:r>
                <w:rPr>
                  <w:rFonts w:ascii="Cambria Math"/>
                </w:rPr>
                <m:t>1</m:t>
              </m:r>
              <m:r>
                <w:rPr>
                  <w:rFonts w:ascii="Cambria Math"/>
                </w:rPr>
                <m:t>-</m:t>
              </m:r>
              <m:sSub>
                <m:sSubPr>
                  <m:ctrlPr>
                    <w:rPr>
                      <w:rFonts w:ascii="Cambria Math" w:hAnsi="Cambria Math"/>
                      <w:i/>
                    </w:rPr>
                  </m:ctrlPr>
                </m:sSubPr>
                <m:e>
                  <m:r>
                    <w:rPr>
                      <w:rFonts w:ascii="Cambria Math" w:hAnsi="Cambria Math"/>
                    </w:rPr>
                    <m:t>PR</m:t>
                  </m:r>
                </m:e>
                <m:sub>
                  <m:r>
                    <w:rPr>
                      <w:rFonts w:ascii="Cambria Math" w:hAnsi="Cambria Math"/>
                    </w:rPr>
                    <m:t>4,R,m,t</m:t>
                  </m:r>
                </m:sub>
              </m:sSub>
            </m:den>
          </m:f>
        </m:oMath>
      </m:oMathPara>
    </w:p>
    <w:p w:rsidR="00E9756B" w:rsidRPr="004E6CFC" w:rsidRDefault="00E9756B" w:rsidP="00E9756B">
      <w:r w:rsidRPr="004E6CFC">
        <w:t>Donde:</w:t>
      </w:r>
    </w:p>
    <w:p w:rsidR="00E9756B" w:rsidRPr="004E6CFC" w:rsidRDefault="00E9756B" w:rsidP="00E9756B">
      <w:pPr>
        <w:spacing w:before="120"/>
        <w:ind w:left="1418" w:hanging="1418"/>
      </w:pPr>
      <w:r w:rsidRPr="004E6CFC">
        <w:rPr>
          <w:i/>
          <w:iCs/>
        </w:rPr>
        <w:t>Dt</w:t>
      </w:r>
      <w:r w:rsidRPr="004E6CFC">
        <w:rPr>
          <w:i/>
          <w:iCs/>
          <w:vertAlign w:val="subscript"/>
        </w:rPr>
        <w:t>4,</w:t>
      </w:r>
      <w:r>
        <w:rPr>
          <w:i/>
          <w:iCs/>
          <w:vertAlign w:val="subscript"/>
        </w:rPr>
        <w:t>R</w:t>
      </w:r>
      <w:r w:rsidRPr="004E6CFC">
        <w:rPr>
          <w:i/>
          <w:iCs/>
          <w:vertAlign w:val="subscript"/>
        </w:rPr>
        <w:t>,m,t</w:t>
      </w:r>
      <w:r w:rsidRPr="004E6CFC">
        <w:t>:</w:t>
      </w:r>
      <w:r w:rsidRPr="004E6CFC">
        <w:tab/>
        <w:t xml:space="preserve">Cargo por uso del nivel de tensión 4 del </w:t>
      </w:r>
      <w:r>
        <w:t xml:space="preserve">OR que hace parte del </w:t>
      </w:r>
      <w:r w:rsidRPr="004E6CFC">
        <w:t>STR</w:t>
      </w:r>
      <w:r>
        <w:t> </w:t>
      </w:r>
      <w:r w:rsidRPr="004E6CFC">
        <w:rPr>
          <w:i/>
        </w:rPr>
        <w:t>R</w:t>
      </w:r>
      <w:r w:rsidRPr="004E6CFC">
        <w:t xml:space="preserve"> para el mes </w:t>
      </w:r>
      <w:r w:rsidRPr="004E6CFC">
        <w:rPr>
          <w:i/>
          <w:iCs/>
        </w:rPr>
        <w:t>m</w:t>
      </w:r>
      <w:r w:rsidRPr="004E6CFC">
        <w:t xml:space="preserve"> del año </w:t>
      </w:r>
      <w:r w:rsidRPr="004E6CFC">
        <w:rPr>
          <w:i/>
          <w:iCs/>
        </w:rPr>
        <w:t xml:space="preserve">t, </w:t>
      </w:r>
      <w:r w:rsidRPr="004E6CFC">
        <w:t>en $/kWh.</w:t>
      </w:r>
    </w:p>
    <w:p w:rsidR="00E9756B" w:rsidRPr="004E6CFC" w:rsidRDefault="00E9756B" w:rsidP="00E9756B">
      <w:pPr>
        <w:spacing w:before="120"/>
        <w:ind w:left="1418" w:hanging="1418"/>
      </w:pPr>
      <w:r w:rsidRPr="004E6CFC">
        <w:rPr>
          <w:i/>
          <w:iCs/>
          <w:sz w:val="23"/>
          <w:szCs w:val="23"/>
        </w:rPr>
        <w:t>CD</w:t>
      </w:r>
      <w:r w:rsidRPr="004E6CFC">
        <w:rPr>
          <w:i/>
          <w:iCs/>
          <w:sz w:val="16"/>
          <w:szCs w:val="16"/>
        </w:rPr>
        <w:t>4,R,m,t</w:t>
      </w:r>
      <w:r w:rsidRPr="004E6CFC">
        <w:rPr>
          <w:sz w:val="23"/>
          <w:szCs w:val="23"/>
        </w:rPr>
        <w:t xml:space="preserve">: </w:t>
      </w:r>
      <w:r w:rsidRPr="004E6CFC">
        <w:rPr>
          <w:sz w:val="23"/>
          <w:szCs w:val="23"/>
        </w:rPr>
        <w:tab/>
      </w:r>
      <w:r w:rsidRPr="004E6CFC">
        <w:t xml:space="preserve">Cargo del nivel de tensión 4 del STR </w:t>
      </w:r>
      <w:r w:rsidRPr="004E6CFC">
        <w:rPr>
          <w:i/>
        </w:rPr>
        <w:t>R</w:t>
      </w:r>
      <w:r w:rsidRPr="004E6CFC">
        <w:t xml:space="preserve">, en el mes </w:t>
      </w:r>
      <w:r w:rsidRPr="004E6CFC">
        <w:rPr>
          <w:i/>
        </w:rPr>
        <w:t>m</w:t>
      </w:r>
      <w:r w:rsidRPr="004E6CFC">
        <w:t xml:space="preserve"> del año </w:t>
      </w:r>
      <w:r w:rsidRPr="004E6CFC">
        <w:rPr>
          <w:i/>
        </w:rPr>
        <w:t>t</w:t>
      </w:r>
      <w:r w:rsidRPr="004E6CFC">
        <w:t xml:space="preserve">, en $/kWh, calculado según lo establecido en el numeral </w:t>
      </w:r>
      <w:r w:rsidRPr="004E6CFC">
        <w:fldChar w:fldCharType="begin"/>
      </w:r>
      <w:r w:rsidRPr="004E6CFC">
        <w:instrText xml:space="preserve"> REF _Ref444861631 \r \h  \* MERGEFORMAT </w:instrText>
      </w:r>
      <w:r w:rsidRPr="004E6CFC">
        <w:fldChar w:fldCharType="separate"/>
      </w:r>
      <w:r w:rsidR="00737178">
        <w:t>1.2.1</w:t>
      </w:r>
      <w:r w:rsidRPr="004E6CFC">
        <w:fldChar w:fldCharType="end"/>
      </w:r>
      <w:r w:rsidRPr="004E6CFC">
        <w:t>.</w:t>
      </w:r>
    </w:p>
    <w:p w:rsidR="00E9756B" w:rsidRDefault="00E9756B" w:rsidP="00E9756B">
      <w:pPr>
        <w:spacing w:before="120"/>
        <w:ind w:left="1418" w:hanging="1418"/>
        <w:rPr>
          <w:rFonts w:cs="Arial"/>
          <w:szCs w:val="20"/>
          <w:lang w:val="es-CO"/>
        </w:rPr>
      </w:pPr>
      <w:r w:rsidRPr="004E6CFC">
        <w:rPr>
          <w:i/>
        </w:rPr>
        <w:t>PR</w:t>
      </w:r>
      <w:r w:rsidRPr="004E6CFC">
        <w:rPr>
          <w:i/>
          <w:color w:val="000000" w:themeColor="text1"/>
          <w:vertAlign w:val="subscript"/>
        </w:rPr>
        <w:t>4,</w:t>
      </w:r>
      <w:r>
        <w:rPr>
          <w:i/>
          <w:color w:val="000000" w:themeColor="text1"/>
          <w:vertAlign w:val="subscript"/>
        </w:rPr>
        <w:t>R,m,t</w:t>
      </w:r>
      <w:r w:rsidRPr="004E6CFC">
        <w:rPr>
          <w:i/>
          <w:color w:val="000000" w:themeColor="text1"/>
        </w:rPr>
        <w:t>:</w:t>
      </w:r>
      <w:r w:rsidRPr="004E6CFC">
        <w:rPr>
          <w:i/>
        </w:rPr>
        <w:tab/>
      </w:r>
      <w:r w:rsidRPr="004E6CFC">
        <w:rPr>
          <w:rFonts w:cs="Arial"/>
          <w:szCs w:val="20"/>
          <w:lang w:val="es-CO"/>
        </w:rPr>
        <w:t xml:space="preserve">Factor para referir las medidas de energía del nivel de </w:t>
      </w:r>
      <w:r w:rsidRPr="004E6CFC">
        <w:rPr>
          <w:rFonts w:cs="Arial"/>
          <w:szCs w:val="20"/>
          <w:lang w:val="es-ES_tradnl"/>
        </w:rPr>
        <w:t>tensión 4</w:t>
      </w:r>
      <w:r>
        <w:rPr>
          <w:rFonts w:cs="Arial"/>
          <w:szCs w:val="20"/>
          <w:lang w:val="es-ES_tradnl"/>
        </w:rPr>
        <w:t>,</w:t>
      </w:r>
      <w:r w:rsidRPr="004E6CFC">
        <w:rPr>
          <w:rFonts w:cs="Arial"/>
          <w:szCs w:val="20"/>
          <w:lang w:val="es-CO"/>
        </w:rPr>
        <w:t xml:space="preserve"> del OR</w:t>
      </w:r>
      <w:r w:rsidRPr="00F24DB7">
        <w:rPr>
          <w:rFonts w:cs="Arial"/>
          <w:szCs w:val="20"/>
          <w:lang w:val="es-CO"/>
        </w:rPr>
        <w:t xml:space="preserve"> </w:t>
      </w:r>
      <w:r w:rsidRPr="00EB1B16">
        <w:rPr>
          <w:rFonts w:cs="Arial"/>
          <w:szCs w:val="20"/>
          <w:lang w:val="es-CO"/>
        </w:rPr>
        <w:t>que hace parte del STR</w:t>
      </w:r>
      <w:r>
        <w:rPr>
          <w:rFonts w:cs="Arial"/>
          <w:i/>
          <w:szCs w:val="20"/>
          <w:lang w:val="es-CO"/>
        </w:rPr>
        <w:t xml:space="preserve"> R,</w:t>
      </w:r>
      <w:r w:rsidRPr="004E6CFC">
        <w:rPr>
          <w:rFonts w:cs="Arial"/>
          <w:szCs w:val="20"/>
          <w:lang w:val="es-CO"/>
        </w:rPr>
        <w:t xml:space="preserve"> al STN en el </w:t>
      </w:r>
      <w:r>
        <w:rPr>
          <w:rFonts w:cs="Arial"/>
          <w:szCs w:val="20"/>
          <w:lang w:val="es-CO"/>
        </w:rPr>
        <w:t xml:space="preserve">mes </w:t>
      </w:r>
      <w:r w:rsidRPr="0025330E">
        <w:rPr>
          <w:rFonts w:cs="Arial"/>
          <w:i/>
          <w:szCs w:val="20"/>
          <w:lang w:val="es-CO"/>
        </w:rPr>
        <w:t>m</w:t>
      </w:r>
      <w:r>
        <w:rPr>
          <w:rFonts w:cs="Arial"/>
          <w:szCs w:val="20"/>
          <w:lang w:val="es-CO"/>
        </w:rPr>
        <w:t xml:space="preserve"> del </w:t>
      </w:r>
      <w:r w:rsidRPr="004E6CFC">
        <w:rPr>
          <w:rFonts w:cs="Arial"/>
          <w:szCs w:val="20"/>
          <w:lang w:val="es-CO"/>
        </w:rPr>
        <w:t xml:space="preserve">año </w:t>
      </w:r>
      <w:r w:rsidRPr="004E6CFC">
        <w:rPr>
          <w:rFonts w:cs="Arial"/>
          <w:i/>
          <w:szCs w:val="20"/>
          <w:lang w:val="es-CO"/>
        </w:rPr>
        <w:t>t</w:t>
      </w:r>
      <w:r w:rsidRPr="004E6CFC">
        <w:rPr>
          <w:rFonts w:cs="Arial"/>
          <w:szCs w:val="20"/>
          <w:lang w:val="es-CO"/>
        </w:rPr>
        <w:t xml:space="preserve">, </w:t>
      </w:r>
      <w:r w:rsidRPr="004E6CFC">
        <w:t xml:space="preserve">calculado </w:t>
      </w:r>
      <w:r>
        <w:t>como se muestra enseguida</w:t>
      </w:r>
      <w:r w:rsidRPr="004E6CFC">
        <w:rPr>
          <w:rFonts w:cs="Arial"/>
          <w:szCs w:val="20"/>
          <w:lang w:val="es-CO"/>
        </w:rPr>
        <w:t>.</w:t>
      </w:r>
    </w:p>
    <w:p w:rsidR="00E9756B" w:rsidRPr="00F24DB7" w:rsidRDefault="00C9592F" w:rsidP="00E9756B">
      <w:pPr>
        <w:spacing w:before="120"/>
        <w:rPr>
          <w:rFonts w:cs="Arial"/>
          <w:szCs w:val="20"/>
          <w:lang w:val="es-CO"/>
        </w:rPr>
      </w:pPr>
      <m:oMathPara>
        <m:oMath>
          <m:sSub>
            <m:sSubPr>
              <m:ctrlPr>
                <w:rPr>
                  <w:rFonts w:ascii="Cambria Math" w:hAnsi="Cambria Math" w:cs="Arial"/>
                  <w:i/>
                  <w:szCs w:val="20"/>
                  <w:lang w:val="es-CO"/>
                </w:rPr>
              </m:ctrlPr>
            </m:sSubPr>
            <m:e>
              <m:r>
                <w:rPr>
                  <w:rFonts w:ascii="Cambria Math" w:hAnsi="Cambria Math" w:cs="Arial"/>
                  <w:szCs w:val="20"/>
                  <w:lang w:val="es-CO"/>
                </w:rPr>
                <m:t>PR</m:t>
              </m:r>
            </m:e>
            <m:sub>
              <m:r>
                <w:rPr>
                  <w:rFonts w:ascii="Cambria Math" w:hAnsi="Cambria Math" w:cs="Arial"/>
                  <w:szCs w:val="20"/>
                  <w:lang w:val="es-CO"/>
                </w:rPr>
                <m:t>4,R,m,t</m:t>
              </m:r>
            </m:sub>
          </m:sSub>
          <m:r>
            <w:rPr>
              <w:rFonts w:ascii="Cambria Math" w:hAnsi="Cambria Math" w:cs="Arial"/>
              <w:szCs w:val="20"/>
              <w:lang w:val="es-CO"/>
            </w:rPr>
            <m:t>=</m:t>
          </m:r>
          <m:sSub>
            <m:sSubPr>
              <m:ctrlPr>
                <w:rPr>
                  <w:rFonts w:ascii="Cambria Math" w:hAnsi="Cambria Math" w:cs="Arial"/>
                  <w:i/>
                  <w:szCs w:val="20"/>
                  <w:lang w:val="es-CO"/>
                </w:rPr>
              </m:ctrlPr>
            </m:sSubPr>
            <m:e>
              <m:r>
                <w:rPr>
                  <w:rFonts w:ascii="Cambria Math" w:hAnsi="Cambria Math" w:cs="Arial"/>
                  <w:szCs w:val="20"/>
                  <w:lang w:val="es-CO"/>
                </w:rPr>
                <m:t>P</m:t>
              </m:r>
            </m:e>
            <m:sub>
              <m:r>
                <w:rPr>
                  <w:rFonts w:ascii="Cambria Math" w:hAnsi="Cambria Math" w:cs="Arial"/>
                  <w:szCs w:val="20"/>
                  <w:lang w:val="es-CO"/>
                </w:rPr>
                <m:t>4,R,m,t</m:t>
              </m:r>
            </m:sub>
          </m:sSub>
        </m:oMath>
      </m:oMathPara>
    </w:p>
    <w:p w:rsidR="00E9756B" w:rsidRDefault="00C9592F" w:rsidP="00E9756B">
      <w:pPr>
        <w:spacing w:before="120"/>
        <w:rPr>
          <w:rFonts w:cs="Arial"/>
          <w:szCs w:val="20"/>
          <w:lang w:val="es-CO"/>
        </w:rPr>
      </w:pPr>
      <m:oMathPara>
        <m:oMath>
          <m:sSub>
            <m:sSubPr>
              <m:ctrlPr>
                <w:rPr>
                  <w:rFonts w:ascii="Cambria Math" w:hAnsi="Cambria Math" w:cs="Arial"/>
                  <w:i/>
                  <w:szCs w:val="20"/>
                  <w:lang w:val="es-CO"/>
                </w:rPr>
              </m:ctrlPr>
            </m:sSubPr>
            <m:e>
              <m:r>
                <w:rPr>
                  <w:rFonts w:ascii="Cambria Math" w:hAnsi="Cambria Math" w:cs="Arial"/>
                  <w:szCs w:val="20"/>
                  <w:lang w:val="es-CO"/>
                </w:rPr>
                <m:t>P</m:t>
              </m:r>
            </m:e>
            <m:sub>
              <m:r>
                <w:rPr>
                  <w:rFonts w:ascii="Cambria Math" w:hAnsi="Cambria Math" w:cs="Arial"/>
                  <w:szCs w:val="20"/>
                  <w:lang w:val="es-CO"/>
                </w:rPr>
                <m:t>4,R,m,t</m:t>
              </m:r>
            </m:sub>
          </m:sSub>
          <m:r>
            <w:rPr>
              <w:rFonts w:ascii="Cambria Math" w:hAnsi="Cambria Math" w:cs="Arial"/>
              <w:szCs w:val="20"/>
              <w:lang w:val="es-CO"/>
            </w:rPr>
            <m:t>=1-</m:t>
          </m:r>
          <m:f>
            <m:fPr>
              <m:ctrlPr>
                <w:rPr>
                  <w:rFonts w:ascii="Cambria Math" w:hAnsi="Cambria Math" w:cs="Arial"/>
                  <w:i/>
                  <w:szCs w:val="20"/>
                  <w:lang w:val="es-CO"/>
                </w:rPr>
              </m:ctrlPr>
            </m:fPr>
            <m:num>
              <m:nary>
                <m:naryPr>
                  <m:chr m:val="∑"/>
                  <m:limLoc m:val="undOvr"/>
                  <m:ctrlPr>
                    <w:rPr>
                      <w:rFonts w:ascii="Cambria Math" w:hAnsi="Cambria Math" w:cs="Arial"/>
                      <w:i/>
                      <w:szCs w:val="20"/>
                      <w:lang w:val="es-CO"/>
                    </w:rPr>
                  </m:ctrlPr>
                </m:naryPr>
                <m:sub>
                  <m:r>
                    <w:rPr>
                      <w:rFonts w:ascii="Cambria Math" w:hAnsi="Cambria Math" w:cs="Arial"/>
                      <w:szCs w:val="20"/>
                      <w:lang w:val="es-CO"/>
                    </w:rPr>
                    <m:t>j=1</m:t>
                  </m:r>
                </m:sub>
                <m:sup>
                  <m:sSub>
                    <m:sSubPr>
                      <m:ctrlPr>
                        <w:rPr>
                          <w:rFonts w:ascii="Cambria Math" w:hAnsi="Cambria Math" w:cs="Arial"/>
                          <w:i/>
                          <w:szCs w:val="20"/>
                          <w:lang w:val="es-CO"/>
                        </w:rPr>
                      </m:ctrlPr>
                    </m:sSubPr>
                    <m:e>
                      <m:r>
                        <w:rPr>
                          <w:rFonts w:ascii="Cambria Math" w:hAnsi="Cambria Math" w:cs="Arial"/>
                          <w:szCs w:val="20"/>
                          <w:lang w:val="es-CO"/>
                        </w:rPr>
                        <m:t>JR</m:t>
                      </m:r>
                    </m:e>
                    <m:sub/>
                  </m:sSub>
                </m:sup>
                <m:e>
                  <m:sSub>
                    <m:sSubPr>
                      <m:ctrlPr>
                        <w:rPr>
                          <w:rFonts w:ascii="Cambria Math" w:hAnsi="Cambria Math"/>
                          <w:i/>
                        </w:rPr>
                      </m:ctrlPr>
                    </m:sSubPr>
                    <m:e>
                      <m:r>
                        <w:rPr>
                          <w:rFonts w:ascii="Cambria Math" w:hAnsi="Cambria Math"/>
                        </w:rPr>
                        <m:t>IMSC</m:t>
                      </m:r>
                    </m:e>
                    <m:sub>
                      <m:r>
                        <w:rPr>
                          <w:rFonts w:ascii="Cambria Math" w:hAnsi="Cambria Math"/>
                        </w:rPr>
                        <m:t>j</m:t>
                      </m:r>
                      <m:r>
                        <w:rPr>
                          <w:rFonts w:ascii="Cambria Math"/>
                        </w:rPr>
                        <m:t>,4,</m:t>
                      </m:r>
                      <m:r>
                        <w:rPr>
                          <w:rFonts w:ascii="Cambria Math" w:hAnsi="Cambria Math"/>
                        </w:rPr>
                        <m:t>R</m:t>
                      </m:r>
                      <m:r>
                        <w:rPr>
                          <w:rFonts w:ascii="Cambria Math"/>
                        </w:rPr>
                        <m:t>,</m:t>
                      </m:r>
                      <m:r>
                        <w:rPr>
                          <w:rFonts w:ascii="Cambria Math" w:hAnsi="Cambria Math"/>
                        </w:rPr>
                        <m:t>m,t</m:t>
                      </m:r>
                    </m:sub>
                  </m:sSub>
                </m:e>
              </m:nary>
            </m:num>
            <m:den>
              <m:nary>
                <m:naryPr>
                  <m:chr m:val="∑"/>
                  <m:limLoc m:val="undOvr"/>
                  <m:ctrlPr>
                    <w:rPr>
                      <w:rFonts w:ascii="Cambria Math" w:hAnsi="Cambria Math" w:cs="Arial"/>
                      <w:i/>
                      <w:szCs w:val="20"/>
                      <w:lang w:val="es-CO"/>
                    </w:rPr>
                  </m:ctrlPr>
                </m:naryPr>
                <m:sub>
                  <m:r>
                    <w:rPr>
                      <w:rFonts w:ascii="Cambria Math" w:hAnsi="Cambria Math" w:cs="Arial"/>
                      <w:szCs w:val="20"/>
                      <w:lang w:val="es-CO"/>
                    </w:rPr>
                    <m:t>j=1</m:t>
                  </m:r>
                </m:sub>
                <m:sup>
                  <m:sSub>
                    <m:sSubPr>
                      <m:ctrlPr>
                        <w:rPr>
                          <w:rFonts w:ascii="Cambria Math" w:hAnsi="Cambria Math" w:cs="Arial"/>
                          <w:i/>
                          <w:szCs w:val="20"/>
                          <w:lang w:val="es-CO"/>
                        </w:rPr>
                      </m:ctrlPr>
                    </m:sSubPr>
                    <m:e>
                      <m:r>
                        <w:rPr>
                          <w:rFonts w:ascii="Cambria Math" w:hAnsi="Cambria Math" w:cs="Arial"/>
                          <w:szCs w:val="20"/>
                          <w:lang w:val="es-CO"/>
                        </w:rPr>
                        <m:t>JR</m:t>
                      </m:r>
                    </m:e>
                    <m:sub/>
                  </m:sSub>
                </m:sup>
                <m:e>
                  <m:sSub>
                    <m:sSubPr>
                      <m:ctrlPr>
                        <w:rPr>
                          <w:rFonts w:ascii="Cambria Math" w:hAnsi="Cambria Math"/>
                          <w:i/>
                        </w:rPr>
                      </m:ctrlPr>
                    </m:sSubPr>
                    <m:e>
                      <m:r>
                        <w:rPr>
                          <w:rFonts w:ascii="Cambria Math" w:hAnsi="Cambria Math"/>
                        </w:rPr>
                        <m:t>IMSC</m:t>
                      </m:r>
                    </m:e>
                    <m:sub>
                      <m:r>
                        <w:rPr>
                          <w:rFonts w:ascii="Cambria Math" w:hAnsi="Cambria Math"/>
                        </w:rPr>
                        <m:t>j</m:t>
                      </m:r>
                      <m:r>
                        <w:rPr>
                          <w:rFonts w:ascii="Cambria Math"/>
                        </w:rPr>
                        <m:t>,4,</m:t>
                      </m:r>
                      <m:r>
                        <w:rPr>
                          <w:rFonts w:ascii="Cambria Math" w:hAnsi="Cambria Math"/>
                        </w:rPr>
                        <m:t>R</m:t>
                      </m:r>
                      <m:r>
                        <w:rPr>
                          <w:rFonts w:ascii="Cambria Math"/>
                        </w:rPr>
                        <m:t>,</m:t>
                      </m:r>
                      <m:r>
                        <w:rPr>
                          <w:rFonts w:ascii="Cambria Math" w:hAnsi="Cambria Math"/>
                        </w:rPr>
                        <m:t>m,t</m:t>
                      </m:r>
                    </m:sub>
                  </m:sSub>
                  <m:r>
                    <w:rPr>
                      <w:rFonts w:ascii="Cambria Math" w:hAnsi="Cambria Math"/>
                    </w:rPr>
                    <m:t>*</m:t>
                  </m:r>
                  <m:sSup>
                    <m:sSupPr>
                      <m:ctrlPr>
                        <w:rPr>
                          <w:rFonts w:ascii="Cambria Math" w:hAnsi="Cambria Math"/>
                          <w:i/>
                        </w:rPr>
                      </m:ctrlPr>
                    </m:sSupPr>
                    <m:e>
                      <m:d>
                        <m:dPr>
                          <m:ctrlPr>
                            <w:rPr>
                              <w:rFonts w:ascii="Cambria Math" w:hAnsi="Cambria Math"/>
                              <w:i/>
                            </w:rPr>
                          </m:ctrlPr>
                        </m:dPr>
                        <m:e>
                          <m:r>
                            <w:rPr>
                              <w:rFonts w:ascii="Cambria Math" w:hAnsi="Cambria Math"/>
                            </w:rPr>
                            <m:t>1-</m:t>
                          </m:r>
                          <m:sSub>
                            <m:sSubPr>
                              <m:ctrlPr>
                                <w:rPr>
                                  <w:rFonts w:ascii="Cambria Math" w:hAnsi="Cambria Math"/>
                                  <w:i/>
                                </w:rPr>
                              </m:ctrlPr>
                            </m:sSubPr>
                            <m:e>
                              <m:r>
                                <w:rPr>
                                  <w:rFonts w:ascii="Cambria Math" w:hAnsi="Cambria Math"/>
                                </w:rPr>
                                <m:t>P</m:t>
                              </m:r>
                            </m:e>
                            <m:sub>
                              <m:r>
                                <w:rPr>
                                  <w:rFonts w:ascii="Cambria Math" w:hAnsi="Cambria Math"/>
                                </w:rPr>
                                <m:t>4,j,m,t</m:t>
                              </m:r>
                            </m:sub>
                          </m:sSub>
                        </m:e>
                      </m:d>
                    </m:e>
                    <m:sup>
                      <m:r>
                        <w:rPr>
                          <w:rFonts w:ascii="Cambria Math" w:hAnsi="Cambria Math"/>
                        </w:rPr>
                        <m:t>-1</m:t>
                      </m:r>
                    </m:sup>
                  </m:sSup>
                </m:e>
              </m:nary>
            </m:den>
          </m:f>
        </m:oMath>
      </m:oMathPara>
    </w:p>
    <w:p w:rsidR="00E9756B" w:rsidRPr="004E6CFC" w:rsidRDefault="00E9756B" w:rsidP="00E9756B">
      <w:pPr>
        <w:spacing w:before="120"/>
      </w:pPr>
      <w:r w:rsidRPr="004E6CFC">
        <w:t>Donde:</w:t>
      </w:r>
    </w:p>
    <w:p w:rsidR="00E9756B" w:rsidRPr="004E6CFC" w:rsidRDefault="00E9756B" w:rsidP="00E9756B">
      <w:pPr>
        <w:ind w:left="1410" w:hanging="1410"/>
      </w:pPr>
      <w:r>
        <w:rPr>
          <w:i/>
          <w:iCs/>
        </w:rPr>
        <w:t>P</w:t>
      </w:r>
      <w:r w:rsidRPr="004E6CFC">
        <w:rPr>
          <w:i/>
          <w:iCs/>
          <w:vertAlign w:val="subscript"/>
        </w:rPr>
        <w:t>4,R,m,t</w:t>
      </w:r>
      <w:r w:rsidRPr="004E6CFC">
        <w:t>:</w:t>
      </w:r>
      <w:r w:rsidRPr="004E6CFC">
        <w:tab/>
      </w:r>
      <w:r>
        <w:t xml:space="preserve">Factor de pérdidas ponderado del nivel de tensión 4, para los OR que hacen parte del </w:t>
      </w:r>
      <w:r w:rsidRPr="00F46F2A">
        <w:t>STR</w:t>
      </w:r>
      <w:r>
        <w:t> </w:t>
      </w:r>
      <w:r w:rsidRPr="004E6CFC">
        <w:rPr>
          <w:i/>
          <w:iCs/>
        </w:rPr>
        <w:t>R</w:t>
      </w:r>
      <w:r>
        <w:t xml:space="preserve">, </w:t>
      </w:r>
      <w:r w:rsidRPr="004E6CFC">
        <w:t xml:space="preserve">en el mes </w:t>
      </w:r>
      <w:r w:rsidRPr="004E6CFC">
        <w:rPr>
          <w:i/>
        </w:rPr>
        <w:t>m</w:t>
      </w:r>
      <w:r w:rsidRPr="004E6CFC">
        <w:t xml:space="preserve"> del año </w:t>
      </w:r>
      <w:r w:rsidRPr="004E6CFC">
        <w:rPr>
          <w:i/>
        </w:rPr>
        <w:t>t</w:t>
      </w:r>
      <w:r w:rsidRPr="004E6CFC">
        <w:t>.</w:t>
      </w:r>
    </w:p>
    <w:p w:rsidR="00E9756B" w:rsidRPr="00DA7FDA" w:rsidRDefault="00E9756B" w:rsidP="00E9756B">
      <w:pPr>
        <w:ind w:left="1410" w:hanging="1410"/>
      </w:pPr>
      <w:r>
        <w:rPr>
          <w:i/>
          <w:iCs/>
        </w:rPr>
        <w:t>IMSC</w:t>
      </w:r>
      <w:r w:rsidRPr="004E6CFC">
        <w:rPr>
          <w:i/>
          <w:iCs/>
          <w:vertAlign w:val="subscript"/>
        </w:rPr>
        <w:t>j,4,R,m,t</w:t>
      </w:r>
      <w:r w:rsidRPr="004E6CFC">
        <w:t>:</w:t>
      </w:r>
      <w:r w:rsidRPr="004E6CFC">
        <w:tab/>
        <w:t xml:space="preserve">Ingreso mensual del OR </w:t>
      </w:r>
      <w:r w:rsidRPr="004E6CFC">
        <w:rPr>
          <w:i/>
          <w:iCs/>
        </w:rPr>
        <w:t>j,</w:t>
      </w:r>
      <w:r w:rsidRPr="004E6CFC">
        <w:rPr>
          <w:iCs/>
        </w:rPr>
        <w:t xml:space="preserve"> en el </w:t>
      </w:r>
      <w:r w:rsidRPr="004E6CFC">
        <w:t>nivel de tensión 4</w:t>
      </w:r>
      <w:r w:rsidRPr="004E6CFC">
        <w:rPr>
          <w:iCs/>
        </w:rPr>
        <w:t>,</w:t>
      </w:r>
      <w:r w:rsidRPr="004E6CFC">
        <w:t xml:space="preserve"> en el mes </w:t>
      </w:r>
      <w:r w:rsidRPr="004E6CFC">
        <w:rPr>
          <w:i/>
        </w:rPr>
        <w:t>m</w:t>
      </w:r>
      <w:r w:rsidRPr="004E6CFC">
        <w:t xml:space="preserve"> del año </w:t>
      </w:r>
      <w:r w:rsidRPr="004E6CFC">
        <w:rPr>
          <w:i/>
        </w:rPr>
        <w:t>t</w:t>
      </w:r>
      <w:r w:rsidRPr="004E6CFC">
        <w:t>,</w:t>
      </w:r>
      <w:r>
        <w:t xml:space="preserve"> sin incluir los ingresos de las convocatorias construidas</w:t>
      </w:r>
      <w:r w:rsidRPr="004E6CFC">
        <w:t xml:space="preserve"> en </w:t>
      </w:r>
      <w:r>
        <w:t xml:space="preserve">un mercado de </w:t>
      </w:r>
      <w:r w:rsidRPr="00DA7FDA">
        <w:t xml:space="preserve">comercialización diferente al propio, calculado según lo establecido en el numeral </w:t>
      </w:r>
      <w:r w:rsidRPr="00DA7FDA">
        <w:fldChar w:fldCharType="begin"/>
      </w:r>
      <w:r w:rsidRPr="00DA7FDA">
        <w:instrText xml:space="preserve"> REF _Ref440377350 \r \h  \* MERGEFORMAT </w:instrText>
      </w:r>
      <w:r w:rsidRPr="00DA7FDA">
        <w:fldChar w:fldCharType="separate"/>
      </w:r>
      <w:r w:rsidR="00737178">
        <w:t>2.1</w:t>
      </w:r>
      <w:r w:rsidRPr="00DA7FDA">
        <w:fldChar w:fldCharType="end"/>
      </w:r>
      <w:r w:rsidRPr="00DA7FDA">
        <w:t>.</w:t>
      </w:r>
    </w:p>
    <w:p w:rsidR="00E9756B" w:rsidRPr="004E6CFC" w:rsidRDefault="00E9756B" w:rsidP="00E9756B">
      <w:pPr>
        <w:ind w:left="1410" w:hanging="1410"/>
      </w:pPr>
      <w:r w:rsidRPr="00DA7FDA">
        <w:rPr>
          <w:i/>
          <w:iCs/>
        </w:rPr>
        <w:t>P</w:t>
      </w:r>
      <w:r w:rsidRPr="00DA7FDA">
        <w:rPr>
          <w:i/>
          <w:iCs/>
          <w:vertAlign w:val="subscript"/>
        </w:rPr>
        <w:t>4,j,m,t</w:t>
      </w:r>
      <w:r w:rsidRPr="00DA7FDA">
        <w:t>:</w:t>
      </w:r>
      <w:r w:rsidRPr="00DA7FDA">
        <w:tab/>
        <w:t xml:space="preserve">Factor de pérdidas del nivel de tensión 4 del OR </w:t>
      </w:r>
      <w:r w:rsidRPr="00DA7FDA">
        <w:rPr>
          <w:i/>
        </w:rPr>
        <w:t>j</w:t>
      </w:r>
      <w:r w:rsidRPr="00DA7FDA">
        <w:t>, que hace parte del STR </w:t>
      </w:r>
      <w:r w:rsidRPr="00DA7FDA">
        <w:rPr>
          <w:i/>
          <w:iCs/>
        </w:rPr>
        <w:t>R</w:t>
      </w:r>
      <w:r w:rsidRPr="00DA7FDA">
        <w:t xml:space="preserve">, en el mes </w:t>
      </w:r>
      <w:r w:rsidRPr="00DA7FDA">
        <w:rPr>
          <w:i/>
        </w:rPr>
        <w:t>m</w:t>
      </w:r>
      <w:r w:rsidRPr="00DA7FDA">
        <w:t xml:space="preserve"> del año </w:t>
      </w:r>
      <w:r w:rsidRPr="00DA7FDA">
        <w:rPr>
          <w:i/>
        </w:rPr>
        <w:t>t</w:t>
      </w:r>
      <w:r w:rsidRPr="00DA7FDA">
        <w:t>, calculado de acuerdo con lo previsto en el numeral</w:t>
      </w:r>
      <w:r w:rsidR="00DA7FDA" w:rsidRPr="00DA7FDA">
        <w:t xml:space="preserve"> </w:t>
      </w:r>
      <w:r w:rsidR="00DA7FDA" w:rsidRPr="00DA7FDA">
        <w:fldChar w:fldCharType="begin"/>
      </w:r>
      <w:r w:rsidR="00DA7FDA" w:rsidRPr="00DA7FDA">
        <w:instrText xml:space="preserve"> REF _Ref505174398 \r \h </w:instrText>
      </w:r>
      <w:r w:rsidR="00DA7FDA">
        <w:instrText xml:space="preserve"> \* MERGEFORMAT </w:instrText>
      </w:r>
      <w:r w:rsidR="00DA7FDA" w:rsidRPr="00DA7FDA">
        <w:fldChar w:fldCharType="separate"/>
      </w:r>
      <w:r w:rsidR="00737178">
        <w:t>7.1.2.1</w:t>
      </w:r>
      <w:r w:rsidR="00DA7FDA" w:rsidRPr="00DA7FDA">
        <w:fldChar w:fldCharType="end"/>
      </w:r>
      <w:r w:rsidR="00DA7FDA" w:rsidRPr="00DA7FDA">
        <w:t>.</w:t>
      </w:r>
    </w:p>
    <w:p w:rsidR="00E9756B" w:rsidRPr="00EB1B16" w:rsidRDefault="00E9756B" w:rsidP="00E9756B">
      <w:pPr>
        <w:ind w:left="1410" w:hanging="1410"/>
      </w:pPr>
      <w:r>
        <w:rPr>
          <w:i/>
        </w:rPr>
        <w:t>JR</w:t>
      </w:r>
      <w:r w:rsidRPr="004E6CFC">
        <w:rPr>
          <w:i/>
        </w:rPr>
        <w:t>:</w:t>
      </w:r>
      <w:r w:rsidRPr="004E6CFC">
        <w:rPr>
          <w:i/>
        </w:rPr>
        <w:tab/>
      </w:r>
      <w:r w:rsidRPr="004E6CFC">
        <w:t>Número de</w:t>
      </w:r>
      <w:r w:rsidRPr="004E6CFC">
        <w:rPr>
          <w:i/>
        </w:rPr>
        <w:t xml:space="preserve"> </w:t>
      </w:r>
      <w:r w:rsidRPr="004E6CFC">
        <w:t>O</w:t>
      </w:r>
      <w:r w:rsidRPr="000A7F6B">
        <w:t xml:space="preserve">R </w:t>
      </w:r>
      <w:r w:rsidRPr="00EB1B16">
        <w:t xml:space="preserve">con mercados de comercialización </w:t>
      </w:r>
      <w:r w:rsidRPr="004E6CFC">
        <w:t xml:space="preserve">en el STR </w:t>
      </w:r>
      <w:r w:rsidRPr="004E6CFC">
        <w:rPr>
          <w:i/>
        </w:rPr>
        <w:t>R.</w:t>
      </w:r>
      <w:r w:rsidRPr="004E6CFC">
        <w:t xml:space="preserve">  </w:t>
      </w:r>
    </w:p>
    <w:p w:rsidR="00E9756B" w:rsidRPr="004E6CFC" w:rsidRDefault="00E9756B" w:rsidP="00E9756B">
      <w:pPr>
        <w:pStyle w:val="Ttulo3"/>
      </w:pPr>
      <w:bookmarkStart w:id="44" w:name="_Toc408493119"/>
      <w:bookmarkStart w:id="45" w:name="_Ref439921318"/>
      <w:bookmarkStart w:id="46" w:name="_Toc476824107"/>
      <w:bookmarkStart w:id="47" w:name="_Toc505335886"/>
      <w:r w:rsidRPr="004E6CFC">
        <w:t>Cargos por uso de nivel de tensión 3</w:t>
      </w:r>
      <w:bookmarkEnd w:id="44"/>
      <w:bookmarkEnd w:id="45"/>
      <w:bookmarkEnd w:id="46"/>
      <w:bookmarkEnd w:id="47"/>
    </w:p>
    <w:p w:rsidR="00E9756B" w:rsidRPr="004E6CFC" w:rsidRDefault="00E9756B" w:rsidP="00E9756B">
      <w:r w:rsidRPr="004E6CFC">
        <w:t>Para cada uno de los OR, el LAC calculará los cargos por uso de nivel de tensión 3 de la siguiente manera:</w:t>
      </w:r>
    </w:p>
    <w:p w:rsidR="00E9756B" w:rsidRPr="004E6CFC" w:rsidRDefault="00C9592F" w:rsidP="00E9756B">
      <w:pPr>
        <w:jc w:val="center"/>
        <w:rPr>
          <w:position w:val="-32"/>
        </w:rPr>
      </w:pPr>
      <m:oMathPara>
        <m:oMath>
          <m:sSub>
            <m:sSubPr>
              <m:ctrlPr>
                <w:rPr>
                  <w:rFonts w:ascii="Cambria Math" w:hAnsi="Cambria Math"/>
                  <w:i/>
                </w:rPr>
              </m:ctrlPr>
            </m:sSubPr>
            <m:e>
              <m:r>
                <w:rPr>
                  <w:rFonts w:ascii="Cambria Math" w:hAnsi="Cambria Math"/>
                </w:rPr>
                <m:t>Dt</m:t>
              </m:r>
            </m:e>
            <m:sub>
              <m:r>
                <w:rPr>
                  <w:rFonts w:ascii="Cambria Math" w:hAnsi="Cambria Math"/>
                </w:rPr>
                <m:t>3,j,m</m:t>
              </m:r>
              <m:r>
                <w:rPr>
                  <w:rFonts w:ascii="Cambria Math"/>
                </w:rPr>
                <m:t>,</m:t>
              </m:r>
              <m:r>
                <w:rPr>
                  <w:rFonts w:ascii="Cambria Math" w:hAnsi="Cambria Math"/>
                </w:rPr>
                <m:t>t</m:t>
              </m:r>
            </m:sub>
          </m:sSub>
          <m:r>
            <w:rPr>
              <w:rFonts w:ascii="Cambria Math"/>
            </w:rPr>
            <m:t>=</m:t>
          </m:r>
          <m:sSub>
            <m:sSubPr>
              <m:ctrlPr>
                <w:rPr>
                  <w:rFonts w:ascii="Cambria Math" w:hAnsi="Cambria Math"/>
                  <w:i/>
                </w:rPr>
              </m:ctrlPr>
            </m:sSubPr>
            <m:e>
              <m:f>
                <m:fPr>
                  <m:ctrlPr>
                    <w:rPr>
                      <w:rFonts w:ascii="Cambria Math" w:hAnsi="Cambria Math"/>
                      <w:i/>
                    </w:rPr>
                  </m:ctrlPr>
                </m:fPr>
                <m:num>
                  <m:sSub>
                    <m:sSubPr>
                      <m:ctrlPr>
                        <w:rPr>
                          <w:rFonts w:ascii="Cambria Math" w:hAnsi="Cambria Math"/>
                          <w:i/>
                        </w:rPr>
                      </m:ctrlPr>
                    </m:sSubPr>
                    <m:e>
                      <m:r>
                        <w:rPr>
                          <w:rFonts w:ascii="Cambria Math" w:hAnsi="Cambria Math"/>
                        </w:rPr>
                        <m:t>CD</m:t>
                      </m:r>
                    </m:e>
                    <m:sub>
                      <m:r>
                        <w:rPr>
                          <w:rFonts w:ascii="Cambria Math" w:hAnsi="Cambria Math"/>
                        </w:rPr>
                        <m:t>4</m:t>
                      </m:r>
                      <m:r>
                        <w:rPr>
                          <w:rFonts w:ascii="Cambria Math"/>
                        </w:rPr>
                        <m:t>,</m:t>
                      </m:r>
                      <m:r>
                        <w:rPr>
                          <w:rFonts w:ascii="Cambria Math" w:hAnsi="Cambria Math"/>
                        </w:rPr>
                        <m:t>R</m:t>
                      </m:r>
                      <m:r>
                        <w:rPr>
                          <w:rFonts w:ascii="Cambria Math"/>
                        </w:rPr>
                        <m:t>,</m:t>
                      </m:r>
                      <m:r>
                        <w:rPr>
                          <w:rFonts w:ascii="Cambria Math" w:hAnsi="Cambria Math"/>
                        </w:rPr>
                        <m:t>m,t</m:t>
                      </m:r>
                    </m:sub>
                  </m:sSub>
                </m:num>
                <m:den>
                  <m:r>
                    <w:rPr>
                      <w:rFonts w:ascii="Cambria Math"/>
                    </w:rPr>
                    <m:t>1</m:t>
                  </m:r>
                  <m:r>
                    <w:rPr>
                      <w:rFonts w:ascii="Cambria Math"/>
                    </w:rPr>
                    <m:t>-</m:t>
                  </m:r>
                  <m:sSub>
                    <m:sSubPr>
                      <m:ctrlPr>
                        <w:rPr>
                          <w:rFonts w:ascii="Cambria Math" w:hAnsi="Cambria Math"/>
                          <w:i/>
                        </w:rPr>
                      </m:ctrlPr>
                    </m:sSubPr>
                    <m:e>
                      <m:r>
                        <w:rPr>
                          <w:rFonts w:ascii="Cambria Math" w:hAnsi="Cambria Math"/>
                        </w:rPr>
                        <m:t>PR</m:t>
                      </m:r>
                    </m:e>
                    <m:sub>
                      <m:r>
                        <w:rPr>
                          <w:rFonts w:ascii="Cambria Math" w:hAnsi="Cambria Math"/>
                        </w:rPr>
                        <m:t>3,j,m,t</m:t>
                      </m:r>
                    </m:sub>
                  </m:sSub>
                </m:den>
              </m:f>
              <m:r>
                <w:rPr>
                  <w:rFonts w:ascii="Cambria Math" w:hAnsi="Cambria Math"/>
                </w:rPr>
                <m:t>+CD</m:t>
              </m:r>
            </m:e>
            <m:sub>
              <m:r>
                <w:rPr>
                  <w:rFonts w:ascii="Cambria Math" w:hAnsi="Cambria Math"/>
                </w:rPr>
                <m:t>3</m:t>
              </m:r>
              <m:r>
                <w:rPr>
                  <w:rFonts w:ascii="Cambria Math"/>
                </w:rPr>
                <m:t>,</m:t>
              </m:r>
              <m:r>
                <w:rPr>
                  <w:rFonts w:ascii="Cambria Math" w:hAnsi="Cambria Math"/>
                </w:rPr>
                <m:t>j</m:t>
              </m:r>
              <m:r>
                <w:rPr>
                  <w:rFonts w:ascii="Cambria Math"/>
                </w:rPr>
                <m:t>,</m:t>
              </m:r>
              <m:r>
                <w:rPr>
                  <w:rFonts w:ascii="Cambria Math" w:hAnsi="Cambria Math"/>
                </w:rPr>
                <m:t>m,t</m:t>
              </m:r>
            </m:sub>
          </m:sSub>
          <m:r>
            <w:rPr>
              <w:rFonts w:ascii="Cambria Math" w:hAnsi="Cambria Math"/>
            </w:rPr>
            <m:t>+</m:t>
          </m:r>
          <m:sSub>
            <m:sSubPr>
              <m:ctrlPr>
                <w:rPr>
                  <w:rFonts w:ascii="Cambria Math" w:hAnsi="Cambria Math"/>
                  <w:i/>
                </w:rPr>
              </m:ctrlPr>
            </m:sSubPr>
            <m:e>
              <m:r>
                <w:rPr>
                  <w:rFonts w:ascii="Cambria Math" w:hAnsi="Cambria Math"/>
                </w:rPr>
                <m:t>Dtcs</m:t>
              </m:r>
            </m:e>
            <m:sub>
              <m:r>
                <w:rPr>
                  <w:rFonts w:ascii="Cambria Math" w:hAnsi="Cambria Math"/>
                </w:rPr>
                <m:t>3,j,m,t</m:t>
              </m:r>
            </m:sub>
          </m:sSub>
        </m:oMath>
      </m:oMathPara>
    </w:p>
    <w:p w:rsidR="00E9756B" w:rsidRPr="004E6CFC" w:rsidRDefault="00E9756B" w:rsidP="00E9756B">
      <w:r w:rsidRPr="004E6CFC">
        <w:t>Donde:</w:t>
      </w:r>
    </w:p>
    <w:p w:rsidR="00E9756B" w:rsidRPr="004E6CFC" w:rsidRDefault="00E9756B" w:rsidP="00E9756B">
      <w:pPr>
        <w:spacing w:before="120"/>
        <w:ind w:left="1418" w:hanging="1418"/>
      </w:pPr>
      <w:r w:rsidRPr="004E6CFC">
        <w:rPr>
          <w:i/>
          <w:iCs/>
        </w:rPr>
        <w:t>Dt</w:t>
      </w:r>
      <w:r w:rsidRPr="004E6CFC">
        <w:rPr>
          <w:i/>
          <w:iCs/>
          <w:vertAlign w:val="subscript"/>
        </w:rPr>
        <w:t>3,j,m,t</w:t>
      </w:r>
      <w:r w:rsidRPr="004E6CFC">
        <w:t>:</w:t>
      </w:r>
      <w:r w:rsidRPr="004E6CFC">
        <w:tab/>
        <w:t xml:space="preserve">Cargo por uso del nivel de tensión 3 del OR </w:t>
      </w:r>
      <w:r w:rsidRPr="004E6CFC">
        <w:rPr>
          <w:i/>
        </w:rPr>
        <w:t>j</w:t>
      </w:r>
      <w:r w:rsidRPr="004E6CFC">
        <w:t xml:space="preserve"> para el mes </w:t>
      </w:r>
      <w:r w:rsidRPr="004E6CFC">
        <w:rPr>
          <w:i/>
          <w:iCs/>
        </w:rPr>
        <w:t>m</w:t>
      </w:r>
      <w:r w:rsidRPr="004E6CFC">
        <w:t xml:space="preserve"> del año </w:t>
      </w:r>
      <w:r w:rsidRPr="004E6CFC">
        <w:rPr>
          <w:i/>
          <w:iCs/>
        </w:rPr>
        <w:t xml:space="preserve">t, </w:t>
      </w:r>
      <w:r w:rsidRPr="004E6CFC">
        <w:rPr>
          <w:iCs/>
        </w:rPr>
        <w:t>en</w:t>
      </w:r>
      <w:r w:rsidRPr="004E6CFC">
        <w:rPr>
          <w:i/>
          <w:iCs/>
        </w:rPr>
        <w:t xml:space="preserve"> </w:t>
      </w:r>
      <w:r w:rsidRPr="004E6CFC">
        <w:t>$/kWh.</w:t>
      </w:r>
    </w:p>
    <w:p w:rsidR="00E9756B" w:rsidRPr="004E6CFC" w:rsidRDefault="00E9756B" w:rsidP="00E9756B">
      <w:pPr>
        <w:spacing w:before="120"/>
        <w:ind w:left="1418" w:hanging="1418"/>
      </w:pPr>
      <w:r w:rsidRPr="004E6CFC">
        <w:rPr>
          <w:i/>
          <w:iCs/>
          <w:sz w:val="23"/>
          <w:szCs w:val="23"/>
        </w:rPr>
        <w:t>CD</w:t>
      </w:r>
      <w:r w:rsidRPr="004E6CFC">
        <w:rPr>
          <w:i/>
          <w:iCs/>
          <w:sz w:val="16"/>
          <w:szCs w:val="16"/>
        </w:rPr>
        <w:t>4,R,m,t</w:t>
      </w:r>
      <w:r w:rsidRPr="004E6CFC">
        <w:rPr>
          <w:sz w:val="23"/>
          <w:szCs w:val="23"/>
        </w:rPr>
        <w:t xml:space="preserve">: </w:t>
      </w:r>
      <w:r w:rsidRPr="004E6CFC">
        <w:rPr>
          <w:sz w:val="23"/>
          <w:szCs w:val="23"/>
        </w:rPr>
        <w:tab/>
      </w:r>
      <w:r w:rsidRPr="004E6CFC">
        <w:t xml:space="preserve">Cargo del nivel de tensión 4 del STR </w:t>
      </w:r>
      <w:r w:rsidRPr="004E6CFC">
        <w:rPr>
          <w:i/>
        </w:rPr>
        <w:t>R</w:t>
      </w:r>
      <w:r w:rsidRPr="004E6CFC">
        <w:t xml:space="preserve">, </w:t>
      </w:r>
      <w:r>
        <w:t xml:space="preserve">del que hace parte el OR </w:t>
      </w:r>
      <w:r w:rsidRPr="0025330E">
        <w:rPr>
          <w:i/>
        </w:rPr>
        <w:t>j</w:t>
      </w:r>
      <w:r>
        <w:t xml:space="preserve">, </w:t>
      </w:r>
      <w:r w:rsidRPr="004E6CFC">
        <w:t xml:space="preserve">en el mes </w:t>
      </w:r>
      <w:r w:rsidRPr="004E6CFC">
        <w:rPr>
          <w:i/>
        </w:rPr>
        <w:t>m</w:t>
      </w:r>
      <w:r w:rsidRPr="004E6CFC">
        <w:t xml:space="preserve"> del año </w:t>
      </w:r>
      <w:r w:rsidRPr="004E6CFC">
        <w:rPr>
          <w:i/>
        </w:rPr>
        <w:t>t</w:t>
      </w:r>
      <w:r w:rsidRPr="004E6CFC">
        <w:t xml:space="preserve">, en $/kWh, calculado según lo establecido en el numeral </w:t>
      </w:r>
      <w:r w:rsidRPr="004E6CFC">
        <w:fldChar w:fldCharType="begin"/>
      </w:r>
      <w:r w:rsidRPr="004E6CFC">
        <w:instrText xml:space="preserve"> REF _Ref444861631 \r \h  \* MERGEFORMAT </w:instrText>
      </w:r>
      <w:r w:rsidRPr="004E6CFC">
        <w:fldChar w:fldCharType="separate"/>
      </w:r>
      <w:r w:rsidR="00737178">
        <w:t>1.2.1</w:t>
      </w:r>
      <w:r w:rsidRPr="004E6CFC">
        <w:fldChar w:fldCharType="end"/>
      </w:r>
      <w:r w:rsidRPr="004E6CFC">
        <w:t>.</w:t>
      </w:r>
    </w:p>
    <w:p w:rsidR="00E9756B" w:rsidRPr="004E6CFC" w:rsidRDefault="00E9756B" w:rsidP="00E9756B">
      <w:pPr>
        <w:spacing w:before="120"/>
        <w:ind w:left="1418" w:hanging="1418"/>
      </w:pPr>
      <w:r w:rsidRPr="004E6CFC">
        <w:rPr>
          <w:i/>
          <w:iCs/>
          <w:sz w:val="23"/>
          <w:szCs w:val="23"/>
        </w:rPr>
        <w:t>CD</w:t>
      </w:r>
      <w:r w:rsidRPr="004E6CFC">
        <w:rPr>
          <w:i/>
          <w:iCs/>
          <w:sz w:val="16"/>
          <w:szCs w:val="16"/>
        </w:rPr>
        <w:t>3,j,m,t</w:t>
      </w:r>
      <w:r w:rsidRPr="004E6CFC">
        <w:rPr>
          <w:sz w:val="23"/>
          <w:szCs w:val="23"/>
        </w:rPr>
        <w:t xml:space="preserve">: </w:t>
      </w:r>
      <w:r w:rsidRPr="004E6CFC">
        <w:rPr>
          <w:sz w:val="23"/>
          <w:szCs w:val="23"/>
        </w:rPr>
        <w:tab/>
      </w:r>
      <w:r w:rsidRPr="004E6CFC">
        <w:t xml:space="preserve">Cargo del nivel de tensión 3 del OR </w:t>
      </w:r>
      <w:r w:rsidRPr="004E6CFC">
        <w:rPr>
          <w:i/>
        </w:rPr>
        <w:t>j</w:t>
      </w:r>
      <w:r w:rsidRPr="004E6CFC">
        <w:t xml:space="preserve">, en el mes </w:t>
      </w:r>
      <w:r w:rsidRPr="004E6CFC">
        <w:rPr>
          <w:i/>
        </w:rPr>
        <w:t>m</w:t>
      </w:r>
      <w:r w:rsidRPr="004E6CFC">
        <w:t xml:space="preserve"> del año </w:t>
      </w:r>
      <w:r w:rsidRPr="004E6CFC">
        <w:rPr>
          <w:i/>
        </w:rPr>
        <w:t>t</w:t>
      </w:r>
      <w:r w:rsidRPr="004E6CFC">
        <w:t xml:space="preserve">. en $/kWh, calculado según lo establecido en el numeral </w:t>
      </w:r>
      <w:r w:rsidRPr="004E6CFC">
        <w:fldChar w:fldCharType="begin"/>
      </w:r>
      <w:r w:rsidRPr="004E6CFC">
        <w:instrText xml:space="preserve"> REF _Ref444861767 \r \h  \* MERGEFORMAT </w:instrText>
      </w:r>
      <w:r w:rsidRPr="004E6CFC">
        <w:fldChar w:fldCharType="separate"/>
      </w:r>
      <w:r w:rsidR="00737178">
        <w:t>1.2.2</w:t>
      </w:r>
      <w:r w:rsidRPr="004E6CFC">
        <w:fldChar w:fldCharType="end"/>
      </w:r>
      <w:r w:rsidRPr="004E6CFC">
        <w:t>.</w:t>
      </w:r>
    </w:p>
    <w:p w:rsidR="00E9756B" w:rsidRPr="004E6CFC" w:rsidRDefault="00E9756B" w:rsidP="00E9756B">
      <w:pPr>
        <w:spacing w:before="120"/>
        <w:ind w:left="1418" w:hanging="1418"/>
        <w:rPr>
          <w:rFonts w:cs="Arial"/>
          <w:szCs w:val="20"/>
          <w:lang w:val="es-CO"/>
        </w:rPr>
      </w:pPr>
      <w:r w:rsidRPr="004E6CFC">
        <w:rPr>
          <w:i/>
        </w:rPr>
        <w:t>PR</w:t>
      </w:r>
      <w:r w:rsidRPr="004E6CFC">
        <w:rPr>
          <w:i/>
          <w:color w:val="000000" w:themeColor="text1"/>
          <w:vertAlign w:val="subscript"/>
        </w:rPr>
        <w:t>3,j</w:t>
      </w:r>
      <w:r>
        <w:rPr>
          <w:i/>
          <w:color w:val="000000" w:themeColor="text1"/>
          <w:vertAlign w:val="subscript"/>
        </w:rPr>
        <w:t>,m,t</w:t>
      </w:r>
      <w:r w:rsidRPr="004E6CFC">
        <w:rPr>
          <w:i/>
          <w:color w:val="000000" w:themeColor="text1"/>
        </w:rPr>
        <w:t>:</w:t>
      </w:r>
      <w:r w:rsidRPr="004E6CFC">
        <w:rPr>
          <w:i/>
        </w:rPr>
        <w:tab/>
      </w:r>
      <w:r w:rsidRPr="004E6CFC">
        <w:rPr>
          <w:rFonts w:cs="Arial"/>
          <w:szCs w:val="20"/>
          <w:lang w:val="es-CO"/>
        </w:rPr>
        <w:t xml:space="preserve">Factor para referir las medidas de energía del nivel de tensión 3 del OR </w:t>
      </w:r>
      <w:r w:rsidRPr="004E6CFC">
        <w:rPr>
          <w:rFonts w:cs="Arial"/>
          <w:i/>
          <w:szCs w:val="20"/>
          <w:lang w:val="es-CO"/>
        </w:rPr>
        <w:t>j</w:t>
      </w:r>
      <w:r w:rsidRPr="004E6CFC">
        <w:rPr>
          <w:rFonts w:cs="Arial"/>
          <w:szCs w:val="20"/>
          <w:lang w:val="es-CO"/>
        </w:rPr>
        <w:t xml:space="preserve"> al STN en el </w:t>
      </w:r>
      <w:r>
        <w:rPr>
          <w:rFonts w:cs="Arial"/>
          <w:szCs w:val="20"/>
          <w:lang w:val="es-CO"/>
        </w:rPr>
        <w:t xml:space="preserve">mes </w:t>
      </w:r>
      <w:r w:rsidRPr="00A137E9">
        <w:rPr>
          <w:rFonts w:cs="Arial"/>
          <w:i/>
          <w:szCs w:val="20"/>
          <w:lang w:val="es-CO"/>
        </w:rPr>
        <w:t>m</w:t>
      </w:r>
      <w:r>
        <w:rPr>
          <w:rFonts w:cs="Arial"/>
          <w:szCs w:val="20"/>
          <w:lang w:val="es-CO"/>
        </w:rPr>
        <w:t xml:space="preserve"> del </w:t>
      </w:r>
      <w:r w:rsidRPr="004E6CFC">
        <w:rPr>
          <w:rFonts w:cs="Arial"/>
          <w:szCs w:val="20"/>
          <w:lang w:val="es-CO"/>
        </w:rPr>
        <w:t xml:space="preserve">año </w:t>
      </w:r>
      <w:r w:rsidRPr="004E6CFC">
        <w:rPr>
          <w:rFonts w:cs="Arial"/>
          <w:i/>
          <w:szCs w:val="20"/>
          <w:lang w:val="es-CO"/>
        </w:rPr>
        <w:t>t</w:t>
      </w:r>
      <w:r w:rsidRPr="004E6CFC">
        <w:rPr>
          <w:rFonts w:cs="Arial"/>
          <w:szCs w:val="20"/>
          <w:lang w:val="es-CO"/>
        </w:rPr>
        <w:t xml:space="preserve">, calculado conforme a lo establecido en </w:t>
      </w:r>
      <w:r w:rsidRPr="00DA7FDA">
        <w:rPr>
          <w:rFonts w:cs="Arial"/>
          <w:szCs w:val="20"/>
          <w:lang w:val="es-CO"/>
        </w:rPr>
        <w:t xml:space="preserve">el numeral </w:t>
      </w:r>
      <w:r w:rsidRPr="00DA7FDA">
        <w:rPr>
          <w:rFonts w:cs="Arial"/>
          <w:szCs w:val="20"/>
          <w:lang w:val="es-CO"/>
        </w:rPr>
        <w:fldChar w:fldCharType="begin"/>
      </w:r>
      <w:r w:rsidRPr="00DA7FDA">
        <w:rPr>
          <w:rFonts w:cs="Arial"/>
          <w:szCs w:val="20"/>
          <w:lang w:val="es-CO"/>
        </w:rPr>
        <w:instrText xml:space="preserve"> REF _Ref445141930 \r \h  \* MERGEFORMAT </w:instrText>
      </w:r>
      <w:r w:rsidRPr="00DA7FDA">
        <w:rPr>
          <w:rFonts w:cs="Arial"/>
          <w:szCs w:val="20"/>
          <w:lang w:val="es-CO"/>
        </w:rPr>
      </w:r>
      <w:r w:rsidRPr="00DA7FDA">
        <w:rPr>
          <w:rFonts w:cs="Arial"/>
          <w:szCs w:val="20"/>
          <w:lang w:val="es-CO"/>
        </w:rPr>
        <w:fldChar w:fldCharType="separate"/>
      </w:r>
      <w:r w:rsidR="00737178">
        <w:rPr>
          <w:rFonts w:cs="Arial"/>
          <w:szCs w:val="20"/>
          <w:lang w:val="es-CO"/>
        </w:rPr>
        <w:t>7.2</w:t>
      </w:r>
      <w:r w:rsidRPr="00DA7FDA">
        <w:rPr>
          <w:rFonts w:cs="Arial"/>
          <w:szCs w:val="20"/>
          <w:lang w:val="es-CO"/>
        </w:rPr>
        <w:fldChar w:fldCharType="end"/>
      </w:r>
      <w:r w:rsidRPr="00DA7FDA">
        <w:rPr>
          <w:rFonts w:cs="Arial"/>
          <w:szCs w:val="20"/>
          <w:lang w:val="es-CO"/>
        </w:rPr>
        <w:t>.</w:t>
      </w:r>
    </w:p>
    <w:p w:rsidR="00E9756B" w:rsidRPr="004E6CFC" w:rsidRDefault="00E9756B" w:rsidP="00E9756B">
      <w:pPr>
        <w:ind w:left="1418" w:hanging="1418"/>
        <w:rPr>
          <w:iCs/>
        </w:rPr>
      </w:pPr>
      <w:bookmarkStart w:id="48" w:name="_Toc408493122"/>
      <w:bookmarkStart w:id="49" w:name="_Ref439921102"/>
      <w:bookmarkStart w:id="50" w:name="_Toc476824108"/>
      <w:r w:rsidRPr="004E6CFC">
        <w:rPr>
          <w:i/>
          <w:iCs/>
        </w:rPr>
        <w:t>Dtcs</w:t>
      </w:r>
      <w:r>
        <w:rPr>
          <w:i/>
          <w:iCs/>
          <w:vertAlign w:val="subscript"/>
        </w:rPr>
        <w:t>3</w:t>
      </w:r>
      <w:r w:rsidRPr="004E6CFC">
        <w:rPr>
          <w:i/>
          <w:iCs/>
          <w:vertAlign w:val="subscript"/>
        </w:rPr>
        <w:t>,j,m,t</w:t>
      </w:r>
      <w:r w:rsidRPr="004E6CFC">
        <w:rPr>
          <w:i/>
          <w:iCs/>
        </w:rPr>
        <w:t>:</w:t>
      </w:r>
      <w:r w:rsidRPr="004E6CFC">
        <w:rPr>
          <w:i/>
          <w:iCs/>
        </w:rPr>
        <w:tab/>
      </w:r>
      <w:r w:rsidRPr="004E6CFC">
        <w:t xml:space="preserve">Cargo por incentivo a la calidad del servicio del OR </w:t>
      </w:r>
      <w:r w:rsidRPr="004E6CFC">
        <w:rPr>
          <w:i/>
        </w:rPr>
        <w:t>j</w:t>
      </w:r>
      <w:r w:rsidRPr="004E6CFC">
        <w:t xml:space="preserve"> en el nivel de tensión </w:t>
      </w:r>
      <w:r>
        <w:rPr>
          <w:i/>
        </w:rPr>
        <w:t>3</w:t>
      </w:r>
      <w:r w:rsidRPr="004E6CFC">
        <w:t xml:space="preserve">, en el mes </w:t>
      </w:r>
      <w:r w:rsidRPr="004E6CFC">
        <w:rPr>
          <w:i/>
        </w:rPr>
        <w:t>m</w:t>
      </w:r>
      <w:r w:rsidRPr="004E6CFC">
        <w:t xml:space="preserve"> del año </w:t>
      </w:r>
      <w:r w:rsidRPr="004E6CFC">
        <w:rPr>
          <w:i/>
        </w:rPr>
        <w:t>t</w:t>
      </w:r>
      <w:r w:rsidRPr="004E6CFC">
        <w:t xml:space="preserve">, en $/kWh, de acuerdo con lo previsto en el numeral </w:t>
      </w:r>
      <w:r w:rsidRPr="004E6CFC">
        <w:fldChar w:fldCharType="begin"/>
      </w:r>
      <w:r w:rsidRPr="004E6CFC">
        <w:instrText xml:space="preserve"> REF _Ref445132509 \r \h  \* MERGEFORMAT </w:instrText>
      </w:r>
      <w:r w:rsidRPr="004E6CFC">
        <w:fldChar w:fldCharType="separate"/>
      </w:r>
      <w:r w:rsidR="00737178">
        <w:t>1.1.5</w:t>
      </w:r>
      <w:r w:rsidRPr="004E6CFC">
        <w:fldChar w:fldCharType="end"/>
      </w:r>
      <w:r w:rsidRPr="004E6CFC">
        <w:rPr>
          <w:iCs/>
        </w:rPr>
        <w:t>.</w:t>
      </w:r>
    </w:p>
    <w:p w:rsidR="00E9756B" w:rsidRPr="004E6CFC" w:rsidRDefault="00E9756B" w:rsidP="00E9756B">
      <w:pPr>
        <w:pStyle w:val="Ttulo3"/>
      </w:pPr>
      <w:bookmarkStart w:id="51" w:name="_Toc505335887"/>
      <w:r w:rsidRPr="004E6CFC">
        <w:t>Cargos por uso de nivel de tensión 2</w:t>
      </w:r>
      <w:bookmarkEnd w:id="48"/>
      <w:bookmarkEnd w:id="49"/>
      <w:bookmarkEnd w:id="50"/>
      <w:bookmarkEnd w:id="51"/>
    </w:p>
    <w:p w:rsidR="00E9756B" w:rsidRPr="004E6CFC" w:rsidRDefault="00E9756B" w:rsidP="00E9756B">
      <w:r w:rsidRPr="004E6CFC">
        <w:t>Para cada uno de los OR, el LAC calculará los cargos por uso de nivel de tensión 2 de la siguiente manera:</w:t>
      </w:r>
    </w:p>
    <w:p w:rsidR="00E9756B" w:rsidRPr="004E6CFC" w:rsidRDefault="00C9592F" w:rsidP="00E9756B">
      <w:pPr>
        <w:jc w:val="center"/>
        <w:rPr>
          <w:position w:val="-32"/>
        </w:rPr>
      </w:pPr>
      <m:oMathPara>
        <m:oMath>
          <m:sSub>
            <m:sSubPr>
              <m:ctrlPr>
                <w:rPr>
                  <w:rFonts w:ascii="Cambria Math" w:hAnsi="Cambria Math"/>
                  <w:i/>
                </w:rPr>
              </m:ctrlPr>
            </m:sSubPr>
            <m:e>
              <m:r>
                <w:rPr>
                  <w:rFonts w:ascii="Cambria Math" w:hAnsi="Cambria Math"/>
                </w:rPr>
                <m:t>Dt</m:t>
              </m:r>
            </m:e>
            <m:sub>
              <m:r>
                <w:rPr>
                  <w:rFonts w:ascii="Cambria Math" w:hAnsi="Cambria Math"/>
                </w:rPr>
                <m:t>2,j,m</m:t>
              </m:r>
              <m:r>
                <w:rPr>
                  <w:rFonts w:ascii="Cambria Math"/>
                </w:rPr>
                <m:t>,</m:t>
              </m:r>
              <m:r>
                <w:rPr>
                  <w:rFonts w:ascii="Cambria Math" w:hAnsi="Cambria Math"/>
                </w:rPr>
                <m:t>t</m:t>
              </m:r>
            </m:sub>
          </m:sSub>
          <m:r>
            <w:rPr>
              <w:rFonts w:ascii="Cambria Math"/>
            </w:rPr>
            <m:t>=</m:t>
          </m:r>
          <m:sSub>
            <m:sSubPr>
              <m:ctrlPr>
                <w:rPr>
                  <w:rFonts w:ascii="Cambria Math" w:hAnsi="Cambria Math"/>
                  <w:i/>
                </w:rPr>
              </m:ctrlPr>
            </m:sSubPr>
            <m:e>
              <m:f>
                <m:fPr>
                  <m:ctrlPr>
                    <w:rPr>
                      <w:rFonts w:ascii="Cambria Math" w:hAnsi="Cambria Math"/>
                      <w:i/>
                    </w:rPr>
                  </m:ctrlPr>
                </m:fPr>
                <m:num>
                  <m:sSub>
                    <m:sSubPr>
                      <m:ctrlPr>
                        <w:rPr>
                          <w:rFonts w:ascii="Cambria Math" w:hAnsi="Cambria Math"/>
                          <w:i/>
                        </w:rPr>
                      </m:ctrlPr>
                    </m:sSubPr>
                    <m:e>
                      <m:r>
                        <w:rPr>
                          <w:rFonts w:ascii="Cambria Math" w:hAnsi="Cambria Math"/>
                        </w:rPr>
                        <m:t>CD</m:t>
                      </m:r>
                    </m:e>
                    <m:sub>
                      <m:r>
                        <w:rPr>
                          <w:rFonts w:ascii="Cambria Math" w:hAnsi="Cambria Math"/>
                        </w:rPr>
                        <m:t>4</m:t>
                      </m:r>
                      <m:r>
                        <w:rPr>
                          <w:rFonts w:ascii="Cambria Math"/>
                        </w:rPr>
                        <m:t>,</m:t>
                      </m:r>
                      <m:r>
                        <w:rPr>
                          <w:rFonts w:ascii="Cambria Math" w:hAnsi="Cambria Math"/>
                        </w:rPr>
                        <m:t>R</m:t>
                      </m:r>
                      <m:r>
                        <w:rPr>
                          <w:rFonts w:ascii="Cambria Math"/>
                        </w:rPr>
                        <m:t>,</m:t>
                      </m:r>
                      <m:r>
                        <w:rPr>
                          <w:rFonts w:ascii="Cambria Math" w:hAnsi="Cambria Math"/>
                        </w:rPr>
                        <m:t>m,t</m:t>
                      </m:r>
                    </m:sub>
                  </m:sSub>
                </m:num>
                <m:den>
                  <m:r>
                    <w:rPr>
                      <w:rFonts w:ascii="Cambria Math"/>
                    </w:rPr>
                    <m:t>1</m:t>
                  </m:r>
                  <m:r>
                    <w:rPr>
                      <w:rFonts w:ascii="Cambria Math"/>
                    </w:rPr>
                    <m:t>-</m:t>
                  </m:r>
                  <m:sSub>
                    <m:sSubPr>
                      <m:ctrlPr>
                        <w:rPr>
                          <w:rFonts w:ascii="Cambria Math" w:hAnsi="Cambria Math"/>
                          <w:i/>
                        </w:rPr>
                      </m:ctrlPr>
                    </m:sSubPr>
                    <m:e>
                      <m:r>
                        <w:rPr>
                          <w:rFonts w:ascii="Cambria Math" w:hAnsi="Cambria Math"/>
                        </w:rPr>
                        <m:t>PR</m:t>
                      </m:r>
                    </m:e>
                    <m:sub>
                      <m:r>
                        <w:rPr>
                          <w:rFonts w:ascii="Cambria Math" w:hAnsi="Cambria Math"/>
                        </w:rPr>
                        <m:t>2,j,m,t</m:t>
                      </m:r>
                    </m:sub>
                  </m:sSub>
                </m:den>
              </m:f>
              <m:r>
                <w:rPr>
                  <w:rFonts w:ascii="Cambria Math" w:hAnsi="Cambria Math"/>
                </w:rPr>
                <m:t>+CD</m:t>
              </m:r>
            </m:e>
            <m:sub>
              <m:r>
                <w:rPr>
                  <w:rFonts w:ascii="Cambria Math" w:hAnsi="Cambria Math"/>
                </w:rPr>
                <m:t>2</m:t>
              </m:r>
              <m:r>
                <w:rPr>
                  <w:rFonts w:ascii="Cambria Math"/>
                </w:rPr>
                <m:t>,</m:t>
              </m:r>
              <m:r>
                <w:rPr>
                  <w:rFonts w:ascii="Cambria Math" w:hAnsi="Cambria Math"/>
                </w:rPr>
                <m:t>j</m:t>
              </m:r>
              <m:r>
                <w:rPr>
                  <w:rFonts w:ascii="Cambria Math"/>
                </w:rPr>
                <m:t>,</m:t>
              </m:r>
              <m:r>
                <w:rPr>
                  <w:rFonts w:ascii="Cambria Math" w:hAnsi="Cambria Math"/>
                </w:rPr>
                <m:t>m,t</m:t>
              </m:r>
            </m:sub>
          </m:sSub>
          <m:r>
            <w:rPr>
              <w:rFonts w:ascii="Cambria Math" w:hAnsi="Cambria Math"/>
            </w:rPr>
            <m:t>+</m:t>
          </m:r>
          <m:sSub>
            <m:sSubPr>
              <m:ctrlPr>
                <w:rPr>
                  <w:rFonts w:ascii="Cambria Math" w:hAnsi="Cambria Math"/>
                  <w:i/>
                </w:rPr>
              </m:ctrlPr>
            </m:sSubPr>
            <m:e>
              <m:r>
                <w:rPr>
                  <w:rFonts w:ascii="Cambria Math" w:hAnsi="Cambria Math"/>
                </w:rPr>
                <m:t>Dtcs</m:t>
              </m:r>
            </m:e>
            <m:sub>
              <m:r>
                <w:rPr>
                  <w:rFonts w:ascii="Cambria Math" w:hAnsi="Cambria Math"/>
                </w:rPr>
                <m:t>2,j,m,t</m:t>
              </m:r>
            </m:sub>
          </m:sSub>
        </m:oMath>
      </m:oMathPara>
    </w:p>
    <w:p w:rsidR="00E9756B" w:rsidRPr="004E6CFC" w:rsidRDefault="00E9756B" w:rsidP="00E9756B">
      <w:r w:rsidRPr="004E6CFC">
        <w:t>Donde:</w:t>
      </w:r>
    </w:p>
    <w:p w:rsidR="00E9756B" w:rsidRPr="004E6CFC" w:rsidRDefault="00E9756B" w:rsidP="00E9756B">
      <w:pPr>
        <w:spacing w:before="120"/>
        <w:ind w:left="1418" w:hanging="1418"/>
      </w:pPr>
      <w:r w:rsidRPr="004E6CFC">
        <w:rPr>
          <w:i/>
          <w:iCs/>
        </w:rPr>
        <w:t>Dt</w:t>
      </w:r>
      <w:r w:rsidRPr="004E6CFC">
        <w:rPr>
          <w:i/>
          <w:iCs/>
          <w:vertAlign w:val="subscript"/>
        </w:rPr>
        <w:t>2,j,m,t</w:t>
      </w:r>
      <w:r w:rsidRPr="004E6CFC">
        <w:t>:</w:t>
      </w:r>
      <w:r w:rsidRPr="004E6CFC">
        <w:tab/>
        <w:t xml:space="preserve">Cargo por uso del nivel de tensión 2 del OR </w:t>
      </w:r>
      <w:r w:rsidRPr="004E6CFC">
        <w:rPr>
          <w:i/>
        </w:rPr>
        <w:t>j</w:t>
      </w:r>
      <w:r w:rsidRPr="004E6CFC">
        <w:t xml:space="preserve"> para el mes </w:t>
      </w:r>
      <w:r w:rsidRPr="004E6CFC">
        <w:rPr>
          <w:i/>
          <w:iCs/>
        </w:rPr>
        <w:t>m</w:t>
      </w:r>
      <w:r w:rsidRPr="004E6CFC">
        <w:t xml:space="preserve"> en el año </w:t>
      </w:r>
      <w:r w:rsidRPr="004E6CFC">
        <w:rPr>
          <w:i/>
          <w:iCs/>
        </w:rPr>
        <w:t xml:space="preserve">t, </w:t>
      </w:r>
      <w:r w:rsidRPr="004E6CFC">
        <w:t>en $/kWh,</w:t>
      </w:r>
    </w:p>
    <w:p w:rsidR="00E9756B" w:rsidRPr="004E6CFC" w:rsidRDefault="00E9756B" w:rsidP="00E9756B">
      <w:pPr>
        <w:spacing w:before="120"/>
        <w:ind w:left="1418" w:hanging="1418"/>
      </w:pPr>
      <w:r w:rsidRPr="004E6CFC">
        <w:rPr>
          <w:i/>
          <w:iCs/>
          <w:sz w:val="23"/>
          <w:szCs w:val="23"/>
        </w:rPr>
        <w:t>CD</w:t>
      </w:r>
      <w:r w:rsidRPr="004E6CFC">
        <w:rPr>
          <w:i/>
          <w:iCs/>
          <w:sz w:val="16"/>
          <w:szCs w:val="16"/>
        </w:rPr>
        <w:t>4,R,m,t</w:t>
      </w:r>
      <w:r w:rsidRPr="004E6CFC">
        <w:rPr>
          <w:sz w:val="23"/>
          <w:szCs w:val="23"/>
        </w:rPr>
        <w:t xml:space="preserve">: </w:t>
      </w:r>
      <w:r w:rsidRPr="004E6CFC">
        <w:rPr>
          <w:sz w:val="23"/>
          <w:szCs w:val="23"/>
        </w:rPr>
        <w:tab/>
      </w:r>
      <w:r w:rsidRPr="004E6CFC">
        <w:t xml:space="preserve">Cargo del nivel de tensión 4 del STR </w:t>
      </w:r>
      <w:r w:rsidRPr="004E6CFC">
        <w:rPr>
          <w:i/>
        </w:rPr>
        <w:t>R</w:t>
      </w:r>
      <w:r w:rsidRPr="004E6CFC">
        <w:t xml:space="preserve">, </w:t>
      </w:r>
      <w:r>
        <w:t xml:space="preserve">del que hace parte el OR </w:t>
      </w:r>
      <w:r w:rsidRPr="0025330E">
        <w:rPr>
          <w:i/>
        </w:rPr>
        <w:t>j</w:t>
      </w:r>
      <w:r>
        <w:t xml:space="preserve">, </w:t>
      </w:r>
      <w:r w:rsidRPr="004E6CFC">
        <w:t xml:space="preserve">en el mes </w:t>
      </w:r>
      <w:r w:rsidRPr="004E6CFC">
        <w:rPr>
          <w:i/>
        </w:rPr>
        <w:t>m</w:t>
      </w:r>
      <w:r w:rsidRPr="004E6CFC">
        <w:t xml:space="preserve"> del año </w:t>
      </w:r>
      <w:r w:rsidRPr="004E6CFC">
        <w:rPr>
          <w:i/>
        </w:rPr>
        <w:t>t</w:t>
      </w:r>
      <w:r w:rsidRPr="004E6CFC">
        <w:t xml:space="preserve">, en $/kWh, según lo establecido en el numeral </w:t>
      </w:r>
      <w:r w:rsidRPr="004E6CFC">
        <w:fldChar w:fldCharType="begin"/>
      </w:r>
      <w:r w:rsidRPr="004E6CFC">
        <w:instrText xml:space="preserve"> REF _Ref444861631 \r \h  \* MERGEFORMAT </w:instrText>
      </w:r>
      <w:r w:rsidRPr="004E6CFC">
        <w:fldChar w:fldCharType="separate"/>
      </w:r>
      <w:r w:rsidR="00737178">
        <w:t>1.2.1</w:t>
      </w:r>
      <w:r w:rsidRPr="004E6CFC">
        <w:fldChar w:fldCharType="end"/>
      </w:r>
      <w:r w:rsidRPr="004E6CFC">
        <w:t>.</w:t>
      </w:r>
    </w:p>
    <w:p w:rsidR="00E9756B" w:rsidRPr="004E6CFC" w:rsidRDefault="00E9756B" w:rsidP="00E9756B">
      <w:pPr>
        <w:spacing w:before="120"/>
        <w:ind w:left="1418" w:hanging="1418"/>
      </w:pPr>
      <w:r w:rsidRPr="004E6CFC">
        <w:rPr>
          <w:i/>
          <w:iCs/>
          <w:sz w:val="23"/>
          <w:szCs w:val="23"/>
        </w:rPr>
        <w:t>CD</w:t>
      </w:r>
      <w:r w:rsidRPr="004E6CFC">
        <w:rPr>
          <w:i/>
          <w:iCs/>
          <w:sz w:val="16"/>
          <w:szCs w:val="16"/>
        </w:rPr>
        <w:t>2,j,m,t</w:t>
      </w:r>
      <w:r w:rsidRPr="004E6CFC">
        <w:rPr>
          <w:sz w:val="23"/>
          <w:szCs w:val="23"/>
        </w:rPr>
        <w:t xml:space="preserve">: </w:t>
      </w:r>
      <w:r w:rsidRPr="004E6CFC">
        <w:rPr>
          <w:sz w:val="23"/>
          <w:szCs w:val="23"/>
        </w:rPr>
        <w:tab/>
      </w:r>
      <w:r w:rsidRPr="004E6CFC">
        <w:t xml:space="preserve">Cargo del nivel de tensión 2 del OR </w:t>
      </w:r>
      <w:r w:rsidRPr="004E6CFC">
        <w:rPr>
          <w:i/>
        </w:rPr>
        <w:t>j</w:t>
      </w:r>
      <w:r w:rsidRPr="004E6CFC">
        <w:t xml:space="preserve">, en el mes </w:t>
      </w:r>
      <w:r w:rsidRPr="004E6CFC">
        <w:rPr>
          <w:i/>
        </w:rPr>
        <w:t>m</w:t>
      </w:r>
      <w:r w:rsidRPr="004E6CFC">
        <w:t xml:space="preserve"> del año </w:t>
      </w:r>
      <w:r w:rsidRPr="004E6CFC">
        <w:rPr>
          <w:i/>
        </w:rPr>
        <w:t>t</w:t>
      </w:r>
      <w:r w:rsidRPr="004E6CFC">
        <w:t xml:space="preserve">, en $/kWh, calculado según lo establecido en el numeral </w:t>
      </w:r>
      <w:r w:rsidRPr="004E6CFC">
        <w:fldChar w:fldCharType="begin"/>
      </w:r>
      <w:r w:rsidRPr="004E6CFC">
        <w:instrText xml:space="preserve"> REF _Ref444861798 \r \h  \* MERGEFORMAT </w:instrText>
      </w:r>
      <w:r w:rsidRPr="004E6CFC">
        <w:fldChar w:fldCharType="separate"/>
      </w:r>
      <w:r w:rsidR="00737178">
        <w:t>1.2.3</w:t>
      </w:r>
      <w:r w:rsidRPr="004E6CFC">
        <w:fldChar w:fldCharType="end"/>
      </w:r>
      <w:r w:rsidRPr="004E6CFC">
        <w:t>.</w:t>
      </w:r>
    </w:p>
    <w:p w:rsidR="00E9756B" w:rsidRPr="004E6CFC" w:rsidRDefault="00E9756B" w:rsidP="00E9756B">
      <w:pPr>
        <w:spacing w:before="120"/>
        <w:ind w:left="1418" w:hanging="1418"/>
        <w:rPr>
          <w:rFonts w:cs="Arial"/>
          <w:szCs w:val="20"/>
          <w:lang w:val="es-CO"/>
        </w:rPr>
      </w:pPr>
      <w:r w:rsidRPr="004E6CFC">
        <w:rPr>
          <w:i/>
        </w:rPr>
        <w:t>PR</w:t>
      </w:r>
      <w:r w:rsidRPr="004E6CFC">
        <w:rPr>
          <w:i/>
          <w:color w:val="000000" w:themeColor="text1"/>
          <w:vertAlign w:val="subscript"/>
        </w:rPr>
        <w:t>2,j</w:t>
      </w:r>
      <w:r>
        <w:rPr>
          <w:i/>
          <w:color w:val="000000" w:themeColor="text1"/>
          <w:vertAlign w:val="subscript"/>
        </w:rPr>
        <w:t>,m,t</w:t>
      </w:r>
      <w:r w:rsidRPr="004E6CFC">
        <w:rPr>
          <w:i/>
          <w:color w:val="000000" w:themeColor="text1"/>
        </w:rPr>
        <w:t>:</w:t>
      </w:r>
      <w:r w:rsidRPr="004E6CFC">
        <w:rPr>
          <w:i/>
        </w:rPr>
        <w:tab/>
      </w:r>
      <w:r w:rsidRPr="004E6CFC">
        <w:rPr>
          <w:rFonts w:cs="Arial"/>
          <w:szCs w:val="20"/>
          <w:lang w:val="es-CO"/>
        </w:rPr>
        <w:t xml:space="preserve">Factor para referir las medidas de energía del nivel de tensión 2 del OR </w:t>
      </w:r>
      <w:r w:rsidRPr="004E6CFC">
        <w:rPr>
          <w:rFonts w:cs="Arial"/>
          <w:i/>
          <w:szCs w:val="20"/>
          <w:lang w:val="es-CO"/>
        </w:rPr>
        <w:t>j</w:t>
      </w:r>
      <w:r w:rsidRPr="004E6CFC">
        <w:rPr>
          <w:rFonts w:cs="Arial"/>
          <w:szCs w:val="20"/>
          <w:lang w:val="es-CO"/>
        </w:rPr>
        <w:t xml:space="preserve"> al </w:t>
      </w:r>
      <w:r w:rsidRPr="00DA7FDA">
        <w:rPr>
          <w:rFonts w:cs="Arial"/>
          <w:szCs w:val="20"/>
          <w:lang w:val="es-CO"/>
        </w:rPr>
        <w:t xml:space="preserve">STN en el mes </w:t>
      </w:r>
      <w:r w:rsidRPr="00DA7FDA">
        <w:rPr>
          <w:rFonts w:cs="Arial"/>
          <w:i/>
          <w:szCs w:val="20"/>
          <w:lang w:val="es-CO"/>
        </w:rPr>
        <w:t>m</w:t>
      </w:r>
      <w:r w:rsidRPr="00DA7FDA">
        <w:rPr>
          <w:rFonts w:cs="Arial"/>
          <w:szCs w:val="20"/>
          <w:lang w:val="es-CO"/>
        </w:rPr>
        <w:t xml:space="preserve"> del año </w:t>
      </w:r>
      <w:r w:rsidRPr="00DA7FDA">
        <w:rPr>
          <w:rFonts w:cs="Arial"/>
          <w:i/>
          <w:szCs w:val="20"/>
          <w:lang w:val="es-CO"/>
        </w:rPr>
        <w:t>t</w:t>
      </w:r>
      <w:r w:rsidRPr="00DA7FDA">
        <w:rPr>
          <w:rFonts w:cs="Arial"/>
          <w:szCs w:val="20"/>
          <w:lang w:val="es-CO"/>
        </w:rPr>
        <w:t xml:space="preserve">, calculado conforme a lo establecido en el numeral </w:t>
      </w:r>
      <w:r w:rsidRPr="00DA7FDA">
        <w:rPr>
          <w:rFonts w:cs="Arial"/>
          <w:szCs w:val="20"/>
          <w:lang w:val="es-CO"/>
        </w:rPr>
        <w:fldChar w:fldCharType="begin"/>
      </w:r>
      <w:r w:rsidRPr="00DA7FDA">
        <w:rPr>
          <w:rFonts w:cs="Arial"/>
          <w:szCs w:val="20"/>
          <w:lang w:val="es-CO"/>
        </w:rPr>
        <w:instrText xml:space="preserve"> REF _Ref445141930 \r \h  \* MERGEFORMAT </w:instrText>
      </w:r>
      <w:r w:rsidRPr="00DA7FDA">
        <w:rPr>
          <w:rFonts w:cs="Arial"/>
          <w:szCs w:val="20"/>
          <w:lang w:val="es-CO"/>
        </w:rPr>
      </w:r>
      <w:r w:rsidRPr="00DA7FDA">
        <w:rPr>
          <w:rFonts w:cs="Arial"/>
          <w:szCs w:val="20"/>
          <w:lang w:val="es-CO"/>
        </w:rPr>
        <w:fldChar w:fldCharType="separate"/>
      </w:r>
      <w:r w:rsidR="00737178">
        <w:rPr>
          <w:rFonts w:cs="Arial"/>
          <w:szCs w:val="20"/>
          <w:lang w:val="es-CO"/>
        </w:rPr>
        <w:t>7.2</w:t>
      </w:r>
      <w:r w:rsidRPr="00DA7FDA">
        <w:rPr>
          <w:rFonts w:cs="Arial"/>
          <w:szCs w:val="20"/>
          <w:lang w:val="es-CO"/>
        </w:rPr>
        <w:fldChar w:fldCharType="end"/>
      </w:r>
      <w:r w:rsidRPr="00DA7FDA">
        <w:rPr>
          <w:rFonts w:cs="Arial"/>
          <w:szCs w:val="20"/>
          <w:lang w:val="es-CO"/>
        </w:rPr>
        <w:t>.</w:t>
      </w:r>
    </w:p>
    <w:p w:rsidR="00E9756B" w:rsidRPr="004E6CFC" w:rsidRDefault="00E9756B" w:rsidP="00E9756B">
      <w:pPr>
        <w:ind w:left="1418" w:hanging="1418"/>
        <w:rPr>
          <w:iCs/>
        </w:rPr>
      </w:pPr>
      <w:bookmarkStart w:id="52" w:name="_Ref408407902"/>
      <w:bookmarkStart w:id="53" w:name="_Toc408493125"/>
      <w:bookmarkStart w:id="54" w:name="_Toc476824109"/>
      <w:r w:rsidRPr="004E6CFC">
        <w:rPr>
          <w:i/>
          <w:iCs/>
        </w:rPr>
        <w:t>Dtcs</w:t>
      </w:r>
      <w:r>
        <w:rPr>
          <w:i/>
          <w:iCs/>
          <w:vertAlign w:val="subscript"/>
        </w:rPr>
        <w:t>2</w:t>
      </w:r>
      <w:r w:rsidRPr="004E6CFC">
        <w:rPr>
          <w:i/>
          <w:iCs/>
          <w:vertAlign w:val="subscript"/>
        </w:rPr>
        <w:t>,j,m,t</w:t>
      </w:r>
      <w:r w:rsidRPr="004E6CFC">
        <w:rPr>
          <w:i/>
          <w:iCs/>
        </w:rPr>
        <w:t>:</w:t>
      </w:r>
      <w:r w:rsidRPr="004E6CFC">
        <w:rPr>
          <w:i/>
          <w:iCs/>
        </w:rPr>
        <w:tab/>
      </w:r>
      <w:r w:rsidRPr="004E6CFC">
        <w:t xml:space="preserve">Cargo por incentivo a la calidad del servicio del OR </w:t>
      </w:r>
      <w:r w:rsidRPr="004E6CFC">
        <w:rPr>
          <w:i/>
        </w:rPr>
        <w:t>j</w:t>
      </w:r>
      <w:r w:rsidRPr="004E6CFC">
        <w:t xml:space="preserve"> en el nivel de tensión </w:t>
      </w:r>
      <w:r>
        <w:rPr>
          <w:i/>
        </w:rPr>
        <w:t>2</w:t>
      </w:r>
      <w:r w:rsidRPr="004E6CFC">
        <w:t xml:space="preserve">, en el mes </w:t>
      </w:r>
      <w:r w:rsidRPr="004E6CFC">
        <w:rPr>
          <w:i/>
        </w:rPr>
        <w:t>m</w:t>
      </w:r>
      <w:r w:rsidRPr="004E6CFC">
        <w:t xml:space="preserve"> del año </w:t>
      </w:r>
      <w:r w:rsidRPr="004E6CFC">
        <w:rPr>
          <w:i/>
        </w:rPr>
        <w:t>t</w:t>
      </w:r>
      <w:r w:rsidRPr="004E6CFC">
        <w:t xml:space="preserve">, en $/kWh, de acuerdo con lo previsto en el numeral </w:t>
      </w:r>
      <w:r w:rsidRPr="004E6CFC">
        <w:fldChar w:fldCharType="begin"/>
      </w:r>
      <w:r w:rsidRPr="004E6CFC">
        <w:instrText xml:space="preserve"> REF _Ref445132509 \r \h  \* MERGEFORMAT </w:instrText>
      </w:r>
      <w:r w:rsidRPr="004E6CFC">
        <w:fldChar w:fldCharType="separate"/>
      </w:r>
      <w:r w:rsidR="00737178">
        <w:t>1.1.5</w:t>
      </w:r>
      <w:r w:rsidRPr="004E6CFC">
        <w:fldChar w:fldCharType="end"/>
      </w:r>
      <w:r w:rsidRPr="004E6CFC">
        <w:rPr>
          <w:iCs/>
        </w:rPr>
        <w:t>.</w:t>
      </w:r>
    </w:p>
    <w:p w:rsidR="00E9756B" w:rsidRPr="004E6CFC" w:rsidRDefault="00E9756B" w:rsidP="00E9756B">
      <w:pPr>
        <w:pStyle w:val="Ttulo3"/>
      </w:pPr>
      <w:bookmarkStart w:id="55" w:name="_Ref505174789"/>
      <w:bookmarkStart w:id="56" w:name="_Toc505335888"/>
      <w:r w:rsidRPr="004E6CFC">
        <w:lastRenderedPageBreak/>
        <w:t>Cargos por uso de nivel de tensión 1</w:t>
      </w:r>
      <w:bookmarkEnd w:id="52"/>
      <w:bookmarkEnd w:id="53"/>
      <w:bookmarkEnd w:id="54"/>
      <w:bookmarkEnd w:id="55"/>
      <w:bookmarkEnd w:id="56"/>
    </w:p>
    <w:p w:rsidR="00E9756B" w:rsidRPr="004E6CFC" w:rsidRDefault="00E9756B" w:rsidP="00E9756B">
      <w:r w:rsidRPr="004E6CFC">
        <w:t>Para cada uno de los OR, el LAC calculará los cargos por uso de nivel de tensión 1 de la siguiente manera:</w:t>
      </w:r>
    </w:p>
    <w:p w:rsidR="00E9756B" w:rsidRPr="004E6CFC" w:rsidRDefault="00C9592F" w:rsidP="00E9756B">
      <w:pPr>
        <w:jc w:val="center"/>
        <w:rPr>
          <w:position w:val="-32"/>
        </w:rPr>
      </w:pPr>
      <m:oMathPara>
        <m:oMath>
          <m:sSub>
            <m:sSubPr>
              <m:ctrlPr>
                <w:rPr>
                  <w:rFonts w:ascii="Cambria Math" w:hAnsi="Cambria Math"/>
                  <w:i/>
                </w:rPr>
              </m:ctrlPr>
            </m:sSubPr>
            <m:e>
              <m:r>
                <w:rPr>
                  <w:rFonts w:ascii="Cambria Math" w:hAnsi="Cambria Math"/>
                </w:rPr>
                <m:t>Dt</m:t>
              </m:r>
            </m:e>
            <m:sub>
              <m:r>
                <w:rPr>
                  <w:rFonts w:ascii="Cambria Math" w:hAnsi="Cambria Math"/>
                </w:rPr>
                <m:t>1,j,m</m:t>
              </m:r>
              <m:r>
                <w:rPr>
                  <w:rFonts w:ascii="Cambria Math"/>
                </w:rPr>
                <m:t>,</m:t>
              </m:r>
              <m:r>
                <w:rPr>
                  <w:rFonts w:ascii="Cambria Math" w:hAnsi="Cambria Math"/>
                </w:rPr>
                <m:t>t</m:t>
              </m:r>
            </m:sub>
          </m:sSub>
          <m:r>
            <w:rPr>
              <w:rFonts w:asci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CD</m:t>
                  </m:r>
                </m:e>
                <m:sub>
                  <m:r>
                    <w:rPr>
                      <w:rFonts w:ascii="Cambria Math" w:hAnsi="Cambria Math"/>
                    </w:rPr>
                    <m:t>4</m:t>
                  </m:r>
                  <m:r>
                    <w:rPr>
                      <w:rFonts w:ascii="Cambria Math"/>
                    </w:rPr>
                    <m:t>,</m:t>
                  </m:r>
                  <m:r>
                    <w:rPr>
                      <w:rFonts w:ascii="Cambria Math" w:hAnsi="Cambria Math"/>
                    </w:rPr>
                    <m:t>R</m:t>
                  </m:r>
                  <m:r>
                    <w:rPr>
                      <w:rFonts w:ascii="Cambria Math"/>
                    </w:rPr>
                    <m:t>,</m:t>
                  </m:r>
                  <m:r>
                    <w:rPr>
                      <w:rFonts w:ascii="Cambria Math" w:hAnsi="Cambria Math"/>
                    </w:rPr>
                    <m:t>m,t</m:t>
                  </m:r>
                </m:sub>
              </m:sSub>
            </m:num>
            <m:den>
              <m:r>
                <w:rPr>
                  <w:rFonts w:ascii="Cambria Math"/>
                </w:rPr>
                <m:t>1</m:t>
              </m:r>
              <m:r>
                <w:rPr>
                  <w:rFonts w:ascii="Cambria Math"/>
                </w:rPr>
                <m:t>-</m:t>
              </m:r>
              <m:sSub>
                <m:sSubPr>
                  <m:ctrlPr>
                    <w:rPr>
                      <w:rFonts w:ascii="Cambria Math" w:hAnsi="Cambria Math"/>
                      <w:i/>
                    </w:rPr>
                  </m:ctrlPr>
                </m:sSubPr>
                <m:e>
                  <m:r>
                    <w:rPr>
                      <w:rFonts w:ascii="Cambria Math" w:hAnsi="Cambria Math"/>
                    </w:rPr>
                    <m:t>PR</m:t>
                  </m:r>
                </m:e>
                <m:sub>
                  <m:r>
                    <w:rPr>
                      <w:rFonts w:ascii="Cambria Math" w:hAnsi="Cambria Math"/>
                    </w:rPr>
                    <m:t>1,j,m,t</m:t>
                  </m:r>
                </m:sub>
              </m:sSub>
            </m:den>
          </m:f>
          <m:r>
            <w:rPr>
              <w:rFonts w:asci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CD</m:t>
                  </m:r>
                </m:e>
                <m:sub>
                  <m:r>
                    <w:rPr>
                      <w:rFonts w:ascii="Cambria Math" w:hAnsi="Cambria Math"/>
                    </w:rPr>
                    <m:t>2</m:t>
                  </m:r>
                  <m:r>
                    <w:rPr>
                      <w:rFonts w:ascii="Cambria Math"/>
                    </w:rPr>
                    <m:t>,</m:t>
                  </m:r>
                  <m:r>
                    <w:rPr>
                      <w:rFonts w:ascii="Cambria Math" w:hAnsi="Cambria Math"/>
                    </w:rPr>
                    <m:t>j</m:t>
                  </m:r>
                  <m:r>
                    <w:rPr>
                      <w:rFonts w:ascii="Cambria Math"/>
                    </w:rPr>
                    <m:t>,</m:t>
                  </m:r>
                  <m:r>
                    <w:rPr>
                      <w:rFonts w:ascii="Cambria Math" w:hAnsi="Cambria Math"/>
                    </w:rPr>
                    <m:t>m,t</m:t>
                  </m:r>
                </m:sub>
              </m:sSub>
            </m:num>
            <m:den>
              <m:r>
                <w:rPr>
                  <w:rFonts w:ascii="Cambria Math"/>
                </w:rPr>
                <m:t>1</m:t>
              </m:r>
              <m:r>
                <w:rPr>
                  <w:rFonts w:ascii="Cambria Math"/>
                </w:rPr>
                <m:t>-</m:t>
              </m:r>
              <m:sSub>
                <m:sSubPr>
                  <m:ctrlPr>
                    <w:rPr>
                      <w:rFonts w:ascii="Cambria Math" w:hAnsi="Cambria Math"/>
                      <w:i/>
                    </w:rPr>
                  </m:ctrlPr>
                </m:sSubPr>
                <m:e>
                  <m:r>
                    <w:rPr>
                      <w:rFonts w:ascii="Cambria Math" w:hAnsi="Cambria Math"/>
                    </w:rPr>
                    <m:t>P</m:t>
                  </m:r>
                </m:e>
                <m:sub>
                  <m:r>
                    <w:rPr>
                      <w:rFonts w:ascii="Cambria Math" w:hAnsi="Cambria Math"/>
                    </w:rPr>
                    <m:t>j,1,t</m:t>
                  </m:r>
                </m:sub>
              </m:sSub>
            </m:den>
          </m:f>
          <m:r>
            <w:rPr>
              <w:rFonts w:ascii="Cambria Math" w:hAnsi="Cambria Math"/>
            </w:rPr>
            <m:t>+</m:t>
          </m:r>
          <m:sSub>
            <m:sSubPr>
              <m:ctrlPr>
                <w:rPr>
                  <w:rFonts w:ascii="Cambria Math" w:hAnsi="Cambria Math"/>
                  <w:i/>
                </w:rPr>
              </m:ctrlPr>
            </m:sSubPr>
            <m:e>
              <m:r>
                <w:rPr>
                  <w:rFonts w:ascii="Cambria Math" w:hAnsi="Cambria Math"/>
                </w:rPr>
                <m:t>CDI</m:t>
              </m:r>
            </m:e>
            <m:sub>
              <m:r>
                <w:rPr>
                  <w:rFonts w:ascii="Cambria Math" w:hAnsi="Cambria Math"/>
                </w:rPr>
                <m:t>1,j</m:t>
              </m:r>
              <m:r>
                <w:rPr>
                  <w:rFonts w:ascii="Cambria Math"/>
                </w:rPr>
                <m:t>,</m:t>
              </m:r>
              <m:r>
                <w:rPr>
                  <w:rFonts w:ascii="Cambria Math" w:hAnsi="Cambria Math"/>
                </w:rPr>
                <m:t>m,t</m:t>
              </m:r>
            </m:sub>
          </m:sSub>
          <m:r>
            <w:rPr>
              <w:rFonts w:ascii="Cambria Math" w:hAnsi="Cambria Math"/>
            </w:rPr>
            <m:t>+</m:t>
          </m:r>
          <m:sSub>
            <m:sSubPr>
              <m:ctrlPr>
                <w:rPr>
                  <w:rFonts w:ascii="Cambria Math" w:hAnsi="Cambria Math"/>
                  <w:i/>
                </w:rPr>
              </m:ctrlPr>
            </m:sSubPr>
            <m:e>
              <m:r>
                <w:rPr>
                  <w:rFonts w:ascii="Cambria Math" w:hAnsi="Cambria Math"/>
                </w:rPr>
                <m:t>CDA</m:t>
              </m:r>
            </m:e>
            <m:sub>
              <m:r>
                <w:rPr>
                  <w:rFonts w:ascii="Cambria Math" w:hAnsi="Cambria Math"/>
                </w:rPr>
                <m:t>1</m:t>
              </m:r>
              <m:r>
                <w:rPr>
                  <w:rFonts w:ascii="Cambria Math"/>
                </w:rPr>
                <m:t>,</m:t>
              </m:r>
              <m:r>
                <w:rPr>
                  <w:rFonts w:ascii="Cambria Math" w:hAnsi="Cambria Math"/>
                </w:rPr>
                <m:t xml:space="preserve">j,m,t </m:t>
              </m:r>
            </m:sub>
          </m:sSub>
          <m:r>
            <w:rPr>
              <w:rFonts w:ascii="Cambria Math" w:hAnsi="Cambria Math"/>
            </w:rPr>
            <m:t>+</m:t>
          </m:r>
          <m:sSub>
            <m:sSubPr>
              <m:ctrlPr>
                <w:rPr>
                  <w:rFonts w:ascii="Cambria Math" w:hAnsi="Cambria Math"/>
                  <w:i/>
                </w:rPr>
              </m:ctrlPr>
            </m:sSubPr>
            <m:e>
              <m:r>
                <w:rPr>
                  <w:rFonts w:ascii="Cambria Math" w:hAnsi="Cambria Math"/>
                </w:rPr>
                <m:t>Dtcs</m:t>
              </m:r>
            </m:e>
            <m:sub>
              <m:r>
                <w:rPr>
                  <w:rFonts w:ascii="Cambria Math" w:hAnsi="Cambria Math"/>
                </w:rPr>
                <m:t>1,j,m,t</m:t>
              </m:r>
            </m:sub>
          </m:sSub>
          <m:r>
            <w:rPr>
              <w:rFonts w:ascii="Cambria Math" w:hAnsi="Cambria Math"/>
            </w:rPr>
            <m:t xml:space="preserve"> </m:t>
          </m:r>
        </m:oMath>
      </m:oMathPara>
    </w:p>
    <w:p w:rsidR="00E9756B" w:rsidRPr="004E6CFC" w:rsidRDefault="00E9756B" w:rsidP="00E9756B">
      <w:r w:rsidRPr="004E6CFC">
        <w:t>Donde:</w:t>
      </w:r>
    </w:p>
    <w:p w:rsidR="00E9756B" w:rsidRPr="004E6CFC" w:rsidRDefault="00E9756B" w:rsidP="00E9756B">
      <w:pPr>
        <w:spacing w:before="120"/>
        <w:ind w:left="1418" w:hanging="1418"/>
      </w:pPr>
      <w:r w:rsidRPr="004E6CFC">
        <w:rPr>
          <w:i/>
          <w:iCs/>
        </w:rPr>
        <w:t>Dt</w:t>
      </w:r>
      <w:r w:rsidRPr="004E6CFC">
        <w:rPr>
          <w:i/>
          <w:iCs/>
          <w:vertAlign w:val="subscript"/>
        </w:rPr>
        <w:t>1,j,m,t</w:t>
      </w:r>
      <w:r w:rsidRPr="004E6CFC">
        <w:t>:</w:t>
      </w:r>
      <w:r w:rsidRPr="004E6CFC">
        <w:tab/>
        <w:t xml:space="preserve">Cargo por uso del nivel de tensión 1 del OR </w:t>
      </w:r>
      <w:r w:rsidRPr="004E6CFC">
        <w:rPr>
          <w:i/>
        </w:rPr>
        <w:t>j</w:t>
      </w:r>
      <w:r w:rsidRPr="004E6CFC">
        <w:t xml:space="preserve"> para el mes </w:t>
      </w:r>
      <w:r w:rsidRPr="004E6CFC">
        <w:rPr>
          <w:i/>
          <w:iCs/>
        </w:rPr>
        <w:t>m</w:t>
      </w:r>
      <w:r w:rsidRPr="004E6CFC">
        <w:t xml:space="preserve"> en el año </w:t>
      </w:r>
      <w:r w:rsidRPr="004E6CFC">
        <w:rPr>
          <w:i/>
          <w:iCs/>
        </w:rPr>
        <w:t xml:space="preserve">t, </w:t>
      </w:r>
      <w:r w:rsidRPr="004E6CFC">
        <w:rPr>
          <w:iCs/>
        </w:rPr>
        <w:t>en</w:t>
      </w:r>
      <w:r w:rsidRPr="004E6CFC">
        <w:rPr>
          <w:i/>
          <w:iCs/>
        </w:rPr>
        <w:t xml:space="preserve"> </w:t>
      </w:r>
      <w:r w:rsidRPr="004E6CFC">
        <w:t>$/kWh,</w:t>
      </w:r>
    </w:p>
    <w:p w:rsidR="00E9756B" w:rsidRPr="004E6CFC" w:rsidRDefault="00E9756B" w:rsidP="00E9756B">
      <w:pPr>
        <w:spacing w:before="120"/>
        <w:ind w:left="1418" w:hanging="1418"/>
      </w:pPr>
      <w:r w:rsidRPr="004E6CFC">
        <w:rPr>
          <w:i/>
          <w:iCs/>
          <w:sz w:val="23"/>
          <w:szCs w:val="23"/>
        </w:rPr>
        <w:t>CD</w:t>
      </w:r>
      <w:r w:rsidRPr="004E6CFC">
        <w:rPr>
          <w:i/>
          <w:iCs/>
          <w:sz w:val="16"/>
          <w:szCs w:val="16"/>
        </w:rPr>
        <w:t>4,R,m,t</w:t>
      </w:r>
      <w:r w:rsidRPr="004E6CFC">
        <w:rPr>
          <w:sz w:val="23"/>
          <w:szCs w:val="23"/>
        </w:rPr>
        <w:t xml:space="preserve">: </w:t>
      </w:r>
      <w:r w:rsidRPr="004E6CFC">
        <w:rPr>
          <w:sz w:val="23"/>
          <w:szCs w:val="23"/>
        </w:rPr>
        <w:tab/>
      </w:r>
      <w:r w:rsidRPr="004E6CFC">
        <w:t xml:space="preserve">Cargo del nivel de tensión 4 del STR </w:t>
      </w:r>
      <w:r w:rsidRPr="004E6CFC">
        <w:rPr>
          <w:i/>
        </w:rPr>
        <w:t>R</w:t>
      </w:r>
      <w:r w:rsidRPr="004E6CFC">
        <w:t xml:space="preserve">, </w:t>
      </w:r>
      <w:r>
        <w:t xml:space="preserve">del que hace parte el OR </w:t>
      </w:r>
      <w:r w:rsidRPr="00A137E9">
        <w:rPr>
          <w:i/>
        </w:rPr>
        <w:t>j</w:t>
      </w:r>
      <w:r>
        <w:t xml:space="preserve">, </w:t>
      </w:r>
      <w:r w:rsidRPr="004E6CFC">
        <w:t xml:space="preserve">en el mes </w:t>
      </w:r>
      <w:r w:rsidRPr="004E6CFC">
        <w:rPr>
          <w:i/>
        </w:rPr>
        <w:t>m</w:t>
      </w:r>
      <w:r w:rsidRPr="004E6CFC">
        <w:t xml:space="preserve"> del año </w:t>
      </w:r>
      <w:r w:rsidRPr="004E6CFC">
        <w:rPr>
          <w:i/>
        </w:rPr>
        <w:t>t</w:t>
      </w:r>
      <w:r w:rsidRPr="004E6CFC">
        <w:t xml:space="preserve">, en $/kWh, según lo establecido en el numeral </w:t>
      </w:r>
      <w:r w:rsidRPr="004E6CFC">
        <w:fldChar w:fldCharType="begin"/>
      </w:r>
      <w:r w:rsidRPr="004E6CFC">
        <w:instrText xml:space="preserve"> REF _Ref444861631 \r \h  \* MERGEFORMAT </w:instrText>
      </w:r>
      <w:r w:rsidRPr="004E6CFC">
        <w:fldChar w:fldCharType="separate"/>
      </w:r>
      <w:r w:rsidR="00737178">
        <w:t>1.2.1</w:t>
      </w:r>
      <w:r w:rsidRPr="004E6CFC">
        <w:fldChar w:fldCharType="end"/>
      </w:r>
      <w:r w:rsidRPr="004E6CFC">
        <w:t>.</w:t>
      </w:r>
    </w:p>
    <w:p w:rsidR="00E9756B" w:rsidRPr="00DA7FDA" w:rsidRDefault="00E9756B" w:rsidP="00E9756B">
      <w:pPr>
        <w:spacing w:before="120"/>
        <w:ind w:left="1418" w:hanging="1418"/>
        <w:rPr>
          <w:rFonts w:cs="Arial"/>
          <w:szCs w:val="20"/>
          <w:lang w:val="es-CO"/>
        </w:rPr>
      </w:pPr>
      <w:r w:rsidRPr="004E6CFC">
        <w:rPr>
          <w:i/>
        </w:rPr>
        <w:t>PR</w:t>
      </w:r>
      <w:r w:rsidRPr="004E6CFC">
        <w:rPr>
          <w:i/>
          <w:color w:val="000000" w:themeColor="text1"/>
          <w:vertAlign w:val="subscript"/>
        </w:rPr>
        <w:t>1,j</w:t>
      </w:r>
      <w:r>
        <w:rPr>
          <w:i/>
          <w:color w:val="000000" w:themeColor="text1"/>
          <w:vertAlign w:val="subscript"/>
        </w:rPr>
        <w:t>,m,t</w:t>
      </w:r>
      <w:r w:rsidRPr="004E6CFC">
        <w:rPr>
          <w:i/>
          <w:color w:val="000000" w:themeColor="text1"/>
        </w:rPr>
        <w:t>:</w:t>
      </w:r>
      <w:r w:rsidRPr="004E6CFC">
        <w:rPr>
          <w:i/>
        </w:rPr>
        <w:tab/>
      </w:r>
      <w:r w:rsidRPr="004E6CFC">
        <w:rPr>
          <w:rFonts w:cs="Arial"/>
          <w:szCs w:val="20"/>
          <w:lang w:val="es-CO"/>
        </w:rPr>
        <w:t xml:space="preserve">Factor para referir las medidas de energía del nivel de tensión 1 del OR </w:t>
      </w:r>
      <w:r w:rsidRPr="004E6CFC">
        <w:rPr>
          <w:rFonts w:cs="Arial"/>
          <w:i/>
          <w:szCs w:val="20"/>
          <w:lang w:val="es-CO"/>
        </w:rPr>
        <w:t>j</w:t>
      </w:r>
      <w:r w:rsidRPr="004E6CFC">
        <w:rPr>
          <w:rFonts w:cs="Arial"/>
          <w:szCs w:val="20"/>
          <w:lang w:val="es-CO"/>
        </w:rPr>
        <w:t xml:space="preserve"> al STN en el </w:t>
      </w:r>
      <w:r>
        <w:rPr>
          <w:rFonts w:cs="Arial"/>
          <w:szCs w:val="20"/>
          <w:lang w:val="es-CO"/>
        </w:rPr>
        <w:t xml:space="preserve">mes </w:t>
      </w:r>
      <w:r w:rsidRPr="00A137E9">
        <w:rPr>
          <w:rFonts w:cs="Arial"/>
          <w:i/>
          <w:szCs w:val="20"/>
          <w:lang w:val="es-CO"/>
        </w:rPr>
        <w:t>m</w:t>
      </w:r>
      <w:r>
        <w:rPr>
          <w:rFonts w:cs="Arial"/>
          <w:szCs w:val="20"/>
          <w:lang w:val="es-CO"/>
        </w:rPr>
        <w:t xml:space="preserve"> del </w:t>
      </w:r>
      <w:r w:rsidRPr="004E6CFC">
        <w:rPr>
          <w:rFonts w:cs="Arial"/>
          <w:szCs w:val="20"/>
          <w:lang w:val="es-CO"/>
        </w:rPr>
        <w:t xml:space="preserve">año </w:t>
      </w:r>
      <w:r w:rsidRPr="004E6CFC">
        <w:rPr>
          <w:rFonts w:cs="Arial"/>
          <w:i/>
          <w:szCs w:val="20"/>
          <w:lang w:val="es-CO"/>
        </w:rPr>
        <w:t>t</w:t>
      </w:r>
      <w:r w:rsidRPr="004E6CFC">
        <w:rPr>
          <w:rFonts w:cs="Arial"/>
          <w:szCs w:val="20"/>
          <w:lang w:val="es-CO"/>
        </w:rPr>
        <w:t xml:space="preserve">, calculado conforme a lo establecido </w:t>
      </w:r>
      <w:r w:rsidRPr="00DA7FDA">
        <w:rPr>
          <w:rFonts w:cs="Arial"/>
          <w:szCs w:val="20"/>
          <w:lang w:val="es-CO"/>
        </w:rPr>
        <w:t xml:space="preserve">en el numeral </w:t>
      </w:r>
      <w:r w:rsidRPr="00DA7FDA">
        <w:rPr>
          <w:rFonts w:cs="Arial"/>
          <w:szCs w:val="20"/>
          <w:lang w:val="es-CO"/>
        </w:rPr>
        <w:fldChar w:fldCharType="begin"/>
      </w:r>
      <w:r w:rsidRPr="00DA7FDA">
        <w:rPr>
          <w:rFonts w:cs="Arial"/>
          <w:szCs w:val="20"/>
          <w:lang w:val="es-CO"/>
        </w:rPr>
        <w:instrText xml:space="preserve"> REF _Ref445141930 \r \h  \* MERGEFORMAT </w:instrText>
      </w:r>
      <w:r w:rsidRPr="00DA7FDA">
        <w:rPr>
          <w:rFonts w:cs="Arial"/>
          <w:szCs w:val="20"/>
          <w:lang w:val="es-CO"/>
        </w:rPr>
      </w:r>
      <w:r w:rsidRPr="00DA7FDA">
        <w:rPr>
          <w:rFonts w:cs="Arial"/>
          <w:szCs w:val="20"/>
          <w:lang w:val="es-CO"/>
        </w:rPr>
        <w:fldChar w:fldCharType="separate"/>
      </w:r>
      <w:r w:rsidR="00737178">
        <w:rPr>
          <w:rFonts w:cs="Arial"/>
          <w:szCs w:val="20"/>
          <w:lang w:val="es-CO"/>
        </w:rPr>
        <w:t>7.2</w:t>
      </w:r>
      <w:r w:rsidRPr="00DA7FDA">
        <w:rPr>
          <w:rFonts w:cs="Arial"/>
          <w:szCs w:val="20"/>
          <w:lang w:val="es-CO"/>
        </w:rPr>
        <w:fldChar w:fldCharType="end"/>
      </w:r>
      <w:r w:rsidRPr="00DA7FDA">
        <w:rPr>
          <w:rFonts w:cs="Arial"/>
          <w:szCs w:val="20"/>
          <w:lang w:val="es-CO"/>
        </w:rPr>
        <w:t>.</w:t>
      </w:r>
    </w:p>
    <w:p w:rsidR="00E9756B" w:rsidRPr="00DA7FDA" w:rsidRDefault="00E9756B" w:rsidP="00E9756B">
      <w:pPr>
        <w:spacing w:before="120"/>
        <w:ind w:left="1418" w:hanging="1418"/>
      </w:pPr>
      <w:r w:rsidRPr="00DA7FDA">
        <w:rPr>
          <w:i/>
          <w:iCs/>
          <w:sz w:val="23"/>
          <w:szCs w:val="23"/>
        </w:rPr>
        <w:t>CD</w:t>
      </w:r>
      <w:r w:rsidRPr="00DA7FDA">
        <w:rPr>
          <w:i/>
          <w:iCs/>
          <w:sz w:val="16"/>
          <w:szCs w:val="16"/>
        </w:rPr>
        <w:t>2,j,m,t</w:t>
      </w:r>
      <w:r w:rsidRPr="00DA7FDA">
        <w:rPr>
          <w:sz w:val="23"/>
          <w:szCs w:val="23"/>
        </w:rPr>
        <w:t xml:space="preserve">: </w:t>
      </w:r>
      <w:r w:rsidRPr="00DA7FDA">
        <w:rPr>
          <w:sz w:val="23"/>
          <w:szCs w:val="23"/>
        </w:rPr>
        <w:tab/>
      </w:r>
      <w:r w:rsidRPr="00DA7FDA">
        <w:t xml:space="preserve">Cargo del nivel de nivel de tensión 2 del OR </w:t>
      </w:r>
      <w:r w:rsidRPr="00DA7FDA">
        <w:rPr>
          <w:i/>
        </w:rPr>
        <w:t>j</w:t>
      </w:r>
      <w:r w:rsidRPr="00DA7FDA">
        <w:t xml:space="preserve">, en el mes </w:t>
      </w:r>
      <w:r w:rsidRPr="00DA7FDA">
        <w:rPr>
          <w:i/>
        </w:rPr>
        <w:t>m</w:t>
      </w:r>
      <w:r w:rsidRPr="00DA7FDA">
        <w:t xml:space="preserve"> del año </w:t>
      </w:r>
      <w:r w:rsidRPr="00DA7FDA">
        <w:rPr>
          <w:i/>
        </w:rPr>
        <w:t>t</w:t>
      </w:r>
      <w:r w:rsidRPr="00DA7FDA">
        <w:t xml:space="preserve">. en $/kWh, según lo establecido en el numeral </w:t>
      </w:r>
      <w:r w:rsidRPr="00DA7FDA">
        <w:fldChar w:fldCharType="begin"/>
      </w:r>
      <w:r w:rsidRPr="00DA7FDA">
        <w:instrText xml:space="preserve"> REF _Ref444861798 \r \h  \* MERGEFORMAT </w:instrText>
      </w:r>
      <w:r w:rsidRPr="00DA7FDA">
        <w:fldChar w:fldCharType="separate"/>
      </w:r>
      <w:r w:rsidR="00737178">
        <w:t>1.2.3</w:t>
      </w:r>
      <w:r w:rsidRPr="00DA7FDA">
        <w:fldChar w:fldCharType="end"/>
      </w:r>
      <w:r w:rsidRPr="00DA7FDA">
        <w:t>.</w:t>
      </w:r>
    </w:p>
    <w:p w:rsidR="00E9756B" w:rsidRPr="00DA7FDA" w:rsidRDefault="00E9756B" w:rsidP="00E9756B">
      <w:pPr>
        <w:ind w:left="1410" w:hanging="1410"/>
        <w:rPr>
          <w:rFonts w:cs="Arial"/>
          <w:szCs w:val="20"/>
          <w:lang w:val="es-CO"/>
        </w:rPr>
      </w:pPr>
      <w:r w:rsidRPr="00DA7FDA">
        <w:rPr>
          <w:i/>
          <w:color w:val="000000" w:themeColor="text1"/>
        </w:rPr>
        <w:t>P</w:t>
      </w:r>
      <w:r w:rsidRPr="00DA7FDA">
        <w:rPr>
          <w:i/>
          <w:color w:val="000000" w:themeColor="text1"/>
          <w:vertAlign w:val="subscript"/>
        </w:rPr>
        <w:t>j,1,t</w:t>
      </w:r>
      <w:r w:rsidRPr="00DA7FDA">
        <w:rPr>
          <w:i/>
        </w:rPr>
        <w:t>:</w:t>
      </w:r>
      <w:r w:rsidRPr="00DA7FDA">
        <w:rPr>
          <w:i/>
        </w:rPr>
        <w:tab/>
      </w:r>
      <w:r w:rsidRPr="00DA7FDA">
        <w:rPr>
          <w:rFonts w:cs="Arial"/>
          <w:szCs w:val="20"/>
          <w:lang w:val="es-CO"/>
        </w:rPr>
        <w:t xml:space="preserve">Índice de pérdidas del OR </w:t>
      </w:r>
      <w:r w:rsidRPr="00DA7FDA">
        <w:rPr>
          <w:rFonts w:cs="Arial"/>
          <w:i/>
          <w:szCs w:val="20"/>
          <w:lang w:val="es-CO"/>
        </w:rPr>
        <w:t>j</w:t>
      </w:r>
      <w:r w:rsidRPr="00DA7FDA">
        <w:rPr>
          <w:rFonts w:cs="Arial"/>
          <w:szCs w:val="20"/>
          <w:lang w:val="es-CO"/>
        </w:rPr>
        <w:t xml:space="preserve"> en el </w:t>
      </w:r>
      <w:r w:rsidRPr="00DA7FDA">
        <w:t>nivel de tensión 1</w:t>
      </w:r>
      <w:r w:rsidRPr="00DA7FDA">
        <w:rPr>
          <w:rFonts w:cs="Arial"/>
          <w:szCs w:val="20"/>
          <w:lang w:val="es-CO"/>
        </w:rPr>
        <w:t xml:space="preserve">, en el año </w:t>
      </w:r>
      <w:r w:rsidRPr="00DA7FDA">
        <w:rPr>
          <w:rFonts w:cs="Arial"/>
          <w:i/>
          <w:szCs w:val="20"/>
          <w:lang w:val="es-CO"/>
        </w:rPr>
        <w:t>t</w:t>
      </w:r>
      <w:r w:rsidRPr="00DA7FDA">
        <w:rPr>
          <w:rFonts w:cs="Arial"/>
          <w:szCs w:val="20"/>
          <w:lang w:val="es-CO"/>
        </w:rPr>
        <w:t xml:space="preserve">,  calculado conforme a lo establecido en los numerales </w:t>
      </w:r>
      <w:r w:rsidRPr="00DA7FDA">
        <w:rPr>
          <w:rFonts w:cs="Arial"/>
          <w:szCs w:val="20"/>
          <w:lang w:val="es-CO"/>
        </w:rPr>
        <w:fldChar w:fldCharType="begin"/>
      </w:r>
      <w:r w:rsidRPr="00DA7FDA">
        <w:rPr>
          <w:rFonts w:cs="Arial"/>
          <w:szCs w:val="20"/>
          <w:lang w:val="es-CO"/>
        </w:rPr>
        <w:instrText xml:space="preserve"> REF _Ref476810803 \r \h  \* MERGEFORMAT </w:instrText>
      </w:r>
      <w:r w:rsidRPr="00DA7FDA">
        <w:rPr>
          <w:rFonts w:cs="Arial"/>
          <w:szCs w:val="20"/>
          <w:lang w:val="es-CO"/>
        </w:rPr>
      </w:r>
      <w:r w:rsidRPr="00DA7FDA">
        <w:rPr>
          <w:rFonts w:cs="Arial"/>
          <w:szCs w:val="20"/>
          <w:lang w:val="es-CO"/>
        </w:rPr>
        <w:fldChar w:fldCharType="separate"/>
      </w:r>
      <w:r w:rsidR="00737178">
        <w:rPr>
          <w:rFonts w:cs="Arial"/>
          <w:szCs w:val="20"/>
          <w:lang w:val="es-CO"/>
        </w:rPr>
        <w:t>7.1.2</w:t>
      </w:r>
      <w:r w:rsidRPr="00DA7FDA">
        <w:rPr>
          <w:rFonts w:cs="Arial"/>
          <w:szCs w:val="20"/>
          <w:lang w:val="es-CO"/>
        </w:rPr>
        <w:fldChar w:fldCharType="end"/>
      </w:r>
      <w:r w:rsidRPr="00DA7FDA">
        <w:rPr>
          <w:rFonts w:cs="Arial"/>
          <w:szCs w:val="20"/>
          <w:lang w:val="es-CO"/>
        </w:rPr>
        <w:t xml:space="preserve"> y </w:t>
      </w:r>
      <w:r w:rsidRPr="00DA7FDA">
        <w:rPr>
          <w:rFonts w:cs="Arial"/>
          <w:szCs w:val="20"/>
          <w:lang w:val="es-CO"/>
        </w:rPr>
        <w:fldChar w:fldCharType="begin"/>
      </w:r>
      <w:r w:rsidRPr="00DA7FDA">
        <w:rPr>
          <w:rFonts w:cs="Arial"/>
          <w:szCs w:val="20"/>
          <w:lang w:val="es-CO"/>
        </w:rPr>
        <w:instrText xml:space="preserve"> REF _Ref476810808 \r \h  \* MERGEFORMAT </w:instrText>
      </w:r>
      <w:r w:rsidRPr="00DA7FDA">
        <w:rPr>
          <w:rFonts w:cs="Arial"/>
          <w:szCs w:val="20"/>
          <w:lang w:val="es-CO"/>
        </w:rPr>
      </w:r>
      <w:r w:rsidRPr="00DA7FDA">
        <w:rPr>
          <w:rFonts w:cs="Arial"/>
          <w:szCs w:val="20"/>
          <w:lang w:val="es-CO"/>
        </w:rPr>
        <w:fldChar w:fldCharType="separate"/>
      </w:r>
      <w:r w:rsidR="00737178">
        <w:rPr>
          <w:rFonts w:cs="Arial"/>
          <w:szCs w:val="20"/>
          <w:lang w:val="es-CO"/>
        </w:rPr>
        <w:t>7.1.3</w:t>
      </w:r>
      <w:r w:rsidRPr="00DA7FDA">
        <w:rPr>
          <w:rFonts w:cs="Arial"/>
          <w:szCs w:val="20"/>
          <w:lang w:val="es-CO"/>
        </w:rPr>
        <w:fldChar w:fldCharType="end"/>
      </w:r>
      <w:r w:rsidRPr="00DA7FDA">
        <w:rPr>
          <w:rFonts w:cs="Arial"/>
          <w:szCs w:val="20"/>
          <w:lang w:val="es-CO"/>
        </w:rPr>
        <w:t>.</w:t>
      </w:r>
    </w:p>
    <w:p w:rsidR="00E9756B" w:rsidRPr="004E6CFC" w:rsidRDefault="00E9756B" w:rsidP="00E9756B">
      <w:pPr>
        <w:spacing w:before="120"/>
        <w:ind w:left="1418" w:hanging="1418"/>
      </w:pPr>
      <w:r w:rsidRPr="00DA7FDA">
        <w:rPr>
          <w:i/>
          <w:iCs/>
          <w:sz w:val="23"/>
          <w:szCs w:val="23"/>
        </w:rPr>
        <w:t>CDI</w:t>
      </w:r>
      <w:r w:rsidRPr="00DA7FDA">
        <w:rPr>
          <w:i/>
          <w:iCs/>
          <w:sz w:val="16"/>
          <w:szCs w:val="16"/>
        </w:rPr>
        <w:t>1,j,m,t</w:t>
      </w:r>
      <w:r w:rsidRPr="00DA7FDA">
        <w:rPr>
          <w:sz w:val="23"/>
          <w:szCs w:val="23"/>
        </w:rPr>
        <w:t xml:space="preserve">: </w:t>
      </w:r>
      <w:r w:rsidRPr="00DA7FDA">
        <w:rPr>
          <w:sz w:val="23"/>
          <w:szCs w:val="23"/>
        </w:rPr>
        <w:tab/>
        <w:t>C</w:t>
      </w:r>
      <w:r w:rsidRPr="00DA7FDA">
        <w:t xml:space="preserve">argo de inversión del nivel de tensión 1 del OR </w:t>
      </w:r>
      <w:r w:rsidRPr="00DA7FDA">
        <w:rPr>
          <w:i/>
        </w:rPr>
        <w:t>j</w:t>
      </w:r>
      <w:r w:rsidRPr="00DA7FDA">
        <w:t xml:space="preserve">, en el mes </w:t>
      </w:r>
      <w:r w:rsidRPr="00DA7FDA">
        <w:rPr>
          <w:i/>
        </w:rPr>
        <w:t>m</w:t>
      </w:r>
      <w:r w:rsidRPr="00DA7FDA">
        <w:t xml:space="preserve"> del año </w:t>
      </w:r>
      <w:r w:rsidRPr="00DA7FDA">
        <w:rPr>
          <w:i/>
        </w:rPr>
        <w:t>t</w:t>
      </w:r>
      <w:r w:rsidRPr="00DA7FDA">
        <w:t>, en $/kWh, calculado según lo establecido en el</w:t>
      </w:r>
      <w:r w:rsidRPr="004E6CFC">
        <w:t xml:space="preserve"> numeral </w:t>
      </w:r>
      <w:r w:rsidRPr="004E6CFC">
        <w:fldChar w:fldCharType="begin"/>
      </w:r>
      <w:r w:rsidRPr="004E6CFC">
        <w:instrText xml:space="preserve"> REF _Ref408406245 \r \h  \* MERGEFORMAT </w:instrText>
      </w:r>
      <w:r w:rsidRPr="004E6CFC">
        <w:fldChar w:fldCharType="separate"/>
      </w:r>
      <w:r w:rsidR="00737178">
        <w:t>1.2.4.1</w:t>
      </w:r>
      <w:r w:rsidRPr="004E6CFC">
        <w:fldChar w:fldCharType="end"/>
      </w:r>
      <w:r w:rsidRPr="004E6CFC">
        <w:t xml:space="preserve">. </w:t>
      </w:r>
    </w:p>
    <w:p w:rsidR="00E9756B" w:rsidRPr="004E6CFC" w:rsidRDefault="00E9756B" w:rsidP="00E9756B">
      <w:pPr>
        <w:spacing w:before="120"/>
        <w:ind w:left="1418" w:hanging="1418"/>
      </w:pPr>
      <w:r w:rsidRPr="004E6CFC">
        <w:rPr>
          <w:i/>
          <w:iCs/>
          <w:sz w:val="23"/>
          <w:szCs w:val="23"/>
        </w:rPr>
        <w:t>CDA</w:t>
      </w:r>
      <w:r w:rsidRPr="004E6CFC">
        <w:rPr>
          <w:i/>
          <w:iCs/>
          <w:sz w:val="16"/>
          <w:szCs w:val="16"/>
        </w:rPr>
        <w:t>1,j,m,t</w:t>
      </w:r>
      <w:r w:rsidRPr="004E6CFC">
        <w:rPr>
          <w:sz w:val="23"/>
          <w:szCs w:val="23"/>
        </w:rPr>
        <w:t xml:space="preserve">: </w:t>
      </w:r>
      <w:r w:rsidRPr="004E6CFC">
        <w:rPr>
          <w:sz w:val="23"/>
          <w:szCs w:val="23"/>
        </w:rPr>
        <w:tab/>
      </w:r>
      <w:r w:rsidRPr="004E6CFC">
        <w:t xml:space="preserve">Cargo de AOM del nivel de tensión 1 del OR </w:t>
      </w:r>
      <w:r w:rsidRPr="004E6CFC">
        <w:rPr>
          <w:i/>
        </w:rPr>
        <w:t>j</w:t>
      </w:r>
      <w:r w:rsidRPr="004E6CFC">
        <w:t xml:space="preserve">, en el mes </w:t>
      </w:r>
      <w:r w:rsidRPr="004E6CFC">
        <w:rPr>
          <w:i/>
        </w:rPr>
        <w:t>m</w:t>
      </w:r>
      <w:r w:rsidRPr="004E6CFC">
        <w:t xml:space="preserve"> del año </w:t>
      </w:r>
      <w:r w:rsidRPr="004E6CFC">
        <w:rPr>
          <w:i/>
        </w:rPr>
        <w:t>t</w:t>
      </w:r>
      <w:r w:rsidRPr="004E6CFC">
        <w:t xml:space="preserve">. en $/kWh, según lo establecido en el numeral </w:t>
      </w:r>
      <w:r w:rsidRPr="004E6CFC">
        <w:fldChar w:fldCharType="begin"/>
      </w:r>
      <w:r w:rsidRPr="004E6CFC">
        <w:instrText xml:space="preserve"> REF _Ref408406262 \r \h  \* MERGEFORMAT </w:instrText>
      </w:r>
      <w:r w:rsidRPr="004E6CFC">
        <w:fldChar w:fldCharType="separate"/>
      </w:r>
      <w:r w:rsidR="00737178">
        <w:t>1.2.4.2</w:t>
      </w:r>
      <w:r w:rsidRPr="004E6CFC">
        <w:fldChar w:fldCharType="end"/>
      </w:r>
      <w:r w:rsidRPr="004E6CFC">
        <w:t>.</w:t>
      </w:r>
    </w:p>
    <w:p w:rsidR="00E9756B" w:rsidRPr="004E6CFC" w:rsidRDefault="00E9756B" w:rsidP="00E9756B">
      <w:pPr>
        <w:ind w:left="1418" w:hanging="1418"/>
        <w:rPr>
          <w:iCs/>
        </w:rPr>
      </w:pPr>
      <w:r w:rsidRPr="004E6CFC">
        <w:rPr>
          <w:i/>
          <w:iCs/>
        </w:rPr>
        <w:t>Dtcs</w:t>
      </w:r>
      <w:r>
        <w:rPr>
          <w:i/>
          <w:iCs/>
          <w:vertAlign w:val="subscript"/>
        </w:rPr>
        <w:t>1</w:t>
      </w:r>
      <w:r w:rsidRPr="004E6CFC">
        <w:rPr>
          <w:i/>
          <w:iCs/>
          <w:vertAlign w:val="subscript"/>
        </w:rPr>
        <w:t>,j,m,t</w:t>
      </w:r>
      <w:r w:rsidRPr="004E6CFC">
        <w:rPr>
          <w:i/>
          <w:iCs/>
        </w:rPr>
        <w:t>:</w:t>
      </w:r>
      <w:r w:rsidRPr="004E6CFC">
        <w:rPr>
          <w:i/>
          <w:iCs/>
        </w:rPr>
        <w:tab/>
      </w:r>
      <w:r w:rsidRPr="004E6CFC">
        <w:t xml:space="preserve">Cargo por incentivo a la calidad del servicio del OR </w:t>
      </w:r>
      <w:r w:rsidRPr="004E6CFC">
        <w:rPr>
          <w:i/>
        </w:rPr>
        <w:t>j</w:t>
      </w:r>
      <w:r w:rsidRPr="004E6CFC">
        <w:t xml:space="preserve"> en el nivel de tensión </w:t>
      </w:r>
      <w:r>
        <w:rPr>
          <w:i/>
        </w:rPr>
        <w:t>1</w:t>
      </w:r>
      <w:r w:rsidRPr="004E6CFC">
        <w:t xml:space="preserve">, en el mes </w:t>
      </w:r>
      <w:r w:rsidRPr="004E6CFC">
        <w:rPr>
          <w:i/>
        </w:rPr>
        <w:t>m</w:t>
      </w:r>
      <w:r w:rsidRPr="004E6CFC">
        <w:t xml:space="preserve"> del año </w:t>
      </w:r>
      <w:r w:rsidRPr="004E6CFC">
        <w:rPr>
          <w:i/>
        </w:rPr>
        <w:t>t</w:t>
      </w:r>
      <w:r w:rsidRPr="004E6CFC">
        <w:t xml:space="preserve">, en $/kWh, de acuerdo con lo previsto en el numeral </w:t>
      </w:r>
      <w:r w:rsidRPr="004E6CFC">
        <w:fldChar w:fldCharType="begin"/>
      </w:r>
      <w:r w:rsidRPr="004E6CFC">
        <w:instrText xml:space="preserve"> REF _Ref445132509 \r \h  \* MERGEFORMAT </w:instrText>
      </w:r>
      <w:r w:rsidRPr="004E6CFC">
        <w:fldChar w:fldCharType="separate"/>
      </w:r>
      <w:r w:rsidR="00737178">
        <w:t>1.1.5</w:t>
      </w:r>
      <w:r w:rsidRPr="004E6CFC">
        <w:fldChar w:fldCharType="end"/>
      </w:r>
      <w:r w:rsidRPr="004E6CFC">
        <w:rPr>
          <w:iCs/>
        </w:rPr>
        <w:t>.</w:t>
      </w:r>
    </w:p>
    <w:p w:rsidR="00E9756B" w:rsidRPr="004E6CFC" w:rsidRDefault="00E9756B" w:rsidP="00E9756B">
      <w:r w:rsidRPr="004E6CFC">
        <w:t xml:space="preserve">En caso de que la totalidad o fracción de los activos de nivel de tensión 1 sean de propiedad del usuario o de la copropiedad donde está el predio del usuario, el comercializador deberá descontar, de la variable </w:t>
      </w:r>
      <w:r w:rsidRPr="004E6CFC">
        <w:rPr>
          <w:i/>
          <w:iCs/>
        </w:rPr>
        <w:t>Dt</w:t>
      </w:r>
      <w:r w:rsidRPr="004E6CFC">
        <w:rPr>
          <w:i/>
          <w:iCs/>
          <w:vertAlign w:val="subscript"/>
        </w:rPr>
        <w:t>1,j,m,t</w:t>
      </w:r>
      <w:r w:rsidRPr="004E6CFC">
        <w:t xml:space="preserve">, el cargo de inversión del nivel de tensión 1 del OR </w:t>
      </w:r>
      <w:r w:rsidRPr="004E6CFC">
        <w:rPr>
          <w:i/>
        </w:rPr>
        <w:t xml:space="preserve">j, </w:t>
      </w:r>
      <w:r w:rsidRPr="004E6CFC">
        <w:rPr>
          <w:i/>
          <w:iCs/>
          <w:sz w:val="23"/>
          <w:szCs w:val="23"/>
        </w:rPr>
        <w:t>CDI</w:t>
      </w:r>
      <w:r w:rsidRPr="004E6CFC">
        <w:rPr>
          <w:i/>
          <w:iCs/>
          <w:sz w:val="16"/>
          <w:szCs w:val="16"/>
        </w:rPr>
        <w:t>1,j,m,t</w:t>
      </w:r>
      <w:r w:rsidRPr="004E6CFC">
        <w:t>, en la fracción que corresponda. Con este propósito:</w:t>
      </w:r>
    </w:p>
    <w:p w:rsidR="00E9756B" w:rsidRPr="004E6CFC" w:rsidRDefault="00E9756B" w:rsidP="00E9756B">
      <w:pPr>
        <w:pStyle w:val="EstiloPrrafodelistaJustificado"/>
        <w:numPr>
          <w:ilvl w:val="0"/>
          <w:numId w:val="44"/>
        </w:numPr>
        <w:spacing w:after="0"/>
        <w:rPr>
          <w:spacing w:val="0"/>
        </w:rPr>
      </w:pPr>
      <w:r w:rsidRPr="004E6CFC">
        <w:rPr>
          <w:spacing w:val="0"/>
        </w:rPr>
        <w:t xml:space="preserve">El OR deberá reportar mensualmente al comercializador respectivo el listado de usuarios finales asociados a activos de </w:t>
      </w:r>
      <w:r w:rsidRPr="004E6CFC">
        <w:t>nivel de tensión 1</w:t>
      </w:r>
      <w:r w:rsidRPr="004E6CFC">
        <w:rPr>
          <w:spacing w:val="0"/>
        </w:rPr>
        <w:t xml:space="preserve"> que sean de propiedad de los usuarios. El comercializador deberá hacer el respectivo descuento a partir del mes siguiente al de la fecha de recepción de dicha información por parte del OR. </w:t>
      </w:r>
    </w:p>
    <w:p w:rsidR="00E9756B" w:rsidRPr="004E6CFC" w:rsidRDefault="00E9756B" w:rsidP="00E9756B">
      <w:pPr>
        <w:pStyle w:val="EstiloPrrafodelistaJustificado"/>
        <w:numPr>
          <w:ilvl w:val="0"/>
          <w:numId w:val="44"/>
        </w:numPr>
        <w:spacing w:after="0"/>
        <w:rPr>
          <w:spacing w:val="0"/>
        </w:rPr>
      </w:pPr>
      <w:bookmarkStart w:id="57" w:name="_Ref408407936"/>
      <w:r w:rsidRPr="004E6CFC">
        <w:rPr>
          <w:spacing w:val="0"/>
        </w:rPr>
        <w:t xml:space="preserve">Cuando la propiedad de los activos de </w:t>
      </w:r>
      <w:r w:rsidRPr="004E6CFC">
        <w:t>nivel de tensión 1</w:t>
      </w:r>
      <w:r w:rsidRPr="004E6CFC">
        <w:rPr>
          <w:spacing w:val="0"/>
        </w:rPr>
        <w:t xml:space="preserve"> sea compartida con el OR, de tal forma que el usuario sea propietario del transformador o de la red secundaria, el comercializador liquidará el 50 % del respectivo cargo </w:t>
      </w:r>
      <w:r w:rsidRPr="004E6CFC">
        <w:rPr>
          <w:spacing w:val="0"/>
        </w:rPr>
        <w:lastRenderedPageBreak/>
        <w:t>máximo.</w:t>
      </w:r>
      <w:bookmarkEnd w:id="57"/>
      <w:r>
        <w:rPr>
          <w:spacing w:val="0"/>
        </w:rPr>
        <w:t xml:space="preserve"> Si el usuario es propietario de los dos activos mencionados, el </w:t>
      </w:r>
      <w:r w:rsidRPr="004E6CFC">
        <w:rPr>
          <w:spacing w:val="0"/>
        </w:rPr>
        <w:t xml:space="preserve">comercializador </w:t>
      </w:r>
      <w:r>
        <w:rPr>
          <w:spacing w:val="0"/>
        </w:rPr>
        <w:t>deberá descontar el 100</w:t>
      </w:r>
      <w:r w:rsidRPr="004E6CFC">
        <w:rPr>
          <w:spacing w:val="0"/>
        </w:rPr>
        <w:t>% del respectivo cargo máximo</w:t>
      </w:r>
    </w:p>
    <w:p w:rsidR="00E9756B" w:rsidRPr="004E6CFC" w:rsidRDefault="00E9756B" w:rsidP="00E9756B">
      <w:pPr>
        <w:ind w:left="360"/>
      </w:pPr>
      <w:r w:rsidRPr="004E6CFC">
        <w:t>Cuando se requiera la reposición de activos de nivel de tensión 1 que son de propiedad del usuario, éste podrá reponerlos y continuará pagando los cargos de nivel de tensión 1 con el descuento que corresponda. El usuario en un plazo no superior a 2 días hábiles a partir de la salida del servicio de los activos de su propiedad deberá informar al OR si decide o no reponerlos; si el usuario no se pronuncia o decide no reponerlos informará al OR y éste efectuará la reposición en plazo de 72 horas a partir del momento en que recibe el aviso del usuario o del cumplimento de los dos días hábiles mencionados. A partir del momento de la reposición por parte del OR el usuario dejará de percibir el descuento mencionado. Exclusivamente para los efectos de esta disposición, se entiende por reposición el cambio de la totalidad de las redes de nivel de tensión 1 o el cambio de la totalidad del transformador.</w:t>
      </w:r>
    </w:p>
    <w:p w:rsidR="00E9756B" w:rsidRPr="004E6CFC" w:rsidRDefault="00E9756B" w:rsidP="00E9756B">
      <w:pPr>
        <w:pStyle w:val="EstiloPrrafodelistaJustificado"/>
        <w:numPr>
          <w:ilvl w:val="0"/>
          <w:numId w:val="44"/>
        </w:numPr>
        <w:spacing w:after="0"/>
        <w:rPr>
          <w:spacing w:val="0"/>
        </w:rPr>
      </w:pPr>
      <w:r w:rsidRPr="004E6CFC">
        <w:rPr>
          <w:spacing w:val="0"/>
        </w:rPr>
        <w:t xml:space="preserve">En cualquier caso, los cargos que remuneran gastos de administración, operación y mantenimiento serán cubiertos a través de los cargos por uso y en tal virtud, el OR será el responsable de dichas actividades sobre la totalidad de activos de </w:t>
      </w:r>
      <w:r w:rsidRPr="004E6CFC">
        <w:t>nivel de tensión 1</w:t>
      </w:r>
      <w:r w:rsidRPr="004E6CFC">
        <w:rPr>
          <w:spacing w:val="0"/>
        </w:rPr>
        <w:t>, al margen de quién sea su propietario, para lo cual deberá ejecutar las actividades relacionadas con el mantenimiento en este nivel, como mínimo con una periodicidad anual.</w:t>
      </w:r>
    </w:p>
    <w:p w:rsidR="00E9756B" w:rsidRPr="004E6CFC" w:rsidRDefault="00E9756B" w:rsidP="00E9756B">
      <w:pPr>
        <w:pStyle w:val="Ttulo3"/>
      </w:pPr>
      <w:bookmarkStart w:id="58" w:name="_Ref445132509"/>
      <w:bookmarkStart w:id="59" w:name="_Toc476824110"/>
      <w:bookmarkStart w:id="60" w:name="_Toc505335889"/>
      <w:r w:rsidRPr="004E6CFC">
        <w:t>Cargos por incentivos de calidad del servicio</w:t>
      </w:r>
      <w:bookmarkEnd w:id="58"/>
      <w:bookmarkEnd w:id="59"/>
      <w:bookmarkEnd w:id="60"/>
    </w:p>
    <w:p w:rsidR="00E9756B" w:rsidRPr="004E6CFC" w:rsidRDefault="00E9756B" w:rsidP="00E9756B">
      <w:r w:rsidRPr="004E6CFC">
        <w:t>El LAC calculará los cargos asociados con el desempeño en la calidad del servicio del SDL para cada nivel de tensión de cada OR de la siguiente manera:</w:t>
      </w:r>
    </w:p>
    <w:p w:rsidR="00E9756B" w:rsidRPr="004E6CFC" w:rsidRDefault="00C9592F" w:rsidP="00E9756B">
      <m:oMathPara>
        <m:oMath>
          <m:sSub>
            <m:sSubPr>
              <m:ctrlPr>
                <w:rPr>
                  <w:rFonts w:ascii="Cambria Math" w:hAnsi="Cambria Math"/>
                  <w:i/>
                </w:rPr>
              </m:ctrlPr>
            </m:sSubPr>
            <m:e>
              <m:r>
                <w:rPr>
                  <w:rFonts w:ascii="Cambria Math" w:hAnsi="Cambria Math"/>
                </w:rPr>
                <m:t>Dtcs</m:t>
              </m:r>
            </m:e>
            <m:sub>
              <m:r>
                <w:rPr>
                  <w:rFonts w:ascii="Cambria Math"/>
                </w:rPr>
                <m:t>n,j,m,</m:t>
              </m:r>
              <m:r>
                <w:rPr>
                  <w:rFonts w:ascii="Cambria Math" w:hAnsi="Cambria Math"/>
                </w:rPr>
                <m:t>t</m:t>
              </m:r>
            </m:sub>
          </m:sSub>
          <m:r>
            <w:rPr>
              <w:rFonts w:ascii="Cambria Math"/>
            </w:rPr>
            <m:t>=</m:t>
          </m:r>
          <m:f>
            <m:fPr>
              <m:ctrlPr>
                <w:rPr>
                  <w:rFonts w:ascii="Cambria Math" w:hAnsi="Cambria Math"/>
                  <w:i/>
                </w:rPr>
              </m:ctrlPr>
            </m:fPr>
            <m:num>
              <m:f>
                <m:fPr>
                  <m:type m:val="skw"/>
                  <m:ctrlPr>
                    <w:rPr>
                      <w:rFonts w:ascii="Cambria Math" w:hAnsi="Cambria Math"/>
                      <w:i/>
                    </w:rPr>
                  </m:ctrlPr>
                </m:fPr>
                <m:num>
                  <m:sSub>
                    <m:sSubPr>
                      <m:ctrlPr>
                        <w:rPr>
                          <w:rFonts w:ascii="Cambria Math" w:hAnsi="Cambria Math"/>
                          <w:i/>
                        </w:rPr>
                      </m:ctrlPr>
                    </m:sSubPr>
                    <m:e>
                      <m:r>
                        <w:rPr>
                          <w:rFonts w:ascii="Cambria Math" w:hAnsi="Cambria Math"/>
                        </w:rPr>
                        <m:t>INCC</m:t>
                      </m:r>
                    </m:e>
                    <m:sub>
                      <m:r>
                        <w:rPr>
                          <w:rFonts w:ascii="Cambria Math" w:hAnsi="Cambria Math"/>
                        </w:rPr>
                        <m:t>j</m:t>
                      </m:r>
                      <m:r>
                        <w:rPr>
                          <w:rFonts w:ascii="Cambria Math"/>
                        </w:rPr>
                        <m:t>,n,</m:t>
                      </m:r>
                      <m:r>
                        <w:rPr>
                          <w:rFonts w:ascii="Cambria Math" w:hAnsi="Cambria Math"/>
                        </w:rPr>
                        <m:t>t</m:t>
                      </m:r>
                    </m:sub>
                  </m:sSub>
                </m:num>
                <m:den>
                  <m:sSub>
                    <m:sSubPr>
                      <m:ctrlPr>
                        <w:rPr>
                          <w:rFonts w:ascii="Cambria Math" w:hAnsi="Cambria Math"/>
                          <w:i/>
                        </w:rPr>
                      </m:ctrlPr>
                    </m:sSubPr>
                    <m:e>
                      <m:r>
                        <w:rPr>
                          <w:rFonts w:ascii="Cambria Math" w:hAnsi="Cambria Math"/>
                        </w:rPr>
                        <m:t>IPP</m:t>
                      </m:r>
                    </m:e>
                    <m:sub>
                      <m:r>
                        <w:rPr>
                          <w:rFonts w:ascii="Cambria Math"/>
                        </w:rPr>
                        <m:t>FC</m:t>
                      </m:r>
                    </m:sub>
                  </m:sSub>
                </m:den>
              </m:f>
              <m:r>
                <w:rPr>
                  <w:rFonts w:ascii="Cambria Math" w:hAnsi="Cambria Math"/>
                </w:rPr>
                <m:t>-</m:t>
              </m:r>
              <m:f>
                <m:fPr>
                  <m:type m:val="skw"/>
                  <m:ctrlPr>
                    <w:rPr>
                      <w:rFonts w:ascii="Cambria Math" w:hAnsi="Cambria Math"/>
                      <w:i/>
                    </w:rPr>
                  </m:ctrlPr>
                </m:fPr>
                <m:num>
                  <m:sSub>
                    <m:sSubPr>
                      <m:ctrlPr>
                        <w:rPr>
                          <w:rFonts w:ascii="Cambria Math" w:hAnsi="Cambria Math"/>
                          <w:i/>
                        </w:rPr>
                      </m:ctrlPr>
                    </m:sSubPr>
                    <m:e>
                      <m:r>
                        <w:rPr>
                          <w:rFonts w:ascii="Cambria Math" w:hAnsi="Cambria Math"/>
                        </w:rPr>
                        <m:t>CONP</m:t>
                      </m:r>
                    </m:e>
                    <m:sub>
                      <m:r>
                        <w:rPr>
                          <w:rFonts w:ascii="Cambria Math" w:hAnsi="Cambria Math"/>
                        </w:rPr>
                        <m:t>j</m:t>
                      </m:r>
                      <m:r>
                        <w:rPr>
                          <w:rFonts w:ascii="Cambria Math"/>
                        </w:rPr>
                        <m:t>,n,</m:t>
                      </m:r>
                      <m:r>
                        <w:rPr>
                          <w:rFonts w:ascii="Cambria Math" w:hAnsi="Cambria Math"/>
                        </w:rPr>
                        <m:t>t</m:t>
                      </m:r>
                    </m:sub>
                  </m:sSub>
                </m:num>
                <m:den>
                  <m:sSub>
                    <m:sSubPr>
                      <m:ctrlPr>
                        <w:rPr>
                          <w:rFonts w:ascii="Cambria Math" w:hAnsi="Cambria Math"/>
                          <w:i/>
                        </w:rPr>
                      </m:ctrlPr>
                    </m:sSubPr>
                    <m:e>
                      <m:r>
                        <w:rPr>
                          <w:rFonts w:ascii="Cambria Math" w:hAnsi="Cambria Math"/>
                        </w:rPr>
                        <m:t>IPP</m:t>
                      </m:r>
                    </m:e>
                    <m:sub>
                      <m:r>
                        <w:rPr>
                          <w:rFonts w:ascii="Cambria Math"/>
                        </w:rPr>
                        <m:t>t</m:t>
                      </m:r>
                      <m:r>
                        <w:rPr>
                          <w:rFonts w:ascii="Cambria Math"/>
                        </w:rPr>
                        <m:t>-</m:t>
                      </m:r>
                      <m:r>
                        <w:rPr>
                          <w:rFonts w:ascii="Cambria Math"/>
                        </w:rPr>
                        <m:t>1</m:t>
                      </m:r>
                    </m:sub>
                  </m:sSub>
                </m:den>
              </m:f>
            </m:num>
            <m:den>
              <m:d>
                <m:dPr>
                  <m:ctrlPr>
                    <w:rPr>
                      <w:rFonts w:ascii="Cambria Math" w:hAnsi="Cambria Math"/>
                      <w:i/>
                    </w:rPr>
                  </m:ctrlPr>
                </m:dPr>
                <m:e>
                  <m:r>
                    <w:rPr>
                      <w:rFonts w:ascii="Cambria Math" w:hAnsi="Cambria Math"/>
                    </w:rPr>
                    <m:t>1-</m:t>
                  </m:r>
                  <m:sSub>
                    <m:sSubPr>
                      <m:ctrlPr>
                        <w:rPr>
                          <w:rFonts w:ascii="Cambria Math" w:hAnsi="Cambria Math"/>
                          <w:i/>
                        </w:rPr>
                      </m:ctrlPr>
                    </m:sSubPr>
                    <m:e>
                      <m:r>
                        <w:rPr>
                          <w:rFonts w:ascii="Cambria Math" w:hAnsi="Cambria Math"/>
                        </w:rPr>
                        <m:t>P</m:t>
                      </m:r>
                    </m:e>
                    <m:sub>
                      <m:r>
                        <w:rPr>
                          <w:rFonts w:ascii="Cambria Math" w:hAnsi="Cambria Math"/>
                        </w:rPr>
                        <m:t>j,n,t</m:t>
                      </m:r>
                    </m:sub>
                  </m:sSub>
                </m:e>
              </m:d>
              <m:r>
                <w:rPr>
                  <w:rFonts w:ascii="Cambria Math" w:hAnsi="Cambria Math"/>
                </w:rPr>
                <m:t>*</m:t>
              </m:r>
              <m:nary>
                <m:naryPr>
                  <m:chr m:val="∑"/>
                  <m:limLoc m:val="undOvr"/>
                  <m:ctrlPr>
                    <w:rPr>
                      <w:rFonts w:ascii="Cambria Math" w:hAnsi="Cambria Math"/>
                      <w:i/>
                    </w:rPr>
                  </m:ctrlPr>
                </m:naryPr>
                <m:sub>
                  <m:r>
                    <w:rPr>
                      <w:rFonts w:ascii="Cambria Math" w:hAnsi="Cambria Math"/>
                    </w:rPr>
                    <m:t>ma=m-3</m:t>
                  </m:r>
                </m:sub>
                <m:sup>
                  <m:sSub>
                    <m:sSubPr>
                      <m:ctrlPr>
                        <w:rPr>
                          <w:rFonts w:ascii="Cambria Math" w:hAnsi="Cambria Math"/>
                          <w:i/>
                        </w:rPr>
                      </m:ctrlPr>
                    </m:sSubPr>
                    <m:e>
                      <m:r>
                        <w:rPr>
                          <w:rFonts w:ascii="Cambria Math" w:hAnsi="Cambria Math"/>
                        </w:rPr>
                        <m:t>m-14</m:t>
                      </m:r>
                    </m:e>
                    <m:sub/>
                  </m:sSub>
                </m:sup>
                <m:e>
                  <m:sSub>
                    <m:sSubPr>
                      <m:ctrlPr>
                        <w:rPr>
                          <w:rFonts w:ascii="Cambria Math" w:hAnsi="Cambria Math"/>
                          <w:i/>
                        </w:rPr>
                      </m:ctrlPr>
                    </m:sSubPr>
                    <m:e>
                      <m:r>
                        <w:rPr>
                          <w:rFonts w:ascii="Cambria Math" w:hAnsi="Cambria Math"/>
                        </w:rPr>
                        <m:t>Ee</m:t>
                      </m:r>
                    </m:e>
                    <m:sub>
                      <m:r>
                        <w:rPr>
                          <w:rFonts w:ascii="Cambria Math" w:hAnsi="Cambria Math"/>
                        </w:rPr>
                        <m:t>j,n,ma</m:t>
                      </m:r>
                    </m:sub>
                  </m:sSub>
                </m:e>
              </m:nary>
            </m:den>
          </m:f>
          <m:r>
            <w:rPr>
              <w:rFonts w:ascii="Cambria Math" w:hAnsi="Cambria Math"/>
            </w:rPr>
            <m:t>*</m:t>
          </m:r>
          <m:sSub>
            <m:sSubPr>
              <m:ctrlPr>
                <w:rPr>
                  <w:rFonts w:ascii="Cambria Math" w:hAnsi="Cambria Math"/>
                  <w:i/>
                </w:rPr>
              </m:ctrlPr>
            </m:sSubPr>
            <m:e>
              <m:r>
                <w:rPr>
                  <w:rFonts w:ascii="Cambria Math" w:hAnsi="Cambria Math"/>
                </w:rPr>
                <m:t>IPP</m:t>
              </m:r>
            </m:e>
            <m:sub>
              <m:r>
                <w:rPr>
                  <w:rFonts w:ascii="Cambria Math" w:hAnsi="Cambria Math"/>
                </w:rPr>
                <m:t>m-</m:t>
              </m:r>
              <m:r>
                <w:rPr>
                  <w:rFonts w:ascii="Cambria Math"/>
                </w:rPr>
                <m:t>1</m:t>
              </m:r>
            </m:sub>
          </m:sSub>
        </m:oMath>
      </m:oMathPara>
    </w:p>
    <w:p w:rsidR="00E9756B" w:rsidRPr="004E6CFC" w:rsidRDefault="00E9756B" w:rsidP="00E9756B">
      <w:r w:rsidRPr="004E6CFC">
        <w:t>Donde:</w:t>
      </w:r>
    </w:p>
    <w:p w:rsidR="00E9756B" w:rsidRPr="004E6CFC" w:rsidRDefault="00E9756B" w:rsidP="00E9756B">
      <w:pPr>
        <w:spacing w:before="120"/>
        <w:ind w:left="1418" w:hanging="1418"/>
      </w:pPr>
      <w:r w:rsidRPr="004E6CFC">
        <w:rPr>
          <w:i/>
          <w:iCs/>
        </w:rPr>
        <w:t>Dtcs</w:t>
      </w:r>
      <w:r w:rsidRPr="004E6CFC">
        <w:rPr>
          <w:i/>
          <w:iCs/>
          <w:vertAlign w:val="subscript"/>
        </w:rPr>
        <w:t>n,j,m,t</w:t>
      </w:r>
      <w:r w:rsidRPr="004E6CFC">
        <w:t>:</w:t>
      </w:r>
      <w:r w:rsidRPr="004E6CFC">
        <w:tab/>
        <w:t xml:space="preserve">Cargo por desempeño en la calidad del servicio del OR j en el nivel de tensión </w:t>
      </w:r>
      <w:r w:rsidRPr="004E6CFC">
        <w:rPr>
          <w:i/>
        </w:rPr>
        <w:t>n</w:t>
      </w:r>
      <w:r w:rsidRPr="004E6CFC">
        <w:t xml:space="preserve"> en el mes </w:t>
      </w:r>
      <w:r w:rsidRPr="004E6CFC">
        <w:rPr>
          <w:i/>
        </w:rPr>
        <w:t>m</w:t>
      </w:r>
      <w:r w:rsidRPr="004E6CFC">
        <w:t xml:space="preserve"> del año </w:t>
      </w:r>
      <w:r w:rsidRPr="004E6CFC">
        <w:rPr>
          <w:i/>
        </w:rPr>
        <w:t>t</w:t>
      </w:r>
      <w:r w:rsidRPr="004E6CFC">
        <w:t>, en $/kWh.</w:t>
      </w:r>
    </w:p>
    <w:p w:rsidR="00E9756B" w:rsidRPr="00DA7FDA" w:rsidRDefault="00E9756B" w:rsidP="00E9756B">
      <w:pPr>
        <w:ind w:left="1410" w:hanging="1410"/>
      </w:pPr>
      <w:r w:rsidRPr="004E6CFC">
        <w:rPr>
          <w:i/>
          <w:iCs/>
        </w:rPr>
        <w:t>INCC</w:t>
      </w:r>
      <w:r w:rsidRPr="004E6CFC">
        <w:rPr>
          <w:i/>
          <w:iCs/>
          <w:vertAlign w:val="subscript"/>
        </w:rPr>
        <w:t>j,n,t</w:t>
      </w:r>
      <w:r w:rsidRPr="004E6CFC">
        <w:t>:</w:t>
      </w:r>
      <w:r w:rsidRPr="004E6CFC">
        <w:tab/>
        <w:t xml:space="preserve">Ingreso anual por incentivos asociados con la calidad del servicio </w:t>
      </w:r>
      <w:r w:rsidRPr="004E6CFC">
        <w:rPr>
          <w:iCs/>
        </w:rPr>
        <w:t>del</w:t>
      </w:r>
      <w:r w:rsidRPr="004E6CFC">
        <w:rPr>
          <w:i/>
          <w:iCs/>
        </w:rPr>
        <w:t xml:space="preserve"> </w:t>
      </w:r>
      <w:r w:rsidRPr="004E6CFC">
        <w:t xml:space="preserve">OR </w:t>
      </w:r>
      <w:r w:rsidRPr="00DA7FDA">
        <w:rPr>
          <w:i/>
          <w:iCs/>
        </w:rPr>
        <w:t xml:space="preserve">j </w:t>
      </w:r>
      <w:r w:rsidRPr="00DA7FDA">
        <w:t xml:space="preserve">en el nivel de tensión </w:t>
      </w:r>
      <w:r w:rsidRPr="00DA7FDA">
        <w:rPr>
          <w:i/>
          <w:iCs/>
        </w:rPr>
        <w:t>n</w:t>
      </w:r>
      <w:r w:rsidRPr="00DA7FDA">
        <w:rPr>
          <w:iCs/>
        </w:rPr>
        <w:t>,</w:t>
      </w:r>
      <w:r w:rsidRPr="00DA7FDA">
        <w:t xml:space="preserve"> en el año </w:t>
      </w:r>
      <w:r w:rsidRPr="00DA7FDA">
        <w:rPr>
          <w:i/>
        </w:rPr>
        <w:t>t,</w:t>
      </w:r>
      <w:r w:rsidRPr="00DA7FDA">
        <w:t xml:space="preserve"> según lo establecido en el numeral </w:t>
      </w:r>
      <w:r w:rsidRPr="00DA7FDA">
        <w:fldChar w:fldCharType="begin"/>
      </w:r>
      <w:r w:rsidRPr="00DA7FDA">
        <w:instrText xml:space="preserve"> REF _Ref476823468 \r \h  \* MERGEFORMAT </w:instrText>
      </w:r>
      <w:r w:rsidRPr="00DA7FDA">
        <w:fldChar w:fldCharType="separate"/>
      </w:r>
      <w:r w:rsidR="00737178">
        <w:t>5.2.3.2.3</w:t>
      </w:r>
      <w:r w:rsidRPr="00DA7FDA">
        <w:fldChar w:fldCharType="end"/>
      </w:r>
      <w:r w:rsidRPr="00DA7FDA">
        <w:t>.</w:t>
      </w:r>
    </w:p>
    <w:p w:rsidR="00E9756B" w:rsidRPr="00DA7FDA" w:rsidRDefault="00E9756B" w:rsidP="00E9756B">
      <w:pPr>
        <w:ind w:left="1410" w:hanging="1410"/>
        <w:rPr>
          <w:iCs/>
        </w:rPr>
      </w:pPr>
      <w:r w:rsidRPr="00DA7FDA">
        <w:rPr>
          <w:i/>
          <w:iCs/>
        </w:rPr>
        <w:t>CONP</w:t>
      </w:r>
      <w:r w:rsidRPr="00DA7FDA">
        <w:rPr>
          <w:i/>
          <w:iCs/>
          <w:vertAlign w:val="subscript"/>
        </w:rPr>
        <w:t>j,n,t</w:t>
      </w:r>
      <w:r w:rsidRPr="00DA7FDA">
        <w:rPr>
          <w:i/>
          <w:iCs/>
        </w:rPr>
        <w:t>:</w:t>
      </w:r>
      <w:r w:rsidRPr="00DA7FDA">
        <w:rPr>
          <w:i/>
          <w:iCs/>
        </w:rPr>
        <w:tab/>
        <w:t>C</w:t>
      </w:r>
      <w:r w:rsidRPr="00DA7FDA">
        <w:rPr>
          <w:iCs/>
        </w:rPr>
        <w:t xml:space="preserve">ompensaciones no pagadas a usuarios en mora del OR </w:t>
      </w:r>
      <w:r w:rsidRPr="00DA7FDA">
        <w:rPr>
          <w:i/>
          <w:iCs/>
        </w:rPr>
        <w:t>j</w:t>
      </w:r>
      <w:r w:rsidRPr="00DA7FDA">
        <w:rPr>
          <w:iCs/>
        </w:rPr>
        <w:t xml:space="preserve"> en el nivel de tensión </w:t>
      </w:r>
      <w:r w:rsidRPr="00DA7FDA">
        <w:rPr>
          <w:i/>
          <w:iCs/>
        </w:rPr>
        <w:t>n</w:t>
      </w:r>
      <w:r w:rsidRPr="00DA7FDA">
        <w:rPr>
          <w:iCs/>
        </w:rPr>
        <w:t xml:space="preserve"> en el año </w:t>
      </w:r>
      <w:r w:rsidRPr="00DA7FDA">
        <w:rPr>
          <w:i/>
          <w:iCs/>
        </w:rPr>
        <w:t>t</w:t>
      </w:r>
      <w:r w:rsidRPr="00DA7FDA">
        <w:rPr>
          <w:iCs/>
        </w:rPr>
        <w:t>.</w:t>
      </w:r>
    </w:p>
    <w:p w:rsidR="00E9756B" w:rsidRPr="00DA7FDA" w:rsidRDefault="00C9592F" w:rsidP="00E9756B">
      <w:pPr>
        <w:rPr>
          <w:lang w:val="en-US"/>
        </w:rPr>
      </w:pPr>
      <m:oMathPara>
        <m:oMath>
          <m:sSub>
            <m:sSubPr>
              <m:ctrlPr>
                <w:rPr>
                  <w:rFonts w:ascii="Cambria Math" w:hAnsi="Cambria Math"/>
                  <w:i/>
                </w:rPr>
              </m:ctrlPr>
            </m:sSubPr>
            <m:e>
              <m:r>
                <w:rPr>
                  <w:rFonts w:ascii="Cambria Math" w:hAnsi="Cambria Math"/>
                </w:rPr>
                <m:t>CONP</m:t>
              </m:r>
            </m:e>
            <m:sub>
              <m:r>
                <w:rPr>
                  <w:rFonts w:ascii="Cambria Math" w:hAnsi="Cambria Math"/>
                </w:rPr>
                <m:t>j</m:t>
              </m:r>
              <m:r>
                <w:rPr>
                  <w:rFonts w:ascii="Cambria Math" w:hAnsi="Cambria Math"/>
                  <w:lang w:val="en-US"/>
                </w:rPr>
                <m:t>,</m:t>
              </m:r>
              <m:r>
                <w:rPr>
                  <w:rFonts w:ascii="Cambria Math" w:hAnsi="Cambria Math"/>
                </w:rPr>
                <m:t>n</m:t>
              </m:r>
              <m:r>
                <w:rPr>
                  <w:rFonts w:ascii="Cambria Math" w:hAnsi="Cambria Math"/>
                  <w:lang w:val="en-US"/>
                </w:rPr>
                <m:t>,</m:t>
              </m:r>
              <m:r>
                <w:rPr>
                  <w:rFonts w:ascii="Cambria Math" w:hAnsi="Cambria Math"/>
                </w:rPr>
                <m:t>t</m:t>
              </m:r>
            </m:sub>
          </m:sSub>
          <m:r>
            <m:rPr>
              <m:sty m:val="p"/>
            </m:rPr>
            <w:rPr>
              <w:rFonts w:ascii="Cambria Math" w:hAnsi="Cambria Math"/>
              <w:lang w:val="en-US"/>
            </w:rPr>
            <m:t>=</m:t>
          </m:r>
          <m:sSub>
            <m:sSubPr>
              <m:ctrlPr>
                <w:rPr>
                  <w:rFonts w:ascii="Cambria Math" w:hAnsi="Cambria Math"/>
                  <w:i/>
                  <w:lang w:val="en-US"/>
                </w:rPr>
              </m:ctrlPr>
            </m:sSubPr>
            <m:e>
              <m:r>
                <w:rPr>
                  <w:rFonts w:ascii="Cambria Math" w:hAnsi="Cambria Math"/>
                  <w:lang w:val="en-US"/>
                </w:rPr>
                <m:t>CONP</m:t>
              </m:r>
            </m:e>
            <m:sub>
              <m:r>
                <w:rPr>
                  <w:rFonts w:ascii="Cambria Math" w:hAnsi="Cambria Math"/>
                  <w:lang w:val="en-US"/>
                </w:rPr>
                <m:t>j,t</m:t>
              </m:r>
            </m:sub>
          </m:sSub>
          <m:r>
            <w:rPr>
              <w:rFonts w:ascii="Cambria Math" w:hAnsi="Cambria Math"/>
              <w:lang w:val="en-US"/>
            </w:rPr>
            <m:t>*</m:t>
          </m:r>
          <m:f>
            <m:fPr>
              <m:ctrlPr>
                <w:rPr>
                  <w:rFonts w:ascii="Cambria Math" w:hAnsi="Cambria Math"/>
                  <w:i/>
                  <w:lang w:val="en-US"/>
                </w:rPr>
              </m:ctrlPr>
            </m:fPr>
            <m:num>
              <m:sSub>
                <m:sSubPr>
                  <m:ctrlPr>
                    <w:rPr>
                      <w:rFonts w:ascii="Cambria Math" w:hAnsi="Cambria Math"/>
                      <w:i/>
                    </w:rPr>
                  </m:ctrlPr>
                </m:sSubPr>
                <m:e>
                  <m:r>
                    <w:rPr>
                      <w:rFonts w:ascii="Cambria Math" w:hAnsi="Cambria Math"/>
                    </w:rPr>
                    <m:t>BRAE</m:t>
                  </m:r>
                </m:e>
                <m:sub>
                  <m:r>
                    <w:rPr>
                      <w:rFonts w:ascii="Cambria Math" w:hAnsi="Cambria Math"/>
                    </w:rPr>
                    <m:t>j</m:t>
                  </m:r>
                  <m:r>
                    <w:rPr>
                      <w:rFonts w:ascii="Cambria Math"/>
                    </w:rPr>
                    <m:t>,n,0</m:t>
                  </m:r>
                </m:sub>
              </m:sSub>
            </m:num>
            <m:den>
              <m:nary>
                <m:naryPr>
                  <m:chr m:val="∑"/>
                  <m:limLoc m:val="undOvr"/>
                  <m:ctrlPr>
                    <w:rPr>
                      <w:rFonts w:ascii="Cambria Math" w:hAnsi="Cambria Math"/>
                      <w:i/>
                      <w:lang w:val="en-US"/>
                    </w:rPr>
                  </m:ctrlPr>
                </m:naryPr>
                <m:sub>
                  <m:r>
                    <w:rPr>
                      <w:rFonts w:ascii="Cambria Math" w:hAnsi="Cambria Math"/>
                      <w:lang w:val="en-US"/>
                    </w:rPr>
                    <m:t>n=1</m:t>
                  </m:r>
                </m:sub>
                <m:sup>
                  <m:r>
                    <w:rPr>
                      <w:rFonts w:ascii="Cambria Math" w:hAnsi="Cambria Math"/>
                      <w:lang w:val="en-US"/>
                    </w:rPr>
                    <m:t>3</m:t>
                  </m:r>
                </m:sup>
                <m:e>
                  <m:sSub>
                    <m:sSubPr>
                      <m:ctrlPr>
                        <w:rPr>
                          <w:rFonts w:ascii="Cambria Math" w:hAnsi="Cambria Math"/>
                          <w:i/>
                        </w:rPr>
                      </m:ctrlPr>
                    </m:sSubPr>
                    <m:e>
                      <m:r>
                        <w:rPr>
                          <w:rFonts w:ascii="Cambria Math" w:hAnsi="Cambria Math"/>
                        </w:rPr>
                        <m:t>BRAE</m:t>
                      </m:r>
                    </m:e>
                    <m:sub>
                      <m:r>
                        <w:rPr>
                          <w:rFonts w:ascii="Cambria Math" w:hAnsi="Cambria Math"/>
                        </w:rPr>
                        <m:t>j</m:t>
                      </m:r>
                      <m:r>
                        <w:rPr>
                          <w:rFonts w:ascii="Cambria Math"/>
                        </w:rPr>
                        <m:t>,n,0</m:t>
                      </m:r>
                    </m:sub>
                  </m:sSub>
                </m:e>
              </m:nary>
            </m:den>
          </m:f>
        </m:oMath>
      </m:oMathPara>
    </w:p>
    <w:p w:rsidR="00E9756B" w:rsidRDefault="00E9756B" w:rsidP="00E9756B">
      <w:pPr>
        <w:ind w:left="1356" w:hanging="1356"/>
      </w:pPr>
      <w:r w:rsidRPr="00DA7FDA">
        <w:rPr>
          <w:i/>
        </w:rPr>
        <w:t>CONP</w:t>
      </w:r>
      <w:r w:rsidRPr="00DA7FDA">
        <w:rPr>
          <w:i/>
          <w:vertAlign w:val="subscript"/>
        </w:rPr>
        <w:t>j,t</w:t>
      </w:r>
      <w:r w:rsidRPr="00DA7FDA">
        <w:t xml:space="preserve"> :</w:t>
      </w:r>
      <w:r w:rsidRPr="00DA7FDA">
        <w:tab/>
        <w:t xml:space="preserve">Valor total a descontar al OR </w:t>
      </w:r>
      <w:r w:rsidRPr="00DA7FDA">
        <w:rPr>
          <w:i/>
        </w:rPr>
        <w:t>j</w:t>
      </w:r>
      <w:r w:rsidRPr="00DA7FDA">
        <w:t xml:space="preserve">, en el año </w:t>
      </w:r>
      <w:r w:rsidRPr="00DA7FDA">
        <w:rPr>
          <w:i/>
        </w:rPr>
        <w:t>t</w:t>
      </w:r>
      <w:r w:rsidRPr="00DA7FDA">
        <w:t xml:space="preserve">, por las compensaciones no pagadas durante el año </w:t>
      </w:r>
      <w:r w:rsidRPr="00DA7FDA">
        <w:rPr>
          <w:i/>
        </w:rPr>
        <w:t>t</w:t>
      </w:r>
      <w:r w:rsidRPr="00DA7FDA">
        <w:t xml:space="preserve">, según lo establecido en el numeral  </w:t>
      </w:r>
      <w:r w:rsidR="00DA7FDA" w:rsidRPr="00DA7FDA">
        <w:fldChar w:fldCharType="begin"/>
      </w:r>
      <w:r w:rsidR="00DA7FDA" w:rsidRPr="00DA7FDA">
        <w:instrText xml:space="preserve"> REF _Ref504828894 \r \h </w:instrText>
      </w:r>
      <w:r w:rsidR="00DA7FDA">
        <w:instrText xml:space="preserve"> \* MERGEFORMAT </w:instrText>
      </w:r>
      <w:r w:rsidR="00DA7FDA" w:rsidRPr="00DA7FDA">
        <w:fldChar w:fldCharType="separate"/>
      </w:r>
      <w:r w:rsidR="00737178">
        <w:t>5.2.4.3</w:t>
      </w:r>
      <w:r w:rsidR="00DA7FDA" w:rsidRPr="00DA7FDA">
        <w:fldChar w:fldCharType="end"/>
      </w:r>
      <w:r w:rsidR="009F7331">
        <w:t>.</w:t>
      </w:r>
    </w:p>
    <w:p w:rsidR="009F7331" w:rsidRPr="004E6CFC" w:rsidRDefault="009F7331" w:rsidP="009F7331">
      <w:pPr>
        <w:ind w:left="1416" w:hanging="1416"/>
      </w:pPr>
      <w:r w:rsidRPr="004E6CFC">
        <w:rPr>
          <w:i/>
          <w:iCs/>
        </w:rPr>
        <w:lastRenderedPageBreak/>
        <w:t>BRAE</w:t>
      </w:r>
      <w:r w:rsidRPr="004E6CFC">
        <w:rPr>
          <w:i/>
          <w:iCs/>
          <w:vertAlign w:val="subscript"/>
        </w:rPr>
        <w:t>j,n,0</w:t>
      </w:r>
      <w:r w:rsidRPr="004E6CFC">
        <w:t>:</w:t>
      </w:r>
      <w:r w:rsidRPr="004E6CFC">
        <w:tab/>
        <w:t xml:space="preserve">Base regulatoria de activos eléctricos del OR </w:t>
      </w:r>
      <w:r w:rsidRPr="004E6CFC">
        <w:rPr>
          <w:i/>
        </w:rPr>
        <w:t>j</w:t>
      </w:r>
      <w:r w:rsidRPr="004E6CFC">
        <w:t xml:space="preserve"> en el nivel de tensión </w:t>
      </w:r>
      <w:r w:rsidRPr="004E6CFC">
        <w:rPr>
          <w:i/>
          <w:iCs/>
        </w:rPr>
        <w:t xml:space="preserve">n </w:t>
      </w:r>
      <w:r w:rsidRPr="004E6CFC">
        <w:t>al inicio del periodo tarifario</w:t>
      </w:r>
      <w:r>
        <w:t xml:space="preserve">, según lo establecido en el numeral </w:t>
      </w:r>
      <w:r>
        <w:fldChar w:fldCharType="begin"/>
      </w:r>
      <w:r>
        <w:instrText xml:space="preserve"> REF _Ref408308421 \r \h </w:instrText>
      </w:r>
      <w:r>
        <w:fldChar w:fldCharType="separate"/>
      </w:r>
      <w:r w:rsidR="00737178">
        <w:t>3.1.1.1</w:t>
      </w:r>
      <w:r>
        <w:fldChar w:fldCharType="end"/>
      </w:r>
      <w:r w:rsidRPr="004E6CFC">
        <w:t>.</w:t>
      </w:r>
    </w:p>
    <w:p w:rsidR="00E9756B" w:rsidRPr="00DA7FDA" w:rsidRDefault="00E9756B" w:rsidP="00E9756B">
      <w:pPr>
        <w:ind w:left="1410" w:hanging="1410"/>
        <w:rPr>
          <w:rFonts w:cs="Arial"/>
          <w:szCs w:val="20"/>
          <w:lang w:val="es-CO"/>
        </w:rPr>
      </w:pPr>
      <w:r w:rsidRPr="004E6CFC">
        <w:rPr>
          <w:i/>
          <w:color w:val="000000" w:themeColor="text1"/>
        </w:rPr>
        <w:t>P</w:t>
      </w:r>
      <w:r w:rsidRPr="004E6CFC">
        <w:rPr>
          <w:i/>
          <w:color w:val="000000" w:themeColor="text1"/>
          <w:vertAlign w:val="subscript"/>
        </w:rPr>
        <w:t>j,n,t</w:t>
      </w:r>
      <w:r w:rsidRPr="004E6CFC">
        <w:rPr>
          <w:i/>
        </w:rPr>
        <w:t>:</w:t>
      </w:r>
      <w:r w:rsidRPr="004E6CFC">
        <w:rPr>
          <w:i/>
        </w:rPr>
        <w:tab/>
      </w:r>
      <w:r w:rsidRPr="004E6CFC">
        <w:rPr>
          <w:rFonts w:cs="Arial"/>
          <w:szCs w:val="20"/>
          <w:lang w:val="es-CO"/>
        </w:rPr>
        <w:t xml:space="preserve">Índice de pérdidas del OR </w:t>
      </w:r>
      <w:r w:rsidRPr="004E6CFC">
        <w:rPr>
          <w:rFonts w:cs="Arial"/>
          <w:i/>
          <w:szCs w:val="20"/>
          <w:lang w:val="es-CO"/>
        </w:rPr>
        <w:t>j</w:t>
      </w:r>
      <w:r w:rsidRPr="004E6CFC">
        <w:rPr>
          <w:rFonts w:cs="Arial"/>
          <w:szCs w:val="20"/>
          <w:lang w:val="es-CO"/>
        </w:rPr>
        <w:t xml:space="preserve"> en el </w:t>
      </w:r>
      <w:r w:rsidRPr="004E6CFC">
        <w:t xml:space="preserve">nivel de tensión </w:t>
      </w:r>
      <w:r w:rsidRPr="004E6CFC">
        <w:rPr>
          <w:i/>
        </w:rPr>
        <w:t>n</w:t>
      </w:r>
      <w:r w:rsidRPr="004E6CFC">
        <w:rPr>
          <w:rFonts w:cs="Arial"/>
          <w:szCs w:val="20"/>
          <w:lang w:val="es-CO"/>
        </w:rPr>
        <w:t xml:space="preserve">, en el año </w:t>
      </w:r>
      <w:r w:rsidRPr="004E6CFC">
        <w:rPr>
          <w:rFonts w:cs="Arial"/>
          <w:i/>
          <w:szCs w:val="20"/>
          <w:lang w:val="es-CO"/>
        </w:rPr>
        <w:t>t</w:t>
      </w:r>
      <w:r w:rsidRPr="004E6CFC">
        <w:rPr>
          <w:rFonts w:cs="Arial"/>
          <w:szCs w:val="20"/>
          <w:lang w:val="es-CO"/>
        </w:rPr>
        <w:t xml:space="preserve">,  calculado conforme a lo establecido </w:t>
      </w:r>
      <w:r w:rsidRPr="00DA7FDA">
        <w:rPr>
          <w:rFonts w:cs="Arial"/>
          <w:szCs w:val="20"/>
          <w:lang w:val="es-CO"/>
        </w:rPr>
        <w:t xml:space="preserve">en los numerales </w:t>
      </w:r>
      <w:r w:rsidRPr="00DA7FDA">
        <w:rPr>
          <w:rFonts w:cs="Arial"/>
          <w:szCs w:val="20"/>
          <w:lang w:val="es-CO"/>
        </w:rPr>
        <w:fldChar w:fldCharType="begin"/>
      </w:r>
      <w:r w:rsidRPr="00DA7FDA">
        <w:rPr>
          <w:rFonts w:cs="Arial"/>
          <w:szCs w:val="20"/>
          <w:lang w:val="es-CO"/>
        </w:rPr>
        <w:instrText xml:space="preserve"> REF _Ref476810803 \r \h  \* MERGEFORMAT </w:instrText>
      </w:r>
      <w:r w:rsidRPr="00DA7FDA">
        <w:rPr>
          <w:rFonts w:cs="Arial"/>
          <w:szCs w:val="20"/>
          <w:lang w:val="es-CO"/>
        </w:rPr>
      </w:r>
      <w:r w:rsidRPr="00DA7FDA">
        <w:rPr>
          <w:rFonts w:cs="Arial"/>
          <w:szCs w:val="20"/>
          <w:lang w:val="es-CO"/>
        </w:rPr>
        <w:fldChar w:fldCharType="separate"/>
      </w:r>
      <w:r w:rsidR="00737178">
        <w:rPr>
          <w:rFonts w:cs="Arial"/>
          <w:szCs w:val="20"/>
          <w:lang w:val="es-CO"/>
        </w:rPr>
        <w:t>7.1.2</w:t>
      </w:r>
      <w:r w:rsidRPr="00DA7FDA">
        <w:rPr>
          <w:rFonts w:cs="Arial"/>
          <w:szCs w:val="20"/>
          <w:lang w:val="es-CO"/>
        </w:rPr>
        <w:fldChar w:fldCharType="end"/>
      </w:r>
      <w:r w:rsidRPr="00DA7FDA">
        <w:rPr>
          <w:rFonts w:cs="Arial"/>
          <w:szCs w:val="20"/>
          <w:lang w:val="es-CO"/>
        </w:rPr>
        <w:t xml:space="preserve"> y </w:t>
      </w:r>
      <w:r w:rsidRPr="00DA7FDA">
        <w:rPr>
          <w:rFonts w:cs="Arial"/>
          <w:szCs w:val="20"/>
          <w:lang w:val="es-CO"/>
        </w:rPr>
        <w:fldChar w:fldCharType="begin"/>
      </w:r>
      <w:r w:rsidRPr="00DA7FDA">
        <w:rPr>
          <w:rFonts w:cs="Arial"/>
          <w:szCs w:val="20"/>
          <w:lang w:val="es-CO"/>
        </w:rPr>
        <w:instrText xml:space="preserve"> REF _Ref476810808 \r \h  \* MERGEFORMAT </w:instrText>
      </w:r>
      <w:r w:rsidRPr="00DA7FDA">
        <w:rPr>
          <w:rFonts w:cs="Arial"/>
          <w:szCs w:val="20"/>
          <w:lang w:val="es-CO"/>
        </w:rPr>
      </w:r>
      <w:r w:rsidRPr="00DA7FDA">
        <w:rPr>
          <w:rFonts w:cs="Arial"/>
          <w:szCs w:val="20"/>
          <w:lang w:val="es-CO"/>
        </w:rPr>
        <w:fldChar w:fldCharType="separate"/>
      </w:r>
      <w:r w:rsidR="00737178">
        <w:rPr>
          <w:rFonts w:cs="Arial"/>
          <w:szCs w:val="20"/>
          <w:lang w:val="es-CO"/>
        </w:rPr>
        <w:t>7.1.3</w:t>
      </w:r>
      <w:r w:rsidRPr="00DA7FDA">
        <w:rPr>
          <w:rFonts w:cs="Arial"/>
          <w:szCs w:val="20"/>
          <w:lang w:val="es-CO"/>
        </w:rPr>
        <w:fldChar w:fldCharType="end"/>
      </w:r>
      <w:r w:rsidRPr="00DA7FDA">
        <w:rPr>
          <w:rFonts w:cs="Arial"/>
          <w:szCs w:val="20"/>
          <w:lang w:val="es-CO"/>
        </w:rPr>
        <w:t>.</w:t>
      </w:r>
    </w:p>
    <w:p w:rsidR="00E9756B" w:rsidRPr="004E6CFC" w:rsidRDefault="00E9756B" w:rsidP="00E9756B">
      <w:pPr>
        <w:ind w:left="1410" w:hanging="1410"/>
      </w:pPr>
      <w:r w:rsidRPr="00DA7FDA">
        <w:rPr>
          <w:i/>
        </w:rPr>
        <w:t>Ee</w:t>
      </w:r>
      <w:r w:rsidRPr="00DA7FDA">
        <w:rPr>
          <w:i/>
          <w:vertAlign w:val="subscript"/>
        </w:rPr>
        <w:t>j,n,m</w:t>
      </w:r>
      <w:r w:rsidR="009F7331">
        <w:rPr>
          <w:i/>
          <w:vertAlign w:val="subscript"/>
        </w:rPr>
        <w:t>a</w:t>
      </w:r>
      <w:r w:rsidRPr="00DA7FDA">
        <w:rPr>
          <w:i/>
          <w:vertAlign w:val="subscript"/>
        </w:rPr>
        <w:t>:</w:t>
      </w:r>
      <w:r w:rsidRPr="00DA7FDA">
        <w:tab/>
        <w:t xml:space="preserve">Energía de entrada al sistema del OR </w:t>
      </w:r>
      <w:r w:rsidRPr="00DA7FDA">
        <w:rPr>
          <w:i/>
        </w:rPr>
        <w:t>j</w:t>
      </w:r>
      <w:r w:rsidRPr="00DA7FDA">
        <w:t xml:space="preserve"> en el nivel de tensión </w:t>
      </w:r>
      <w:r w:rsidRPr="00DA7FDA">
        <w:rPr>
          <w:i/>
        </w:rPr>
        <w:t>n</w:t>
      </w:r>
      <w:r w:rsidRPr="00DA7FDA">
        <w:t xml:space="preserve">, durante el mes </w:t>
      </w:r>
      <w:r w:rsidRPr="00DA7FDA">
        <w:rPr>
          <w:i/>
        </w:rPr>
        <w:t>m</w:t>
      </w:r>
      <w:r w:rsidR="009F7331">
        <w:rPr>
          <w:i/>
        </w:rPr>
        <w:t>a</w:t>
      </w:r>
      <w:r w:rsidRPr="00DA7FDA">
        <w:t xml:space="preserve">, expresada en kWh, calculada de acuerdo con lo establecido en el numeral </w:t>
      </w:r>
      <w:r w:rsidRPr="00DA7FDA">
        <w:fldChar w:fldCharType="begin"/>
      </w:r>
      <w:r w:rsidRPr="00DA7FDA">
        <w:instrText xml:space="preserve"> REF _Ref439921506 \r \h  \* MERGEFORMAT </w:instrText>
      </w:r>
      <w:r w:rsidRPr="00DA7FDA">
        <w:fldChar w:fldCharType="separate"/>
      </w:r>
      <w:r w:rsidR="00737178">
        <w:t>7.3.7.1</w:t>
      </w:r>
      <w:r w:rsidRPr="00DA7FDA">
        <w:fldChar w:fldCharType="end"/>
      </w:r>
      <w:r w:rsidRPr="00DA7FDA">
        <w:t>.</w:t>
      </w:r>
    </w:p>
    <w:p w:rsidR="00E9756B" w:rsidRPr="004E6CFC" w:rsidRDefault="00E9756B" w:rsidP="00E9756B">
      <w:pPr>
        <w:ind w:left="1410" w:hanging="1410"/>
      </w:pPr>
      <w:r w:rsidRPr="004E6CFC">
        <w:rPr>
          <w:i/>
          <w:iCs/>
        </w:rPr>
        <w:t>IPP</w:t>
      </w:r>
      <w:r w:rsidRPr="004E6CFC">
        <w:rPr>
          <w:i/>
          <w:iCs/>
          <w:vertAlign w:val="subscript"/>
        </w:rPr>
        <w:t>m-1</w:t>
      </w:r>
      <w:r w:rsidRPr="004E6CFC">
        <w:t>:</w:t>
      </w:r>
      <w:r w:rsidRPr="004E6CFC">
        <w:tab/>
        <w:t xml:space="preserve">Índice de precios del productor del mes </w:t>
      </w:r>
      <w:r w:rsidRPr="004E6CFC">
        <w:rPr>
          <w:i/>
        </w:rPr>
        <w:t>m</w:t>
      </w:r>
      <w:r w:rsidRPr="004E6CFC">
        <w:rPr>
          <w:i/>
          <w:iCs/>
        </w:rPr>
        <w:t>-1</w:t>
      </w:r>
      <w:r w:rsidRPr="004E6CFC">
        <w:t>.</w:t>
      </w:r>
    </w:p>
    <w:p w:rsidR="00E9756B" w:rsidRPr="004E6CFC" w:rsidRDefault="00E9756B" w:rsidP="00E9756B">
      <w:pPr>
        <w:ind w:left="1410" w:hanging="1410"/>
      </w:pPr>
      <w:r w:rsidRPr="004E6CFC">
        <w:rPr>
          <w:i/>
          <w:iCs/>
        </w:rPr>
        <w:t>IPP</w:t>
      </w:r>
      <w:r>
        <w:rPr>
          <w:i/>
          <w:iCs/>
          <w:vertAlign w:val="subscript"/>
        </w:rPr>
        <w:t>FC</w:t>
      </w:r>
      <w:r w:rsidRPr="004E6CFC">
        <w:t>:</w:t>
      </w:r>
      <w:r w:rsidRPr="004E6CFC">
        <w:tab/>
        <w:t>Índice de precios del productor de</w:t>
      </w:r>
      <w:r>
        <w:t xml:space="preserve"> la fecha de corte</w:t>
      </w:r>
      <w:r w:rsidRPr="004E6CFC">
        <w:t>.</w:t>
      </w:r>
    </w:p>
    <w:p w:rsidR="00E9756B" w:rsidRPr="004E6CFC" w:rsidRDefault="00E9756B" w:rsidP="00E9756B">
      <w:pPr>
        <w:ind w:left="1410" w:hanging="1410"/>
      </w:pPr>
      <w:r w:rsidRPr="004E6CFC">
        <w:rPr>
          <w:i/>
          <w:iCs/>
        </w:rPr>
        <w:t>IPP</w:t>
      </w:r>
      <w:r>
        <w:rPr>
          <w:i/>
          <w:iCs/>
          <w:vertAlign w:val="subscript"/>
        </w:rPr>
        <w:t>t-1</w:t>
      </w:r>
      <w:r w:rsidRPr="004E6CFC">
        <w:t>:</w:t>
      </w:r>
      <w:r w:rsidRPr="004E6CFC">
        <w:tab/>
        <w:t>Índice de precios del productor de</w:t>
      </w:r>
      <w:r>
        <w:t>l mes de diciembre del año anterior al año t</w:t>
      </w:r>
      <w:r w:rsidRPr="004E6CFC">
        <w:t>.</w:t>
      </w:r>
    </w:p>
    <w:p w:rsidR="00E9756B" w:rsidRPr="004E6CFC" w:rsidRDefault="00E9756B" w:rsidP="00E9756B">
      <w:pPr>
        <w:pStyle w:val="Ttulo2"/>
      </w:pPr>
      <w:bookmarkStart w:id="61" w:name="_Toc476824111"/>
      <w:bookmarkStart w:id="62" w:name="_Toc505335890"/>
      <w:r w:rsidRPr="004E6CFC">
        <w:t>CARGOS POR NIVEL DE TENSIÓN</w:t>
      </w:r>
      <w:bookmarkEnd w:id="61"/>
      <w:bookmarkEnd w:id="62"/>
    </w:p>
    <w:p w:rsidR="00E9756B" w:rsidRPr="004E6CFC" w:rsidRDefault="00E9756B" w:rsidP="00E9756B">
      <w:r w:rsidRPr="004E6CFC">
        <w:t>El LAC calculará mensualmente los cargos de cada nivel de tensión de acuerdo con las siguientes expresiones.</w:t>
      </w:r>
    </w:p>
    <w:p w:rsidR="00E9756B" w:rsidRPr="004E6CFC" w:rsidRDefault="00E9756B" w:rsidP="00E9756B">
      <w:pPr>
        <w:pStyle w:val="Ttulo3"/>
      </w:pPr>
      <w:bookmarkStart w:id="63" w:name="_Ref444861631"/>
      <w:bookmarkStart w:id="64" w:name="_Toc476824112"/>
      <w:bookmarkStart w:id="65" w:name="_Toc505335891"/>
      <w:r w:rsidRPr="004E6CFC">
        <w:t>Cargos del nivel de tensión 4</w:t>
      </w:r>
      <w:bookmarkEnd w:id="63"/>
      <w:bookmarkEnd w:id="64"/>
      <w:bookmarkEnd w:id="65"/>
    </w:p>
    <w:p w:rsidR="00E9756B" w:rsidRDefault="00E9756B" w:rsidP="00E9756B">
      <w:r w:rsidRPr="004E6CFC">
        <w:t>Para cada uno de los STR</w:t>
      </w:r>
      <w:r>
        <w:t xml:space="preserve"> el cargo por nivel de tensión 4 se calcula a partir de los ingresos de los OR que tienen mercados de comercialización en ese STR y de los ingresos de los TR que construyen convocatorias en ese STR. Los OR que construyan convocatorias en un STR diferente al suyo se considerarán TR en ese STR diferente.</w:t>
      </w:r>
    </w:p>
    <w:p w:rsidR="00E9756B" w:rsidRPr="004E6CFC" w:rsidRDefault="00E9756B" w:rsidP="00E9756B">
      <w:r>
        <w:t>E</w:t>
      </w:r>
      <w:r w:rsidRPr="004E6CFC">
        <w:t>l LAC estimará el cargo de nivel de tensión 4 así:</w:t>
      </w:r>
    </w:p>
    <w:p w:rsidR="00E9756B" w:rsidRPr="004E6CFC" w:rsidRDefault="00C9592F" w:rsidP="00E9756B">
      <m:oMathPara>
        <m:oMath>
          <m:sSub>
            <m:sSubPr>
              <m:ctrlPr>
                <w:rPr>
                  <w:rFonts w:ascii="Cambria Math" w:hAnsi="Cambria Math"/>
                  <w:i/>
                </w:rPr>
              </m:ctrlPr>
            </m:sSubPr>
            <m:e>
              <m:r>
                <w:rPr>
                  <w:rFonts w:ascii="Cambria Math" w:hAnsi="Cambria Math"/>
                </w:rPr>
                <m:t>CD</m:t>
              </m:r>
            </m:e>
            <m:sub>
              <m:r>
                <w:rPr>
                  <w:rFonts w:ascii="Cambria Math"/>
                </w:rPr>
                <m:t>4,</m:t>
              </m:r>
              <m:r>
                <w:rPr>
                  <w:rFonts w:ascii="Cambria Math" w:hAnsi="Cambria Math"/>
                </w:rPr>
                <m:t>R</m:t>
              </m:r>
              <m:r>
                <w:rPr>
                  <w:rFonts w:ascii="Cambria Math"/>
                </w:rPr>
                <m:t>,</m:t>
              </m:r>
              <m:r>
                <w:rPr>
                  <w:rFonts w:ascii="Cambria Math" w:hAnsi="Cambria Math"/>
                </w:rPr>
                <m:t>m,t</m:t>
              </m:r>
            </m:sub>
          </m:sSub>
          <m:r>
            <w:rPr>
              <w:rFonts w:ascii="Cambria Math"/>
            </w:rPr>
            <m:t>=</m:t>
          </m:r>
          <m:f>
            <m:fPr>
              <m:ctrlPr>
                <w:rPr>
                  <w:rFonts w:ascii="Cambria Math" w:hAnsi="Cambria Math"/>
                  <w:i/>
                </w:rPr>
              </m:ctrlPr>
            </m:fPr>
            <m:num>
              <m:nary>
                <m:naryPr>
                  <m:chr m:val="∑"/>
                  <m:limLoc m:val="undOvr"/>
                  <m:ctrlPr>
                    <w:rPr>
                      <w:rFonts w:ascii="Cambria Math" w:hAnsi="Cambria Math"/>
                      <w:i/>
                    </w:rPr>
                  </m:ctrlPr>
                </m:naryPr>
                <m:sub>
                  <m:r>
                    <w:rPr>
                      <w:rFonts w:ascii="Cambria Math" w:hAnsi="Cambria Math"/>
                    </w:rPr>
                    <m:t>j</m:t>
                  </m:r>
                  <m:r>
                    <w:rPr>
                      <w:rFonts w:ascii="Cambria Math"/>
                    </w:rPr>
                    <m:t>=1</m:t>
                  </m:r>
                </m:sub>
                <m:sup>
                  <m:r>
                    <w:rPr>
                      <w:rFonts w:ascii="Cambria Math" w:hAnsi="Cambria Math"/>
                    </w:rPr>
                    <m:t>J</m:t>
                  </m:r>
                </m:sup>
                <m:e>
                  <m:sSub>
                    <m:sSubPr>
                      <m:ctrlPr>
                        <w:rPr>
                          <w:rFonts w:ascii="Cambria Math" w:hAnsi="Cambria Math"/>
                          <w:i/>
                        </w:rPr>
                      </m:ctrlPr>
                    </m:sSubPr>
                    <m:e>
                      <m:r>
                        <w:rPr>
                          <w:rFonts w:ascii="Cambria Math" w:hAnsi="Cambria Math"/>
                        </w:rPr>
                        <m:t>IM</m:t>
                      </m:r>
                    </m:e>
                    <m:sub>
                      <m:r>
                        <w:rPr>
                          <w:rFonts w:ascii="Cambria Math" w:hAnsi="Cambria Math"/>
                        </w:rPr>
                        <m:t>j</m:t>
                      </m:r>
                      <m:r>
                        <w:rPr>
                          <w:rFonts w:ascii="Cambria Math"/>
                        </w:rPr>
                        <m:t>,4,</m:t>
                      </m:r>
                      <m:r>
                        <w:rPr>
                          <w:rFonts w:ascii="Cambria Math" w:hAnsi="Cambria Math"/>
                        </w:rPr>
                        <m:t>R</m:t>
                      </m:r>
                      <m:r>
                        <w:rPr>
                          <w:rFonts w:ascii="Cambria Math"/>
                        </w:rPr>
                        <m:t>,</m:t>
                      </m:r>
                      <m:r>
                        <w:rPr>
                          <w:rFonts w:ascii="Cambria Math" w:hAnsi="Cambria Math"/>
                        </w:rPr>
                        <m:t>m,t</m:t>
                      </m:r>
                    </m:sub>
                  </m:sSub>
                </m:e>
              </m:nary>
              <m:r>
                <w:rPr>
                  <w:rFonts w:ascii="Cambria Math" w:hAnsi="Cambria Math"/>
                  <w:sz w:val="28"/>
                </w:rPr>
                <m:t>+</m:t>
              </m:r>
              <m:nary>
                <m:naryPr>
                  <m:chr m:val="∑"/>
                  <m:limLoc m:val="undOvr"/>
                  <m:ctrlPr>
                    <w:rPr>
                      <w:rFonts w:ascii="Cambria Math" w:hAnsi="Cambria Math"/>
                      <w:i/>
                    </w:rPr>
                  </m:ctrlPr>
                </m:naryPr>
                <m:sub>
                  <m:r>
                    <w:rPr>
                      <w:rFonts w:ascii="Cambria Math" w:hAnsi="Cambria Math"/>
                    </w:rPr>
                    <m:t>r=1</m:t>
                  </m:r>
                </m:sub>
                <m:sup>
                  <m:r>
                    <w:rPr>
                      <w:rFonts w:ascii="Cambria Math" w:hAnsi="Cambria Math"/>
                    </w:rPr>
                    <m:t>R</m:t>
                  </m:r>
                </m:sup>
                <m:e>
                  <m:sSub>
                    <m:sSubPr>
                      <m:ctrlPr>
                        <w:rPr>
                          <w:rFonts w:ascii="Cambria Math" w:hAnsi="Cambria Math"/>
                          <w:i/>
                        </w:rPr>
                      </m:ctrlPr>
                    </m:sSubPr>
                    <m:e>
                      <m:r>
                        <w:rPr>
                          <w:rFonts w:ascii="Cambria Math" w:hAnsi="Cambria Math"/>
                        </w:rPr>
                        <m:t>IMTR</m:t>
                      </m:r>
                    </m:e>
                    <m:sub>
                      <m:r>
                        <w:rPr>
                          <w:rFonts w:ascii="Cambria Math" w:hAnsi="Cambria Math"/>
                        </w:rPr>
                        <m:t>r,R,m,t</m:t>
                      </m:r>
                    </m:sub>
                  </m:sSub>
                </m:e>
              </m:nary>
            </m:num>
            <m:den>
              <m:nary>
                <m:naryPr>
                  <m:chr m:val="∑"/>
                  <m:limLoc m:val="undOvr"/>
                  <m:ctrlPr>
                    <w:rPr>
                      <w:rFonts w:ascii="Cambria Math" w:hAnsi="Cambria Math"/>
                      <w:i/>
                    </w:rPr>
                  </m:ctrlPr>
                </m:naryPr>
                <m:sub>
                  <m:r>
                    <w:rPr>
                      <w:rFonts w:ascii="Cambria Math" w:hAnsi="Cambria Math"/>
                    </w:rPr>
                    <m:t>j</m:t>
                  </m:r>
                  <m:r>
                    <w:rPr>
                      <w:rFonts w:ascii="Cambria Math"/>
                    </w:rPr>
                    <m:t>=1</m:t>
                  </m:r>
                </m:sub>
                <m:sup>
                  <m:r>
                    <w:rPr>
                      <w:rFonts w:ascii="Cambria Math" w:hAnsi="Cambria Math"/>
                    </w:rPr>
                    <m:t>JR</m:t>
                  </m:r>
                </m:sup>
                <m:e>
                  <m:sSub>
                    <m:sSubPr>
                      <m:ctrlPr>
                        <w:rPr>
                          <w:rFonts w:ascii="Cambria Math" w:hAnsi="Cambria Math"/>
                          <w:i/>
                        </w:rPr>
                      </m:ctrlPr>
                    </m:sSubPr>
                    <m:e>
                      <m:r>
                        <w:rPr>
                          <w:rFonts w:ascii="Cambria Math" w:hAnsi="Cambria Math"/>
                        </w:rPr>
                        <m:t>DTC</m:t>
                      </m:r>
                    </m:e>
                    <m:sub>
                      <m:r>
                        <w:rPr>
                          <w:rFonts w:ascii="Cambria Math" w:hAnsi="Cambria Math"/>
                        </w:rPr>
                        <m:t>j,R,m-1</m:t>
                      </m:r>
                    </m:sub>
                  </m:sSub>
                </m:e>
              </m:nary>
            </m:den>
          </m:f>
        </m:oMath>
      </m:oMathPara>
    </w:p>
    <w:p w:rsidR="00E9756B" w:rsidRPr="004E6CFC" w:rsidRDefault="00E9756B" w:rsidP="00E9756B">
      <w:r w:rsidRPr="004E6CFC">
        <w:t>Donde:</w:t>
      </w:r>
    </w:p>
    <w:p w:rsidR="00E9756B" w:rsidRPr="004E6CFC" w:rsidRDefault="00E9756B" w:rsidP="00E9756B">
      <w:pPr>
        <w:spacing w:before="120"/>
        <w:ind w:left="1418" w:hanging="1418"/>
      </w:pPr>
      <w:r w:rsidRPr="004E6CFC">
        <w:rPr>
          <w:i/>
          <w:iCs/>
        </w:rPr>
        <w:t>CD</w:t>
      </w:r>
      <w:r w:rsidRPr="004E6CFC">
        <w:rPr>
          <w:i/>
          <w:iCs/>
          <w:vertAlign w:val="subscript"/>
        </w:rPr>
        <w:t>4,R,m,t</w:t>
      </w:r>
      <w:r w:rsidRPr="004E6CFC">
        <w:t>:</w:t>
      </w:r>
      <w:r w:rsidRPr="004E6CFC">
        <w:tab/>
        <w:t xml:space="preserve">Cargo de nivel de tensión 4 del STR </w:t>
      </w:r>
      <w:r w:rsidRPr="004E6CFC">
        <w:rPr>
          <w:i/>
        </w:rPr>
        <w:t>R</w:t>
      </w:r>
      <w:r w:rsidRPr="004E6CFC">
        <w:t xml:space="preserve">, en el mes </w:t>
      </w:r>
      <w:r w:rsidRPr="004E6CFC">
        <w:rPr>
          <w:i/>
        </w:rPr>
        <w:t>m</w:t>
      </w:r>
      <w:r w:rsidRPr="004E6CFC">
        <w:t xml:space="preserve"> del año </w:t>
      </w:r>
      <w:r w:rsidRPr="004E6CFC">
        <w:rPr>
          <w:i/>
        </w:rPr>
        <w:t>t</w:t>
      </w:r>
      <w:r w:rsidRPr="004E6CFC">
        <w:t>, en $/kWh.</w:t>
      </w:r>
    </w:p>
    <w:p w:rsidR="00E9756B" w:rsidRPr="00DA7FDA" w:rsidRDefault="00E9756B" w:rsidP="00E9756B">
      <w:pPr>
        <w:ind w:left="1410" w:hanging="1410"/>
      </w:pPr>
      <w:r w:rsidRPr="004E6CFC">
        <w:rPr>
          <w:i/>
          <w:iCs/>
        </w:rPr>
        <w:t>IM</w:t>
      </w:r>
      <w:r w:rsidRPr="004E6CFC">
        <w:rPr>
          <w:i/>
          <w:iCs/>
          <w:vertAlign w:val="subscript"/>
        </w:rPr>
        <w:t>j,4,R,m,t</w:t>
      </w:r>
      <w:r w:rsidRPr="004E6CFC">
        <w:t>:</w:t>
      </w:r>
      <w:r w:rsidRPr="004E6CFC">
        <w:tab/>
        <w:t xml:space="preserve">Ingreso mensual del OR </w:t>
      </w:r>
      <w:r w:rsidRPr="004E6CFC">
        <w:rPr>
          <w:i/>
          <w:iCs/>
        </w:rPr>
        <w:t>j</w:t>
      </w:r>
      <w:r>
        <w:t xml:space="preserve">, </w:t>
      </w:r>
      <w:r w:rsidRPr="004E6CFC">
        <w:t xml:space="preserve">perteneciente al STR </w:t>
      </w:r>
      <w:r w:rsidRPr="004E6CFC">
        <w:rPr>
          <w:i/>
          <w:iCs/>
        </w:rPr>
        <w:t>R</w:t>
      </w:r>
      <w:r>
        <w:rPr>
          <w:i/>
          <w:iCs/>
        </w:rPr>
        <w:t>,</w:t>
      </w:r>
      <w:r w:rsidRPr="004E6CFC">
        <w:t xml:space="preserve"> en el nivel de tensión 4</w:t>
      </w:r>
      <w:r>
        <w:t>,</w:t>
      </w:r>
      <w:r w:rsidRPr="004E6CFC">
        <w:t xml:space="preserve"> en </w:t>
      </w:r>
      <w:r w:rsidRPr="00DA7FDA">
        <w:t xml:space="preserve">el mes </w:t>
      </w:r>
      <w:r w:rsidRPr="00DA7FDA">
        <w:rPr>
          <w:i/>
        </w:rPr>
        <w:t>m</w:t>
      </w:r>
      <w:r w:rsidRPr="00DA7FDA">
        <w:t xml:space="preserve"> del año </w:t>
      </w:r>
      <w:r w:rsidRPr="00DA7FDA">
        <w:rPr>
          <w:i/>
        </w:rPr>
        <w:t>t</w:t>
      </w:r>
      <w:r w:rsidRPr="00DA7FDA">
        <w:t xml:space="preserve">, en pesos, calculado según lo establecido en el numeral </w:t>
      </w:r>
      <w:r w:rsidRPr="00DA7FDA">
        <w:fldChar w:fldCharType="begin"/>
      </w:r>
      <w:r w:rsidRPr="00DA7FDA">
        <w:instrText xml:space="preserve"> REF _Ref440377350 \r \h  \* MERGEFORMAT </w:instrText>
      </w:r>
      <w:r w:rsidRPr="00DA7FDA">
        <w:fldChar w:fldCharType="separate"/>
      </w:r>
      <w:r w:rsidR="00737178">
        <w:t>2.1</w:t>
      </w:r>
      <w:r w:rsidRPr="00DA7FDA">
        <w:fldChar w:fldCharType="end"/>
      </w:r>
      <w:r w:rsidRPr="00DA7FDA">
        <w:t>.</w:t>
      </w:r>
    </w:p>
    <w:p w:rsidR="00E9756B" w:rsidRPr="00DA7FDA" w:rsidRDefault="00E9756B" w:rsidP="00E9756B">
      <w:pPr>
        <w:ind w:left="1410" w:hanging="1410"/>
      </w:pPr>
      <w:r w:rsidRPr="00DA7FDA">
        <w:rPr>
          <w:i/>
          <w:iCs/>
        </w:rPr>
        <w:t>IMTR</w:t>
      </w:r>
      <w:r w:rsidRPr="00DA7FDA">
        <w:rPr>
          <w:i/>
          <w:iCs/>
          <w:vertAlign w:val="subscript"/>
        </w:rPr>
        <w:t>r,R,m,t</w:t>
      </w:r>
      <w:r w:rsidRPr="00DA7FDA">
        <w:t>:</w:t>
      </w:r>
      <w:r w:rsidRPr="00DA7FDA">
        <w:tab/>
        <w:t xml:space="preserve">Ingreso mensual del TR </w:t>
      </w:r>
      <w:r w:rsidRPr="00DA7FDA">
        <w:rPr>
          <w:i/>
          <w:iCs/>
        </w:rPr>
        <w:t>r,</w:t>
      </w:r>
      <w:r w:rsidRPr="00DA7FDA">
        <w:rPr>
          <w:iCs/>
        </w:rPr>
        <w:t xml:space="preserve"> en el </w:t>
      </w:r>
      <w:r w:rsidRPr="00DA7FDA">
        <w:t xml:space="preserve">STR </w:t>
      </w:r>
      <w:r w:rsidRPr="00DA7FDA">
        <w:rPr>
          <w:i/>
          <w:iCs/>
        </w:rPr>
        <w:t>R</w:t>
      </w:r>
      <w:r w:rsidRPr="00DA7FDA">
        <w:t xml:space="preserve"> para el mes </w:t>
      </w:r>
      <w:r w:rsidRPr="00DA7FDA">
        <w:rPr>
          <w:i/>
        </w:rPr>
        <w:t>m</w:t>
      </w:r>
      <w:r w:rsidRPr="00DA7FDA">
        <w:t xml:space="preserve"> del año </w:t>
      </w:r>
      <w:r w:rsidRPr="00DA7FDA">
        <w:rPr>
          <w:i/>
        </w:rPr>
        <w:t>t</w:t>
      </w:r>
      <w:r w:rsidRPr="00DA7FDA">
        <w:t xml:space="preserve">, en pesos, calculado según lo establecido en el numeral </w:t>
      </w:r>
      <w:r w:rsidRPr="00DA7FDA">
        <w:fldChar w:fldCharType="begin"/>
      </w:r>
      <w:r w:rsidRPr="00DA7FDA">
        <w:instrText xml:space="preserve"> REF _Ref440377351 \r \h  \* MERGEFORMAT </w:instrText>
      </w:r>
      <w:r w:rsidRPr="00DA7FDA">
        <w:fldChar w:fldCharType="separate"/>
      </w:r>
      <w:r w:rsidR="00737178">
        <w:t>2.2</w:t>
      </w:r>
      <w:r w:rsidRPr="00DA7FDA">
        <w:fldChar w:fldCharType="end"/>
      </w:r>
      <w:r w:rsidRPr="00DA7FDA">
        <w:t>.</w:t>
      </w:r>
    </w:p>
    <w:p w:rsidR="00E9756B" w:rsidRPr="004E6CFC" w:rsidRDefault="00E9756B" w:rsidP="00E9756B">
      <w:pPr>
        <w:spacing w:before="120"/>
        <w:ind w:left="1418" w:hanging="1418"/>
      </w:pPr>
      <w:r w:rsidRPr="00DA7FDA">
        <w:rPr>
          <w:i/>
          <w:iCs/>
        </w:rPr>
        <w:t>DTC</w:t>
      </w:r>
      <w:r w:rsidRPr="00DA7FDA">
        <w:rPr>
          <w:i/>
          <w:iCs/>
          <w:vertAlign w:val="subscript"/>
        </w:rPr>
        <w:t>j,R,m-1</w:t>
      </w:r>
      <w:r w:rsidRPr="00DA7FDA">
        <w:t>:</w:t>
      </w:r>
      <w:r w:rsidRPr="00DA7FDA">
        <w:tab/>
        <w:t xml:space="preserve">Demanda total de los comercializadores que atienden usuarios en el mercado de comercialización del OR </w:t>
      </w:r>
      <w:r w:rsidRPr="00DA7FDA">
        <w:rPr>
          <w:i/>
          <w:iCs/>
        </w:rPr>
        <w:t>j</w:t>
      </w:r>
      <w:r w:rsidRPr="00DA7FDA">
        <w:t xml:space="preserve">, perteneciente al STR </w:t>
      </w:r>
      <w:r w:rsidRPr="00DA7FDA">
        <w:rPr>
          <w:i/>
          <w:iCs/>
        </w:rPr>
        <w:t>R</w:t>
      </w:r>
      <w:r w:rsidRPr="00DA7FDA">
        <w:t xml:space="preserve">, durante el mes </w:t>
      </w:r>
      <w:r w:rsidRPr="00DA7FDA">
        <w:rPr>
          <w:i/>
        </w:rPr>
        <w:t>m-1</w:t>
      </w:r>
      <w:r w:rsidRPr="00DA7FDA">
        <w:t xml:space="preserve">. Esta energía estará referida a 220 kV y no considerará la demanda de usuarios conectados directamente al STN. Para referir las demandas a 220 kV se utilizarán los factores contenidos en el capítulo </w:t>
      </w:r>
      <w:r w:rsidRPr="00DA7FDA">
        <w:fldChar w:fldCharType="begin"/>
      </w:r>
      <w:r w:rsidRPr="00DA7FDA">
        <w:instrText xml:space="preserve"> REF _Ref406568597 \r \h \t  \* MERGEFORMAT </w:instrText>
      </w:r>
      <w:r w:rsidRPr="00DA7FDA">
        <w:fldChar w:fldCharType="separate"/>
      </w:r>
      <w:r w:rsidR="00737178">
        <w:t>7</w:t>
      </w:r>
      <w:r w:rsidRPr="00DA7FDA">
        <w:fldChar w:fldCharType="end"/>
      </w:r>
      <w:r w:rsidRPr="00DA7FDA">
        <w:t>.</w:t>
      </w:r>
    </w:p>
    <w:p w:rsidR="00E9756B" w:rsidRPr="004E6CFC" w:rsidRDefault="00E9756B" w:rsidP="00E9756B">
      <w:pPr>
        <w:spacing w:before="120"/>
        <w:ind w:left="1418" w:hanging="1418"/>
      </w:pPr>
      <w:r w:rsidRPr="004E6CFC">
        <w:rPr>
          <w:i/>
          <w:iCs/>
        </w:rPr>
        <w:lastRenderedPageBreak/>
        <w:t>J</w:t>
      </w:r>
      <w:r w:rsidRPr="004E6CFC">
        <w:t>:</w:t>
      </w:r>
      <w:r w:rsidRPr="004E6CFC">
        <w:tab/>
        <w:t xml:space="preserve">Número total de OR que operan activos en el STR </w:t>
      </w:r>
      <w:r w:rsidRPr="004E6CFC">
        <w:rPr>
          <w:i/>
          <w:iCs/>
        </w:rPr>
        <w:t>R</w:t>
      </w:r>
      <w:r>
        <w:t xml:space="preserve">, ya sea porque su mercado de comercialización hace parte de ese STR o porque, como resultado de un proceso de selección, construyó activos de nivel de tensión 4 en ese STR </w:t>
      </w:r>
    </w:p>
    <w:p w:rsidR="00E9756B" w:rsidRPr="004E6CFC" w:rsidRDefault="00E9756B" w:rsidP="00E9756B">
      <w:pPr>
        <w:ind w:left="1410" w:hanging="1410"/>
      </w:pPr>
      <w:r w:rsidRPr="004E6CFC">
        <w:t xml:space="preserve">R: </w:t>
      </w:r>
      <w:r w:rsidRPr="004E6CFC">
        <w:tab/>
        <w:t xml:space="preserve">Número total de TR con activos de uso en el STR </w:t>
      </w:r>
      <w:r w:rsidRPr="004E6CFC">
        <w:rPr>
          <w:i/>
          <w:iCs/>
        </w:rPr>
        <w:t>R</w:t>
      </w:r>
      <w:r w:rsidRPr="004E6CFC">
        <w:t>.</w:t>
      </w:r>
      <w:r>
        <w:t xml:space="preserve"> </w:t>
      </w:r>
    </w:p>
    <w:p w:rsidR="00E9756B" w:rsidRPr="004E6CFC" w:rsidRDefault="00E9756B" w:rsidP="00E9756B">
      <w:pPr>
        <w:spacing w:before="120"/>
        <w:ind w:left="1418" w:hanging="1418"/>
      </w:pPr>
      <w:r w:rsidRPr="004E6CFC">
        <w:rPr>
          <w:i/>
          <w:iCs/>
        </w:rPr>
        <w:t>JR</w:t>
      </w:r>
      <w:r w:rsidRPr="004E6CFC">
        <w:t>:</w:t>
      </w:r>
      <w:r w:rsidRPr="004E6CFC">
        <w:tab/>
        <w:t xml:space="preserve">Número total de </w:t>
      </w:r>
      <w:r>
        <w:t>mercados de comercialización</w:t>
      </w:r>
      <w:r w:rsidRPr="004E6CFC">
        <w:t xml:space="preserve"> que conforman el STR </w:t>
      </w:r>
      <w:r w:rsidRPr="004E6CFC">
        <w:rPr>
          <w:i/>
          <w:iCs/>
        </w:rPr>
        <w:t>R</w:t>
      </w:r>
      <w:r w:rsidRPr="004E6CFC">
        <w:t>.</w:t>
      </w:r>
    </w:p>
    <w:p w:rsidR="00E9756B" w:rsidRPr="004E6CFC" w:rsidRDefault="00E9756B" w:rsidP="00E9756B">
      <w:pPr>
        <w:pStyle w:val="Ttulo3"/>
      </w:pPr>
      <w:bookmarkStart w:id="66" w:name="_Toc445212278"/>
      <w:bookmarkStart w:id="67" w:name="_Toc445212418"/>
      <w:bookmarkStart w:id="68" w:name="_Toc445212614"/>
      <w:bookmarkStart w:id="69" w:name="_Toc445213641"/>
      <w:bookmarkStart w:id="70" w:name="_Ref444861767"/>
      <w:bookmarkStart w:id="71" w:name="_Toc476824113"/>
      <w:bookmarkStart w:id="72" w:name="_Toc505335892"/>
      <w:bookmarkEnd w:id="66"/>
      <w:bookmarkEnd w:id="67"/>
      <w:bookmarkEnd w:id="68"/>
      <w:bookmarkEnd w:id="69"/>
      <w:r w:rsidRPr="004E6CFC">
        <w:t>Cargos del nivel de tensión 3</w:t>
      </w:r>
      <w:bookmarkEnd w:id="70"/>
      <w:bookmarkEnd w:id="71"/>
      <w:bookmarkEnd w:id="72"/>
    </w:p>
    <w:p w:rsidR="00E9756B" w:rsidRPr="004E6CFC" w:rsidRDefault="00E9756B" w:rsidP="00E9756B">
      <w:r w:rsidRPr="004E6CFC">
        <w:t>Los cargos para el nivel de tensión 3 se calculan según la siguiente expresión:</w:t>
      </w:r>
    </w:p>
    <w:p w:rsidR="00E9756B" w:rsidRPr="004E6CFC" w:rsidRDefault="00C9592F" w:rsidP="00E9756B">
      <m:oMathPara>
        <m:oMath>
          <m:sSub>
            <m:sSubPr>
              <m:ctrlPr>
                <w:rPr>
                  <w:rFonts w:ascii="Cambria Math" w:hAnsi="Cambria Math"/>
                  <w:i/>
                </w:rPr>
              </m:ctrlPr>
            </m:sSubPr>
            <m:e>
              <m:r>
                <w:rPr>
                  <w:rFonts w:ascii="Cambria Math" w:hAnsi="Cambria Math"/>
                </w:rPr>
                <m:t>CD</m:t>
              </m:r>
            </m:e>
            <m:sub>
              <m:r>
                <w:rPr>
                  <w:rFonts w:ascii="Cambria Math"/>
                </w:rPr>
                <m:t>3,j,</m:t>
              </m:r>
              <m:r>
                <w:rPr>
                  <w:rFonts w:ascii="Cambria Math" w:hAnsi="Cambria Math"/>
                </w:rPr>
                <m:t>m,t</m:t>
              </m:r>
            </m:sub>
          </m:sSub>
          <m:r>
            <w:rPr>
              <w:rFonts w:asci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IA</m:t>
                  </m:r>
                </m:e>
                <m:sub>
                  <m:r>
                    <w:rPr>
                      <w:rFonts w:ascii="Cambria Math" w:hAnsi="Cambria Math"/>
                    </w:rPr>
                    <m:t>j</m:t>
                  </m:r>
                  <m:r>
                    <w:rPr>
                      <w:rFonts w:ascii="Cambria Math"/>
                    </w:rPr>
                    <m:t>,3,m,</m:t>
                  </m:r>
                  <m:r>
                    <w:rPr>
                      <w:rFonts w:ascii="Cambria Math" w:hAnsi="Cambria Math"/>
                    </w:rPr>
                    <m:t>t</m:t>
                  </m:r>
                </m:sub>
              </m:sSub>
              <m:r>
                <w:rPr>
                  <w:rFonts w:ascii="Cambria Math" w:hAnsi="Cambria Math"/>
                </w:rPr>
                <m:t>+</m:t>
              </m:r>
              <m:f>
                <m:fPr>
                  <m:ctrlPr>
                    <w:rPr>
                      <w:rFonts w:ascii="Cambria Math" w:hAnsi="Cambria Math"/>
                      <w:i/>
                    </w:rPr>
                  </m:ctrlPr>
                </m:fPr>
                <m:num>
                  <m:r>
                    <w:rPr>
                      <w:rFonts w:ascii="Cambria Math" w:hAnsi="Cambria Math"/>
                    </w:rPr>
                    <m:t>1</m:t>
                  </m:r>
                </m:num>
                <m:den>
                  <m:r>
                    <w:rPr>
                      <w:rFonts w:ascii="Cambria Math" w:hAnsi="Cambria Math"/>
                    </w:rPr>
                    <m:t>12</m:t>
                  </m:r>
                </m:den>
              </m:f>
              <m:r>
                <w:rPr>
                  <w:rFonts w:ascii="Cambria Math" w:hAnsi="Cambria Math"/>
                </w:rPr>
                <m:t>*</m:t>
              </m:r>
              <m:sSub>
                <m:sSubPr>
                  <m:ctrlPr>
                    <w:rPr>
                      <w:rFonts w:ascii="Cambria Math" w:hAnsi="Cambria Math"/>
                      <w:i/>
                    </w:rPr>
                  </m:ctrlPr>
                </m:sSubPr>
                <m:e>
                  <m:r>
                    <w:rPr>
                      <w:rFonts w:ascii="Cambria Math" w:hAnsi="Cambria Math"/>
                    </w:rPr>
                    <m:t>O</m:t>
                  </m:r>
                </m:e>
                <m:sub>
                  <m:r>
                    <w:rPr>
                      <w:rFonts w:ascii="Cambria Math" w:hAnsi="Cambria Math"/>
                    </w:rPr>
                    <m:t>j,3</m:t>
                  </m:r>
                </m:sub>
              </m:sSub>
            </m:num>
            <m:den>
              <m:d>
                <m:dPr>
                  <m:ctrlPr>
                    <w:rPr>
                      <w:rFonts w:ascii="Cambria Math" w:hAnsi="Cambria Math"/>
                      <w:i/>
                    </w:rPr>
                  </m:ctrlPr>
                </m:dPr>
                <m:e>
                  <m:r>
                    <w:rPr>
                      <w:rFonts w:ascii="Cambria Math" w:hAnsi="Cambria Math"/>
                    </w:rPr>
                    <m:t>1-</m:t>
                  </m:r>
                  <m:sSub>
                    <m:sSubPr>
                      <m:ctrlPr>
                        <w:rPr>
                          <w:rFonts w:ascii="Cambria Math" w:hAnsi="Cambria Math"/>
                          <w:i/>
                        </w:rPr>
                      </m:ctrlPr>
                    </m:sSubPr>
                    <m:e>
                      <m:r>
                        <w:rPr>
                          <w:rFonts w:ascii="Cambria Math" w:hAnsi="Cambria Math"/>
                        </w:rPr>
                        <m:t>P</m:t>
                      </m:r>
                    </m:e>
                    <m:sub>
                      <m:r>
                        <w:rPr>
                          <w:rFonts w:ascii="Cambria Math" w:hAnsi="Cambria Math"/>
                        </w:rPr>
                        <m:t>j,3,t</m:t>
                      </m:r>
                    </m:sub>
                  </m:sSub>
                </m:e>
              </m:d>
              <m:r>
                <w:rPr>
                  <w:rFonts w:ascii="Cambria Math" w:hAnsi="Cambria Math"/>
                </w:rPr>
                <m:t>*</m:t>
              </m:r>
              <m:f>
                <m:fPr>
                  <m:ctrlPr>
                    <w:rPr>
                      <w:rFonts w:ascii="Cambria Math" w:hAnsi="Cambria Math"/>
                      <w:i/>
                    </w:rPr>
                  </m:ctrlPr>
                </m:fPr>
                <m:num>
                  <m:r>
                    <w:rPr>
                      <w:rFonts w:ascii="Cambria Math" w:hAnsi="Cambria Math"/>
                    </w:rPr>
                    <m:t>1</m:t>
                  </m:r>
                </m:num>
                <m:den>
                  <m:r>
                    <w:rPr>
                      <w:rFonts w:ascii="Cambria Math" w:hAnsi="Cambria Math"/>
                    </w:rPr>
                    <m:t>12</m:t>
                  </m:r>
                </m:den>
              </m:f>
              <m:r>
                <w:rPr>
                  <w:rFonts w:ascii="Cambria Math" w:hAnsi="Cambria Math"/>
                </w:rPr>
                <m:t>*</m:t>
              </m:r>
              <m:nary>
                <m:naryPr>
                  <m:chr m:val="∑"/>
                  <m:limLoc m:val="undOvr"/>
                  <m:ctrlPr>
                    <w:rPr>
                      <w:rFonts w:ascii="Cambria Math" w:hAnsi="Cambria Math"/>
                      <w:i/>
                    </w:rPr>
                  </m:ctrlPr>
                </m:naryPr>
                <m:sub>
                  <m:r>
                    <w:rPr>
                      <w:rFonts w:ascii="Cambria Math" w:hAnsi="Cambria Math"/>
                    </w:rPr>
                    <m:t>ma=m-3</m:t>
                  </m:r>
                </m:sub>
                <m:sup>
                  <m:sSub>
                    <m:sSubPr>
                      <m:ctrlPr>
                        <w:rPr>
                          <w:rFonts w:ascii="Cambria Math" w:hAnsi="Cambria Math"/>
                          <w:i/>
                        </w:rPr>
                      </m:ctrlPr>
                    </m:sSubPr>
                    <m:e>
                      <m:r>
                        <w:rPr>
                          <w:rFonts w:ascii="Cambria Math" w:hAnsi="Cambria Math"/>
                        </w:rPr>
                        <m:t>m-14</m:t>
                      </m:r>
                    </m:e>
                    <m:sub/>
                  </m:sSub>
                </m:sup>
                <m:e>
                  <m:sSub>
                    <m:sSubPr>
                      <m:ctrlPr>
                        <w:rPr>
                          <w:rFonts w:ascii="Cambria Math" w:hAnsi="Cambria Math"/>
                          <w:i/>
                        </w:rPr>
                      </m:ctrlPr>
                    </m:sSubPr>
                    <m:e>
                      <m:r>
                        <w:rPr>
                          <w:rFonts w:ascii="Cambria Math" w:hAnsi="Cambria Math"/>
                        </w:rPr>
                        <m:t>Ee</m:t>
                      </m:r>
                    </m:e>
                    <m:sub>
                      <m:r>
                        <w:rPr>
                          <w:rFonts w:ascii="Cambria Math" w:hAnsi="Cambria Math"/>
                        </w:rPr>
                        <m:t>j,3,ma</m:t>
                      </m:r>
                    </m:sub>
                  </m:sSub>
                </m:e>
              </m:nary>
            </m:den>
          </m:f>
        </m:oMath>
      </m:oMathPara>
    </w:p>
    <w:p w:rsidR="00E9756B" w:rsidRPr="004E6CFC" w:rsidRDefault="00E9756B" w:rsidP="00E9756B">
      <w:r w:rsidRPr="004E6CFC">
        <w:t>Donde:</w:t>
      </w:r>
    </w:p>
    <w:p w:rsidR="00E9756B" w:rsidRPr="004E6CFC" w:rsidRDefault="00E9756B" w:rsidP="00E9756B">
      <w:pPr>
        <w:spacing w:before="120"/>
        <w:ind w:left="1418" w:hanging="1418"/>
      </w:pPr>
      <w:r w:rsidRPr="004E6CFC">
        <w:rPr>
          <w:i/>
          <w:iCs/>
        </w:rPr>
        <w:t>CD</w:t>
      </w:r>
      <w:r w:rsidRPr="004E6CFC">
        <w:rPr>
          <w:i/>
          <w:iCs/>
          <w:vertAlign w:val="subscript"/>
        </w:rPr>
        <w:t>3,j,m,t</w:t>
      </w:r>
      <w:r w:rsidRPr="004E6CFC">
        <w:t>:</w:t>
      </w:r>
      <w:r w:rsidRPr="004E6CFC">
        <w:tab/>
        <w:t xml:space="preserve">Cargo del nivel de tensión 3 del sistema del OR </w:t>
      </w:r>
      <w:r w:rsidRPr="004E6CFC">
        <w:rPr>
          <w:i/>
        </w:rPr>
        <w:t>j</w:t>
      </w:r>
      <w:r w:rsidRPr="004E6CFC">
        <w:t xml:space="preserve">, en el mes </w:t>
      </w:r>
      <w:r w:rsidRPr="004E6CFC">
        <w:rPr>
          <w:i/>
        </w:rPr>
        <w:t>m</w:t>
      </w:r>
      <w:r w:rsidRPr="004E6CFC">
        <w:t xml:space="preserve"> del año </w:t>
      </w:r>
      <w:r w:rsidRPr="004E6CFC">
        <w:rPr>
          <w:i/>
        </w:rPr>
        <w:t>t</w:t>
      </w:r>
      <w:r w:rsidRPr="004E6CFC">
        <w:t>, en $/kWh.</w:t>
      </w:r>
    </w:p>
    <w:p w:rsidR="00E9756B" w:rsidRPr="004E6CFC" w:rsidRDefault="00E9756B" w:rsidP="00E9756B">
      <w:pPr>
        <w:ind w:left="1410" w:hanging="1410"/>
      </w:pPr>
      <w:r w:rsidRPr="004E6CFC">
        <w:rPr>
          <w:i/>
          <w:iCs/>
        </w:rPr>
        <w:t>IA</w:t>
      </w:r>
      <w:r w:rsidRPr="004E6CFC">
        <w:rPr>
          <w:i/>
          <w:iCs/>
          <w:vertAlign w:val="subscript"/>
        </w:rPr>
        <w:t>j,3,m,t</w:t>
      </w:r>
      <w:r w:rsidRPr="004E6CFC">
        <w:t>:</w:t>
      </w:r>
      <w:r w:rsidRPr="004E6CFC">
        <w:tab/>
        <w:t xml:space="preserve">Ingreso del OR </w:t>
      </w:r>
      <w:r w:rsidRPr="004E6CFC">
        <w:rPr>
          <w:i/>
          <w:iCs/>
        </w:rPr>
        <w:t xml:space="preserve">j </w:t>
      </w:r>
      <w:r w:rsidRPr="004E6CFC">
        <w:rPr>
          <w:iCs/>
        </w:rPr>
        <w:t>en el nivel de</w:t>
      </w:r>
      <w:r w:rsidRPr="004E6CFC">
        <w:rPr>
          <w:i/>
          <w:iCs/>
        </w:rPr>
        <w:t xml:space="preserve"> </w:t>
      </w:r>
      <w:r w:rsidRPr="004E6CFC">
        <w:t xml:space="preserve">tensión 3, en el mes </w:t>
      </w:r>
      <w:r w:rsidRPr="004E6CFC">
        <w:rPr>
          <w:i/>
        </w:rPr>
        <w:t>m</w:t>
      </w:r>
      <w:r w:rsidRPr="004E6CFC">
        <w:t xml:space="preserve"> del año </w:t>
      </w:r>
      <w:r w:rsidRPr="004E6CFC">
        <w:rPr>
          <w:i/>
        </w:rPr>
        <w:t>t,</w:t>
      </w:r>
      <w:r w:rsidRPr="004E6CFC">
        <w:t xml:space="preserve"> según el numeral </w:t>
      </w:r>
      <w:r w:rsidRPr="004E6CFC">
        <w:fldChar w:fldCharType="begin"/>
      </w:r>
      <w:r w:rsidRPr="004E6CFC">
        <w:instrText xml:space="preserve"> REF _Ref440377352 \r \h  \* MERGEFORMAT </w:instrText>
      </w:r>
      <w:r w:rsidRPr="004E6CFC">
        <w:fldChar w:fldCharType="separate"/>
      </w:r>
      <w:r w:rsidR="00737178">
        <w:t>2.4</w:t>
      </w:r>
      <w:r w:rsidRPr="004E6CFC">
        <w:fldChar w:fldCharType="end"/>
      </w:r>
      <w:r w:rsidRPr="004E6CFC">
        <w:t>.</w:t>
      </w:r>
    </w:p>
    <w:p w:rsidR="00E9756B" w:rsidRPr="004E6CFC" w:rsidRDefault="00E9756B" w:rsidP="00E9756B">
      <w:pPr>
        <w:ind w:left="1410" w:hanging="1410"/>
      </w:pPr>
      <w:r w:rsidRPr="004E6CFC">
        <w:rPr>
          <w:i/>
          <w:color w:val="000000" w:themeColor="text1"/>
        </w:rPr>
        <w:t>O</w:t>
      </w:r>
      <w:r w:rsidRPr="004E6CFC">
        <w:rPr>
          <w:i/>
          <w:color w:val="000000" w:themeColor="text1"/>
          <w:vertAlign w:val="subscript"/>
        </w:rPr>
        <w:t>j,3</w:t>
      </w:r>
      <w:r w:rsidRPr="004E6CFC">
        <w:rPr>
          <w:i/>
        </w:rPr>
        <w:t>:</w:t>
      </w:r>
      <w:r w:rsidRPr="004E6CFC">
        <w:rPr>
          <w:i/>
        </w:rPr>
        <w:tab/>
      </w:r>
      <w:r w:rsidRPr="004E6CFC">
        <w:t xml:space="preserve">Valor anual por concepto de conexiones en el nivel de tensión 3 del sistema del OR </w:t>
      </w:r>
      <w:r w:rsidRPr="004E6CFC">
        <w:rPr>
          <w:i/>
          <w:iCs/>
        </w:rPr>
        <w:t>j</w:t>
      </w:r>
      <w:r w:rsidRPr="004E6CFC">
        <w:t xml:space="preserve"> al sistema de otro OR. Este valor se definirá como un número fijo en la resolución particular de cada OR. </w:t>
      </w:r>
    </w:p>
    <w:p w:rsidR="00E9756B" w:rsidRPr="00DA7FDA" w:rsidRDefault="00E9756B" w:rsidP="00E9756B">
      <w:pPr>
        <w:spacing w:before="120"/>
        <w:ind w:left="1418" w:hanging="1418"/>
        <w:rPr>
          <w:rFonts w:cs="Arial"/>
          <w:szCs w:val="20"/>
          <w:lang w:val="es-CO"/>
        </w:rPr>
      </w:pPr>
      <w:r w:rsidRPr="004E6CFC">
        <w:rPr>
          <w:i/>
          <w:color w:val="000000" w:themeColor="text1"/>
        </w:rPr>
        <w:t>P</w:t>
      </w:r>
      <w:r w:rsidRPr="004E6CFC">
        <w:rPr>
          <w:i/>
          <w:color w:val="000000" w:themeColor="text1"/>
          <w:vertAlign w:val="subscript"/>
        </w:rPr>
        <w:t>j,3</w:t>
      </w:r>
      <w:r>
        <w:rPr>
          <w:i/>
          <w:color w:val="000000" w:themeColor="text1"/>
          <w:vertAlign w:val="subscript"/>
        </w:rPr>
        <w:t>,t</w:t>
      </w:r>
      <w:r w:rsidRPr="004E6CFC">
        <w:rPr>
          <w:i/>
        </w:rPr>
        <w:t>:</w:t>
      </w:r>
      <w:r w:rsidRPr="004E6CFC">
        <w:rPr>
          <w:i/>
        </w:rPr>
        <w:tab/>
      </w:r>
      <w:r w:rsidRPr="004E6CFC">
        <w:rPr>
          <w:rFonts w:cs="Arial"/>
          <w:szCs w:val="20"/>
          <w:lang w:val="es-CO"/>
        </w:rPr>
        <w:t xml:space="preserve">Índice de pérdidas del OR </w:t>
      </w:r>
      <w:r w:rsidRPr="004E6CFC">
        <w:rPr>
          <w:rFonts w:cs="Arial"/>
          <w:i/>
          <w:szCs w:val="20"/>
          <w:lang w:val="es-CO"/>
        </w:rPr>
        <w:t>j</w:t>
      </w:r>
      <w:r w:rsidRPr="004E6CFC">
        <w:rPr>
          <w:rFonts w:cs="Arial"/>
          <w:szCs w:val="20"/>
          <w:lang w:val="es-CO"/>
        </w:rPr>
        <w:t xml:space="preserve"> en el nivel de </w:t>
      </w:r>
      <w:r w:rsidRPr="004E6CFC">
        <w:t xml:space="preserve">tensión </w:t>
      </w:r>
      <w:r w:rsidRPr="00DA7FDA">
        <w:t>3</w:t>
      </w:r>
      <w:r w:rsidRPr="00DA7FDA">
        <w:rPr>
          <w:rFonts w:cs="Arial"/>
          <w:szCs w:val="20"/>
          <w:lang w:val="es-CO"/>
        </w:rPr>
        <w:t xml:space="preserve">, en el año </w:t>
      </w:r>
      <w:r w:rsidRPr="00DA7FDA">
        <w:rPr>
          <w:rFonts w:cs="Arial"/>
          <w:i/>
          <w:szCs w:val="20"/>
          <w:lang w:val="es-CO"/>
        </w:rPr>
        <w:t>t</w:t>
      </w:r>
      <w:r w:rsidRPr="00DA7FDA">
        <w:rPr>
          <w:rFonts w:cs="Arial"/>
          <w:szCs w:val="20"/>
          <w:lang w:val="es-CO"/>
        </w:rPr>
        <w:t xml:space="preserve">,  calculado conforme a lo establecido en los numerales </w:t>
      </w:r>
      <w:r w:rsidRPr="00DA7FDA">
        <w:rPr>
          <w:rFonts w:cs="Arial"/>
          <w:szCs w:val="20"/>
          <w:lang w:val="es-CO"/>
        </w:rPr>
        <w:fldChar w:fldCharType="begin"/>
      </w:r>
      <w:r w:rsidRPr="00DA7FDA">
        <w:rPr>
          <w:rFonts w:cs="Arial"/>
          <w:szCs w:val="20"/>
          <w:lang w:val="es-CO"/>
        </w:rPr>
        <w:instrText xml:space="preserve"> REF _Ref476810803 \r \h  \* MERGEFORMAT </w:instrText>
      </w:r>
      <w:r w:rsidRPr="00DA7FDA">
        <w:rPr>
          <w:rFonts w:cs="Arial"/>
          <w:szCs w:val="20"/>
          <w:lang w:val="es-CO"/>
        </w:rPr>
      </w:r>
      <w:r w:rsidRPr="00DA7FDA">
        <w:rPr>
          <w:rFonts w:cs="Arial"/>
          <w:szCs w:val="20"/>
          <w:lang w:val="es-CO"/>
        </w:rPr>
        <w:fldChar w:fldCharType="separate"/>
      </w:r>
      <w:r w:rsidR="00737178">
        <w:rPr>
          <w:rFonts w:cs="Arial"/>
          <w:szCs w:val="20"/>
          <w:lang w:val="es-CO"/>
        </w:rPr>
        <w:t>7.1.2</w:t>
      </w:r>
      <w:r w:rsidRPr="00DA7FDA">
        <w:rPr>
          <w:rFonts w:cs="Arial"/>
          <w:szCs w:val="20"/>
          <w:lang w:val="es-CO"/>
        </w:rPr>
        <w:fldChar w:fldCharType="end"/>
      </w:r>
      <w:r w:rsidRPr="00DA7FDA">
        <w:rPr>
          <w:rFonts w:cs="Arial"/>
          <w:szCs w:val="20"/>
          <w:lang w:val="es-CO"/>
        </w:rPr>
        <w:t xml:space="preserve"> y </w:t>
      </w:r>
      <w:r w:rsidRPr="00DA7FDA">
        <w:rPr>
          <w:rFonts w:cs="Arial"/>
          <w:szCs w:val="20"/>
          <w:lang w:val="es-CO"/>
        </w:rPr>
        <w:fldChar w:fldCharType="begin"/>
      </w:r>
      <w:r w:rsidRPr="00DA7FDA">
        <w:rPr>
          <w:rFonts w:cs="Arial"/>
          <w:szCs w:val="20"/>
          <w:lang w:val="es-CO"/>
        </w:rPr>
        <w:instrText xml:space="preserve"> REF _Ref476810808 \r \h  \* MERGEFORMAT </w:instrText>
      </w:r>
      <w:r w:rsidRPr="00DA7FDA">
        <w:rPr>
          <w:rFonts w:cs="Arial"/>
          <w:szCs w:val="20"/>
          <w:lang w:val="es-CO"/>
        </w:rPr>
      </w:r>
      <w:r w:rsidRPr="00DA7FDA">
        <w:rPr>
          <w:rFonts w:cs="Arial"/>
          <w:szCs w:val="20"/>
          <w:lang w:val="es-CO"/>
        </w:rPr>
        <w:fldChar w:fldCharType="separate"/>
      </w:r>
      <w:r w:rsidR="00737178">
        <w:rPr>
          <w:rFonts w:cs="Arial"/>
          <w:szCs w:val="20"/>
          <w:lang w:val="es-CO"/>
        </w:rPr>
        <w:t>7.1.3</w:t>
      </w:r>
      <w:r w:rsidRPr="00DA7FDA">
        <w:rPr>
          <w:rFonts w:cs="Arial"/>
          <w:szCs w:val="20"/>
          <w:lang w:val="es-CO"/>
        </w:rPr>
        <w:fldChar w:fldCharType="end"/>
      </w:r>
      <w:r w:rsidRPr="00DA7FDA">
        <w:rPr>
          <w:rFonts w:cs="Arial"/>
          <w:szCs w:val="20"/>
          <w:lang w:val="es-CO"/>
        </w:rPr>
        <w:t xml:space="preserve">. </w:t>
      </w:r>
    </w:p>
    <w:p w:rsidR="00E9756B" w:rsidRPr="004E6CFC" w:rsidRDefault="00E9756B" w:rsidP="00E9756B">
      <w:pPr>
        <w:ind w:left="1410" w:hanging="1410"/>
      </w:pPr>
      <w:r w:rsidRPr="00DA7FDA">
        <w:rPr>
          <w:i/>
        </w:rPr>
        <w:t>Ee</w:t>
      </w:r>
      <w:r w:rsidRPr="00DA7FDA">
        <w:rPr>
          <w:i/>
          <w:vertAlign w:val="subscript"/>
        </w:rPr>
        <w:t>j,3,ma</w:t>
      </w:r>
      <w:r w:rsidRPr="00DA7FDA">
        <w:tab/>
        <w:t xml:space="preserve">Energía de entrada al sistema del OR </w:t>
      </w:r>
      <w:r w:rsidRPr="00DA7FDA">
        <w:rPr>
          <w:i/>
        </w:rPr>
        <w:t>j</w:t>
      </w:r>
      <w:r w:rsidRPr="00DA7FDA">
        <w:t xml:space="preserve"> en el nivel de tensión </w:t>
      </w:r>
      <w:r w:rsidRPr="00DA7FDA">
        <w:rPr>
          <w:i/>
        </w:rPr>
        <w:t>3</w:t>
      </w:r>
      <w:r w:rsidRPr="00DA7FDA">
        <w:t xml:space="preserve">, durante el mes </w:t>
      </w:r>
      <w:r w:rsidRPr="00DA7FDA">
        <w:rPr>
          <w:i/>
        </w:rPr>
        <w:t>ma</w:t>
      </w:r>
      <w:r w:rsidRPr="00DA7FDA">
        <w:t xml:space="preserve">, expresada en kWh y calculada de acuerdo con lo establecido en el numeral </w:t>
      </w:r>
      <w:r w:rsidRPr="00DA7FDA">
        <w:fldChar w:fldCharType="begin"/>
      </w:r>
      <w:r w:rsidRPr="00DA7FDA">
        <w:instrText xml:space="preserve"> REF _Ref439843693 \r \h  \* MERGEFORMAT </w:instrText>
      </w:r>
      <w:r w:rsidRPr="00DA7FDA">
        <w:fldChar w:fldCharType="separate"/>
      </w:r>
      <w:r w:rsidR="00737178">
        <w:t>7.3.7.1</w:t>
      </w:r>
      <w:r w:rsidRPr="00DA7FDA">
        <w:fldChar w:fldCharType="end"/>
      </w:r>
      <w:r w:rsidRPr="00DA7FDA">
        <w:t>.</w:t>
      </w:r>
      <w:r w:rsidRPr="004E6CFC">
        <w:t xml:space="preserve">  </w:t>
      </w:r>
    </w:p>
    <w:p w:rsidR="00E9756B" w:rsidRPr="004E6CFC" w:rsidRDefault="00E9756B" w:rsidP="00E9756B">
      <w:r w:rsidRPr="004E6CFC">
        <w:t>El valor anual por concepto de conexiones al sistema de otro OR en el nivel de tensión 3 se calcula de la siguiente manera:</w:t>
      </w:r>
    </w:p>
    <w:p w:rsidR="00E9756B" w:rsidRPr="004E6CFC" w:rsidRDefault="00C9592F" w:rsidP="00E9756B">
      <w:pPr>
        <w:jc w:val="center"/>
        <w:rPr>
          <w:position w:val="-32"/>
        </w:rPr>
      </w:pPr>
      <m:oMathPara>
        <m:oMath>
          <m:sSub>
            <m:sSubPr>
              <m:ctrlPr>
                <w:rPr>
                  <w:rFonts w:ascii="Cambria Math" w:hAnsi="Cambria Math"/>
                  <w:i/>
                </w:rPr>
              </m:ctrlPr>
            </m:sSubPr>
            <m:e>
              <m:r>
                <w:rPr>
                  <w:rFonts w:ascii="Cambria Math" w:hAnsi="Cambria Math"/>
                </w:rPr>
                <m:t>O</m:t>
              </m:r>
            </m:e>
            <m:sub>
              <m:r>
                <w:rPr>
                  <w:rFonts w:ascii="Cambria Math" w:hAnsi="Cambria Math"/>
                </w:rPr>
                <m:t>j,3</m:t>
              </m:r>
            </m:sub>
          </m:sSub>
          <m:r>
            <w:rPr>
              <w:rFonts w:ascii="Cambria Math"/>
            </w:rPr>
            <m:t>=</m:t>
          </m:r>
          <m:nary>
            <m:naryPr>
              <m:chr m:val="∑"/>
              <m:limLoc m:val="undOvr"/>
              <m:ctrlPr>
                <w:rPr>
                  <w:rFonts w:ascii="Cambria Math" w:hAnsi="Cambria Math"/>
                  <w:i/>
                </w:rPr>
              </m:ctrlPr>
            </m:naryPr>
            <m:sub>
              <m:r>
                <w:rPr>
                  <w:rFonts w:ascii="Cambria Math"/>
                </w:rPr>
                <m:t>f=1</m:t>
              </m:r>
            </m:sub>
            <m:sup>
              <m:sSub>
                <m:sSubPr>
                  <m:ctrlPr>
                    <w:rPr>
                      <w:rFonts w:ascii="Cambria Math" w:hAnsi="Cambria Math"/>
                      <w:i/>
                    </w:rPr>
                  </m:ctrlPr>
                </m:sSubPr>
                <m:e>
                  <m:r>
                    <w:rPr>
                      <w:rFonts w:ascii="Cambria Math"/>
                    </w:rPr>
                    <m:t>NC3</m:t>
                  </m:r>
                </m:e>
                <m:sub>
                  <m:r>
                    <w:rPr>
                      <w:rFonts w:ascii="Cambria Math"/>
                    </w:rPr>
                    <m:t>j</m:t>
                  </m:r>
                </m:sub>
              </m:sSub>
            </m:sup>
            <m:e>
              <m:sSub>
                <m:sSubPr>
                  <m:ctrlPr>
                    <w:rPr>
                      <w:rFonts w:ascii="Cambria Math" w:hAnsi="Cambria Math"/>
                      <w:i/>
                    </w:rPr>
                  </m:ctrlPr>
                </m:sSubPr>
                <m:e>
                  <m:r>
                    <w:rPr>
                      <w:rFonts w:ascii="Cambria Math"/>
                    </w:rPr>
                    <m:t>CD</m:t>
                  </m:r>
                </m:e>
                <m:sub>
                  <m:r>
                    <w:rPr>
                      <w:rFonts w:ascii="Cambria Math"/>
                    </w:rPr>
                    <m:t>f,3</m:t>
                  </m:r>
                </m:sub>
              </m:sSub>
              <m:r>
                <w:rPr>
                  <w:rFonts w:ascii="Cambria Math"/>
                </w:rPr>
                <m:t>*</m:t>
              </m:r>
              <m:sSub>
                <m:sSubPr>
                  <m:ctrlPr>
                    <w:rPr>
                      <w:rFonts w:ascii="Cambria Math" w:hAnsi="Cambria Math"/>
                      <w:i/>
                    </w:rPr>
                  </m:ctrlPr>
                </m:sSubPr>
                <m:e>
                  <m:r>
                    <w:rPr>
                      <w:rFonts w:ascii="Cambria Math" w:hAnsi="Cambria Math"/>
                    </w:rPr>
                    <m:t>EI</m:t>
                  </m:r>
                </m:e>
                <m:sub>
                  <m:r>
                    <w:rPr>
                      <w:rFonts w:ascii="Cambria Math" w:hAnsi="Cambria Math"/>
                    </w:rPr>
                    <m:t>j,f</m:t>
                  </m:r>
                </m:sub>
              </m:sSub>
            </m:e>
          </m:nary>
        </m:oMath>
      </m:oMathPara>
    </w:p>
    <w:p w:rsidR="00E9756B" w:rsidRPr="004E6CFC" w:rsidRDefault="00E9756B" w:rsidP="00E9756B">
      <w:pPr>
        <w:ind w:left="1410" w:hanging="1410"/>
      </w:pPr>
      <w:r w:rsidRPr="004E6CFC">
        <w:t>Donde:</w:t>
      </w:r>
    </w:p>
    <w:p w:rsidR="00E9756B" w:rsidRPr="004E6CFC" w:rsidRDefault="00E9756B" w:rsidP="00E9756B">
      <w:pPr>
        <w:spacing w:before="120"/>
        <w:ind w:left="1418" w:hanging="1418"/>
      </w:pPr>
      <w:r w:rsidRPr="004E6CFC">
        <w:rPr>
          <w:i/>
          <w:iCs/>
        </w:rPr>
        <w:t>O</w:t>
      </w:r>
      <w:r w:rsidRPr="004E6CFC">
        <w:rPr>
          <w:i/>
          <w:iCs/>
          <w:vertAlign w:val="subscript"/>
        </w:rPr>
        <w:t>j,3</w:t>
      </w:r>
      <w:r w:rsidRPr="004E6CFC">
        <w:t>:</w:t>
      </w:r>
      <w:r w:rsidRPr="004E6CFC">
        <w:tab/>
        <w:t xml:space="preserve">Valor anual por concepto de conexiones en el nivel de tensión 3 del sistema del OR </w:t>
      </w:r>
      <w:r w:rsidRPr="004E6CFC">
        <w:rPr>
          <w:i/>
          <w:iCs/>
        </w:rPr>
        <w:t>j</w:t>
      </w:r>
      <w:r w:rsidRPr="004E6CFC">
        <w:t xml:space="preserve"> al sistema de otro OR. Este valor se definirá como un número fijo en la resolución particular de cada OR.</w:t>
      </w:r>
    </w:p>
    <w:p w:rsidR="00E9756B" w:rsidRPr="004E6CFC" w:rsidRDefault="00E9756B" w:rsidP="00E9756B">
      <w:pPr>
        <w:spacing w:before="120"/>
        <w:ind w:left="1418" w:hanging="1418"/>
      </w:pPr>
      <w:r w:rsidRPr="004E6CFC">
        <w:rPr>
          <w:i/>
          <w:iCs/>
        </w:rPr>
        <w:t>NC3</w:t>
      </w:r>
      <w:r w:rsidRPr="004E6CFC">
        <w:rPr>
          <w:i/>
          <w:iCs/>
          <w:vertAlign w:val="subscript"/>
        </w:rPr>
        <w:t>j</w:t>
      </w:r>
      <w:r w:rsidRPr="004E6CFC">
        <w:t xml:space="preserve">: </w:t>
      </w:r>
      <w:r w:rsidRPr="004E6CFC">
        <w:tab/>
        <w:t xml:space="preserve">Número de conexiones con otros OR, que inyectan energía en el nivel de tensión 3 del OR </w:t>
      </w:r>
      <w:r w:rsidRPr="004E6CFC">
        <w:rPr>
          <w:i/>
          <w:iCs/>
        </w:rPr>
        <w:t>j</w:t>
      </w:r>
      <w:r w:rsidRPr="004E6CFC">
        <w:t>.</w:t>
      </w:r>
    </w:p>
    <w:p w:rsidR="00E9756B" w:rsidRPr="004E6CFC" w:rsidRDefault="00E9756B" w:rsidP="00E9756B">
      <w:pPr>
        <w:spacing w:before="120"/>
        <w:ind w:left="1418" w:hanging="1418"/>
      </w:pPr>
      <w:r w:rsidRPr="00DA7FDA">
        <w:rPr>
          <w:i/>
          <w:iCs/>
        </w:rPr>
        <w:lastRenderedPageBreak/>
        <w:t>CD</w:t>
      </w:r>
      <w:r w:rsidRPr="00DA7FDA">
        <w:rPr>
          <w:i/>
          <w:iCs/>
          <w:vertAlign w:val="subscript"/>
        </w:rPr>
        <w:t>f,3</w:t>
      </w:r>
      <w:r w:rsidRPr="00DA7FDA">
        <w:t>:</w:t>
      </w:r>
      <w:r w:rsidRPr="00DA7FDA">
        <w:tab/>
        <w:t xml:space="preserve">Cargo del nivel de tensión 3 de referencia para el OR que exporta energía en la conexión </w:t>
      </w:r>
      <w:r w:rsidRPr="00DA7FDA">
        <w:rPr>
          <w:i/>
        </w:rPr>
        <w:t>f</w:t>
      </w:r>
      <w:r w:rsidRPr="00DA7FDA">
        <w:t>.</w:t>
      </w:r>
    </w:p>
    <w:p w:rsidR="00E9756B" w:rsidRPr="004E6CFC" w:rsidRDefault="00E9756B" w:rsidP="00E9756B">
      <w:pPr>
        <w:ind w:left="1410" w:hanging="1410"/>
      </w:pPr>
      <w:r w:rsidRPr="004E6CFC">
        <w:rPr>
          <w:i/>
          <w:iCs/>
        </w:rPr>
        <w:t>EI</w:t>
      </w:r>
      <w:r w:rsidRPr="004E6CFC">
        <w:rPr>
          <w:i/>
          <w:iCs/>
          <w:vertAlign w:val="subscript"/>
        </w:rPr>
        <w:t>j,f</w:t>
      </w:r>
      <w:r w:rsidRPr="004E6CFC">
        <w:t>:</w:t>
      </w:r>
      <w:r w:rsidRPr="004E6CFC">
        <w:tab/>
        <w:t>Energía importada</w:t>
      </w:r>
      <w:r>
        <w:t>, en el año que finaliza en la fecha de corte,</w:t>
      </w:r>
      <w:r w:rsidRPr="004E6CFC">
        <w:t xml:space="preserve"> por el OR </w:t>
      </w:r>
      <w:r w:rsidRPr="004E6CFC">
        <w:rPr>
          <w:i/>
          <w:iCs/>
        </w:rPr>
        <w:t>j</w:t>
      </w:r>
      <w:r w:rsidRPr="004E6CFC">
        <w:t xml:space="preserve"> a través de la conexión </w:t>
      </w:r>
      <w:r w:rsidRPr="004E6CFC">
        <w:rPr>
          <w:i/>
        </w:rPr>
        <w:t>f.</w:t>
      </w:r>
    </w:p>
    <w:p w:rsidR="00E9756B" w:rsidRPr="004E6CFC" w:rsidRDefault="00E9756B" w:rsidP="00E9756B">
      <w:pPr>
        <w:pStyle w:val="Ttulo3"/>
      </w:pPr>
      <w:bookmarkStart w:id="73" w:name="_Ref444861798"/>
      <w:bookmarkStart w:id="74" w:name="_Toc476824114"/>
      <w:bookmarkStart w:id="75" w:name="_Toc505335893"/>
      <w:r w:rsidRPr="004E6CFC">
        <w:t>Cargos del nivel de tensión 2</w:t>
      </w:r>
      <w:bookmarkEnd w:id="73"/>
      <w:bookmarkEnd w:id="74"/>
      <w:bookmarkEnd w:id="75"/>
    </w:p>
    <w:p w:rsidR="00E9756B" w:rsidRPr="004E6CFC" w:rsidRDefault="00E9756B" w:rsidP="00E9756B">
      <w:r w:rsidRPr="004E6CFC">
        <w:t>Los cargos para el nivel de tensión 2 se calculan según lo establecido en la siguiente expresión:</w:t>
      </w:r>
    </w:p>
    <w:p w:rsidR="00E9756B" w:rsidRPr="004E6CFC" w:rsidRDefault="00C9592F" w:rsidP="00E9756B">
      <m:oMathPara>
        <m:oMath>
          <m:sSub>
            <m:sSubPr>
              <m:ctrlPr>
                <w:rPr>
                  <w:rFonts w:ascii="Cambria Math" w:hAnsi="Cambria Math"/>
                  <w:i/>
                </w:rPr>
              </m:ctrlPr>
            </m:sSubPr>
            <m:e>
              <m:r>
                <w:rPr>
                  <w:rFonts w:ascii="Cambria Math" w:hAnsi="Cambria Math"/>
                </w:rPr>
                <m:t>CD</m:t>
              </m:r>
            </m:e>
            <m:sub>
              <m:r>
                <w:rPr>
                  <w:rFonts w:ascii="Cambria Math"/>
                </w:rPr>
                <m:t>2,j,</m:t>
              </m:r>
              <m:r>
                <w:rPr>
                  <w:rFonts w:ascii="Cambria Math" w:hAnsi="Cambria Math"/>
                </w:rPr>
                <m:t>m,t</m:t>
              </m:r>
            </m:sub>
          </m:sSub>
          <m:r>
            <w:rPr>
              <w:rFonts w:asci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IA</m:t>
                  </m:r>
                </m:e>
                <m:sub>
                  <m:r>
                    <w:rPr>
                      <w:rFonts w:ascii="Cambria Math" w:hAnsi="Cambria Math"/>
                    </w:rPr>
                    <m:t>j</m:t>
                  </m:r>
                  <m:r>
                    <w:rPr>
                      <w:rFonts w:ascii="Cambria Math"/>
                    </w:rPr>
                    <m:t>,2,m,</m:t>
                  </m:r>
                  <m:r>
                    <w:rPr>
                      <w:rFonts w:ascii="Cambria Math" w:hAnsi="Cambria Math"/>
                    </w:rPr>
                    <m:t>t</m:t>
                  </m:r>
                </m:sub>
              </m:sSub>
              <m:r>
                <w:rPr>
                  <w:rFonts w:ascii="Cambria Math" w:hAnsi="Cambria Math"/>
                </w:rPr>
                <m:t>+</m:t>
              </m:r>
              <m:sSub>
                <m:sSubPr>
                  <m:ctrlPr>
                    <w:rPr>
                      <w:rFonts w:ascii="Cambria Math" w:hAnsi="Cambria Math"/>
                      <w:i/>
                    </w:rPr>
                  </m:ctrlPr>
                </m:sSubPr>
                <m:e>
                  <m:f>
                    <m:fPr>
                      <m:ctrlPr>
                        <w:rPr>
                          <w:rFonts w:ascii="Cambria Math" w:hAnsi="Cambria Math"/>
                          <w:i/>
                        </w:rPr>
                      </m:ctrlPr>
                    </m:fPr>
                    <m:num>
                      <m:r>
                        <w:rPr>
                          <w:rFonts w:ascii="Cambria Math" w:hAnsi="Cambria Math"/>
                        </w:rPr>
                        <m:t>1</m:t>
                      </m:r>
                    </m:num>
                    <m:den>
                      <m:r>
                        <w:rPr>
                          <w:rFonts w:ascii="Cambria Math" w:hAnsi="Cambria Math"/>
                        </w:rPr>
                        <m:t>12</m:t>
                      </m:r>
                    </m:den>
                  </m:f>
                  <m:r>
                    <w:rPr>
                      <w:rFonts w:ascii="Cambria Math" w:hAnsi="Cambria Math"/>
                    </w:rPr>
                    <m:t>*O</m:t>
                  </m:r>
                </m:e>
                <m:sub>
                  <m:r>
                    <w:rPr>
                      <w:rFonts w:ascii="Cambria Math" w:hAnsi="Cambria Math"/>
                    </w:rPr>
                    <m:t>j,2</m:t>
                  </m:r>
                </m:sub>
              </m:sSub>
            </m:num>
            <m:den>
              <m:d>
                <m:dPr>
                  <m:ctrlPr>
                    <w:rPr>
                      <w:rFonts w:ascii="Cambria Math" w:hAnsi="Cambria Math"/>
                      <w:i/>
                    </w:rPr>
                  </m:ctrlPr>
                </m:dPr>
                <m:e>
                  <m:r>
                    <w:rPr>
                      <w:rFonts w:ascii="Cambria Math" w:hAnsi="Cambria Math"/>
                    </w:rPr>
                    <m:t>1-</m:t>
                  </m:r>
                  <m:sSub>
                    <m:sSubPr>
                      <m:ctrlPr>
                        <w:rPr>
                          <w:rFonts w:ascii="Cambria Math" w:hAnsi="Cambria Math"/>
                          <w:i/>
                        </w:rPr>
                      </m:ctrlPr>
                    </m:sSubPr>
                    <m:e>
                      <m:r>
                        <w:rPr>
                          <w:rFonts w:ascii="Cambria Math" w:hAnsi="Cambria Math"/>
                        </w:rPr>
                        <m:t>P</m:t>
                      </m:r>
                    </m:e>
                    <m:sub>
                      <m:r>
                        <w:rPr>
                          <w:rFonts w:ascii="Cambria Math" w:hAnsi="Cambria Math"/>
                        </w:rPr>
                        <m:t>j,2,t</m:t>
                      </m:r>
                    </m:sub>
                  </m:sSub>
                </m:e>
              </m:d>
              <m:r>
                <w:rPr>
                  <w:rFonts w:ascii="Cambria Math" w:hAnsi="Cambria Math"/>
                </w:rPr>
                <m:t>*</m:t>
              </m:r>
              <m:f>
                <m:fPr>
                  <m:ctrlPr>
                    <w:rPr>
                      <w:rFonts w:ascii="Cambria Math" w:hAnsi="Cambria Math"/>
                      <w:i/>
                    </w:rPr>
                  </m:ctrlPr>
                </m:fPr>
                <m:num>
                  <m:r>
                    <w:rPr>
                      <w:rFonts w:ascii="Cambria Math" w:hAnsi="Cambria Math"/>
                    </w:rPr>
                    <m:t>1</m:t>
                  </m:r>
                </m:num>
                <m:den>
                  <m:r>
                    <w:rPr>
                      <w:rFonts w:ascii="Cambria Math" w:hAnsi="Cambria Math"/>
                    </w:rPr>
                    <m:t>12</m:t>
                  </m:r>
                </m:den>
              </m:f>
              <m:r>
                <w:rPr>
                  <w:rFonts w:ascii="Cambria Math" w:hAnsi="Cambria Math"/>
                </w:rPr>
                <m:t>*</m:t>
              </m:r>
              <m:nary>
                <m:naryPr>
                  <m:chr m:val="∑"/>
                  <m:limLoc m:val="undOvr"/>
                  <m:ctrlPr>
                    <w:rPr>
                      <w:rFonts w:ascii="Cambria Math" w:hAnsi="Cambria Math"/>
                      <w:i/>
                    </w:rPr>
                  </m:ctrlPr>
                </m:naryPr>
                <m:sub>
                  <m:r>
                    <w:rPr>
                      <w:rFonts w:ascii="Cambria Math" w:hAnsi="Cambria Math"/>
                    </w:rPr>
                    <m:t>ma=m-3</m:t>
                  </m:r>
                </m:sub>
                <m:sup>
                  <m:sSub>
                    <m:sSubPr>
                      <m:ctrlPr>
                        <w:rPr>
                          <w:rFonts w:ascii="Cambria Math" w:hAnsi="Cambria Math"/>
                          <w:i/>
                        </w:rPr>
                      </m:ctrlPr>
                    </m:sSubPr>
                    <m:e>
                      <m:r>
                        <w:rPr>
                          <w:rFonts w:ascii="Cambria Math" w:hAnsi="Cambria Math"/>
                        </w:rPr>
                        <m:t>m-14</m:t>
                      </m:r>
                    </m:e>
                    <m:sub/>
                  </m:sSub>
                </m:sup>
                <m:e>
                  <m:sSub>
                    <m:sSubPr>
                      <m:ctrlPr>
                        <w:rPr>
                          <w:rFonts w:ascii="Cambria Math" w:hAnsi="Cambria Math"/>
                          <w:i/>
                        </w:rPr>
                      </m:ctrlPr>
                    </m:sSubPr>
                    <m:e>
                      <m:r>
                        <w:rPr>
                          <w:rFonts w:ascii="Cambria Math" w:hAnsi="Cambria Math"/>
                        </w:rPr>
                        <m:t>Ee</m:t>
                      </m:r>
                    </m:e>
                    <m:sub>
                      <m:r>
                        <w:rPr>
                          <w:rFonts w:ascii="Cambria Math" w:hAnsi="Cambria Math"/>
                        </w:rPr>
                        <m:t>j,2,ma</m:t>
                      </m:r>
                    </m:sub>
                  </m:sSub>
                </m:e>
              </m:nary>
            </m:den>
          </m:f>
          <m:r>
            <w:rPr>
              <w:rFonts w:ascii="Cambria Math" w:hAnsi="Cambria Math"/>
            </w:rPr>
            <m:t>+</m:t>
          </m:r>
          <m:sSub>
            <m:sSubPr>
              <m:ctrlPr>
                <w:rPr>
                  <w:rFonts w:ascii="Cambria Math" w:hAnsi="Cambria Math"/>
                  <w:i/>
                </w:rPr>
              </m:ctrlPr>
            </m:sSubPr>
            <m:e>
              <m:r>
                <w:rPr>
                  <w:rFonts w:ascii="Cambria Math" w:hAnsi="Cambria Math"/>
                </w:rPr>
                <m:t>CD</m:t>
              </m:r>
            </m:e>
            <m:sub>
              <m:r>
                <w:rPr>
                  <w:rFonts w:ascii="Cambria Math" w:hAnsi="Cambria Math"/>
                </w:rPr>
                <m:t>3-2,j,m,t</m:t>
              </m:r>
            </m:sub>
          </m:sSub>
        </m:oMath>
      </m:oMathPara>
    </w:p>
    <w:p w:rsidR="00E9756B" w:rsidRPr="004E6CFC" w:rsidRDefault="00E9756B" w:rsidP="00E9756B">
      <w:r w:rsidRPr="004E6CFC">
        <w:t>Donde:</w:t>
      </w:r>
    </w:p>
    <w:p w:rsidR="00E9756B" w:rsidRPr="004E6CFC" w:rsidRDefault="00E9756B" w:rsidP="00E9756B">
      <w:pPr>
        <w:spacing w:before="120"/>
        <w:ind w:left="1418" w:hanging="1418"/>
      </w:pPr>
      <w:r w:rsidRPr="004E6CFC">
        <w:rPr>
          <w:i/>
          <w:iCs/>
        </w:rPr>
        <w:t>CD</w:t>
      </w:r>
      <w:r w:rsidRPr="004E6CFC">
        <w:rPr>
          <w:i/>
          <w:iCs/>
          <w:vertAlign w:val="subscript"/>
        </w:rPr>
        <w:t>2,j,m,t</w:t>
      </w:r>
      <w:r w:rsidRPr="004E6CFC">
        <w:t>:</w:t>
      </w:r>
      <w:r w:rsidRPr="004E6CFC">
        <w:tab/>
        <w:t xml:space="preserve">Cargo del nivel de tensión 2 del sistema del OR </w:t>
      </w:r>
      <w:r w:rsidRPr="004E6CFC">
        <w:rPr>
          <w:i/>
        </w:rPr>
        <w:t>j</w:t>
      </w:r>
      <w:r w:rsidRPr="004E6CFC">
        <w:t xml:space="preserve">, en el mes </w:t>
      </w:r>
      <w:r w:rsidRPr="004E6CFC">
        <w:rPr>
          <w:i/>
        </w:rPr>
        <w:t>m</w:t>
      </w:r>
      <w:r w:rsidRPr="004E6CFC">
        <w:t xml:space="preserve"> del año </w:t>
      </w:r>
      <w:r w:rsidRPr="004E6CFC">
        <w:rPr>
          <w:i/>
        </w:rPr>
        <w:t>t</w:t>
      </w:r>
      <w:r w:rsidRPr="004E6CFC">
        <w:t>, en $/kWh.</w:t>
      </w:r>
    </w:p>
    <w:p w:rsidR="00E9756B" w:rsidRPr="004E6CFC" w:rsidRDefault="00E9756B" w:rsidP="00E9756B">
      <w:pPr>
        <w:ind w:left="1410" w:hanging="1410"/>
      </w:pPr>
      <w:r w:rsidRPr="004E6CFC">
        <w:rPr>
          <w:i/>
          <w:iCs/>
        </w:rPr>
        <w:t>IA</w:t>
      </w:r>
      <w:r w:rsidRPr="004E6CFC">
        <w:rPr>
          <w:i/>
          <w:iCs/>
          <w:vertAlign w:val="subscript"/>
        </w:rPr>
        <w:t>j,2,m,t</w:t>
      </w:r>
      <w:r w:rsidRPr="004E6CFC">
        <w:t>:</w:t>
      </w:r>
      <w:r w:rsidRPr="004E6CFC">
        <w:tab/>
        <w:t xml:space="preserve">Ingreso del OR </w:t>
      </w:r>
      <w:r w:rsidRPr="004E6CFC">
        <w:rPr>
          <w:i/>
          <w:iCs/>
        </w:rPr>
        <w:t xml:space="preserve">j </w:t>
      </w:r>
      <w:r w:rsidRPr="004E6CFC">
        <w:rPr>
          <w:iCs/>
        </w:rPr>
        <w:t>en</w:t>
      </w:r>
      <w:r w:rsidRPr="004E6CFC">
        <w:rPr>
          <w:i/>
          <w:iCs/>
        </w:rPr>
        <w:t xml:space="preserve"> </w:t>
      </w:r>
      <w:r w:rsidRPr="004E6CFC">
        <w:rPr>
          <w:iCs/>
        </w:rPr>
        <w:t>el nivel de</w:t>
      </w:r>
      <w:r w:rsidRPr="004E6CFC">
        <w:rPr>
          <w:i/>
          <w:iCs/>
        </w:rPr>
        <w:t xml:space="preserve"> </w:t>
      </w:r>
      <w:r w:rsidRPr="004E6CFC">
        <w:t xml:space="preserve">tensión 2, en el mes </w:t>
      </w:r>
      <w:r w:rsidRPr="004E6CFC">
        <w:rPr>
          <w:i/>
        </w:rPr>
        <w:t>m</w:t>
      </w:r>
      <w:r w:rsidRPr="004E6CFC">
        <w:t xml:space="preserve"> del año </w:t>
      </w:r>
      <w:r w:rsidRPr="004E6CFC">
        <w:rPr>
          <w:i/>
        </w:rPr>
        <w:t>t,</w:t>
      </w:r>
      <w:r w:rsidRPr="004E6CFC">
        <w:t xml:space="preserve"> según lo establecido en el numeral </w:t>
      </w:r>
      <w:r w:rsidRPr="004E6CFC">
        <w:fldChar w:fldCharType="begin"/>
      </w:r>
      <w:r w:rsidRPr="004E6CFC">
        <w:instrText xml:space="preserve"> REF _Ref476823862 \r \h  \* MERGEFORMAT </w:instrText>
      </w:r>
      <w:r w:rsidRPr="004E6CFC">
        <w:fldChar w:fldCharType="separate"/>
      </w:r>
      <w:r w:rsidR="00737178">
        <w:t>2.5</w:t>
      </w:r>
      <w:r w:rsidRPr="004E6CFC">
        <w:fldChar w:fldCharType="end"/>
      </w:r>
      <w:r w:rsidRPr="004E6CFC">
        <w:t>.</w:t>
      </w:r>
    </w:p>
    <w:p w:rsidR="00E9756B" w:rsidRPr="004E6CFC" w:rsidRDefault="00E9756B" w:rsidP="00E9756B">
      <w:pPr>
        <w:ind w:left="1410" w:hanging="1410"/>
      </w:pPr>
      <w:r w:rsidRPr="004E6CFC">
        <w:rPr>
          <w:i/>
          <w:color w:val="000000" w:themeColor="text1"/>
        </w:rPr>
        <w:t>O</w:t>
      </w:r>
      <w:r w:rsidRPr="004E6CFC">
        <w:rPr>
          <w:i/>
          <w:color w:val="000000" w:themeColor="text1"/>
          <w:vertAlign w:val="subscript"/>
        </w:rPr>
        <w:t>j,2</w:t>
      </w:r>
      <w:r w:rsidRPr="004E6CFC">
        <w:rPr>
          <w:i/>
        </w:rPr>
        <w:t>:</w:t>
      </w:r>
      <w:r w:rsidRPr="004E6CFC">
        <w:rPr>
          <w:i/>
        </w:rPr>
        <w:tab/>
      </w:r>
      <w:r w:rsidRPr="004E6CFC">
        <w:t xml:space="preserve">Valor anual por concepto de conexiones en el nivel de tensión 2 del sistema del OR </w:t>
      </w:r>
      <w:r w:rsidRPr="004E6CFC">
        <w:rPr>
          <w:i/>
          <w:iCs/>
        </w:rPr>
        <w:t>j</w:t>
      </w:r>
      <w:r w:rsidRPr="004E6CFC">
        <w:t xml:space="preserve"> al sistema de otro OR.</w:t>
      </w:r>
    </w:p>
    <w:p w:rsidR="00E9756B" w:rsidRPr="00DA7FDA" w:rsidRDefault="00E9756B" w:rsidP="00E9756B">
      <w:pPr>
        <w:ind w:left="1416" w:hanging="1416"/>
        <w:rPr>
          <w:i/>
        </w:rPr>
      </w:pPr>
      <w:r w:rsidRPr="004E6CFC">
        <w:rPr>
          <w:i/>
        </w:rPr>
        <w:t>CD</w:t>
      </w:r>
      <w:r w:rsidRPr="004E6CFC">
        <w:rPr>
          <w:i/>
          <w:vertAlign w:val="subscript"/>
        </w:rPr>
        <w:t>3-2,j</w:t>
      </w:r>
      <w:r>
        <w:rPr>
          <w:i/>
          <w:vertAlign w:val="subscript"/>
        </w:rPr>
        <w:t>,m,t</w:t>
      </w:r>
      <w:r w:rsidRPr="004E6CFC">
        <w:rPr>
          <w:i/>
        </w:rPr>
        <w:t>:</w:t>
      </w:r>
      <w:r w:rsidRPr="004E6CFC">
        <w:rPr>
          <w:i/>
        </w:rPr>
        <w:tab/>
      </w:r>
      <w:r w:rsidRPr="004E6CFC">
        <w:t xml:space="preserve">Cargo del nivel de tensión 3 que se remunera parcialmente en el nivel de tensión 2 para el </w:t>
      </w:r>
      <w:r w:rsidRPr="00DA7FDA">
        <w:t xml:space="preserve">OR </w:t>
      </w:r>
      <w:r w:rsidRPr="00DA7FDA">
        <w:rPr>
          <w:i/>
        </w:rPr>
        <w:t>j</w:t>
      </w:r>
      <w:r w:rsidRPr="00DA7FDA">
        <w:t xml:space="preserve">, en el mes </w:t>
      </w:r>
      <w:r w:rsidRPr="00DA7FDA">
        <w:rPr>
          <w:i/>
        </w:rPr>
        <w:t>m</w:t>
      </w:r>
      <w:r w:rsidRPr="00DA7FDA">
        <w:t xml:space="preserve"> del año </w:t>
      </w:r>
      <w:r w:rsidRPr="00DA7FDA">
        <w:rPr>
          <w:i/>
        </w:rPr>
        <w:t>t</w:t>
      </w:r>
      <w:r w:rsidRPr="00DA7FDA">
        <w:t>.</w:t>
      </w:r>
    </w:p>
    <w:p w:rsidR="00E9756B" w:rsidRPr="00DA7FDA" w:rsidRDefault="00E9756B" w:rsidP="00E9756B">
      <w:pPr>
        <w:spacing w:before="120"/>
        <w:ind w:left="1418" w:hanging="1418"/>
        <w:rPr>
          <w:rFonts w:cs="Arial"/>
          <w:szCs w:val="20"/>
          <w:lang w:val="es-CO"/>
        </w:rPr>
      </w:pPr>
      <w:r w:rsidRPr="00DA7FDA">
        <w:rPr>
          <w:i/>
          <w:color w:val="000000" w:themeColor="text1"/>
        </w:rPr>
        <w:t>P</w:t>
      </w:r>
      <w:r w:rsidRPr="00DA7FDA">
        <w:rPr>
          <w:i/>
          <w:color w:val="000000" w:themeColor="text1"/>
          <w:vertAlign w:val="subscript"/>
        </w:rPr>
        <w:t>j,2,t</w:t>
      </w:r>
      <w:r w:rsidRPr="00DA7FDA">
        <w:rPr>
          <w:i/>
        </w:rPr>
        <w:t>:</w:t>
      </w:r>
      <w:r w:rsidRPr="00DA7FDA">
        <w:rPr>
          <w:i/>
        </w:rPr>
        <w:tab/>
      </w:r>
      <w:r w:rsidRPr="00DA7FDA">
        <w:rPr>
          <w:rFonts w:cs="Arial"/>
          <w:szCs w:val="20"/>
          <w:lang w:val="es-CO"/>
        </w:rPr>
        <w:t xml:space="preserve">Índice de pérdidas del OR </w:t>
      </w:r>
      <w:r w:rsidRPr="00DA7FDA">
        <w:rPr>
          <w:rFonts w:cs="Arial"/>
          <w:i/>
          <w:szCs w:val="20"/>
          <w:lang w:val="es-CO"/>
        </w:rPr>
        <w:t>j</w:t>
      </w:r>
      <w:r w:rsidRPr="00DA7FDA">
        <w:rPr>
          <w:rFonts w:cs="Arial"/>
          <w:szCs w:val="20"/>
          <w:lang w:val="es-CO"/>
        </w:rPr>
        <w:t xml:space="preserve"> en el nivel de </w:t>
      </w:r>
      <w:r w:rsidRPr="00DA7FDA">
        <w:t>tensión 2</w:t>
      </w:r>
      <w:r w:rsidRPr="00DA7FDA">
        <w:rPr>
          <w:rFonts w:cs="Arial"/>
          <w:szCs w:val="20"/>
          <w:lang w:val="es-CO"/>
        </w:rPr>
        <w:t xml:space="preserve">, en el año </w:t>
      </w:r>
      <w:r w:rsidRPr="00DA7FDA">
        <w:rPr>
          <w:rFonts w:cs="Arial"/>
          <w:i/>
          <w:szCs w:val="20"/>
          <w:lang w:val="es-CO"/>
        </w:rPr>
        <w:t>t</w:t>
      </w:r>
      <w:r w:rsidRPr="00DA7FDA">
        <w:rPr>
          <w:rFonts w:cs="Arial"/>
          <w:szCs w:val="20"/>
          <w:lang w:val="es-CO"/>
        </w:rPr>
        <w:t xml:space="preserve">,  calculado conforme a lo establecido en los numerales </w:t>
      </w:r>
      <w:r w:rsidRPr="00DA7FDA">
        <w:rPr>
          <w:rFonts w:cs="Arial"/>
          <w:szCs w:val="20"/>
          <w:lang w:val="es-CO"/>
        </w:rPr>
        <w:fldChar w:fldCharType="begin"/>
      </w:r>
      <w:r w:rsidRPr="00DA7FDA">
        <w:rPr>
          <w:rFonts w:cs="Arial"/>
          <w:szCs w:val="20"/>
          <w:lang w:val="es-CO"/>
        </w:rPr>
        <w:instrText xml:space="preserve"> REF _Ref476810803 \r \h  \* MERGEFORMAT </w:instrText>
      </w:r>
      <w:r w:rsidRPr="00DA7FDA">
        <w:rPr>
          <w:rFonts w:cs="Arial"/>
          <w:szCs w:val="20"/>
          <w:lang w:val="es-CO"/>
        </w:rPr>
      </w:r>
      <w:r w:rsidRPr="00DA7FDA">
        <w:rPr>
          <w:rFonts w:cs="Arial"/>
          <w:szCs w:val="20"/>
          <w:lang w:val="es-CO"/>
        </w:rPr>
        <w:fldChar w:fldCharType="separate"/>
      </w:r>
      <w:r w:rsidR="00737178">
        <w:rPr>
          <w:rFonts w:cs="Arial"/>
          <w:szCs w:val="20"/>
          <w:lang w:val="es-CO"/>
        </w:rPr>
        <w:t>7.1.2</w:t>
      </w:r>
      <w:r w:rsidRPr="00DA7FDA">
        <w:rPr>
          <w:rFonts w:cs="Arial"/>
          <w:szCs w:val="20"/>
          <w:lang w:val="es-CO"/>
        </w:rPr>
        <w:fldChar w:fldCharType="end"/>
      </w:r>
      <w:r w:rsidRPr="00DA7FDA">
        <w:rPr>
          <w:rFonts w:cs="Arial"/>
          <w:szCs w:val="20"/>
          <w:lang w:val="es-CO"/>
        </w:rPr>
        <w:t xml:space="preserve"> y </w:t>
      </w:r>
      <w:r w:rsidRPr="00DA7FDA">
        <w:rPr>
          <w:rFonts w:cs="Arial"/>
          <w:szCs w:val="20"/>
          <w:lang w:val="es-CO"/>
        </w:rPr>
        <w:fldChar w:fldCharType="begin"/>
      </w:r>
      <w:r w:rsidRPr="00DA7FDA">
        <w:rPr>
          <w:rFonts w:cs="Arial"/>
          <w:szCs w:val="20"/>
          <w:lang w:val="es-CO"/>
        </w:rPr>
        <w:instrText xml:space="preserve"> REF _Ref476810808 \r \h  \* MERGEFORMAT </w:instrText>
      </w:r>
      <w:r w:rsidRPr="00DA7FDA">
        <w:rPr>
          <w:rFonts w:cs="Arial"/>
          <w:szCs w:val="20"/>
          <w:lang w:val="es-CO"/>
        </w:rPr>
      </w:r>
      <w:r w:rsidRPr="00DA7FDA">
        <w:rPr>
          <w:rFonts w:cs="Arial"/>
          <w:szCs w:val="20"/>
          <w:lang w:val="es-CO"/>
        </w:rPr>
        <w:fldChar w:fldCharType="separate"/>
      </w:r>
      <w:r w:rsidR="00737178">
        <w:rPr>
          <w:rFonts w:cs="Arial"/>
          <w:szCs w:val="20"/>
          <w:lang w:val="es-CO"/>
        </w:rPr>
        <w:t>7.1.3</w:t>
      </w:r>
      <w:r w:rsidRPr="00DA7FDA">
        <w:rPr>
          <w:rFonts w:cs="Arial"/>
          <w:szCs w:val="20"/>
          <w:lang w:val="es-CO"/>
        </w:rPr>
        <w:fldChar w:fldCharType="end"/>
      </w:r>
      <w:r w:rsidRPr="00DA7FDA">
        <w:rPr>
          <w:rFonts w:cs="Arial"/>
          <w:szCs w:val="20"/>
          <w:lang w:val="es-CO"/>
        </w:rPr>
        <w:t>.</w:t>
      </w:r>
    </w:p>
    <w:p w:rsidR="00E9756B" w:rsidRPr="00DA7FDA" w:rsidRDefault="00E9756B" w:rsidP="00E9756B">
      <w:pPr>
        <w:ind w:left="1410" w:hanging="1410"/>
      </w:pPr>
      <w:r w:rsidRPr="00DA7FDA">
        <w:rPr>
          <w:i/>
        </w:rPr>
        <w:t>Ee</w:t>
      </w:r>
      <w:r w:rsidRPr="00DA7FDA">
        <w:rPr>
          <w:i/>
          <w:vertAlign w:val="subscript"/>
        </w:rPr>
        <w:t>j,2,ma</w:t>
      </w:r>
      <w:r w:rsidRPr="00DA7FDA">
        <w:tab/>
        <w:t xml:space="preserve">Energía de entrada al sistema del OR </w:t>
      </w:r>
      <w:r w:rsidRPr="00DA7FDA">
        <w:rPr>
          <w:i/>
        </w:rPr>
        <w:t>j</w:t>
      </w:r>
      <w:r w:rsidRPr="00DA7FDA">
        <w:t xml:space="preserve"> en el nivel de tensión 2, durante el mes </w:t>
      </w:r>
      <w:r w:rsidRPr="00DA7FDA">
        <w:rPr>
          <w:i/>
        </w:rPr>
        <w:t>ma</w:t>
      </w:r>
      <w:r w:rsidRPr="00DA7FDA">
        <w:t xml:space="preserve">, expresada en kWh y calculada de acuerdo con lo establecido en el numeral </w:t>
      </w:r>
      <w:r w:rsidRPr="00DA7FDA">
        <w:fldChar w:fldCharType="begin"/>
      </w:r>
      <w:r w:rsidRPr="00DA7FDA">
        <w:instrText xml:space="preserve"> REF _Ref439843693 \r \h  \* MERGEFORMAT </w:instrText>
      </w:r>
      <w:r w:rsidRPr="00DA7FDA">
        <w:fldChar w:fldCharType="separate"/>
      </w:r>
      <w:r w:rsidR="00737178">
        <w:t>7.3.7.1</w:t>
      </w:r>
      <w:r w:rsidRPr="00DA7FDA">
        <w:fldChar w:fldCharType="end"/>
      </w:r>
      <w:r w:rsidRPr="00DA7FDA">
        <w:t>.</w:t>
      </w:r>
    </w:p>
    <w:p w:rsidR="00E9756B" w:rsidRPr="004E6CFC" w:rsidRDefault="00E9756B" w:rsidP="00E9756B">
      <w:r w:rsidRPr="00DA7FDA">
        <w:t>El valor anual por concepto de conexiones al</w:t>
      </w:r>
      <w:r w:rsidRPr="004E6CFC">
        <w:t xml:space="preserve"> sistema de otro OR en el nivel de tensión 2 se calcula de la siguiente manera:</w:t>
      </w:r>
    </w:p>
    <w:p w:rsidR="00E9756B" w:rsidRPr="004E6CFC" w:rsidRDefault="00C9592F" w:rsidP="00E9756B">
      <w:pPr>
        <w:jc w:val="center"/>
        <w:rPr>
          <w:position w:val="-32"/>
        </w:rPr>
      </w:pPr>
      <m:oMathPara>
        <m:oMath>
          <m:sSub>
            <m:sSubPr>
              <m:ctrlPr>
                <w:rPr>
                  <w:rFonts w:ascii="Cambria Math" w:hAnsi="Cambria Math"/>
                  <w:i/>
                </w:rPr>
              </m:ctrlPr>
            </m:sSubPr>
            <m:e>
              <m:r>
                <w:rPr>
                  <w:rFonts w:ascii="Cambria Math" w:hAnsi="Cambria Math"/>
                </w:rPr>
                <m:t>O</m:t>
              </m:r>
            </m:e>
            <m:sub>
              <m:r>
                <w:rPr>
                  <w:rFonts w:ascii="Cambria Math" w:hAnsi="Cambria Math"/>
                </w:rPr>
                <m:t>j,2</m:t>
              </m:r>
            </m:sub>
          </m:sSub>
          <m:r>
            <w:rPr>
              <w:rFonts w:ascii="Cambria Math"/>
            </w:rPr>
            <m:t>=</m:t>
          </m:r>
          <m:nary>
            <m:naryPr>
              <m:chr m:val="∑"/>
              <m:limLoc m:val="undOvr"/>
              <m:ctrlPr>
                <w:rPr>
                  <w:rFonts w:ascii="Cambria Math" w:hAnsi="Cambria Math"/>
                  <w:i/>
                </w:rPr>
              </m:ctrlPr>
            </m:naryPr>
            <m:sub>
              <m:r>
                <w:rPr>
                  <w:rFonts w:ascii="Cambria Math"/>
                </w:rPr>
                <m:t>f=1</m:t>
              </m:r>
            </m:sub>
            <m:sup>
              <m:sSub>
                <m:sSubPr>
                  <m:ctrlPr>
                    <w:rPr>
                      <w:rFonts w:ascii="Cambria Math" w:hAnsi="Cambria Math"/>
                      <w:i/>
                    </w:rPr>
                  </m:ctrlPr>
                </m:sSubPr>
                <m:e>
                  <m:r>
                    <w:rPr>
                      <w:rFonts w:ascii="Cambria Math"/>
                    </w:rPr>
                    <m:t>NC2</m:t>
                  </m:r>
                </m:e>
                <m:sub>
                  <m:r>
                    <w:rPr>
                      <w:rFonts w:ascii="Cambria Math"/>
                    </w:rPr>
                    <m:t>j</m:t>
                  </m:r>
                </m:sub>
              </m:sSub>
            </m:sup>
            <m:e>
              <m:sSub>
                <m:sSubPr>
                  <m:ctrlPr>
                    <w:rPr>
                      <w:rFonts w:ascii="Cambria Math" w:hAnsi="Cambria Math"/>
                      <w:i/>
                    </w:rPr>
                  </m:ctrlPr>
                </m:sSubPr>
                <m:e>
                  <m:r>
                    <w:rPr>
                      <w:rFonts w:ascii="Cambria Math"/>
                    </w:rPr>
                    <m:t>CD</m:t>
                  </m:r>
                </m:e>
                <m:sub>
                  <m:r>
                    <w:rPr>
                      <w:rFonts w:ascii="Cambria Math"/>
                    </w:rPr>
                    <m:t>f,2</m:t>
                  </m:r>
                </m:sub>
              </m:sSub>
              <m:r>
                <w:rPr>
                  <w:rFonts w:ascii="Cambria Math"/>
                </w:rPr>
                <m:t>*</m:t>
              </m:r>
              <m:sSub>
                <m:sSubPr>
                  <m:ctrlPr>
                    <w:rPr>
                      <w:rFonts w:ascii="Cambria Math" w:hAnsi="Cambria Math"/>
                      <w:i/>
                    </w:rPr>
                  </m:ctrlPr>
                </m:sSubPr>
                <m:e>
                  <m:r>
                    <w:rPr>
                      <w:rFonts w:ascii="Cambria Math" w:hAnsi="Cambria Math"/>
                    </w:rPr>
                    <m:t>EI</m:t>
                  </m:r>
                </m:e>
                <m:sub>
                  <m:r>
                    <w:rPr>
                      <w:rFonts w:ascii="Cambria Math" w:hAnsi="Cambria Math"/>
                    </w:rPr>
                    <m:t>j,f</m:t>
                  </m:r>
                </m:sub>
              </m:sSub>
            </m:e>
          </m:nary>
        </m:oMath>
      </m:oMathPara>
    </w:p>
    <w:p w:rsidR="00E9756B" w:rsidRPr="004E6CFC" w:rsidRDefault="00E9756B" w:rsidP="00E9756B">
      <w:pPr>
        <w:ind w:left="1410" w:hanging="1410"/>
      </w:pPr>
      <w:r w:rsidRPr="004E6CFC">
        <w:t>Donde:</w:t>
      </w:r>
    </w:p>
    <w:p w:rsidR="00E9756B" w:rsidRPr="004E6CFC" w:rsidRDefault="00E9756B" w:rsidP="00E9756B">
      <w:pPr>
        <w:spacing w:before="120"/>
        <w:ind w:left="1418" w:hanging="1418"/>
      </w:pPr>
      <w:r w:rsidRPr="004E6CFC">
        <w:rPr>
          <w:i/>
          <w:iCs/>
        </w:rPr>
        <w:t>O</w:t>
      </w:r>
      <w:r w:rsidRPr="004E6CFC">
        <w:rPr>
          <w:i/>
          <w:iCs/>
          <w:vertAlign w:val="subscript"/>
        </w:rPr>
        <w:t>j,2</w:t>
      </w:r>
      <w:r w:rsidRPr="004E6CFC">
        <w:t>:</w:t>
      </w:r>
      <w:r w:rsidRPr="004E6CFC">
        <w:tab/>
        <w:t xml:space="preserve">Valor anual por concepto de conexiones en el nivel de tensión 2 del sistema del OR </w:t>
      </w:r>
      <w:r w:rsidRPr="004E6CFC">
        <w:rPr>
          <w:i/>
          <w:iCs/>
        </w:rPr>
        <w:t>j</w:t>
      </w:r>
      <w:r w:rsidRPr="004E6CFC">
        <w:t xml:space="preserve"> al sistema de otro OR. Este valor se definirá como un número fijo en la resolución particular de cada OR.</w:t>
      </w:r>
    </w:p>
    <w:p w:rsidR="00E9756B" w:rsidRPr="00DA7FDA" w:rsidRDefault="00E9756B" w:rsidP="00E9756B">
      <w:pPr>
        <w:spacing w:before="120"/>
        <w:ind w:left="1418" w:hanging="1418"/>
      </w:pPr>
      <w:r w:rsidRPr="004E6CFC">
        <w:rPr>
          <w:i/>
          <w:iCs/>
        </w:rPr>
        <w:t>NC2</w:t>
      </w:r>
      <w:r w:rsidRPr="004E6CFC">
        <w:rPr>
          <w:i/>
          <w:iCs/>
          <w:vertAlign w:val="subscript"/>
        </w:rPr>
        <w:t>j</w:t>
      </w:r>
      <w:r w:rsidRPr="004E6CFC">
        <w:t xml:space="preserve">: </w:t>
      </w:r>
      <w:r w:rsidRPr="004E6CFC">
        <w:tab/>
        <w:t xml:space="preserve">Número de conexiones con otros OR, que inyectan energía en el nivel de tensión 2 del OR </w:t>
      </w:r>
      <w:r w:rsidRPr="00DA7FDA">
        <w:rPr>
          <w:i/>
          <w:iCs/>
        </w:rPr>
        <w:t>j</w:t>
      </w:r>
      <w:r w:rsidRPr="00DA7FDA">
        <w:t>.</w:t>
      </w:r>
    </w:p>
    <w:p w:rsidR="00E9756B" w:rsidRPr="004E6CFC" w:rsidRDefault="00E9756B" w:rsidP="00E9756B">
      <w:pPr>
        <w:spacing w:before="120"/>
        <w:ind w:left="1418" w:hanging="1418"/>
      </w:pPr>
      <w:r w:rsidRPr="00DA7FDA">
        <w:rPr>
          <w:i/>
          <w:iCs/>
        </w:rPr>
        <w:t>CD</w:t>
      </w:r>
      <w:r w:rsidRPr="00DA7FDA">
        <w:rPr>
          <w:i/>
          <w:iCs/>
          <w:vertAlign w:val="subscript"/>
        </w:rPr>
        <w:t>f,2</w:t>
      </w:r>
      <w:r w:rsidRPr="00DA7FDA">
        <w:t>:</w:t>
      </w:r>
      <w:r w:rsidRPr="00DA7FDA">
        <w:tab/>
        <w:t xml:space="preserve">Cargo del nivel de tensión 2 de referencia para el OR que exporta energía en la conexión </w:t>
      </w:r>
      <w:r w:rsidRPr="00DA7FDA">
        <w:rPr>
          <w:i/>
        </w:rPr>
        <w:t>f</w:t>
      </w:r>
      <w:r w:rsidRPr="00DA7FDA">
        <w:t>.</w:t>
      </w:r>
    </w:p>
    <w:p w:rsidR="00E9756B" w:rsidRPr="004E6CFC" w:rsidRDefault="00E9756B" w:rsidP="00E9756B">
      <w:pPr>
        <w:ind w:left="1410" w:hanging="1410"/>
      </w:pPr>
      <w:r w:rsidRPr="004E6CFC">
        <w:rPr>
          <w:i/>
          <w:iCs/>
        </w:rPr>
        <w:lastRenderedPageBreak/>
        <w:t>EI</w:t>
      </w:r>
      <w:r w:rsidRPr="004E6CFC">
        <w:rPr>
          <w:i/>
          <w:iCs/>
          <w:vertAlign w:val="subscript"/>
        </w:rPr>
        <w:t>j,f</w:t>
      </w:r>
      <w:r w:rsidRPr="004E6CFC">
        <w:t>:</w:t>
      </w:r>
      <w:r w:rsidRPr="004E6CFC">
        <w:tab/>
        <w:t>Energía importada</w:t>
      </w:r>
      <w:r>
        <w:t>, en el año que finaliza en la fecha de corte,</w:t>
      </w:r>
      <w:r w:rsidRPr="004E6CFC">
        <w:t xml:space="preserve"> por el OR </w:t>
      </w:r>
      <w:r w:rsidRPr="004E6CFC">
        <w:rPr>
          <w:i/>
          <w:iCs/>
        </w:rPr>
        <w:t>j</w:t>
      </w:r>
      <w:r w:rsidRPr="004E6CFC">
        <w:t xml:space="preserve"> a través de la conexión </w:t>
      </w:r>
      <w:r w:rsidRPr="004E6CFC">
        <w:rPr>
          <w:i/>
        </w:rPr>
        <w:t>f.</w:t>
      </w:r>
    </w:p>
    <w:p w:rsidR="00E9756B" w:rsidRPr="004E6CFC" w:rsidRDefault="00E9756B" w:rsidP="00E9756B">
      <w:r w:rsidRPr="004E6CFC">
        <w:t xml:space="preserve">El cargo del nivel de tensión 3 que se remunera parcialmente en el nivel de tensión 2 se calcula de la siguiente manera:  </w:t>
      </w:r>
    </w:p>
    <w:p w:rsidR="00E9756B" w:rsidRPr="004E6CFC" w:rsidRDefault="00C9592F" w:rsidP="00E9756B">
      <w:pPr>
        <w:jc w:val="center"/>
        <w:rPr>
          <w:position w:val="-32"/>
        </w:rPr>
      </w:pPr>
      <m:oMathPara>
        <m:oMath>
          <m:sSub>
            <m:sSubPr>
              <m:ctrlPr>
                <w:rPr>
                  <w:rFonts w:ascii="Cambria Math" w:hAnsi="Cambria Math"/>
                  <w:i/>
                </w:rPr>
              </m:ctrlPr>
            </m:sSubPr>
            <m:e>
              <m:r>
                <w:rPr>
                  <w:rFonts w:ascii="Cambria Math" w:hAnsi="Cambria Math"/>
                </w:rPr>
                <m:t>CD</m:t>
              </m:r>
            </m:e>
            <m:sub>
              <m:r>
                <w:rPr>
                  <w:rFonts w:ascii="Cambria Math" w:hAnsi="Cambria Math"/>
                </w:rPr>
                <m:t>3-2,j,m,t</m:t>
              </m:r>
            </m:sub>
          </m:sSub>
          <m:r>
            <w:rPr>
              <w:rFonts w:ascii="Cambria Math"/>
            </w:rPr>
            <m:t>=</m:t>
          </m:r>
          <m:sSub>
            <m:sSubPr>
              <m:ctrlPr>
                <w:rPr>
                  <w:rFonts w:ascii="Cambria Math" w:hAnsi="Cambria Math"/>
                  <w:i/>
                </w:rPr>
              </m:ctrlPr>
            </m:sSubPr>
            <m:e>
              <m:r>
                <w:rPr>
                  <w:rFonts w:ascii="Cambria Math"/>
                </w:rPr>
                <m:t>CD</m:t>
              </m:r>
            </m:e>
            <m:sub>
              <m:r>
                <w:rPr>
                  <w:rFonts w:ascii="Cambria Math"/>
                </w:rPr>
                <m:t>3,j,m,t</m:t>
              </m:r>
            </m:sub>
          </m:sSub>
          <m:r>
            <w:rPr>
              <w:rFonts w:ascii="Cambria Math"/>
            </w:rPr>
            <m:t>*</m:t>
          </m:r>
          <m:f>
            <m:fPr>
              <m:ctrlPr>
                <w:rPr>
                  <w:rFonts w:ascii="Cambria Math" w:hAnsi="Cambria Math"/>
                  <w:i/>
                </w:rPr>
              </m:ctrlPr>
            </m:fPr>
            <m:num>
              <m:nary>
                <m:naryPr>
                  <m:chr m:val="∑"/>
                  <m:limLoc m:val="undOvr"/>
                  <m:ctrlPr>
                    <w:rPr>
                      <w:rFonts w:ascii="Cambria Math" w:hAnsi="Cambria Math"/>
                      <w:i/>
                    </w:rPr>
                  </m:ctrlPr>
                </m:naryPr>
                <m:sub>
                  <m:r>
                    <w:rPr>
                      <w:rFonts w:ascii="Cambria Math" w:hAnsi="Cambria Math"/>
                    </w:rPr>
                    <m:t>ma=m-3</m:t>
                  </m:r>
                </m:sub>
                <m:sup>
                  <m:r>
                    <w:rPr>
                      <w:rFonts w:ascii="Cambria Math" w:hAnsi="Cambria Math"/>
                    </w:rPr>
                    <m:t>m</m:t>
                  </m:r>
                  <m:sSub>
                    <m:sSubPr>
                      <m:ctrlPr>
                        <w:rPr>
                          <w:rFonts w:ascii="Cambria Math" w:hAnsi="Cambria Math"/>
                          <w:i/>
                        </w:rPr>
                      </m:ctrlPr>
                    </m:sSubPr>
                    <m:e>
                      <m:r>
                        <w:rPr>
                          <w:rFonts w:ascii="Cambria Math" w:hAnsi="Cambria Math"/>
                        </w:rPr>
                        <m:t>-14</m:t>
                      </m:r>
                    </m:e>
                    <m:sub/>
                  </m:sSub>
                </m:sup>
                <m:e>
                  <m:sSub>
                    <m:sSubPr>
                      <m:ctrlPr>
                        <w:rPr>
                          <w:rFonts w:ascii="Cambria Math" w:hAnsi="Cambria Math"/>
                          <w:i/>
                        </w:rPr>
                      </m:ctrlPr>
                    </m:sSubPr>
                    <m:e>
                      <m:r>
                        <w:rPr>
                          <w:rFonts w:ascii="Cambria Math" w:hAnsi="Cambria Math"/>
                        </w:rPr>
                        <m:t>Fe</m:t>
                      </m:r>
                    </m:e>
                    <m:sub>
                      <m:r>
                        <w:rPr>
                          <w:rFonts w:ascii="Cambria Math" w:hAnsi="Cambria Math"/>
                        </w:rPr>
                        <m:t>j,3-2,ma</m:t>
                      </m:r>
                    </m:sub>
                  </m:sSub>
                </m:e>
              </m:nary>
            </m:num>
            <m:den>
              <m:d>
                <m:dPr>
                  <m:ctrlPr>
                    <w:rPr>
                      <w:rFonts w:ascii="Cambria Math" w:hAnsi="Cambria Math"/>
                      <w:i/>
                    </w:rPr>
                  </m:ctrlPr>
                </m:dPr>
                <m:e>
                  <m:r>
                    <w:rPr>
                      <w:rFonts w:ascii="Cambria Math" w:hAnsi="Cambria Math"/>
                    </w:rPr>
                    <m:t>1-</m:t>
                  </m:r>
                  <m:sSub>
                    <m:sSubPr>
                      <m:ctrlPr>
                        <w:rPr>
                          <w:rFonts w:ascii="Cambria Math" w:hAnsi="Cambria Math"/>
                          <w:i/>
                        </w:rPr>
                      </m:ctrlPr>
                    </m:sSubPr>
                    <m:e>
                      <m:r>
                        <w:rPr>
                          <w:rFonts w:ascii="Cambria Math" w:hAnsi="Cambria Math"/>
                        </w:rPr>
                        <m:t>P</m:t>
                      </m:r>
                    </m:e>
                    <m:sub>
                      <m:r>
                        <w:rPr>
                          <w:rFonts w:ascii="Cambria Math" w:hAnsi="Cambria Math"/>
                        </w:rPr>
                        <m:t>j,2,t</m:t>
                      </m:r>
                    </m:sub>
                  </m:sSub>
                </m:e>
              </m:d>
              <m:r>
                <w:rPr>
                  <w:rFonts w:ascii="Cambria Math" w:hAnsi="Cambria Math"/>
                </w:rPr>
                <m:t>*</m:t>
              </m:r>
              <m:nary>
                <m:naryPr>
                  <m:chr m:val="∑"/>
                  <m:limLoc m:val="undOvr"/>
                  <m:ctrlPr>
                    <w:rPr>
                      <w:rFonts w:ascii="Cambria Math" w:hAnsi="Cambria Math"/>
                      <w:i/>
                    </w:rPr>
                  </m:ctrlPr>
                </m:naryPr>
                <m:sub>
                  <m:r>
                    <w:rPr>
                      <w:rFonts w:ascii="Cambria Math" w:hAnsi="Cambria Math"/>
                    </w:rPr>
                    <m:t>ma=m-3</m:t>
                  </m:r>
                </m:sub>
                <m:sup>
                  <m:r>
                    <w:rPr>
                      <w:rFonts w:ascii="Cambria Math" w:hAnsi="Cambria Math"/>
                    </w:rPr>
                    <m:t>m</m:t>
                  </m:r>
                  <m:sSub>
                    <m:sSubPr>
                      <m:ctrlPr>
                        <w:rPr>
                          <w:rFonts w:ascii="Cambria Math" w:hAnsi="Cambria Math"/>
                          <w:i/>
                        </w:rPr>
                      </m:ctrlPr>
                    </m:sSubPr>
                    <m:e>
                      <m:r>
                        <w:rPr>
                          <w:rFonts w:ascii="Cambria Math" w:hAnsi="Cambria Math"/>
                        </w:rPr>
                        <m:t>-14</m:t>
                      </m:r>
                    </m:e>
                    <m:sub/>
                  </m:sSub>
                </m:sup>
                <m:e>
                  <m:sSub>
                    <m:sSubPr>
                      <m:ctrlPr>
                        <w:rPr>
                          <w:rFonts w:ascii="Cambria Math" w:hAnsi="Cambria Math"/>
                          <w:i/>
                        </w:rPr>
                      </m:ctrlPr>
                    </m:sSubPr>
                    <m:e>
                      <m:r>
                        <w:rPr>
                          <w:rFonts w:ascii="Cambria Math" w:hAnsi="Cambria Math"/>
                        </w:rPr>
                        <m:t>Ee</m:t>
                      </m:r>
                    </m:e>
                    <m:sub>
                      <m:r>
                        <w:rPr>
                          <w:rFonts w:ascii="Cambria Math" w:hAnsi="Cambria Math"/>
                        </w:rPr>
                        <m:t>j,2,ma</m:t>
                      </m:r>
                    </m:sub>
                  </m:sSub>
                </m:e>
              </m:nary>
            </m:den>
          </m:f>
        </m:oMath>
      </m:oMathPara>
    </w:p>
    <w:p w:rsidR="00E9756B" w:rsidRPr="004E6CFC" w:rsidRDefault="00E9756B" w:rsidP="00E9756B">
      <w:pPr>
        <w:ind w:left="1410" w:hanging="1410"/>
      </w:pPr>
      <w:r w:rsidRPr="004E6CFC">
        <w:t xml:space="preserve">Donde: </w:t>
      </w:r>
    </w:p>
    <w:p w:rsidR="00E9756B" w:rsidRPr="004E6CFC" w:rsidRDefault="00E9756B" w:rsidP="00E9756B">
      <w:pPr>
        <w:ind w:left="1416" w:hanging="1416"/>
        <w:rPr>
          <w:i/>
        </w:rPr>
      </w:pPr>
      <w:r w:rsidRPr="004E6CFC">
        <w:rPr>
          <w:i/>
        </w:rPr>
        <w:t>CD</w:t>
      </w:r>
      <w:r w:rsidRPr="004E6CFC">
        <w:rPr>
          <w:i/>
          <w:vertAlign w:val="subscript"/>
        </w:rPr>
        <w:t>3-2,j</w:t>
      </w:r>
      <w:r>
        <w:rPr>
          <w:i/>
          <w:vertAlign w:val="subscript"/>
        </w:rPr>
        <w:t>,m,t</w:t>
      </w:r>
      <w:r w:rsidRPr="004E6CFC">
        <w:rPr>
          <w:i/>
        </w:rPr>
        <w:t>:</w:t>
      </w:r>
      <w:r w:rsidRPr="004E6CFC">
        <w:rPr>
          <w:i/>
        </w:rPr>
        <w:tab/>
      </w:r>
      <w:r w:rsidRPr="004E6CFC">
        <w:t xml:space="preserve">Cargo del nivel de tensión 3 que se remunera parcialmente en el nivel de tensión 2 para el OR </w:t>
      </w:r>
      <w:r w:rsidRPr="004E6CFC">
        <w:rPr>
          <w:i/>
        </w:rPr>
        <w:t>j</w:t>
      </w:r>
      <w:r w:rsidRPr="004E6CFC">
        <w:t xml:space="preserve">, en el mes </w:t>
      </w:r>
      <w:r w:rsidRPr="004E6CFC">
        <w:rPr>
          <w:i/>
        </w:rPr>
        <w:t>m</w:t>
      </w:r>
      <w:r w:rsidRPr="004E6CFC">
        <w:t xml:space="preserve"> del año </w:t>
      </w:r>
      <w:r w:rsidRPr="004E6CFC">
        <w:rPr>
          <w:i/>
        </w:rPr>
        <w:t>t</w:t>
      </w:r>
      <w:r w:rsidRPr="004E6CFC">
        <w:t>.</w:t>
      </w:r>
    </w:p>
    <w:p w:rsidR="00E9756B" w:rsidRPr="004E6CFC" w:rsidRDefault="00E9756B" w:rsidP="00E9756B">
      <w:pPr>
        <w:spacing w:before="120"/>
        <w:ind w:left="1418" w:hanging="1418"/>
      </w:pPr>
      <w:r w:rsidRPr="004E6CFC">
        <w:rPr>
          <w:i/>
          <w:iCs/>
        </w:rPr>
        <w:t>CD</w:t>
      </w:r>
      <w:r w:rsidRPr="004E6CFC">
        <w:rPr>
          <w:i/>
          <w:iCs/>
          <w:vertAlign w:val="subscript"/>
        </w:rPr>
        <w:t>3,j,m,t</w:t>
      </w:r>
      <w:r w:rsidRPr="004E6CFC">
        <w:t>:</w:t>
      </w:r>
      <w:r w:rsidRPr="004E6CFC">
        <w:tab/>
        <w:t xml:space="preserve">Cargo del nivel de tensión 3 del sistema del OR </w:t>
      </w:r>
      <w:r w:rsidRPr="004E6CFC">
        <w:rPr>
          <w:i/>
        </w:rPr>
        <w:t>j</w:t>
      </w:r>
      <w:r w:rsidRPr="004E6CFC">
        <w:t xml:space="preserve">, en el mes </w:t>
      </w:r>
      <w:r w:rsidRPr="004E6CFC">
        <w:rPr>
          <w:i/>
        </w:rPr>
        <w:t>m</w:t>
      </w:r>
      <w:r w:rsidRPr="004E6CFC">
        <w:t xml:space="preserve"> del año </w:t>
      </w:r>
      <w:r w:rsidRPr="004E6CFC">
        <w:rPr>
          <w:i/>
        </w:rPr>
        <w:t>t</w:t>
      </w:r>
      <w:r w:rsidRPr="004E6CFC">
        <w:t xml:space="preserve">, en $/kWh. </w:t>
      </w:r>
    </w:p>
    <w:p w:rsidR="00E9756B" w:rsidRPr="004E6CFC" w:rsidRDefault="00E9756B" w:rsidP="00E9756B">
      <w:pPr>
        <w:ind w:left="1410" w:hanging="1410"/>
      </w:pPr>
      <w:r w:rsidRPr="004E6CFC">
        <w:rPr>
          <w:i/>
          <w:iCs/>
        </w:rPr>
        <w:t>Fe</w:t>
      </w:r>
      <w:r w:rsidRPr="004E6CFC">
        <w:rPr>
          <w:i/>
          <w:iCs/>
          <w:vertAlign w:val="subscript"/>
        </w:rPr>
        <w:t>j,3-2</w:t>
      </w:r>
      <w:r>
        <w:rPr>
          <w:i/>
          <w:iCs/>
          <w:vertAlign w:val="subscript"/>
        </w:rPr>
        <w:t>,ma</w:t>
      </w:r>
      <w:r w:rsidRPr="004E6CFC">
        <w:t>:</w:t>
      </w:r>
      <w:r w:rsidRPr="004E6CFC">
        <w:tab/>
        <w:t xml:space="preserve">Flujo de energía del nivel de tensión 3 al nivel de tensión 2 del OR </w:t>
      </w:r>
      <w:r w:rsidRPr="004E6CFC">
        <w:rPr>
          <w:i/>
          <w:iCs/>
        </w:rPr>
        <w:t>j</w:t>
      </w:r>
      <w:r>
        <w:t xml:space="preserve">, en el mes </w:t>
      </w:r>
      <w:r w:rsidRPr="002A4086">
        <w:rPr>
          <w:i/>
        </w:rPr>
        <w:t>ma</w:t>
      </w:r>
      <w:r>
        <w:t>.</w:t>
      </w:r>
      <w:r w:rsidRPr="004E6CFC">
        <w:t xml:space="preserve"> </w:t>
      </w:r>
    </w:p>
    <w:p w:rsidR="00E9756B" w:rsidRPr="00DA7FDA" w:rsidRDefault="00E9756B" w:rsidP="00E9756B">
      <w:pPr>
        <w:spacing w:before="120"/>
        <w:ind w:left="1418" w:hanging="1418"/>
        <w:rPr>
          <w:rFonts w:cs="Arial"/>
          <w:szCs w:val="20"/>
          <w:lang w:val="es-CO"/>
        </w:rPr>
      </w:pPr>
      <w:r w:rsidRPr="004E6CFC">
        <w:rPr>
          <w:i/>
          <w:color w:val="000000" w:themeColor="text1"/>
        </w:rPr>
        <w:t>P</w:t>
      </w:r>
      <w:r w:rsidRPr="004E6CFC">
        <w:rPr>
          <w:i/>
          <w:color w:val="000000" w:themeColor="text1"/>
          <w:vertAlign w:val="subscript"/>
        </w:rPr>
        <w:t>j,2,t</w:t>
      </w:r>
      <w:r w:rsidRPr="004E6CFC">
        <w:rPr>
          <w:i/>
        </w:rPr>
        <w:t>:</w:t>
      </w:r>
      <w:r w:rsidRPr="004E6CFC">
        <w:rPr>
          <w:i/>
        </w:rPr>
        <w:tab/>
      </w:r>
      <w:r w:rsidRPr="004E6CFC">
        <w:rPr>
          <w:rFonts w:cs="Arial"/>
          <w:szCs w:val="20"/>
          <w:lang w:val="es-CO"/>
        </w:rPr>
        <w:t xml:space="preserve">Índice de pérdidas del OR </w:t>
      </w:r>
      <w:r w:rsidRPr="004E6CFC">
        <w:rPr>
          <w:rFonts w:cs="Arial"/>
          <w:i/>
          <w:szCs w:val="20"/>
          <w:lang w:val="es-CO"/>
        </w:rPr>
        <w:t>j</w:t>
      </w:r>
      <w:r w:rsidRPr="004E6CFC">
        <w:rPr>
          <w:rFonts w:cs="Arial"/>
          <w:szCs w:val="20"/>
          <w:lang w:val="es-CO"/>
        </w:rPr>
        <w:t xml:space="preserve"> en el nivel de </w:t>
      </w:r>
      <w:r w:rsidRPr="004E6CFC">
        <w:t>tensión 2</w:t>
      </w:r>
      <w:r w:rsidRPr="004E6CFC">
        <w:rPr>
          <w:rFonts w:cs="Arial"/>
          <w:szCs w:val="20"/>
          <w:lang w:val="es-CO"/>
        </w:rPr>
        <w:t xml:space="preserve">, en el año </w:t>
      </w:r>
      <w:r w:rsidRPr="004E6CFC">
        <w:rPr>
          <w:rFonts w:cs="Arial"/>
          <w:i/>
          <w:szCs w:val="20"/>
          <w:lang w:val="es-CO"/>
        </w:rPr>
        <w:t>t</w:t>
      </w:r>
      <w:r w:rsidRPr="004E6CFC">
        <w:rPr>
          <w:rFonts w:cs="Arial"/>
          <w:szCs w:val="20"/>
          <w:lang w:val="es-CO"/>
        </w:rPr>
        <w:t xml:space="preserve">,  calculado conforme </w:t>
      </w:r>
      <w:r w:rsidRPr="00DA7FDA">
        <w:rPr>
          <w:rFonts w:cs="Arial"/>
          <w:szCs w:val="20"/>
          <w:lang w:val="es-CO"/>
        </w:rPr>
        <w:t xml:space="preserve">a lo establecido en los numerales </w:t>
      </w:r>
      <w:r w:rsidRPr="00DA7FDA">
        <w:rPr>
          <w:rFonts w:cs="Arial"/>
          <w:szCs w:val="20"/>
          <w:lang w:val="es-CO"/>
        </w:rPr>
        <w:fldChar w:fldCharType="begin"/>
      </w:r>
      <w:r w:rsidRPr="00DA7FDA">
        <w:rPr>
          <w:rFonts w:cs="Arial"/>
          <w:szCs w:val="20"/>
          <w:lang w:val="es-CO"/>
        </w:rPr>
        <w:instrText xml:space="preserve"> REF _Ref476810803 \r \h  \* MERGEFORMAT </w:instrText>
      </w:r>
      <w:r w:rsidRPr="00DA7FDA">
        <w:rPr>
          <w:rFonts w:cs="Arial"/>
          <w:szCs w:val="20"/>
          <w:lang w:val="es-CO"/>
        </w:rPr>
      </w:r>
      <w:r w:rsidRPr="00DA7FDA">
        <w:rPr>
          <w:rFonts w:cs="Arial"/>
          <w:szCs w:val="20"/>
          <w:lang w:val="es-CO"/>
        </w:rPr>
        <w:fldChar w:fldCharType="separate"/>
      </w:r>
      <w:r w:rsidR="00737178">
        <w:rPr>
          <w:rFonts w:cs="Arial"/>
          <w:szCs w:val="20"/>
          <w:lang w:val="es-CO"/>
        </w:rPr>
        <w:t>7.1.2</w:t>
      </w:r>
      <w:r w:rsidRPr="00DA7FDA">
        <w:rPr>
          <w:rFonts w:cs="Arial"/>
          <w:szCs w:val="20"/>
          <w:lang w:val="es-CO"/>
        </w:rPr>
        <w:fldChar w:fldCharType="end"/>
      </w:r>
      <w:r w:rsidRPr="00DA7FDA">
        <w:rPr>
          <w:rFonts w:cs="Arial"/>
          <w:szCs w:val="20"/>
          <w:lang w:val="es-CO"/>
        </w:rPr>
        <w:t xml:space="preserve"> y </w:t>
      </w:r>
      <w:r w:rsidRPr="00DA7FDA">
        <w:rPr>
          <w:rFonts w:cs="Arial"/>
          <w:szCs w:val="20"/>
          <w:lang w:val="es-CO"/>
        </w:rPr>
        <w:fldChar w:fldCharType="begin"/>
      </w:r>
      <w:r w:rsidRPr="00DA7FDA">
        <w:rPr>
          <w:rFonts w:cs="Arial"/>
          <w:szCs w:val="20"/>
          <w:lang w:val="es-CO"/>
        </w:rPr>
        <w:instrText xml:space="preserve"> REF _Ref476810808 \r \h  \* MERGEFORMAT </w:instrText>
      </w:r>
      <w:r w:rsidRPr="00DA7FDA">
        <w:rPr>
          <w:rFonts w:cs="Arial"/>
          <w:szCs w:val="20"/>
          <w:lang w:val="es-CO"/>
        </w:rPr>
      </w:r>
      <w:r w:rsidRPr="00DA7FDA">
        <w:rPr>
          <w:rFonts w:cs="Arial"/>
          <w:szCs w:val="20"/>
          <w:lang w:val="es-CO"/>
        </w:rPr>
        <w:fldChar w:fldCharType="separate"/>
      </w:r>
      <w:r w:rsidR="00737178">
        <w:rPr>
          <w:rFonts w:cs="Arial"/>
          <w:szCs w:val="20"/>
          <w:lang w:val="es-CO"/>
        </w:rPr>
        <w:t>7.1.3</w:t>
      </w:r>
      <w:r w:rsidRPr="00DA7FDA">
        <w:rPr>
          <w:rFonts w:cs="Arial"/>
          <w:szCs w:val="20"/>
          <w:lang w:val="es-CO"/>
        </w:rPr>
        <w:fldChar w:fldCharType="end"/>
      </w:r>
      <w:r w:rsidRPr="00DA7FDA">
        <w:rPr>
          <w:rFonts w:cs="Arial"/>
          <w:szCs w:val="20"/>
          <w:lang w:val="es-CO"/>
        </w:rPr>
        <w:t>.</w:t>
      </w:r>
    </w:p>
    <w:p w:rsidR="00E9756B" w:rsidRPr="004E6CFC" w:rsidRDefault="00E9756B" w:rsidP="00E9756B">
      <w:pPr>
        <w:ind w:left="1410" w:hanging="1410"/>
      </w:pPr>
      <w:r w:rsidRPr="00DA7FDA">
        <w:rPr>
          <w:i/>
        </w:rPr>
        <w:t>Ee</w:t>
      </w:r>
      <w:r w:rsidRPr="00DA7FDA">
        <w:rPr>
          <w:i/>
          <w:vertAlign w:val="subscript"/>
        </w:rPr>
        <w:t>j,2,ma</w:t>
      </w:r>
      <w:r w:rsidRPr="00DA7FDA">
        <w:tab/>
        <w:t xml:space="preserve">Energía de entrada al sistema del OR </w:t>
      </w:r>
      <w:r w:rsidRPr="00DA7FDA">
        <w:rPr>
          <w:i/>
        </w:rPr>
        <w:t>j</w:t>
      </w:r>
      <w:r w:rsidRPr="00DA7FDA">
        <w:t xml:space="preserve"> en el nivel de tensión 2, durante el mes </w:t>
      </w:r>
      <w:r w:rsidRPr="00DA7FDA">
        <w:rPr>
          <w:i/>
        </w:rPr>
        <w:t>ma</w:t>
      </w:r>
      <w:r w:rsidRPr="00DA7FDA">
        <w:t xml:space="preserve">, expresada en kWh y calculada de acuerdo con lo establecido en el numeral </w:t>
      </w:r>
      <w:r w:rsidRPr="00DA7FDA">
        <w:fldChar w:fldCharType="begin"/>
      </w:r>
      <w:r w:rsidRPr="00DA7FDA">
        <w:instrText xml:space="preserve"> REF _Ref439843693 \r \h  \* MERGEFORMAT </w:instrText>
      </w:r>
      <w:r w:rsidRPr="00DA7FDA">
        <w:fldChar w:fldCharType="separate"/>
      </w:r>
      <w:r w:rsidR="00737178">
        <w:t>7.3.7.1</w:t>
      </w:r>
      <w:r w:rsidRPr="00DA7FDA">
        <w:fldChar w:fldCharType="end"/>
      </w:r>
      <w:r w:rsidRPr="004E6CFC">
        <w:t>.</w:t>
      </w:r>
    </w:p>
    <w:p w:rsidR="00E9756B" w:rsidRPr="004E6CFC" w:rsidRDefault="00E9756B" w:rsidP="00E9756B">
      <w:pPr>
        <w:pStyle w:val="Ttulo3"/>
      </w:pPr>
      <w:bookmarkStart w:id="76" w:name="_Toc476824115"/>
      <w:bookmarkStart w:id="77" w:name="_Toc505335894"/>
      <w:r w:rsidRPr="004E6CFC">
        <w:t>Cargos del nivel de tensión 1</w:t>
      </w:r>
      <w:bookmarkEnd w:id="76"/>
      <w:bookmarkEnd w:id="77"/>
    </w:p>
    <w:p w:rsidR="00E9756B" w:rsidRPr="004E6CFC" w:rsidRDefault="00E9756B" w:rsidP="00E9756B">
      <w:pPr>
        <w:rPr>
          <w:lang w:val="es-ES_tradnl"/>
        </w:rPr>
      </w:pPr>
      <w:r w:rsidRPr="004E6CFC">
        <w:rPr>
          <w:lang w:val="es-ES_tradnl"/>
        </w:rPr>
        <w:t>En el nivel de tensión 1 se calculan dos cargos, uno asociado con los activos de uso y otro con los gastos de AOM asignados a este nivel de tensión.</w:t>
      </w:r>
    </w:p>
    <w:p w:rsidR="00E9756B" w:rsidRPr="004E6CFC" w:rsidRDefault="00E9756B" w:rsidP="00E9756B">
      <w:pPr>
        <w:pStyle w:val="Ttulo4"/>
      </w:pPr>
      <w:bookmarkStart w:id="78" w:name="_Ref408406245"/>
      <w:bookmarkStart w:id="79" w:name="_Toc408493126"/>
      <w:r w:rsidRPr="004E6CFC">
        <w:t>Cargos de nivel de tensión 1</w:t>
      </w:r>
      <w:bookmarkEnd w:id="78"/>
      <w:bookmarkEnd w:id="79"/>
      <w:r w:rsidRPr="004E6CFC">
        <w:t xml:space="preserve"> por activos de uso</w:t>
      </w:r>
    </w:p>
    <w:p w:rsidR="00E9756B" w:rsidRPr="004E6CFC" w:rsidRDefault="00E9756B" w:rsidP="00E9756B">
      <w:r w:rsidRPr="004E6CFC">
        <w:t>El cargo de inversión para nivel de tensión 1 se calcula según lo establecido en las siguientes expresiones:</w:t>
      </w:r>
    </w:p>
    <w:p w:rsidR="00E9756B" w:rsidRPr="004E6CFC" w:rsidRDefault="00C9592F" w:rsidP="00E9756B">
      <m:oMathPara>
        <m:oMath>
          <m:sSub>
            <m:sSubPr>
              <m:ctrlPr>
                <w:rPr>
                  <w:rFonts w:ascii="Cambria Math" w:hAnsi="Cambria Math"/>
                  <w:i/>
                </w:rPr>
              </m:ctrlPr>
            </m:sSubPr>
            <m:e>
              <m:r>
                <w:rPr>
                  <w:rFonts w:ascii="Cambria Math" w:hAnsi="Cambria Math"/>
                </w:rPr>
                <m:t>CDI</m:t>
              </m:r>
            </m:e>
            <m:sub>
              <m:r>
                <w:rPr>
                  <w:rFonts w:ascii="Cambria Math"/>
                </w:rPr>
                <m:t>1,j,m,</m:t>
              </m:r>
              <m:r>
                <w:rPr>
                  <w:rFonts w:ascii="Cambria Math" w:hAnsi="Cambria Math"/>
                </w:rPr>
                <m:t>t</m:t>
              </m:r>
            </m:sub>
          </m:sSub>
          <m:r>
            <w:rPr>
              <w:rFonts w:asci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IA</m:t>
                  </m:r>
                </m:e>
                <m:sub>
                  <m:r>
                    <w:rPr>
                      <w:rFonts w:ascii="Cambria Math" w:hAnsi="Cambria Math"/>
                    </w:rPr>
                    <m:t>j</m:t>
                  </m:r>
                  <m:r>
                    <w:rPr>
                      <w:rFonts w:ascii="Cambria Math"/>
                    </w:rPr>
                    <m:t>,1,m,</m:t>
                  </m:r>
                  <m:r>
                    <w:rPr>
                      <w:rFonts w:ascii="Cambria Math" w:hAnsi="Cambria Math"/>
                    </w:rPr>
                    <m:t>t</m:t>
                  </m:r>
                </m:sub>
              </m:sSub>
            </m:num>
            <m:den>
              <m:d>
                <m:dPr>
                  <m:ctrlPr>
                    <w:rPr>
                      <w:rFonts w:ascii="Cambria Math" w:hAnsi="Cambria Math"/>
                      <w:i/>
                    </w:rPr>
                  </m:ctrlPr>
                </m:dPr>
                <m:e>
                  <m:r>
                    <w:rPr>
                      <w:rFonts w:ascii="Cambria Math" w:hAnsi="Cambria Math"/>
                    </w:rPr>
                    <m:t>1-</m:t>
                  </m:r>
                  <m:sSub>
                    <m:sSubPr>
                      <m:ctrlPr>
                        <w:rPr>
                          <w:rFonts w:ascii="Cambria Math" w:hAnsi="Cambria Math"/>
                          <w:i/>
                        </w:rPr>
                      </m:ctrlPr>
                    </m:sSubPr>
                    <m:e>
                      <m:r>
                        <w:rPr>
                          <w:rFonts w:ascii="Cambria Math" w:hAnsi="Cambria Math"/>
                        </w:rPr>
                        <m:t>P</m:t>
                      </m:r>
                    </m:e>
                    <m:sub>
                      <m:r>
                        <w:rPr>
                          <w:rFonts w:ascii="Cambria Math" w:hAnsi="Cambria Math"/>
                        </w:rPr>
                        <m:t>j,1,t</m:t>
                      </m:r>
                    </m:sub>
                  </m:sSub>
                </m:e>
              </m:d>
              <m:r>
                <w:rPr>
                  <w:rFonts w:ascii="Cambria Math" w:hAnsi="Cambria Math"/>
                </w:rPr>
                <m:t>*</m:t>
              </m:r>
              <m:f>
                <m:fPr>
                  <m:ctrlPr>
                    <w:rPr>
                      <w:rFonts w:ascii="Cambria Math" w:hAnsi="Cambria Math"/>
                      <w:i/>
                    </w:rPr>
                  </m:ctrlPr>
                </m:fPr>
                <m:num>
                  <m:r>
                    <w:rPr>
                      <w:rFonts w:ascii="Cambria Math" w:hAnsi="Cambria Math"/>
                    </w:rPr>
                    <m:t>1</m:t>
                  </m:r>
                </m:num>
                <m:den>
                  <m:r>
                    <w:rPr>
                      <w:rFonts w:ascii="Cambria Math" w:hAnsi="Cambria Math"/>
                    </w:rPr>
                    <m:t>12</m:t>
                  </m:r>
                </m:den>
              </m:f>
              <m:r>
                <w:rPr>
                  <w:rFonts w:ascii="Cambria Math" w:hAnsi="Cambria Math"/>
                </w:rPr>
                <m:t>*</m:t>
              </m:r>
              <m:nary>
                <m:naryPr>
                  <m:chr m:val="∑"/>
                  <m:limLoc m:val="undOvr"/>
                  <m:ctrlPr>
                    <w:rPr>
                      <w:rFonts w:ascii="Cambria Math" w:hAnsi="Cambria Math"/>
                      <w:i/>
                    </w:rPr>
                  </m:ctrlPr>
                </m:naryPr>
                <m:sub>
                  <m:r>
                    <w:rPr>
                      <w:rFonts w:ascii="Cambria Math" w:hAnsi="Cambria Math"/>
                    </w:rPr>
                    <m:t>ma=m=-3</m:t>
                  </m:r>
                </m:sub>
                <m:sup>
                  <m:sSub>
                    <m:sSubPr>
                      <m:ctrlPr>
                        <w:rPr>
                          <w:rFonts w:ascii="Cambria Math" w:hAnsi="Cambria Math"/>
                          <w:i/>
                        </w:rPr>
                      </m:ctrlPr>
                    </m:sSubPr>
                    <m:e>
                      <m:r>
                        <w:rPr>
                          <w:rFonts w:ascii="Cambria Math" w:hAnsi="Cambria Math"/>
                        </w:rPr>
                        <m:t>m-14</m:t>
                      </m:r>
                    </m:e>
                    <m:sub/>
                  </m:sSub>
                </m:sup>
                <m:e>
                  <m:sSub>
                    <m:sSubPr>
                      <m:ctrlPr>
                        <w:rPr>
                          <w:rFonts w:ascii="Cambria Math" w:hAnsi="Cambria Math"/>
                          <w:i/>
                        </w:rPr>
                      </m:ctrlPr>
                    </m:sSubPr>
                    <m:e>
                      <m:r>
                        <w:rPr>
                          <w:rFonts w:ascii="Cambria Math" w:hAnsi="Cambria Math"/>
                        </w:rPr>
                        <m:t>Ee</m:t>
                      </m:r>
                    </m:e>
                    <m:sub>
                      <m:r>
                        <w:rPr>
                          <w:rFonts w:ascii="Cambria Math" w:hAnsi="Cambria Math"/>
                        </w:rPr>
                        <m:t>j,1,ma</m:t>
                      </m:r>
                    </m:sub>
                  </m:sSub>
                </m:e>
              </m:nary>
            </m:den>
          </m:f>
        </m:oMath>
      </m:oMathPara>
    </w:p>
    <w:p w:rsidR="00E9756B" w:rsidRPr="004E6CFC" w:rsidRDefault="00E9756B" w:rsidP="00E9756B">
      <w:r w:rsidRPr="004E6CFC">
        <w:t>Donde:</w:t>
      </w:r>
    </w:p>
    <w:p w:rsidR="00E9756B" w:rsidRPr="004E6CFC" w:rsidRDefault="00E9756B" w:rsidP="00E9756B">
      <w:pPr>
        <w:spacing w:before="120"/>
        <w:ind w:left="1418" w:hanging="1418"/>
      </w:pPr>
      <w:r w:rsidRPr="004E6CFC">
        <w:rPr>
          <w:i/>
          <w:iCs/>
        </w:rPr>
        <w:t>CDI</w:t>
      </w:r>
      <w:r w:rsidRPr="004E6CFC">
        <w:rPr>
          <w:i/>
          <w:iCs/>
          <w:vertAlign w:val="subscript"/>
        </w:rPr>
        <w:t>1,j,m,t</w:t>
      </w:r>
      <w:r w:rsidRPr="004E6CFC">
        <w:t>:</w:t>
      </w:r>
      <w:r w:rsidRPr="004E6CFC">
        <w:tab/>
        <w:t xml:space="preserve">Cargo por inversión del OR </w:t>
      </w:r>
      <w:r w:rsidRPr="004E6CFC">
        <w:rPr>
          <w:i/>
        </w:rPr>
        <w:t>j</w:t>
      </w:r>
      <w:r w:rsidRPr="004E6CFC">
        <w:t xml:space="preserve"> en nivel de tensión </w:t>
      </w:r>
      <w:r w:rsidRPr="004E6CFC">
        <w:rPr>
          <w:i/>
        </w:rPr>
        <w:t>1</w:t>
      </w:r>
      <w:r w:rsidRPr="004E6CFC">
        <w:t xml:space="preserve">, en el mes </w:t>
      </w:r>
      <w:r w:rsidRPr="004E6CFC">
        <w:rPr>
          <w:i/>
        </w:rPr>
        <w:t>m</w:t>
      </w:r>
      <w:r w:rsidRPr="004E6CFC">
        <w:t xml:space="preserve"> del año </w:t>
      </w:r>
      <w:r w:rsidRPr="004E6CFC">
        <w:rPr>
          <w:i/>
        </w:rPr>
        <w:t>t</w:t>
      </w:r>
      <w:r w:rsidRPr="004E6CFC">
        <w:t>, en $/kWh.</w:t>
      </w:r>
    </w:p>
    <w:p w:rsidR="00E9756B" w:rsidRPr="00DA7FDA" w:rsidRDefault="00E9756B" w:rsidP="00E9756B">
      <w:pPr>
        <w:ind w:left="1410" w:hanging="1410"/>
      </w:pPr>
      <w:r w:rsidRPr="004E6CFC">
        <w:rPr>
          <w:i/>
          <w:iCs/>
        </w:rPr>
        <w:t>IA</w:t>
      </w:r>
      <w:r w:rsidRPr="004E6CFC">
        <w:rPr>
          <w:i/>
          <w:iCs/>
          <w:vertAlign w:val="subscript"/>
        </w:rPr>
        <w:t>j,1,m,t</w:t>
      </w:r>
      <w:r w:rsidRPr="004E6CFC">
        <w:t>:</w:t>
      </w:r>
      <w:r w:rsidRPr="004E6CFC">
        <w:tab/>
        <w:t xml:space="preserve">Ingreso por inversión en activos </w:t>
      </w:r>
      <w:r w:rsidRPr="00DA7FDA">
        <w:t xml:space="preserve">del OR </w:t>
      </w:r>
      <w:r w:rsidRPr="00DA7FDA">
        <w:rPr>
          <w:i/>
          <w:iCs/>
        </w:rPr>
        <w:t>j</w:t>
      </w:r>
      <w:r w:rsidRPr="00DA7FDA">
        <w:t xml:space="preserve"> en el nivel  de tensión 1, en el mes </w:t>
      </w:r>
      <w:r w:rsidRPr="00DA7FDA">
        <w:rPr>
          <w:i/>
        </w:rPr>
        <w:t>m</w:t>
      </w:r>
      <w:r w:rsidRPr="00DA7FDA">
        <w:t xml:space="preserve"> del año </w:t>
      </w:r>
      <w:r w:rsidRPr="00DA7FDA">
        <w:rPr>
          <w:i/>
        </w:rPr>
        <w:t>t</w:t>
      </w:r>
      <w:r w:rsidRPr="00DA7FDA">
        <w:t xml:space="preserve"> según lo establecido en el numeral </w:t>
      </w:r>
      <w:r w:rsidRPr="00DA7FDA">
        <w:fldChar w:fldCharType="begin"/>
      </w:r>
      <w:r w:rsidRPr="00DA7FDA">
        <w:instrText xml:space="preserve"> REF _Ref476823881 \r \h  \* MERGEFORMAT </w:instrText>
      </w:r>
      <w:r w:rsidRPr="00DA7FDA">
        <w:fldChar w:fldCharType="separate"/>
      </w:r>
      <w:r w:rsidR="00737178">
        <w:t>2.6</w:t>
      </w:r>
      <w:r w:rsidRPr="00DA7FDA">
        <w:fldChar w:fldCharType="end"/>
      </w:r>
      <w:r w:rsidRPr="00DA7FDA">
        <w:t>.</w:t>
      </w:r>
    </w:p>
    <w:p w:rsidR="00E9756B" w:rsidRPr="00DA7FDA" w:rsidRDefault="00E9756B" w:rsidP="00E9756B">
      <w:pPr>
        <w:ind w:left="1410" w:hanging="1410"/>
        <w:rPr>
          <w:rFonts w:cs="Arial"/>
          <w:szCs w:val="20"/>
          <w:lang w:val="es-CO"/>
        </w:rPr>
      </w:pPr>
      <w:r w:rsidRPr="00DA7FDA">
        <w:rPr>
          <w:i/>
          <w:color w:val="000000" w:themeColor="text1"/>
        </w:rPr>
        <w:t>P</w:t>
      </w:r>
      <w:r w:rsidRPr="00DA7FDA">
        <w:rPr>
          <w:i/>
          <w:color w:val="000000" w:themeColor="text1"/>
          <w:vertAlign w:val="subscript"/>
        </w:rPr>
        <w:t>j,1,t</w:t>
      </w:r>
      <w:r w:rsidRPr="00DA7FDA">
        <w:rPr>
          <w:i/>
        </w:rPr>
        <w:t>:</w:t>
      </w:r>
      <w:r w:rsidRPr="00DA7FDA">
        <w:rPr>
          <w:i/>
        </w:rPr>
        <w:tab/>
      </w:r>
      <w:r w:rsidRPr="00DA7FDA">
        <w:rPr>
          <w:rFonts w:cs="Arial"/>
          <w:szCs w:val="20"/>
          <w:lang w:val="es-CO"/>
        </w:rPr>
        <w:t xml:space="preserve">Índice de pérdidas del OR </w:t>
      </w:r>
      <w:r w:rsidRPr="00DA7FDA">
        <w:rPr>
          <w:rFonts w:cs="Arial"/>
          <w:i/>
          <w:szCs w:val="20"/>
          <w:lang w:val="es-CO"/>
        </w:rPr>
        <w:t>j</w:t>
      </w:r>
      <w:r w:rsidRPr="00DA7FDA">
        <w:rPr>
          <w:rFonts w:cs="Arial"/>
          <w:szCs w:val="20"/>
          <w:lang w:val="es-CO"/>
        </w:rPr>
        <w:t xml:space="preserve"> en el </w:t>
      </w:r>
      <w:r w:rsidRPr="00DA7FDA">
        <w:t>nivel de tensión 1</w:t>
      </w:r>
      <w:r w:rsidRPr="00DA7FDA">
        <w:rPr>
          <w:rFonts w:cs="Arial"/>
          <w:szCs w:val="20"/>
          <w:lang w:val="es-CO"/>
        </w:rPr>
        <w:t xml:space="preserve">, en el año </w:t>
      </w:r>
      <w:r w:rsidRPr="00DA7FDA">
        <w:rPr>
          <w:rFonts w:cs="Arial"/>
          <w:i/>
          <w:szCs w:val="20"/>
          <w:lang w:val="es-CO"/>
        </w:rPr>
        <w:t>t</w:t>
      </w:r>
      <w:r w:rsidRPr="00DA7FDA">
        <w:rPr>
          <w:rFonts w:cs="Arial"/>
          <w:szCs w:val="20"/>
          <w:lang w:val="es-CO"/>
        </w:rPr>
        <w:t xml:space="preserve">,  calculado conforme a lo establecido en los numerales </w:t>
      </w:r>
      <w:r w:rsidRPr="00DA7FDA">
        <w:rPr>
          <w:rFonts w:cs="Arial"/>
          <w:szCs w:val="20"/>
          <w:lang w:val="es-CO"/>
        </w:rPr>
        <w:fldChar w:fldCharType="begin"/>
      </w:r>
      <w:r w:rsidRPr="00DA7FDA">
        <w:rPr>
          <w:rFonts w:cs="Arial"/>
          <w:szCs w:val="20"/>
          <w:lang w:val="es-CO"/>
        </w:rPr>
        <w:instrText xml:space="preserve"> REF _Ref476810803 \r \h  \* MERGEFORMAT </w:instrText>
      </w:r>
      <w:r w:rsidRPr="00DA7FDA">
        <w:rPr>
          <w:rFonts w:cs="Arial"/>
          <w:szCs w:val="20"/>
          <w:lang w:val="es-CO"/>
        </w:rPr>
      </w:r>
      <w:r w:rsidRPr="00DA7FDA">
        <w:rPr>
          <w:rFonts w:cs="Arial"/>
          <w:szCs w:val="20"/>
          <w:lang w:val="es-CO"/>
        </w:rPr>
        <w:fldChar w:fldCharType="separate"/>
      </w:r>
      <w:r w:rsidR="00737178">
        <w:rPr>
          <w:rFonts w:cs="Arial"/>
          <w:szCs w:val="20"/>
          <w:lang w:val="es-CO"/>
        </w:rPr>
        <w:t>7.1.2</w:t>
      </w:r>
      <w:r w:rsidRPr="00DA7FDA">
        <w:rPr>
          <w:rFonts w:cs="Arial"/>
          <w:szCs w:val="20"/>
          <w:lang w:val="es-CO"/>
        </w:rPr>
        <w:fldChar w:fldCharType="end"/>
      </w:r>
      <w:r w:rsidRPr="00DA7FDA">
        <w:rPr>
          <w:rFonts w:cs="Arial"/>
          <w:szCs w:val="20"/>
          <w:lang w:val="es-CO"/>
        </w:rPr>
        <w:t xml:space="preserve"> y </w:t>
      </w:r>
      <w:r w:rsidRPr="00DA7FDA">
        <w:rPr>
          <w:rFonts w:cs="Arial"/>
          <w:szCs w:val="20"/>
          <w:lang w:val="es-CO"/>
        </w:rPr>
        <w:fldChar w:fldCharType="begin"/>
      </w:r>
      <w:r w:rsidRPr="00DA7FDA">
        <w:rPr>
          <w:rFonts w:cs="Arial"/>
          <w:szCs w:val="20"/>
          <w:lang w:val="es-CO"/>
        </w:rPr>
        <w:instrText xml:space="preserve"> REF _Ref476810808 \r \h  \* MERGEFORMAT </w:instrText>
      </w:r>
      <w:r w:rsidRPr="00DA7FDA">
        <w:rPr>
          <w:rFonts w:cs="Arial"/>
          <w:szCs w:val="20"/>
          <w:lang w:val="es-CO"/>
        </w:rPr>
      </w:r>
      <w:r w:rsidRPr="00DA7FDA">
        <w:rPr>
          <w:rFonts w:cs="Arial"/>
          <w:szCs w:val="20"/>
          <w:lang w:val="es-CO"/>
        </w:rPr>
        <w:fldChar w:fldCharType="separate"/>
      </w:r>
      <w:r w:rsidR="00737178">
        <w:rPr>
          <w:rFonts w:cs="Arial"/>
          <w:szCs w:val="20"/>
          <w:lang w:val="es-CO"/>
        </w:rPr>
        <w:t>7.1.3</w:t>
      </w:r>
      <w:r w:rsidRPr="00DA7FDA">
        <w:rPr>
          <w:rFonts w:cs="Arial"/>
          <w:szCs w:val="20"/>
          <w:lang w:val="es-CO"/>
        </w:rPr>
        <w:fldChar w:fldCharType="end"/>
      </w:r>
      <w:r w:rsidRPr="00DA7FDA">
        <w:rPr>
          <w:rFonts w:cs="Arial"/>
          <w:szCs w:val="20"/>
          <w:lang w:val="es-CO"/>
        </w:rPr>
        <w:t>.</w:t>
      </w:r>
    </w:p>
    <w:p w:rsidR="00E9756B" w:rsidRPr="004E6CFC" w:rsidRDefault="00E9756B" w:rsidP="00E9756B">
      <w:pPr>
        <w:ind w:left="1410" w:hanging="1410"/>
      </w:pPr>
      <w:r w:rsidRPr="00DA7FDA">
        <w:rPr>
          <w:i/>
        </w:rPr>
        <w:lastRenderedPageBreak/>
        <w:t>Ee</w:t>
      </w:r>
      <w:r w:rsidRPr="00DA7FDA">
        <w:rPr>
          <w:i/>
          <w:vertAlign w:val="subscript"/>
        </w:rPr>
        <w:t>j,1,m</w:t>
      </w:r>
      <w:r w:rsidR="000779D4">
        <w:rPr>
          <w:i/>
          <w:vertAlign w:val="subscript"/>
        </w:rPr>
        <w:t>a</w:t>
      </w:r>
      <w:r w:rsidR="000779D4" w:rsidRPr="000779D4">
        <w:rPr>
          <w:i/>
        </w:rPr>
        <w:t>:</w:t>
      </w:r>
      <w:r w:rsidRPr="00DA7FDA">
        <w:tab/>
        <w:t xml:space="preserve">Energía de entrada al sistema del OR </w:t>
      </w:r>
      <w:r w:rsidRPr="00DA7FDA">
        <w:rPr>
          <w:i/>
        </w:rPr>
        <w:t>j</w:t>
      </w:r>
      <w:r w:rsidRPr="00DA7FDA">
        <w:t xml:space="preserve"> en el nivel de tensión 1, durante el mes </w:t>
      </w:r>
      <w:r w:rsidRPr="00DA7FDA">
        <w:rPr>
          <w:i/>
        </w:rPr>
        <w:t>m</w:t>
      </w:r>
      <w:r w:rsidR="000779D4">
        <w:rPr>
          <w:i/>
        </w:rPr>
        <w:t>a</w:t>
      </w:r>
      <w:r w:rsidRPr="00DA7FDA">
        <w:t xml:space="preserve">, expresada en kWh, calculada de acuerdo con lo establecido en el numeral </w:t>
      </w:r>
      <w:r w:rsidRPr="00DA7FDA">
        <w:fldChar w:fldCharType="begin"/>
      </w:r>
      <w:r w:rsidRPr="00DA7FDA">
        <w:instrText xml:space="preserve"> REF _Ref439921506 \r \h  \* MERGEFORMAT </w:instrText>
      </w:r>
      <w:r w:rsidRPr="00DA7FDA">
        <w:fldChar w:fldCharType="separate"/>
      </w:r>
      <w:r w:rsidR="00737178">
        <w:t>7.3.7.1</w:t>
      </w:r>
      <w:r w:rsidRPr="00DA7FDA">
        <w:fldChar w:fldCharType="end"/>
      </w:r>
      <w:r w:rsidRPr="00DA7FDA">
        <w:t>.</w:t>
      </w:r>
    </w:p>
    <w:p w:rsidR="00E9756B" w:rsidRPr="004E6CFC" w:rsidRDefault="00E9756B" w:rsidP="00E9756B">
      <w:pPr>
        <w:pStyle w:val="Ttulo4"/>
      </w:pPr>
      <w:bookmarkStart w:id="80" w:name="_Ref408406262"/>
      <w:bookmarkStart w:id="81" w:name="_Toc408493128"/>
      <w:r w:rsidRPr="004E6CFC">
        <w:t>Cargos de nivel de tensión 1</w:t>
      </w:r>
      <w:bookmarkEnd w:id="80"/>
      <w:bookmarkEnd w:id="81"/>
      <w:r w:rsidRPr="004E6CFC">
        <w:t xml:space="preserve"> por AOM</w:t>
      </w:r>
    </w:p>
    <w:p w:rsidR="00E9756B" w:rsidRPr="004E6CFC" w:rsidRDefault="00E9756B" w:rsidP="00E9756B">
      <w:r w:rsidRPr="004E6CFC">
        <w:t>El cargo de AOM para nivel de tensión 1 se calcula según lo establecido en las siguientes expresiones:</w:t>
      </w:r>
    </w:p>
    <w:p w:rsidR="00E9756B" w:rsidRPr="004E6CFC" w:rsidRDefault="00C9592F" w:rsidP="00E9756B">
      <m:oMathPara>
        <m:oMath>
          <m:sSub>
            <m:sSubPr>
              <m:ctrlPr>
                <w:rPr>
                  <w:rFonts w:ascii="Cambria Math" w:hAnsi="Cambria Math"/>
                  <w:i/>
                </w:rPr>
              </m:ctrlPr>
            </m:sSubPr>
            <m:e>
              <m:r>
                <w:rPr>
                  <w:rFonts w:ascii="Cambria Math" w:hAnsi="Cambria Math"/>
                </w:rPr>
                <m:t>CDA</m:t>
              </m:r>
            </m:e>
            <m:sub>
              <m:r>
                <w:rPr>
                  <w:rFonts w:ascii="Cambria Math"/>
                </w:rPr>
                <m:t>1,j,m,</m:t>
              </m:r>
              <m:r>
                <w:rPr>
                  <w:rFonts w:ascii="Cambria Math" w:hAnsi="Cambria Math"/>
                </w:rPr>
                <m:t>t</m:t>
              </m:r>
            </m:sub>
          </m:sSub>
          <m:r>
            <w:rPr>
              <w:rFonts w:asci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IAAOM</m:t>
                  </m:r>
                </m:e>
                <m:sub>
                  <m:r>
                    <w:rPr>
                      <w:rFonts w:ascii="Cambria Math" w:hAnsi="Cambria Math"/>
                    </w:rPr>
                    <m:t>j</m:t>
                  </m:r>
                  <m:r>
                    <w:rPr>
                      <w:rFonts w:ascii="Cambria Math"/>
                    </w:rPr>
                    <m:t>,1,</m:t>
                  </m:r>
                  <m:r>
                    <w:rPr>
                      <w:rFonts w:ascii="Cambria Math" w:hAnsi="Cambria Math"/>
                    </w:rPr>
                    <m:t>t</m:t>
                  </m:r>
                </m:sub>
              </m:sSub>
            </m:num>
            <m:den>
              <m:d>
                <m:dPr>
                  <m:ctrlPr>
                    <w:rPr>
                      <w:rFonts w:ascii="Cambria Math" w:hAnsi="Cambria Math"/>
                      <w:i/>
                    </w:rPr>
                  </m:ctrlPr>
                </m:dPr>
                <m:e>
                  <m:r>
                    <w:rPr>
                      <w:rFonts w:ascii="Cambria Math" w:hAnsi="Cambria Math"/>
                    </w:rPr>
                    <m:t>1-</m:t>
                  </m:r>
                  <m:sSub>
                    <m:sSubPr>
                      <m:ctrlPr>
                        <w:rPr>
                          <w:rFonts w:ascii="Cambria Math" w:hAnsi="Cambria Math"/>
                          <w:i/>
                        </w:rPr>
                      </m:ctrlPr>
                    </m:sSubPr>
                    <m:e>
                      <m:r>
                        <w:rPr>
                          <w:rFonts w:ascii="Cambria Math" w:hAnsi="Cambria Math"/>
                        </w:rPr>
                        <m:t>P</m:t>
                      </m:r>
                    </m:e>
                    <m:sub>
                      <m:r>
                        <w:rPr>
                          <w:rFonts w:ascii="Cambria Math" w:hAnsi="Cambria Math"/>
                        </w:rPr>
                        <m:t>j,1,t</m:t>
                      </m:r>
                    </m:sub>
                  </m:sSub>
                </m:e>
              </m:d>
              <m:r>
                <w:rPr>
                  <w:rFonts w:ascii="Cambria Math" w:hAnsi="Cambria Math"/>
                </w:rPr>
                <m:t>*</m:t>
              </m:r>
              <m:nary>
                <m:naryPr>
                  <m:chr m:val="∑"/>
                  <m:limLoc m:val="undOvr"/>
                  <m:ctrlPr>
                    <w:rPr>
                      <w:rFonts w:ascii="Cambria Math" w:hAnsi="Cambria Math"/>
                      <w:i/>
                    </w:rPr>
                  </m:ctrlPr>
                </m:naryPr>
                <m:sub>
                  <m:r>
                    <w:rPr>
                      <w:rFonts w:ascii="Cambria Math" w:hAnsi="Cambria Math"/>
                    </w:rPr>
                    <m:t>ma=m=-3</m:t>
                  </m:r>
                </m:sub>
                <m:sup>
                  <m:sSub>
                    <m:sSubPr>
                      <m:ctrlPr>
                        <w:rPr>
                          <w:rFonts w:ascii="Cambria Math" w:hAnsi="Cambria Math"/>
                          <w:i/>
                        </w:rPr>
                      </m:ctrlPr>
                    </m:sSubPr>
                    <m:e>
                      <m:r>
                        <w:rPr>
                          <w:rFonts w:ascii="Cambria Math" w:hAnsi="Cambria Math"/>
                        </w:rPr>
                        <m:t>m-14</m:t>
                      </m:r>
                    </m:e>
                    <m:sub/>
                  </m:sSub>
                </m:sup>
                <m:e>
                  <m:sSub>
                    <m:sSubPr>
                      <m:ctrlPr>
                        <w:rPr>
                          <w:rFonts w:ascii="Cambria Math" w:hAnsi="Cambria Math"/>
                          <w:i/>
                        </w:rPr>
                      </m:ctrlPr>
                    </m:sSubPr>
                    <m:e>
                      <m:r>
                        <w:rPr>
                          <w:rFonts w:ascii="Cambria Math" w:hAnsi="Cambria Math"/>
                        </w:rPr>
                        <m:t>Ee</m:t>
                      </m:r>
                    </m:e>
                    <m:sub>
                      <m:r>
                        <w:rPr>
                          <w:rFonts w:ascii="Cambria Math" w:hAnsi="Cambria Math"/>
                        </w:rPr>
                        <m:t>j,1,ma</m:t>
                      </m:r>
                    </m:sub>
                  </m:sSub>
                </m:e>
              </m:nary>
            </m:den>
          </m:f>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IPP</m:t>
                  </m:r>
                </m:e>
                <m:sub>
                  <m:r>
                    <w:rPr>
                      <w:rFonts w:ascii="Cambria Math" w:hAnsi="Cambria Math"/>
                    </w:rPr>
                    <m:t>m-</m:t>
                  </m:r>
                  <m:r>
                    <w:rPr>
                      <w:rFonts w:ascii="Cambria Math"/>
                    </w:rPr>
                    <m:t>1</m:t>
                  </m:r>
                </m:sub>
              </m:sSub>
            </m:num>
            <m:den>
              <m:sSub>
                <m:sSubPr>
                  <m:ctrlPr>
                    <w:rPr>
                      <w:rFonts w:ascii="Cambria Math" w:hAnsi="Cambria Math"/>
                      <w:i/>
                    </w:rPr>
                  </m:ctrlPr>
                </m:sSubPr>
                <m:e>
                  <m:r>
                    <w:rPr>
                      <w:rFonts w:ascii="Cambria Math" w:hAnsi="Cambria Math"/>
                    </w:rPr>
                    <m:t>IPP</m:t>
                  </m:r>
                </m:e>
                <m:sub>
                  <m:r>
                    <w:rPr>
                      <w:rFonts w:ascii="Cambria Math"/>
                    </w:rPr>
                    <m:t>0</m:t>
                  </m:r>
                </m:sub>
              </m:sSub>
            </m:den>
          </m:f>
        </m:oMath>
      </m:oMathPara>
    </w:p>
    <w:p w:rsidR="00E9756B" w:rsidRPr="004E6CFC" w:rsidRDefault="00E9756B" w:rsidP="00E9756B">
      <w:r w:rsidRPr="004E6CFC">
        <w:t>Donde:</w:t>
      </w:r>
    </w:p>
    <w:p w:rsidR="00E9756B" w:rsidRPr="004E6CFC" w:rsidRDefault="00E9756B" w:rsidP="00E9756B">
      <w:pPr>
        <w:spacing w:before="120"/>
        <w:ind w:left="1418" w:hanging="1418"/>
      </w:pPr>
      <w:r w:rsidRPr="004E6CFC">
        <w:rPr>
          <w:i/>
          <w:iCs/>
        </w:rPr>
        <w:t>CDA</w:t>
      </w:r>
      <w:r w:rsidRPr="004E6CFC">
        <w:rPr>
          <w:i/>
          <w:iCs/>
          <w:vertAlign w:val="subscript"/>
        </w:rPr>
        <w:t>1,j,m,t</w:t>
      </w:r>
      <w:r w:rsidRPr="004E6CFC">
        <w:t>:</w:t>
      </w:r>
      <w:r w:rsidRPr="004E6CFC">
        <w:tab/>
        <w:t xml:space="preserve">Cargo por AOM de nivel de tensión 1 del OR </w:t>
      </w:r>
      <w:r w:rsidRPr="004E6CFC">
        <w:rPr>
          <w:i/>
        </w:rPr>
        <w:t>j</w:t>
      </w:r>
      <w:r w:rsidRPr="004E6CFC">
        <w:t xml:space="preserve"> en el mes </w:t>
      </w:r>
      <w:r w:rsidRPr="004E6CFC">
        <w:rPr>
          <w:i/>
        </w:rPr>
        <w:t>m</w:t>
      </w:r>
      <w:r w:rsidRPr="004E6CFC">
        <w:t xml:space="preserve"> del año </w:t>
      </w:r>
      <w:r w:rsidRPr="004E6CFC">
        <w:rPr>
          <w:i/>
        </w:rPr>
        <w:t>t,</w:t>
      </w:r>
      <w:r w:rsidRPr="004E6CFC">
        <w:t xml:space="preserve"> en $/kWh.</w:t>
      </w:r>
    </w:p>
    <w:p w:rsidR="00E9756B" w:rsidRPr="00DA7FDA" w:rsidRDefault="00E9756B" w:rsidP="00E9756B">
      <w:pPr>
        <w:ind w:left="1410" w:hanging="1410"/>
      </w:pPr>
      <w:r w:rsidRPr="00DA7FDA">
        <w:rPr>
          <w:i/>
          <w:iCs/>
        </w:rPr>
        <w:t>IAAOM</w:t>
      </w:r>
      <w:r w:rsidRPr="00DA7FDA">
        <w:rPr>
          <w:i/>
          <w:iCs/>
          <w:vertAlign w:val="subscript"/>
        </w:rPr>
        <w:t>j,</w:t>
      </w:r>
      <w:r w:rsidR="000779D4">
        <w:rPr>
          <w:i/>
          <w:iCs/>
          <w:vertAlign w:val="subscript"/>
        </w:rPr>
        <w:t>1</w:t>
      </w:r>
      <w:r w:rsidRPr="00DA7FDA">
        <w:rPr>
          <w:i/>
          <w:iCs/>
          <w:vertAlign w:val="subscript"/>
        </w:rPr>
        <w:t>,t</w:t>
      </w:r>
      <w:r w:rsidRPr="00DA7FDA">
        <w:t>:</w:t>
      </w:r>
      <w:r w:rsidRPr="00DA7FDA">
        <w:tab/>
        <w:t xml:space="preserve">Ingreso anual por AOM del OR </w:t>
      </w:r>
      <w:r w:rsidRPr="00DA7FDA">
        <w:rPr>
          <w:i/>
        </w:rPr>
        <w:t>j</w:t>
      </w:r>
      <w:r w:rsidRPr="00DA7FDA">
        <w:t xml:space="preserve"> en activos del nivel de tensión 1, en el año </w:t>
      </w:r>
      <w:r w:rsidRPr="00DA7FDA">
        <w:rPr>
          <w:i/>
        </w:rPr>
        <w:t>t</w:t>
      </w:r>
      <w:r w:rsidRPr="00DA7FDA">
        <w:t>, según lo establecido en el capítulo 4.</w:t>
      </w:r>
    </w:p>
    <w:p w:rsidR="00E9756B" w:rsidRPr="00DA7FDA" w:rsidRDefault="00E9756B" w:rsidP="00E9756B">
      <w:pPr>
        <w:spacing w:before="120"/>
        <w:ind w:left="1418" w:hanging="1418"/>
        <w:rPr>
          <w:i/>
        </w:rPr>
      </w:pPr>
      <w:r w:rsidRPr="00DA7FDA">
        <w:rPr>
          <w:i/>
          <w:color w:val="000000" w:themeColor="text1"/>
        </w:rPr>
        <w:t>P</w:t>
      </w:r>
      <w:r w:rsidRPr="00DA7FDA">
        <w:rPr>
          <w:i/>
          <w:color w:val="000000" w:themeColor="text1"/>
          <w:vertAlign w:val="subscript"/>
        </w:rPr>
        <w:t>j,1,t</w:t>
      </w:r>
      <w:r w:rsidRPr="00DA7FDA">
        <w:rPr>
          <w:i/>
        </w:rPr>
        <w:t>:</w:t>
      </w:r>
      <w:r w:rsidRPr="00DA7FDA">
        <w:rPr>
          <w:i/>
        </w:rPr>
        <w:tab/>
      </w:r>
      <w:r w:rsidRPr="00DA7FDA">
        <w:rPr>
          <w:rFonts w:cs="Arial"/>
          <w:szCs w:val="20"/>
          <w:lang w:val="es-CO"/>
        </w:rPr>
        <w:t xml:space="preserve">Índice de pérdidas del OR </w:t>
      </w:r>
      <w:r w:rsidRPr="00DA7FDA">
        <w:rPr>
          <w:rFonts w:cs="Arial"/>
          <w:i/>
          <w:szCs w:val="20"/>
          <w:lang w:val="es-CO"/>
        </w:rPr>
        <w:t>j</w:t>
      </w:r>
      <w:r w:rsidRPr="00DA7FDA">
        <w:rPr>
          <w:rFonts w:cs="Arial"/>
          <w:szCs w:val="20"/>
          <w:lang w:val="es-CO"/>
        </w:rPr>
        <w:t xml:space="preserve"> en el </w:t>
      </w:r>
      <w:r w:rsidRPr="00DA7FDA">
        <w:t>nivel de tensión 1</w:t>
      </w:r>
      <w:r w:rsidRPr="00DA7FDA">
        <w:rPr>
          <w:rFonts w:cs="Arial"/>
          <w:szCs w:val="20"/>
          <w:lang w:val="es-CO"/>
        </w:rPr>
        <w:t xml:space="preserve">, en el año </w:t>
      </w:r>
      <w:r w:rsidRPr="00DA7FDA">
        <w:rPr>
          <w:rFonts w:cs="Arial"/>
          <w:i/>
          <w:szCs w:val="20"/>
          <w:lang w:val="es-CO"/>
        </w:rPr>
        <w:t>t</w:t>
      </w:r>
      <w:r w:rsidRPr="00DA7FDA">
        <w:rPr>
          <w:rFonts w:cs="Arial"/>
          <w:szCs w:val="20"/>
          <w:lang w:val="es-CO"/>
        </w:rPr>
        <w:t xml:space="preserve">,  calculado conforme a lo establecido en los numerales </w:t>
      </w:r>
      <w:r w:rsidRPr="00DA7FDA">
        <w:rPr>
          <w:rFonts w:cs="Arial"/>
          <w:szCs w:val="20"/>
          <w:lang w:val="es-CO"/>
        </w:rPr>
        <w:fldChar w:fldCharType="begin"/>
      </w:r>
      <w:r w:rsidRPr="00DA7FDA">
        <w:rPr>
          <w:rFonts w:cs="Arial"/>
          <w:szCs w:val="20"/>
          <w:lang w:val="es-CO"/>
        </w:rPr>
        <w:instrText xml:space="preserve"> REF _Ref476810803 \r \h  \* MERGEFORMAT </w:instrText>
      </w:r>
      <w:r w:rsidRPr="00DA7FDA">
        <w:rPr>
          <w:rFonts w:cs="Arial"/>
          <w:szCs w:val="20"/>
          <w:lang w:val="es-CO"/>
        </w:rPr>
      </w:r>
      <w:r w:rsidRPr="00DA7FDA">
        <w:rPr>
          <w:rFonts w:cs="Arial"/>
          <w:szCs w:val="20"/>
          <w:lang w:val="es-CO"/>
        </w:rPr>
        <w:fldChar w:fldCharType="separate"/>
      </w:r>
      <w:r w:rsidR="00737178">
        <w:rPr>
          <w:rFonts w:cs="Arial"/>
          <w:szCs w:val="20"/>
          <w:lang w:val="es-CO"/>
        </w:rPr>
        <w:t>7.1.2</w:t>
      </w:r>
      <w:r w:rsidRPr="00DA7FDA">
        <w:rPr>
          <w:rFonts w:cs="Arial"/>
          <w:szCs w:val="20"/>
          <w:lang w:val="es-CO"/>
        </w:rPr>
        <w:fldChar w:fldCharType="end"/>
      </w:r>
      <w:r w:rsidRPr="00DA7FDA">
        <w:rPr>
          <w:rFonts w:cs="Arial"/>
          <w:szCs w:val="20"/>
          <w:lang w:val="es-CO"/>
        </w:rPr>
        <w:t xml:space="preserve"> y </w:t>
      </w:r>
      <w:r w:rsidRPr="00DA7FDA">
        <w:rPr>
          <w:rFonts w:cs="Arial"/>
          <w:szCs w:val="20"/>
          <w:lang w:val="es-CO"/>
        </w:rPr>
        <w:fldChar w:fldCharType="begin"/>
      </w:r>
      <w:r w:rsidRPr="00DA7FDA">
        <w:rPr>
          <w:rFonts w:cs="Arial"/>
          <w:szCs w:val="20"/>
          <w:lang w:val="es-CO"/>
        </w:rPr>
        <w:instrText xml:space="preserve"> REF _Ref476810808 \r \h  \* MERGEFORMAT </w:instrText>
      </w:r>
      <w:r w:rsidRPr="00DA7FDA">
        <w:rPr>
          <w:rFonts w:cs="Arial"/>
          <w:szCs w:val="20"/>
          <w:lang w:val="es-CO"/>
        </w:rPr>
      </w:r>
      <w:r w:rsidRPr="00DA7FDA">
        <w:rPr>
          <w:rFonts w:cs="Arial"/>
          <w:szCs w:val="20"/>
          <w:lang w:val="es-CO"/>
        </w:rPr>
        <w:fldChar w:fldCharType="separate"/>
      </w:r>
      <w:r w:rsidR="00737178">
        <w:rPr>
          <w:rFonts w:cs="Arial"/>
          <w:szCs w:val="20"/>
          <w:lang w:val="es-CO"/>
        </w:rPr>
        <w:t>7.1.3</w:t>
      </w:r>
      <w:r w:rsidRPr="00DA7FDA">
        <w:rPr>
          <w:rFonts w:cs="Arial"/>
          <w:szCs w:val="20"/>
          <w:lang w:val="es-CO"/>
        </w:rPr>
        <w:fldChar w:fldCharType="end"/>
      </w:r>
      <w:r w:rsidRPr="00DA7FDA">
        <w:rPr>
          <w:rFonts w:cs="Arial"/>
          <w:szCs w:val="20"/>
          <w:lang w:val="es-CO"/>
        </w:rPr>
        <w:t>.</w:t>
      </w:r>
    </w:p>
    <w:p w:rsidR="00E9756B" w:rsidRPr="004E6CFC" w:rsidRDefault="00E9756B" w:rsidP="00E9756B">
      <w:pPr>
        <w:spacing w:before="120"/>
        <w:ind w:left="1418" w:hanging="1418"/>
      </w:pPr>
      <w:r w:rsidRPr="00DA7FDA">
        <w:rPr>
          <w:i/>
        </w:rPr>
        <w:t>Ee</w:t>
      </w:r>
      <w:r w:rsidRPr="00DA7FDA">
        <w:rPr>
          <w:i/>
          <w:vertAlign w:val="subscript"/>
        </w:rPr>
        <w:t>j,1,m</w:t>
      </w:r>
      <w:r w:rsidR="000779D4">
        <w:rPr>
          <w:i/>
          <w:vertAlign w:val="subscript"/>
        </w:rPr>
        <w:t>a</w:t>
      </w:r>
      <w:r w:rsidRPr="00DA7FDA">
        <w:tab/>
        <w:t xml:space="preserve">Energía de entrada al sistema del OR </w:t>
      </w:r>
      <w:r w:rsidRPr="00DA7FDA">
        <w:rPr>
          <w:i/>
        </w:rPr>
        <w:t>j</w:t>
      </w:r>
      <w:r w:rsidRPr="00DA7FDA">
        <w:t xml:space="preserve"> en el nivel de tensión 1, durante el mes </w:t>
      </w:r>
      <w:r w:rsidRPr="000779D4">
        <w:rPr>
          <w:i/>
        </w:rPr>
        <w:t>m</w:t>
      </w:r>
      <w:r w:rsidR="000779D4" w:rsidRPr="000779D4">
        <w:rPr>
          <w:i/>
        </w:rPr>
        <w:t>a</w:t>
      </w:r>
      <w:r w:rsidRPr="00DA7FDA">
        <w:t xml:space="preserve">, expresada en kWh, calculada de acuerdo con lo establecido en el numeral </w:t>
      </w:r>
      <w:r w:rsidRPr="00DA7FDA">
        <w:fldChar w:fldCharType="begin"/>
      </w:r>
      <w:r w:rsidRPr="00DA7FDA">
        <w:instrText xml:space="preserve"> REF _Ref439921506 \r \h  \* MERGEFORMAT </w:instrText>
      </w:r>
      <w:r w:rsidRPr="00DA7FDA">
        <w:fldChar w:fldCharType="separate"/>
      </w:r>
      <w:r w:rsidR="00737178">
        <w:t>7.3.7.1</w:t>
      </w:r>
      <w:r w:rsidRPr="00DA7FDA">
        <w:fldChar w:fldCharType="end"/>
      </w:r>
      <w:r w:rsidRPr="00DA7FDA">
        <w:t>.</w:t>
      </w:r>
    </w:p>
    <w:p w:rsidR="00E9756B" w:rsidRPr="004E6CFC" w:rsidRDefault="00E9756B" w:rsidP="00E9756B">
      <w:pPr>
        <w:ind w:left="1410" w:hanging="1410"/>
      </w:pPr>
      <w:r w:rsidRPr="004E6CFC">
        <w:rPr>
          <w:i/>
          <w:iCs/>
        </w:rPr>
        <w:t>IPP</w:t>
      </w:r>
      <w:r w:rsidRPr="004E6CFC">
        <w:rPr>
          <w:i/>
          <w:iCs/>
          <w:vertAlign w:val="subscript"/>
        </w:rPr>
        <w:t>m-1</w:t>
      </w:r>
      <w:r w:rsidRPr="004E6CFC">
        <w:t>:</w:t>
      </w:r>
      <w:r w:rsidRPr="004E6CFC">
        <w:tab/>
        <w:t xml:space="preserve">Índice de precios del productor del mes </w:t>
      </w:r>
      <w:r w:rsidRPr="004E6CFC">
        <w:rPr>
          <w:i/>
        </w:rPr>
        <w:t>m</w:t>
      </w:r>
      <w:r w:rsidRPr="004E6CFC">
        <w:rPr>
          <w:i/>
          <w:iCs/>
        </w:rPr>
        <w:t>-1</w:t>
      </w:r>
      <w:r w:rsidRPr="004E6CFC">
        <w:t>.</w:t>
      </w:r>
    </w:p>
    <w:p w:rsidR="00E9756B" w:rsidRPr="004E6CFC" w:rsidRDefault="00E9756B" w:rsidP="00E9756B">
      <w:pPr>
        <w:ind w:left="1410" w:hanging="1410"/>
      </w:pPr>
      <w:r w:rsidRPr="004E6CFC">
        <w:rPr>
          <w:i/>
          <w:iCs/>
        </w:rPr>
        <w:t>IPP</w:t>
      </w:r>
      <w:r w:rsidRPr="004E6CFC">
        <w:rPr>
          <w:i/>
          <w:iCs/>
          <w:vertAlign w:val="subscript"/>
        </w:rPr>
        <w:t>o</w:t>
      </w:r>
      <w:r w:rsidRPr="004E6CFC">
        <w:t>:</w:t>
      </w:r>
      <w:r w:rsidRPr="004E6CFC">
        <w:tab/>
        <w:t>Índice de precios del productor de la fecha de corte.</w:t>
      </w:r>
    </w:p>
    <w:p w:rsidR="00E9756B" w:rsidRPr="004E6CFC" w:rsidRDefault="00E9756B" w:rsidP="00E9756B">
      <w:pPr>
        <w:pStyle w:val="Ttulo2"/>
      </w:pPr>
      <w:bookmarkStart w:id="82" w:name="_Toc476824116"/>
      <w:bookmarkStart w:id="83" w:name="_Toc505335895"/>
      <w:r w:rsidRPr="004E6CFC">
        <w:t>ACTUALIZACIÓN Y LIQUIDACIÓN DE CARGOS</w:t>
      </w:r>
      <w:bookmarkEnd w:id="82"/>
      <w:bookmarkEnd w:id="83"/>
    </w:p>
    <w:p w:rsidR="00E9756B" w:rsidRPr="004E6CFC" w:rsidRDefault="00E9756B" w:rsidP="00E9756B">
      <w:r w:rsidRPr="004E6CFC">
        <w:t>El ingreso mensual de los OR, así como los cargos de cada nivel de tensión y los cargos por uso serán liquidados y actualizados por el Liquidador y Administrador de Cuentas, LAC, de acuerdo con lo previsto en esta resolución, para lo cual deberá calcular las variables necesarias.</w:t>
      </w:r>
    </w:p>
    <w:p w:rsidR="00E9756B" w:rsidRPr="004E6CFC" w:rsidRDefault="00E9756B" w:rsidP="00E9756B">
      <w:r w:rsidRPr="004E6CFC">
        <w:t xml:space="preserve">Los comercializadores facturarán a sus usuarios los cargos por uso definidos en el numeral </w:t>
      </w:r>
      <w:r w:rsidRPr="004E6CFC">
        <w:fldChar w:fldCharType="begin"/>
      </w:r>
      <w:r w:rsidRPr="004E6CFC">
        <w:instrText xml:space="preserve"> REF _Ref445132368 \r \h  \* MERGEFORMAT </w:instrText>
      </w:r>
      <w:r w:rsidRPr="004E6CFC">
        <w:fldChar w:fldCharType="separate"/>
      </w:r>
      <w:r w:rsidR="00737178">
        <w:t>1.1</w:t>
      </w:r>
      <w:r w:rsidRPr="004E6CFC">
        <w:fldChar w:fldCharType="end"/>
      </w:r>
      <w:r w:rsidRPr="004E6CFC">
        <w:t>.</w:t>
      </w:r>
    </w:p>
    <w:p w:rsidR="00E9756B" w:rsidRPr="004E6CFC" w:rsidRDefault="00E9756B" w:rsidP="00E9756B">
      <w:pPr>
        <w:pStyle w:val="Ttulo3"/>
      </w:pPr>
      <w:bookmarkStart w:id="84" w:name="_Ref208044855"/>
      <w:bookmarkStart w:id="85" w:name="_Toc195780981"/>
      <w:bookmarkStart w:id="86" w:name="_Ref195807418"/>
      <w:bookmarkStart w:id="87" w:name="_Toc210616062"/>
      <w:bookmarkStart w:id="88" w:name="_Toc476824117"/>
      <w:bookmarkStart w:id="89" w:name="_Toc505335896"/>
      <w:r w:rsidRPr="004E6CFC">
        <w:t>Actualización, liquidación y recaudo de cargos del STR</w:t>
      </w:r>
      <w:bookmarkEnd w:id="84"/>
      <w:bookmarkEnd w:id="85"/>
      <w:bookmarkEnd w:id="86"/>
      <w:bookmarkEnd w:id="87"/>
      <w:bookmarkEnd w:id="88"/>
      <w:bookmarkEnd w:id="89"/>
    </w:p>
    <w:p w:rsidR="00E9756B" w:rsidRPr="004E6CFC" w:rsidRDefault="00E9756B" w:rsidP="00E9756B">
      <w:r w:rsidRPr="004E6CFC">
        <w:t>Las liquidaciones para los comercializadores que atienden usuarios en los STR se calcularán de acuerdo con la demanda comercial utilizando la siguiente expresión:</w:t>
      </w:r>
    </w:p>
    <w:p w:rsidR="00E9756B" w:rsidRPr="004E6CFC" w:rsidRDefault="00C9592F" w:rsidP="00E9756B">
      <w:pPr>
        <w:rPr>
          <w:rFonts w:ascii="Cambria Math" w:hAnsi="Cambria Math"/>
          <w:sz w:val="22"/>
        </w:rPr>
      </w:pPr>
      <m:oMathPara>
        <m:oMath>
          <m:sSub>
            <m:sSubPr>
              <m:ctrlPr>
                <w:rPr>
                  <w:rFonts w:ascii="Cambria Math" w:hAnsi="Cambria Math"/>
                  <w:i/>
                </w:rPr>
              </m:ctrlPr>
            </m:sSubPr>
            <m:e>
              <m:r>
                <w:rPr>
                  <w:rFonts w:ascii="Cambria Math" w:hAnsi="Cambria Math"/>
                </w:rPr>
                <m:t>LC</m:t>
              </m:r>
            </m:e>
            <m:sub>
              <m:r>
                <w:rPr>
                  <w:rFonts w:ascii="Cambria Math" w:hAnsi="Cambria Math"/>
                </w:rPr>
                <m:t>i,R,m,t</m:t>
              </m:r>
            </m:sub>
          </m:sSub>
          <m:r>
            <w:rPr>
              <w:rFonts w:ascii="Cambria Math" w:hAnsi="Cambria Math"/>
            </w:rPr>
            <m:t>=</m:t>
          </m:r>
          <m:sSub>
            <m:sSubPr>
              <m:ctrlPr>
                <w:rPr>
                  <w:rFonts w:ascii="Cambria Math" w:hAnsi="Cambria Math"/>
                  <w:i/>
                </w:rPr>
              </m:ctrlPr>
            </m:sSubPr>
            <m:e>
              <m:r>
                <w:rPr>
                  <w:rFonts w:ascii="Cambria Math" w:hAnsi="Cambria Math"/>
                </w:rPr>
                <m:t>DC</m:t>
              </m:r>
            </m:e>
            <m:sub>
              <m:r>
                <w:rPr>
                  <w:rFonts w:ascii="Cambria Math" w:hAnsi="Cambria Math"/>
                </w:rPr>
                <m:t>i,R,m</m:t>
              </m:r>
            </m:sub>
          </m:sSub>
          <m:r>
            <w:rPr>
              <w:rFonts w:ascii="Cambria Math" w:hAnsi="Cambria Math"/>
            </w:rPr>
            <m:t>*</m:t>
          </m:r>
          <m:sSub>
            <m:sSubPr>
              <m:ctrlPr>
                <w:rPr>
                  <w:rFonts w:ascii="Cambria Math" w:hAnsi="Cambria Math"/>
                  <w:i/>
                </w:rPr>
              </m:ctrlPr>
            </m:sSubPr>
            <m:e>
              <m:r>
                <w:rPr>
                  <w:rFonts w:ascii="Cambria Math" w:hAnsi="Cambria Math"/>
                </w:rPr>
                <m:t>CD</m:t>
              </m:r>
            </m:e>
            <m:sub>
              <m:r>
                <w:rPr>
                  <w:rFonts w:ascii="Cambria Math" w:hAnsi="Cambria Math"/>
                </w:rPr>
                <m:t>4,R,m,t</m:t>
              </m:r>
            </m:sub>
          </m:sSub>
        </m:oMath>
      </m:oMathPara>
    </w:p>
    <w:p w:rsidR="00E9756B" w:rsidRPr="004E6CFC" w:rsidRDefault="00E9756B" w:rsidP="00E9756B">
      <w:r w:rsidRPr="004E6CFC">
        <w:t>Donde:</w:t>
      </w:r>
    </w:p>
    <w:p w:rsidR="00E9756B" w:rsidRPr="004E6CFC" w:rsidRDefault="00E9756B" w:rsidP="00E9756B">
      <w:pPr>
        <w:ind w:left="1701" w:hanging="1701"/>
      </w:pPr>
      <w:r w:rsidRPr="004E6CFC">
        <w:rPr>
          <w:i/>
          <w:iCs/>
        </w:rPr>
        <w:t>LC</w:t>
      </w:r>
      <w:r w:rsidRPr="004E6CFC">
        <w:rPr>
          <w:i/>
          <w:iCs/>
          <w:vertAlign w:val="subscript"/>
        </w:rPr>
        <w:t>i,R,m,t</w:t>
      </w:r>
      <w:r w:rsidRPr="004E6CFC">
        <w:t>:</w:t>
      </w:r>
      <w:r w:rsidRPr="004E6CFC">
        <w:tab/>
        <w:t>Liquidación por concepto de cargos del nivel de tensión 4, en el STR </w:t>
      </w:r>
      <w:r w:rsidRPr="004E6CFC">
        <w:rPr>
          <w:i/>
          <w:iCs/>
        </w:rPr>
        <w:t>R</w:t>
      </w:r>
      <w:r w:rsidRPr="004E6CFC">
        <w:t xml:space="preserve">, por el consumo en el mes </w:t>
      </w:r>
      <w:r w:rsidRPr="004E6CFC">
        <w:rPr>
          <w:i/>
          <w:iCs/>
        </w:rPr>
        <w:t>m</w:t>
      </w:r>
      <w:r w:rsidRPr="004E6CFC">
        <w:t xml:space="preserve"> </w:t>
      </w:r>
      <w:r>
        <w:t>d</w:t>
      </w:r>
      <w:r w:rsidRPr="004E6CFC">
        <w:t xml:space="preserve">el año </w:t>
      </w:r>
      <w:r w:rsidRPr="004E6CFC">
        <w:rPr>
          <w:i/>
        </w:rPr>
        <w:t>t</w:t>
      </w:r>
      <w:r w:rsidRPr="004E6CFC">
        <w:rPr>
          <w:iCs/>
        </w:rPr>
        <w:t xml:space="preserve">, que se facturará </w:t>
      </w:r>
      <w:r w:rsidRPr="004E6CFC">
        <w:t xml:space="preserve">al comercializador </w:t>
      </w:r>
      <w:r w:rsidRPr="004E6CFC">
        <w:rPr>
          <w:i/>
          <w:iCs/>
        </w:rPr>
        <w:t>i</w:t>
      </w:r>
      <w:r w:rsidRPr="004E6CFC">
        <w:t>.</w:t>
      </w:r>
    </w:p>
    <w:p w:rsidR="00E9756B" w:rsidRPr="004E6CFC" w:rsidRDefault="00E9756B" w:rsidP="00E9756B">
      <w:pPr>
        <w:ind w:left="1701" w:hanging="1701"/>
      </w:pPr>
      <w:r w:rsidRPr="004E6CFC">
        <w:rPr>
          <w:i/>
          <w:iCs/>
        </w:rPr>
        <w:lastRenderedPageBreak/>
        <w:t>DC</w:t>
      </w:r>
      <w:r w:rsidRPr="004E6CFC">
        <w:rPr>
          <w:i/>
          <w:iCs/>
          <w:vertAlign w:val="subscript"/>
        </w:rPr>
        <w:t>i,R,m</w:t>
      </w:r>
      <w:r w:rsidRPr="004E6CFC">
        <w:t>:</w:t>
      </w:r>
      <w:r w:rsidRPr="004E6CFC">
        <w:tab/>
        <w:t xml:space="preserve">Demanda del comercializador </w:t>
      </w:r>
      <w:r w:rsidRPr="004E6CFC">
        <w:rPr>
          <w:i/>
          <w:iCs/>
        </w:rPr>
        <w:t>i</w:t>
      </w:r>
      <w:r w:rsidRPr="004E6CFC">
        <w:t xml:space="preserve">, en el STR </w:t>
      </w:r>
      <w:r w:rsidRPr="004E6CFC">
        <w:rPr>
          <w:i/>
        </w:rPr>
        <w:t>R</w:t>
      </w:r>
      <w:r w:rsidRPr="004E6CFC">
        <w:t xml:space="preserve">, durante el mes de consumo </w:t>
      </w:r>
      <w:r w:rsidRPr="004E6CFC">
        <w:rPr>
          <w:i/>
          <w:iCs/>
        </w:rPr>
        <w:t>m</w:t>
      </w:r>
      <w:r w:rsidRPr="004E6CFC">
        <w:t xml:space="preserve">, referida al STN utilizando los factores de pérdidas definidos en </w:t>
      </w:r>
      <w:r w:rsidRPr="00DA7FDA">
        <w:t xml:space="preserve">el capítulo </w:t>
      </w:r>
      <w:r w:rsidRPr="00DA7FDA">
        <w:fldChar w:fldCharType="begin"/>
      </w:r>
      <w:r w:rsidRPr="00DA7FDA">
        <w:instrText xml:space="preserve"> REF _Ref406568597 \r \h\t  \* MERGEFORMAT </w:instrText>
      </w:r>
      <w:r w:rsidRPr="00DA7FDA">
        <w:fldChar w:fldCharType="separate"/>
      </w:r>
      <w:r w:rsidR="00737178">
        <w:t>7</w:t>
      </w:r>
      <w:r w:rsidRPr="00DA7FDA">
        <w:fldChar w:fldCharType="end"/>
      </w:r>
      <w:r w:rsidRPr="00DA7FDA">
        <w:t>, sin considerar</w:t>
      </w:r>
      <w:r w:rsidRPr="004E6CFC">
        <w:t xml:space="preserve"> la demanda de usuarios conectados directamente al STN.</w:t>
      </w:r>
    </w:p>
    <w:p w:rsidR="00E9756B" w:rsidRPr="004E6CFC" w:rsidRDefault="00E9756B" w:rsidP="00E9756B">
      <w:pPr>
        <w:ind w:left="1701" w:hanging="1701"/>
      </w:pPr>
      <w:r w:rsidRPr="004E6CFC">
        <w:rPr>
          <w:i/>
          <w:iCs/>
        </w:rPr>
        <w:t>CD</w:t>
      </w:r>
      <w:r w:rsidRPr="004E6CFC">
        <w:rPr>
          <w:i/>
          <w:iCs/>
          <w:vertAlign w:val="subscript"/>
        </w:rPr>
        <w:t>4,R,m,t</w:t>
      </w:r>
      <w:r w:rsidRPr="004E6CFC">
        <w:t>:</w:t>
      </w:r>
      <w:r w:rsidRPr="004E6CFC">
        <w:tab/>
        <w:t xml:space="preserve">Cargo del nivel de tensión 4, en $/kWh, del STR </w:t>
      </w:r>
      <w:r w:rsidRPr="004E6CFC">
        <w:rPr>
          <w:i/>
          <w:iCs/>
        </w:rPr>
        <w:t>R</w:t>
      </w:r>
      <w:r w:rsidRPr="004E6CFC">
        <w:t xml:space="preserve">, en el mes </w:t>
      </w:r>
      <w:r w:rsidRPr="004E6CFC">
        <w:rPr>
          <w:i/>
        </w:rPr>
        <w:t>m</w:t>
      </w:r>
      <w:r w:rsidRPr="004E6CFC">
        <w:t xml:space="preserve"> </w:t>
      </w:r>
      <w:r>
        <w:t>d</w:t>
      </w:r>
      <w:r w:rsidRPr="004E6CFC">
        <w:t xml:space="preserve">el año </w:t>
      </w:r>
      <w:r w:rsidRPr="004E6CFC">
        <w:rPr>
          <w:i/>
        </w:rPr>
        <w:t>t</w:t>
      </w:r>
      <w:r w:rsidRPr="004E6CFC">
        <w:t xml:space="preserve">, de acuerdo con lo previsto el numeral </w:t>
      </w:r>
      <w:r w:rsidRPr="004E6CFC">
        <w:fldChar w:fldCharType="begin"/>
      </w:r>
      <w:r w:rsidRPr="004E6CFC">
        <w:instrText xml:space="preserve"> REF _Ref444861631 \r \h  \* MERGEFORMAT </w:instrText>
      </w:r>
      <w:r w:rsidRPr="004E6CFC">
        <w:fldChar w:fldCharType="separate"/>
      </w:r>
      <w:r w:rsidR="00737178">
        <w:t>1.2.1</w:t>
      </w:r>
      <w:r w:rsidRPr="004E6CFC">
        <w:fldChar w:fldCharType="end"/>
      </w:r>
      <w:r w:rsidRPr="004E6CFC">
        <w:t>.</w:t>
      </w:r>
    </w:p>
    <w:p w:rsidR="00E9756B" w:rsidRPr="004E6CFC" w:rsidRDefault="00E9756B" w:rsidP="00E9756B">
      <w:pPr>
        <w:ind w:left="1701" w:hanging="1701"/>
      </w:pPr>
      <w:r w:rsidRPr="004E6CFC">
        <w:rPr>
          <w:i/>
          <w:iCs/>
        </w:rPr>
        <w:t>m</w:t>
      </w:r>
      <w:r w:rsidRPr="004E6CFC">
        <w:t>:</w:t>
      </w:r>
      <w:r w:rsidRPr="004E6CFC">
        <w:tab/>
        <w:t>Corresponde al mes calendario de prestación del servicio.</w:t>
      </w:r>
    </w:p>
    <w:p w:rsidR="00E9756B" w:rsidRPr="004E6CFC" w:rsidRDefault="00E9756B" w:rsidP="00E9756B">
      <w:r w:rsidRPr="004E6CFC">
        <w:t>Para el STR, el LAC estará encargado de:</w:t>
      </w:r>
    </w:p>
    <w:p w:rsidR="00E9756B" w:rsidRPr="004E6CFC" w:rsidRDefault="00E9756B" w:rsidP="00E9756B">
      <w:pPr>
        <w:pStyle w:val="Prrafodelista"/>
        <w:numPr>
          <w:ilvl w:val="0"/>
          <w:numId w:val="63"/>
        </w:numPr>
        <w:adjustRightInd w:val="0"/>
        <w:textAlignment w:val="baseline"/>
      </w:pPr>
      <w:r w:rsidRPr="004E6CFC">
        <w:t>calcular y actualizar las variables requeridas para determinar los ingresos y cargos de los STR</w:t>
      </w:r>
      <w:r>
        <w:t>;</w:t>
      </w:r>
    </w:p>
    <w:p w:rsidR="00E9756B" w:rsidRPr="004E6CFC" w:rsidRDefault="00E9756B" w:rsidP="00E9756B">
      <w:pPr>
        <w:pStyle w:val="Prrafodelista"/>
        <w:numPr>
          <w:ilvl w:val="0"/>
          <w:numId w:val="63"/>
        </w:numPr>
        <w:adjustRightInd w:val="0"/>
        <w:textAlignment w:val="baseline"/>
      </w:pPr>
      <w:r w:rsidRPr="004E6CFC">
        <w:t xml:space="preserve">calcular los valores a facturar por cada OR </w:t>
      </w:r>
      <w:r>
        <w:t xml:space="preserve">y TR </w:t>
      </w:r>
      <w:r w:rsidRPr="004E6CFC">
        <w:t>a cada comercializador; y</w:t>
      </w:r>
    </w:p>
    <w:p w:rsidR="00E9756B" w:rsidRPr="004E6CFC" w:rsidRDefault="00E9756B" w:rsidP="00E9756B">
      <w:pPr>
        <w:pStyle w:val="Prrafodelista"/>
        <w:numPr>
          <w:ilvl w:val="0"/>
          <w:numId w:val="63"/>
        </w:numPr>
        <w:adjustRightInd w:val="0"/>
        <w:textAlignment w:val="baseline"/>
      </w:pPr>
      <w:r w:rsidRPr="004E6CFC">
        <w:t>el envío de las liquidaciones a los OR, con la anterioridad requerida.</w:t>
      </w:r>
    </w:p>
    <w:p w:rsidR="00E9756B" w:rsidRPr="004E6CFC" w:rsidRDefault="00E9756B" w:rsidP="00E9756B">
      <w:r w:rsidRPr="004E6CFC">
        <w:t>La facturación y recaudo a los agentes comercializadores le corresponderá a los OR, utilizando la liquidación elaborada por el LAC</w:t>
      </w:r>
      <w:r>
        <w:t>, excepto los ingresos corres</w:t>
      </w:r>
      <w:r>
        <w:softHyphen/>
        <w:t>pondientes a los TR que serán facturados, recaudados y distribuidos por el LAC.</w:t>
      </w:r>
    </w:p>
    <w:p w:rsidR="00E9756B" w:rsidRPr="004E6CFC" w:rsidRDefault="00E9756B" w:rsidP="00E9756B">
      <w:pPr>
        <w:pStyle w:val="Ttulo3"/>
      </w:pPr>
      <w:bookmarkStart w:id="90" w:name="_Toc476824118"/>
      <w:bookmarkStart w:id="91" w:name="_Toc505335897"/>
      <w:r w:rsidRPr="004E6CFC">
        <w:t>Actualización y liquidación de los cargos del SDL</w:t>
      </w:r>
      <w:bookmarkEnd w:id="90"/>
      <w:bookmarkEnd w:id="91"/>
      <w:r>
        <w:t xml:space="preserve"> </w:t>
      </w:r>
    </w:p>
    <w:p w:rsidR="00E9756B" w:rsidRPr="004E6CFC" w:rsidRDefault="00E9756B" w:rsidP="00E9756B">
      <w:r w:rsidRPr="004E6CFC">
        <w:t>Las liquidaciones para los comercializadores que atienden usuarios en los SDL, en cada mercado de comercialización, se calcularán de acuerdo con las ventas en cada nivel de tensión utilizando la siguiente expresión:</w:t>
      </w:r>
    </w:p>
    <w:p w:rsidR="00E9756B" w:rsidRPr="004E6CFC" w:rsidRDefault="00C9592F" w:rsidP="00E9756B">
      <w:pPr>
        <w:rPr>
          <w:rFonts w:ascii="Cambria Math" w:hAnsi="Cambria Math"/>
          <w:sz w:val="22"/>
        </w:rPr>
      </w:pPr>
      <m:oMathPara>
        <m:oMath>
          <m:sSub>
            <m:sSubPr>
              <m:ctrlPr>
                <w:rPr>
                  <w:rFonts w:ascii="Cambria Math" w:hAnsi="Cambria Math"/>
                  <w:i/>
                </w:rPr>
              </m:ctrlPr>
            </m:sSubPr>
            <m:e>
              <m:r>
                <w:rPr>
                  <w:rFonts w:ascii="Cambria Math" w:hAnsi="Cambria Math"/>
                </w:rPr>
                <m:t>LC</m:t>
              </m:r>
            </m:e>
            <m:sub>
              <m:r>
                <w:rPr>
                  <w:rFonts w:ascii="Cambria Math" w:hAnsi="Cambria Math"/>
                </w:rPr>
                <m:t>i,n,j,m</m:t>
              </m:r>
            </m:sub>
          </m:sSub>
          <m:r>
            <w:rPr>
              <w:rFonts w:ascii="Cambria Math" w:hAnsi="Cambria Math"/>
            </w:rPr>
            <m:t>=</m:t>
          </m:r>
          <m:sSub>
            <m:sSubPr>
              <m:ctrlPr>
                <w:rPr>
                  <w:rFonts w:ascii="Cambria Math" w:hAnsi="Cambria Math"/>
                  <w:i/>
                </w:rPr>
              </m:ctrlPr>
            </m:sSubPr>
            <m:e>
              <m:r>
                <w:rPr>
                  <w:rFonts w:ascii="Cambria Math" w:hAnsi="Cambria Math"/>
                </w:rPr>
                <m:t>VC</m:t>
              </m:r>
            </m:e>
            <m:sub>
              <m:r>
                <w:rPr>
                  <w:rFonts w:ascii="Cambria Math" w:hAnsi="Cambria Math"/>
                </w:rPr>
                <m:t>i,n,j,m</m:t>
              </m:r>
            </m:sub>
          </m:sSub>
          <m:r>
            <w:rPr>
              <w:rFonts w:ascii="Cambria Math" w:hAnsi="Cambria Math"/>
            </w:rPr>
            <m:t>*</m:t>
          </m:r>
          <m:d>
            <m:dPr>
              <m:ctrlPr>
                <w:rPr>
                  <w:rFonts w:ascii="Cambria Math" w:hAnsi="Cambria Math"/>
                  <w:i/>
                </w:rPr>
              </m:ctrlPr>
            </m:dPr>
            <m:e>
              <m:sSub>
                <m:sSubPr>
                  <m:ctrlPr>
                    <w:rPr>
                      <w:rFonts w:ascii="Cambria Math" w:hAnsi="Cambria Math"/>
                      <w:i/>
                    </w:rPr>
                  </m:ctrlPr>
                </m:sSubPr>
                <m:e>
                  <m:r>
                    <w:rPr>
                      <w:rFonts w:ascii="Cambria Math" w:hAnsi="Cambria Math"/>
                    </w:rPr>
                    <m:t>Dt</m:t>
                  </m:r>
                </m:e>
                <m:sub>
                  <m:r>
                    <w:rPr>
                      <w:rFonts w:ascii="Cambria Math" w:hAnsi="Cambria Math"/>
                    </w:rPr>
                    <m:t>n,j,m,t</m:t>
                  </m:r>
                </m:sub>
              </m:sSub>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CD</m:t>
                      </m:r>
                    </m:e>
                    <m:sub>
                      <m:r>
                        <w:rPr>
                          <w:rFonts w:ascii="Cambria Math" w:hAnsi="Cambria Math"/>
                        </w:rPr>
                        <m:t>4,R,m,t</m:t>
                      </m:r>
                    </m:sub>
                  </m:sSub>
                </m:num>
                <m:den>
                  <m:r>
                    <w:rPr>
                      <w:rFonts w:ascii="Cambria Math" w:hAnsi="Cambria Math"/>
                    </w:rPr>
                    <m:t>1-</m:t>
                  </m:r>
                  <m:sSub>
                    <m:sSubPr>
                      <m:ctrlPr>
                        <w:rPr>
                          <w:rFonts w:ascii="Cambria Math" w:hAnsi="Cambria Math"/>
                          <w:i/>
                        </w:rPr>
                      </m:ctrlPr>
                    </m:sSubPr>
                    <m:e>
                      <m:r>
                        <w:rPr>
                          <w:rFonts w:ascii="Cambria Math" w:hAnsi="Cambria Math"/>
                        </w:rPr>
                        <m:t>PR</m:t>
                      </m:r>
                    </m:e>
                    <m:sub>
                      <m:r>
                        <w:rPr>
                          <w:rFonts w:ascii="Cambria Math" w:hAnsi="Cambria Math"/>
                        </w:rPr>
                        <m:t>n,j,m,t</m:t>
                      </m:r>
                    </m:sub>
                  </m:sSub>
                </m:den>
              </m:f>
            </m:e>
          </m:d>
        </m:oMath>
      </m:oMathPara>
    </w:p>
    <w:p w:rsidR="00E9756B" w:rsidRPr="004E6CFC" w:rsidRDefault="00E9756B" w:rsidP="00E9756B">
      <w:r w:rsidRPr="004E6CFC">
        <w:t>Donde:</w:t>
      </w:r>
    </w:p>
    <w:p w:rsidR="00E9756B" w:rsidRPr="004E6CFC" w:rsidRDefault="00E9756B" w:rsidP="00E9756B">
      <w:pPr>
        <w:ind w:left="1701" w:hanging="1701"/>
      </w:pPr>
      <w:r w:rsidRPr="004E6CFC">
        <w:rPr>
          <w:i/>
          <w:iCs/>
        </w:rPr>
        <w:t>LC</w:t>
      </w:r>
      <w:r w:rsidRPr="004E6CFC">
        <w:rPr>
          <w:i/>
          <w:iCs/>
          <w:vertAlign w:val="subscript"/>
        </w:rPr>
        <w:t>i,n,j,m</w:t>
      </w:r>
      <w:r w:rsidRPr="004E6CFC">
        <w:t>:</w:t>
      </w:r>
      <w:r w:rsidRPr="004E6CFC">
        <w:tab/>
        <w:t xml:space="preserve">Liquidación por concepto de cargos por uso del nivel de tensión </w:t>
      </w:r>
      <w:r w:rsidRPr="004E6CFC">
        <w:rPr>
          <w:i/>
        </w:rPr>
        <w:t>n</w:t>
      </w:r>
      <w:r w:rsidRPr="004E6CFC">
        <w:t xml:space="preserve">, en el mercado de comercialización </w:t>
      </w:r>
      <w:r w:rsidRPr="004E6CFC">
        <w:rPr>
          <w:i/>
        </w:rPr>
        <w:t>j</w:t>
      </w:r>
      <w:r w:rsidRPr="004E6CFC">
        <w:t xml:space="preserve">, por el consumo en el mes </w:t>
      </w:r>
      <w:r w:rsidRPr="004E6CFC">
        <w:rPr>
          <w:i/>
          <w:iCs/>
        </w:rPr>
        <w:t>m</w:t>
      </w:r>
      <w:r w:rsidRPr="004E6CFC">
        <w:rPr>
          <w:iCs/>
        </w:rPr>
        <w:t xml:space="preserve">, que se facturará </w:t>
      </w:r>
      <w:r w:rsidRPr="004E6CFC">
        <w:t xml:space="preserve">al comercializador </w:t>
      </w:r>
      <w:r w:rsidRPr="004E6CFC">
        <w:rPr>
          <w:i/>
          <w:iCs/>
        </w:rPr>
        <w:t>i</w:t>
      </w:r>
      <w:r w:rsidRPr="004E6CFC">
        <w:t>.</w:t>
      </w:r>
    </w:p>
    <w:p w:rsidR="00E9756B" w:rsidRPr="004E6CFC" w:rsidRDefault="00E9756B" w:rsidP="00E9756B">
      <w:pPr>
        <w:ind w:left="1701" w:hanging="1701"/>
      </w:pPr>
      <w:r w:rsidRPr="004E6CFC">
        <w:rPr>
          <w:i/>
          <w:iCs/>
        </w:rPr>
        <w:t>VC</w:t>
      </w:r>
      <w:r w:rsidRPr="004E6CFC">
        <w:rPr>
          <w:i/>
          <w:iCs/>
          <w:vertAlign w:val="subscript"/>
        </w:rPr>
        <w:t>i,n,j,m</w:t>
      </w:r>
      <w:r w:rsidRPr="004E6CFC">
        <w:t>:</w:t>
      </w:r>
      <w:r w:rsidRPr="004E6CFC">
        <w:tab/>
        <w:t xml:space="preserve">Ventas del comercializador </w:t>
      </w:r>
      <w:r w:rsidRPr="004E6CFC">
        <w:rPr>
          <w:i/>
          <w:iCs/>
        </w:rPr>
        <w:t>i</w:t>
      </w:r>
      <w:r w:rsidRPr="004E6CFC">
        <w:t xml:space="preserve">, en el nivel de tensión </w:t>
      </w:r>
      <w:r w:rsidRPr="004E6CFC">
        <w:rPr>
          <w:i/>
        </w:rPr>
        <w:t>n</w:t>
      </w:r>
      <w:r w:rsidRPr="004E6CFC">
        <w:t xml:space="preserve">, en el mercado de comercialización </w:t>
      </w:r>
      <w:r w:rsidRPr="004E6CFC">
        <w:rPr>
          <w:i/>
        </w:rPr>
        <w:t>j</w:t>
      </w:r>
      <w:r w:rsidRPr="004E6CFC">
        <w:t xml:space="preserve">, durante el mes de consumo </w:t>
      </w:r>
      <w:r w:rsidRPr="004E6CFC">
        <w:rPr>
          <w:i/>
          <w:iCs/>
        </w:rPr>
        <w:t>m</w:t>
      </w:r>
      <w:r w:rsidRPr="004E6CFC">
        <w:t>.</w:t>
      </w:r>
    </w:p>
    <w:p w:rsidR="00E9756B" w:rsidRPr="004E6CFC" w:rsidRDefault="00E9756B" w:rsidP="00E9756B">
      <w:pPr>
        <w:ind w:left="1701" w:hanging="1701"/>
      </w:pPr>
      <w:r w:rsidRPr="004E6CFC">
        <w:rPr>
          <w:i/>
          <w:iCs/>
        </w:rPr>
        <w:t>Dt</w:t>
      </w:r>
      <w:r w:rsidRPr="004E6CFC">
        <w:rPr>
          <w:i/>
          <w:iCs/>
          <w:vertAlign w:val="subscript"/>
        </w:rPr>
        <w:t>n,j,m,t</w:t>
      </w:r>
      <w:r w:rsidRPr="004E6CFC">
        <w:t>:</w:t>
      </w:r>
      <w:r w:rsidRPr="004E6CFC">
        <w:tab/>
        <w:t xml:space="preserve">Cargo por uso del nivel de tensión </w:t>
      </w:r>
      <w:r w:rsidRPr="004E6CFC">
        <w:rPr>
          <w:i/>
        </w:rPr>
        <w:t>n</w:t>
      </w:r>
      <w:r w:rsidRPr="004E6CFC">
        <w:t xml:space="preserve">, del OR </w:t>
      </w:r>
      <w:r w:rsidRPr="004E6CFC">
        <w:rPr>
          <w:i/>
        </w:rPr>
        <w:t>j,</w:t>
      </w:r>
      <w:r w:rsidRPr="004E6CFC">
        <w:t xml:space="preserve">  para el mes </w:t>
      </w:r>
      <w:r w:rsidRPr="004E6CFC">
        <w:rPr>
          <w:i/>
          <w:iCs/>
        </w:rPr>
        <w:t>m</w:t>
      </w:r>
      <w:r w:rsidRPr="004E6CFC">
        <w:t xml:space="preserve"> del año </w:t>
      </w:r>
      <w:r w:rsidRPr="004E6CFC">
        <w:rPr>
          <w:i/>
          <w:iCs/>
        </w:rPr>
        <w:t xml:space="preserve">t, </w:t>
      </w:r>
      <w:r w:rsidRPr="004E6CFC">
        <w:rPr>
          <w:iCs/>
        </w:rPr>
        <w:t>en</w:t>
      </w:r>
      <w:r w:rsidRPr="004E6CFC">
        <w:rPr>
          <w:i/>
          <w:iCs/>
        </w:rPr>
        <w:t xml:space="preserve"> </w:t>
      </w:r>
      <w:r w:rsidRPr="004E6CFC">
        <w:t xml:space="preserve">$/kWh, de acuerdo con lo previsto el numeral </w:t>
      </w:r>
      <w:r w:rsidRPr="004E6CFC">
        <w:fldChar w:fldCharType="begin"/>
      </w:r>
      <w:r w:rsidRPr="004E6CFC">
        <w:instrText xml:space="preserve"> REF _Ref445132368 \r \h  \* MERGEFORMAT </w:instrText>
      </w:r>
      <w:r w:rsidRPr="004E6CFC">
        <w:fldChar w:fldCharType="separate"/>
      </w:r>
      <w:r w:rsidR="00737178">
        <w:t>1.1</w:t>
      </w:r>
      <w:r w:rsidRPr="004E6CFC">
        <w:fldChar w:fldCharType="end"/>
      </w:r>
      <w:r w:rsidRPr="004E6CFC">
        <w:t>.</w:t>
      </w:r>
    </w:p>
    <w:p w:rsidR="00E9756B" w:rsidRPr="004E6CFC" w:rsidRDefault="00E9756B" w:rsidP="00E9756B">
      <w:pPr>
        <w:ind w:left="1701" w:hanging="1701"/>
      </w:pPr>
      <w:r w:rsidRPr="004E6CFC">
        <w:rPr>
          <w:i/>
          <w:iCs/>
        </w:rPr>
        <w:t>CD</w:t>
      </w:r>
      <w:r w:rsidRPr="004E6CFC">
        <w:rPr>
          <w:i/>
          <w:iCs/>
          <w:vertAlign w:val="subscript"/>
        </w:rPr>
        <w:t>4,R,m,t</w:t>
      </w:r>
      <w:r w:rsidRPr="004E6CFC">
        <w:t>:</w:t>
      </w:r>
      <w:r w:rsidRPr="004E6CFC">
        <w:tab/>
        <w:t xml:space="preserve">Cargo del nivel de tensión 4, en $/kWh, del STR </w:t>
      </w:r>
      <w:r w:rsidRPr="004E6CFC">
        <w:rPr>
          <w:i/>
          <w:iCs/>
        </w:rPr>
        <w:t>R</w:t>
      </w:r>
      <w:r w:rsidRPr="004E6CFC">
        <w:rPr>
          <w:iCs/>
        </w:rPr>
        <w:t xml:space="preserve"> al que pertenece el OR</w:t>
      </w:r>
      <w:r w:rsidRPr="004E6CFC">
        <w:rPr>
          <w:i/>
          <w:iCs/>
        </w:rPr>
        <w:t xml:space="preserve"> j</w:t>
      </w:r>
      <w:r w:rsidRPr="004E6CFC">
        <w:t xml:space="preserve">, en el mes </w:t>
      </w:r>
      <w:r w:rsidRPr="004E6CFC">
        <w:rPr>
          <w:i/>
        </w:rPr>
        <w:t>m</w:t>
      </w:r>
      <w:r w:rsidRPr="004E6CFC">
        <w:t xml:space="preserve">, de acuerdo con lo previsto el numeral </w:t>
      </w:r>
      <w:r w:rsidRPr="004E6CFC">
        <w:fldChar w:fldCharType="begin"/>
      </w:r>
      <w:r w:rsidRPr="004E6CFC">
        <w:instrText xml:space="preserve"> REF _Ref444861631 \r \h  \* MERGEFORMAT </w:instrText>
      </w:r>
      <w:r w:rsidRPr="004E6CFC">
        <w:fldChar w:fldCharType="separate"/>
      </w:r>
      <w:r w:rsidR="00737178">
        <w:t>1.2.1</w:t>
      </w:r>
      <w:r w:rsidRPr="004E6CFC">
        <w:fldChar w:fldCharType="end"/>
      </w:r>
      <w:r w:rsidRPr="004E6CFC">
        <w:t>.</w:t>
      </w:r>
    </w:p>
    <w:p w:rsidR="00E9756B" w:rsidRPr="004E6CFC" w:rsidRDefault="00E9756B" w:rsidP="00E9756B">
      <w:pPr>
        <w:ind w:left="1701" w:hanging="1701"/>
        <w:rPr>
          <w:rFonts w:cs="Arial"/>
          <w:szCs w:val="20"/>
          <w:lang w:val="es-CO"/>
        </w:rPr>
      </w:pPr>
      <w:r w:rsidRPr="004E6CFC">
        <w:rPr>
          <w:rFonts w:cs="Arial"/>
          <w:i/>
          <w:szCs w:val="20"/>
          <w:lang w:val="es-CO"/>
        </w:rPr>
        <w:t>PR</w:t>
      </w:r>
      <w:r w:rsidRPr="004E6CFC">
        <w:rPr>
          <w:rFonts w:cs="Arial"/>
          <w:i/>
          <w:szCs w:val="20"/>
          <w:vertAlign w:val="subscript"/>
          <w:lang w:val="es-CO"/>
        </w:rPr>
        <w:t>n,j,</w:t>
      </w:r>
      <w:r>
        <w:rPr>
          <w:rFonts w:cs="Arial"/>
          <w:i/>
          <w:szCs w:val="20"/>
          <w:vertAlign w:val="subscript"/>
          <w:lang w:val="es-CO"/>
        </w:rPr>
        <w:t>m,</w:t>
      </w:r>
      <w:r w:rsidRPr="004E6CFC">
        <w:rPr>
          <w:rFonts w:cs="Arial"/>
          <w:i/>
          <w:szCs w:val="20"/>
          <w:vertAlign w:val="subscript"/>
          <w:lang w:val="es-CO"/>
        </w:rPr>
        <w:t>t</w:t>
      </w:r>
      <w:r w:rsidRPr="004E6CFC">
        <w:rPr>
          <w:rFonts w:cs="Arial"/>
          <w:i/>
          <w:szCs w:val="20"/>
          <w:lang w:val="es-CO"/>
        </w:rPr>
        <w:t>:</w:t>
      </w:r>
      <w:r w:rsidRPr="004E6CFC">
        <w:rPr>
          <w:rFonts w:cs="Arial"/>
          <w:szCs w:val="20"/>
          <w:lang w:val="es-CO"/>
        </w:rPr>
        <w:tab/>
        <w:t xml:space="preserve">Factor </w:t>
      </w:r>
      <w:r w:rsidRPr="00DA7FDA">
        <w:rPr>
          <w:rFonts w:cs="Arial"/>
          <w:szCs w:val="20"/>
          <w:lang w:val="es-CO"/>
        </w:rPr>
        <w:t xml:space="preserve">para referir las medidas de energía del nivel de tensión </w:t>
      </w:r>
      <w:r w:rsidRPr="00DA7FDA">
        <w:rPr>
          <w:rFonts w:cs="Arial"/>
          <w:i/>
          <w:szCs w:val="20"/>
          <w:lang w:val="es-CO"/>
        </w:rPr>
        <w:t>n</w:t>
      </w:r>
      <w:r w:rsidRPr="00DA7FDA">
        <w:rPr>
          <w:rFonts w:cs="Arial"/>
          <w:szCs w:val="20"/>
          <w:lang w:val="es-CO"/>
        </w:rPr>
        <w:t xml:space="preserve"> del OR </w:t>
      </w:r>
      <w:r w:rsidRPr="00DA7FDA">
        <w:rPr>
          <w:rFonts w:cs="Arial"/>
          <w:i/>
          <w:szCs w:val="20"/>
          <w:lang w:val="es-CO"/>
        </w:rPr>
        <w:t>j</w:t>
      </w:r>
      <w:r w:rsidRPr="00DA7FDA">
        <w:rPr>
          <w:rFonts w:cs="Arial"/>
          <w:szCs w:val="20"/>
          <w:lang w:val="es-CO"/>
        </w:rPr>
        <w:t xml:space="preserve"> al STN,</w:t>
      </w:r>
      <w:r w:rsidRPr="00DA7FDA">
        <w:t xml:space="preserve"> en el mes </w:t>
      </w:r>
      <w:r w:rsidRPr="00DA7FDA">
        <w:rPr>
          <w:i/>
        </w:rPr>
        <w:t>m</w:t>
      </w:r>
      <w:r w:rsidRPr="00DA7FDA">
        <w:t xml:space="preserve"> del año </w:t>
      </w:r>
      <w:r w:rsidRPr="00DA7FDA">
        <w:rPr>
          <w:i/>
        </w:rPr>
        <w:t>t</w:t>
      </w:r>
      <w:r w:rsidRPr="00DA7FDA">
        <w:t xml:space="preserve">, de acuerdo con lo previsto el numeral </w:t>
      </w:r>
      <w:r w:rsidRPr="00DA7FDA">
        <w:fldChar w:fldCharType="begin"/>
      </w:r>
      <w:r w:rsidRPr="00DA7FDA">
        <w:instrText xml:space="preserve"> REF _Ref445132964 \r \h  \* MERGEFORMAT </w:instrText>
      </w:r>
      <w:r w:rsidRPr="00DA7FDA">
        <w:fldChar w:fldCharType="separate"/>
      </w:r>
      <w:r w:rsidR="00737178">
        <w:t>7.2</w:t>
      </w:r>
      <w:r w:rsidRPr="00DA7FDA">
        <w:fldChar w:fldCharType="end"/>
      </w:r>
      <w:r w:rsidRPr="00DA7FDA">
        <w:rPr>
          <w:rFonts w:cs="Arial"/>
          <w:szCs w:val="20"/>
          <w:lang w:val="es-CO"/>
        </w:rPr>
        <w:t>.</w:t>
      </w:r>
    </w:p>
    <w:p w:rsidR="00E9756B" w:rsidRPr="004E6CFC" w:rsidRDefault="00E9756B" w:rsidP="00E9756B">
      <w:pPr>
        <w:ind w:left="1701" w:hanging="1701"/>
        <w:rPr>
          <w:iCs/>
        </w:rPr>
      </w:pPr>
      <w:r w:rsidRPr="004E6CFC">
        <w:rPr>
          <w:i/>
          <w:iCs/>
        </w:rPr>
        <w:t>n</w:t>
      </w:r>
      <w:r w:rsidRPr="004E6CFC">
        <w:rPr>
          <w:iCs/>
        </w:rPr>
        <w:t>:</w:t>
      </w:r>
      <w:r w:rsidRPr="004E6CFC">
        <w:rPr>
          <w:iCs/>
        </w:rPr>
        <w:tab/>
        <w:t>Nivel de tensión, puede tomar los valores 1, 2 o 3.</w:t>
      </w:r>
    </w:p>
    <w:p w:rsidR="00E9756B" w:rsidRPr="004E6CFC" w:rsidRDefault="00E9756B" w:rsidP="00E9756B">
      <w:r w:rsidRPr="004E6CFC">
        <w:t>Para el SDL, el LAC estará encargado de:</w:t>
      </w:r>
    </w:p>
    <w:p w:rsidR="00E9756B" w:rsidRPr="004E6CFC" w:rsidRDefault="00E9756B" w:rsidP="00E9756B">
      <w:pPr>
        <w:pStyle w:val="Prrafodelista"/>
        <w:numPr>
          <w:ilvl w:val="0"/>
          <w:numId w:val="64"/>
        </w:numPr>
        <w:adjustRightInd w:val="0"/>
        <w:textAlignment w:val="baseline"/>
      </w:pPr>
      <w:r w:rsidRPr="004E6CFC">
        <w:lastRenderedPageBreak/>
        <w:t>calcular y actualizar las variables requeridas para determinar los cargos de los SDL.</w:t>
      </w:r>
    </w:p>
    <w:p w:rsidR="00E9756B" w:rsidRPr="004E6CFC" w:rsidRDefault="00E9756B" w:rsidP="00E9756B">
      <w:pPr>
        <w:pStyle w:val="Prrafodelista"/>
        <w:numPr>
          <w:ilvl w:val="0"/>
          <w:numId w:val="64"/>
        </w:numPr>
        <w:adjustRightInd w:val="0"/>
        <w:textAlignment w:val="baseline"/>
      </w:pPr>
      <w:r w:rsidRPr="004E6CFC">
        <w:t>calcular los valores a facturar por cada OR a cada comercializador; y</w:t>
      </w:r>
    </w:p>
    <w:p w:rsidR="00E9756B" w:rsidRPr="004E6CFC" w:rsidRDefault="00E9756B" w:rsidP="00E9756B">
      <w:pPr>
        <w:pStyle w:val="Prrafodelista"/>
        <w:numPr>
          <w:ilvl w:val="0"/>
          <w:numId w:val="64"/>
        </w:numPr>
        <w:adjustRightInd w:val="0"/>
        <w:textAlignment w:val="baseline"/>
      </w:pPr>
      <w:r w:rsidRPr="004E6CFC">
        <w:t>el envío de las liquidaciones a los OR, con la anterioridad requerida.</w:t>
      </w:r>
    </w:p>
    <w:p w:rsidR="003E68E2" w:rsidRPr="004E6CFC" w:rsidRDefault="00E9756B" w:rsidP="00E9756B">
      <w:r w:rsidRPr="004E6CFC">
        <w:t>La facturación y recaudo a los agentes comercializadores le corresponderá a los OR, utilizando la liquidación elabo</w:t>
      </w:r>
      <w:r>
        <w:t>rada por el LAC</w:t>
      </w:r>
      <w:r w:rsidR="003E68E2" w:rsidRPr="004E6CFC">
        <w:t>.</w:t>
      </w:r>
    </w:p>
    <w:p w:rsidR="00E30B87" w:rsidRPr="004E6CFC" w:rsidRDefault="00E30B87" w:rsidP="003E68E2">
      <w:bookmarkStart w:id="92" w:name="_Ref403571468"/>
      <w:bookmarkStart w:id="93" w:name="_Toc408493129"/>
      <w:bookmarkStart w:id="94" w:name="_Ref444790276"/>
      <w:bookmarkStart w:id="95" w:name="_Ref444790465"/>
      <w:r w:rsidRPr="004E6CFC">
        <w:br w:type="page"/>
      </w:r>
    </w:p>
    <w:p w:rsidR="00193054" w:rsidRPr="00DA7FDA" w:rsidRDefault="002063F9" w:rsidP="00E30B87">
      <w:pPr>
        <w:pStyle w:val="Ttulo1"/>
      </w:pPr>
      <w:bookmarkStart w:id="96" w:name="_Ref445138918"/>
      <w:bookmarkStart w:id="97" w:name="_Toc505335898"/>
      <w:r w:rsidRPr="00DA7FDA">
        <w:rPr>
          <w:caps w:val="0"/>
        </w:rPr>
        <w:lastRenderedPageBreak/>
        <w:t>CÁLCULO DE LOS INGRESOS</w:t>
      </w:r>
      <w:bookmarkEnd w:id="32"/>
      <w:bookmarkEnd w:id="92"/>
      <w:r w:rsidRPr="00DA7FDA">
        <w:rPr>
          <w:caps w:val="0"/>
        </w:rPr>
        <w:t xml:space="preserve"> DE LOS OR</w:t>
      </w:r>
      <w:bookmarkEnd w:id="93"/>
      <w:bookmarkEnd w:id="94"/>
      <w:bookmarkEnd w:id="95"/>
      <w:bookmarkEnd w:id="96"/>
      <w:bookmarkEnd w:id="97"/>
    </w:p>
    <w:p w:rsidR="00E9756B" w:rsidRPr="004E6CFC" w:rsidRDefault="00E9756B" w:rsidP="00E9756B">
      <w:r w:rsidRPr="004E6CFC">
        <w:t>Los ingresos mensuales de los OR en cada nivel de tensión por el uso de los activos y de los TR en el nivel de tensión 4 se calculan con base en las siguientes expresiones.</w:t>
      </w:r>
    </w:p>
    <w:p w:rsidR="00E9756B" w:rsidRPr="004E6CFC" w:rsidRDefault="00E9756B" w:rsidP="00E9756B">
      <w:pPr>
        <w:pStyle w:val="Ttulo2"/>
      </w:pPr>
      <w:bookmarkStart w:id="98" w:name="_Toc440027080"/>
      <w:bookmarkStart w:id="99" w:name="_Ref440377350"/>
      <w:bookmarkStart w:id="100" w:name="_Toc476824120"/>
      <w:bookmarkStart w:id="101" w:name="_Toc505335899"/>
      <w:r w:rsidRPr="004E6CFC">
        <w:t>INGRESOS DE LOS OR EN EL NIVEL DE TENSIÓN  4</w:t>
      </w:r>
      <w:bookmarkEnd w:id="98"/>
      <w:bookmarkEnd w:id="99"/>
      <w:bookmarkEnd w:id="100"/>
      <w:bookmarkEnd w:id="101"/>
    </w:p>
    <w:p w:rsidR="00E9756B" w:rsidRPr="004E6CFC" w:rsidRDefault="00E9756B" w:rsidP="00E9756B">
      <w:r w:rsidRPr="004E6CFC">
        <w:t>El LAC calculará el ingreso mensual de nivel de tensión 4 de cada OR, así:</w:t>
      </w:r>
    </w:p>
    <w:p w:rsidR="00E9756B" w:rsidRPr="004E6CFC" w:rsidRDefault="00C9592F" w:rsidP="00E9756B">
      <w:pPr>
        <w:rPr>
          <w:sz w:val="22"/>
        </w:rPr>
      </w:pPr>
      <m:oMathPara>
        <m:oMathParaPr>
          <m:jc m:val="center"/>
        </m:oMathParaPr>
        <m:oMath>
          <m:sSub>
            <m:sSubPr>
              <m:ctrlPr>
                <w:rPr>
                  <w:rFonts w:ascii="Cambria Math" w:hAnsi="Cambria Math"/>
                  <w:i/>
                </w:rPr>
              </m:ctrlPr>
            </m:sSubPr>
            <m:e>
              <m:r>
                <w:rPr>
                  <w:rFonts w:ascii="Cambria Math" w:hAnsi="Cambria Math"/>
                </w:rPr>
                <m:t>IM</m:t>
              </m:r>
            </m:e>
            <m:sub>
              <m:r>
                <w:rPr>
                  <w:rFonts w:ascii="Cambria Math" w:hAnsi="Cambria Math"/>
                </w:rPr>
                <m:t>j</m:t>
              </m:r>
              <m:r>
                <w:rPr>
                  <w:rFonts w:ascii="Cambria Math"/>
                </w:rPr>
                <m:t>,4,</m:t>
              </m:r>
              <m:r>
                <w:rPr>
                  <w:rFonts w:ascii="Cambria Math" w:hAnsi="Cambria Math"/>
                </w:rPr>
                <m:t>R</m:t>
              </m:r>
              <m:r>
                <w:rPr>
                  <w:rFonts w:ascii="Cambria Math"/>
                </w:rPr>
                <m:t>,</m:t>
              </m:r>
              <m:r>
                <w:rPr>
                  <w:rFonts w:ascii="Cambria Math" w:hAnsi="Cambria Math"/>
                </w:rPr>
                <m:t>m,t</m:t>
              </m:r>
            </m:sub>
          </m:sSub>
          <m:r>
            <w:rPr>
              <w:rFonts w:ascii="Cambria Math"/>
            </w:rPr>
            <m:t>=</m:t>
          </m:r>
          <m:d>
            <m:dPr>
              <m:begChr m:val="["/>
              <m:endChr m:val="]"/>
              <m:ctrlPr>
                <w:rPr>
                  <w:rFonts w:ascii="Cambria Math" w:hAnsi="Cambria Math"/>
                  <w:i/>
                </w:rPr>
              </m:ctrlPr>
            </m:dPr>
            <m:e>
              <m:sSub>
                <m:sSubPr>
                  <m:ctrlPr>
                    <w:rPr>
                      <w:rFonts w:ascii="Cambria Math" w:hAnsi="Cambria Math"/>
                    </w:rPr>
                  </m:ctrlPr>
                </m:sSubPr>
                <m:e>
                  <m:r>
                    <w:rPr>
                      <w:rFonts w:ascii="Cambria Math" w:hAnsi="Cambria Math"/>
                    </w:rPr>
                    <m:t>IAA</m:t>
                  </m:r>
                </m:e>
                <m:sub>
                  <m:r>
                    <w:rPr>
                      <w:rFonts w:ascii="Cambria Math" w:hAnsi="Cambria Math"/>
                    </w:rPr>
                    <m:t>j</m:t>
                  </m:r>
                  <m:r>
                    <m:rPr>
                      <m:sty m:val="p"/>
                    </m:rPr>
                    <w:rPr>
                      <w:rFonts w:ascii="Cambria Math" w:hAnsi="Cambria Math"/>
                    </w:rPr>
                    <m:t>,</m:t>
                  </m:r>
                  <m:r>
                    <w:rPr>
                      <w:rFonts w:ascii="Cambria Math" w:hAnsi="Cambria Math"/>
                    </w:rPr>
                    <m:t>4</m:t>
                  </m:r>
                  <m:r>
                    <m:rPr>
                      <m:sty m:val="p"/>
                    </m:rPr>
                    <w:rPr>
                      <w:rFonts w:ascii="Cambria Math" w:hAnsi="Cambria Math"/>
                    </w:rPr>
                    <m:t>,</m:t>
                  </m:r>
                  <m:r>
                    <w:rPr>
                      <w:rFonts w:ascii="Cambria Math" w:hAnsi="Cambria Math"/>
                    </w:rPr>
                    <m:t>t</m:t>
                  </m:r>
                </m:sub>
              </m:sSub>
              <m:r>
                <w:rPr>
                  <w:rFonts w:ascii="Cambria Math" w:hAnsi="Cambria Math"/>
                </w:rPr>
                <m:t>*fM</m:t>
              </m:r>
              <m:r>
                <m:rPr>
                  <m:sty m:val="p"/>
                </m:rP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IAAOM</m:t>
                      </m:r>
                    </m:e>
                    <m:sub>
                      <m:r>
                        <w:rPr>
                          <w:rFonts w:ascii="Cambria Math" w:hAnsi="Cambria Math"/>
                        </w:rPr>
                        <m:t>j</m:t>
                      </m:r>
                      <m:r>
                        <m:rPr>
                          <m:sty m:val="p"/>
                        </m:rPr>
                        <w:rPr>
                          <w:rFonts w:ascii="Cambria Math" w:hAnsi="Cambria Math"/>
                        </w:rPr>
                        <m:t>,</m:t>
                      </m:r>
                      <m:r>
                        <w:rPr>
                          <w:rFonts w:ascii="Cambria Math" w:hAnsi="Cambria Math"/>
                        </w:rPr>
                        <m:t>4</m:t>
                      </m:r>
                      <m:r>
                        <m:rPr>
                          <m:sty m:val="p"/>
                        </m:rPr>
                        <w:rPr>
                          <w:rFonts w:ascii="Cambria Math" w:hAnsi="Cambria Math"/>
                        </w:rPr>
                        <m:t>,</m:t>
                      </m:r>
                      <m:r>
                        <w:rPr>
                          <w:rFonts w:ascii="Cambria Math" w:hAnsi="Cambria Math"/>
                        </w:rPr>
                        <m:t>t</m:t>
                      </m:r>
                    </m:sub>
                  </m:sSub>
                  <m:r>
                    <w:rPr>
                      <w:rFonts w:ascii="Cambria Math" w:hAnsi="Cambria Math"/>
                    </w:rPr>
                    <m:t>-</m:t>
                  </m:r>
                  <m:sSub>
                    <m:sSubPr>
                      <m:ctrlPr>
                        <w:rPr>
                          <w:rFonts w:ascii="Cambria Math" w:hAnsi="Cambria Math"/>
                          <w:i/>
                        </w:rPr>
                      </m:ctrlPr>
                    </m:sSubPr>
                    <m:e>
                      <m:r>
                        <w:rPr>
                          <w:rFonts w:ascii="Cambria Math" w:hAnsi="Cambria Math"/>
                        </w:rPr>
                        <m:t>IRM</m:t>
                      </m:r>
                    </m:e>
                    <m:sub>
                      <m:r>
                        <w:rPr>
                          <w:rFonts w:ascii="Cambria Math" w:hAnsi="Cambria Math"/>
                        </w:rPr>
                        <m:t>j,4,t</m:t>
                      </m:r>
                    </m:sub>
                  </m:sSub>
                </m:num>
                <m:den>
                  <m:r>
                    <w:rPr>
                      <w:rFonts w:ascii="Cambria Math" w:hAnsi="Cambria Math"/>
                    </w:rPr>
                    <m:t>12</m:t>
                  </m:r>
                </m:den>
              </m:f>
            </m:e>
          </m:d>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IPP</m:t>
                  </m:r>
                </m:e>
                <m:sub>
                  <m:r>
                    <w:rPr>
                      <w:rFonts w:ascii="Cambria Math" w:hAnsi="Cambria Math"/>
                    </w:rPr>
                    <m:t>m-</m:t>
                  </m:r>
                  <m:r>
                    <w:rPr>
                      <w:rFonts w:ascii="Cambria Math"/>
                    </w:rPr>
                    <m:t>1</m:t>
                  </m:r>
                </m:sub>
              </m:sSub>
            </m:num>
            <m:den>
              <m:sSub>
                <m:sSubPr>
                  <m:ctrlPr>
                    <w:rPr>
                      <w:rFonts w:ascii="Cambria Math" w:hAnsi="Cambria Math"/>
                      <w:i/>
                    </w:rPr>
                  </m:ctrlPr>
                </m:sSubPr>
                <m:e>
                  <m:r>
                    <w:rPr>
                      <w:rFonts w:ascii="Cambria Math" w:hAnsi="Cambria Math"/>
                    </w:rPr>
                    <m:t>IPP</m:t>
                  </m:r>
                </m:e>
                <m:sub>
                  <m:r>
                    <w:rPr>
                      <w:rFonts w:ascii="Cambria Math"/>
                    </w:rPr>
                    <m:t>0</m:t>
                  </m:r>
                </m:sub>
              </m:sSub>
            </m:den>
          </m:f>
          <m:r>
            <w:rPr>
              <w:rFonts w:ascii="Cambria Math" w:hAnsi="Cambria Math"/>
            </w:rPr>
            <m:t>+</m:t>
          </m:r>
          <m:nary>
            <m:naryPr>
              <m:chr m:val="∑"/>
              <m:limLoc m:val="undOvr"/>
              <m:ctrlPr>
                <w:rPr>
                  <w:rFonts w:ascii="Cambria Math" w:hAnsi="Cambria Math"/>
                  <w:i/>
                </w:rPr>
              </m:ctrlPr>
            </m:naryPr>
            <m:sub>
              <m:r>
                <w:rPr>
                  <w:rFonts w:ascii="Cambria Math" w:hAnsi="Cambria Math"/>
                </w:rPr>
                <m:t>c=1</m:t>
              </m:r>
            </m:sub>
            <m:sup>
              <m:sSub>
                <m:sSubPr>
                  <m:ctrlPr>
                    <w:rPr>
                      <w:rFonts w:ascii="Cambria Math" w:hAnsi="Cambria Math"/>
                      <w:i/>
                    </w:rPr>
                  </m:ctrlPr>
                </m:sSubPr>
                <m:e>
                  <m:r>
                    <w:rPr>
                      <w:rFonts w:ascii="Cambria Math" w:hAnsi="Cambria Math"/>
                    </w:rPr>
                    <m:t>C</m:t>
                  </m:r>
                </m:e>
                <m:sub>
                  <m:r>
                    <w:rPr>
                      <w:rFonts w:ascii="Cambria Math" w:hAnsi="Cambria Math"/>
                    </w:rPr>
                    <m:t>j,R</m:t>
                  </m:r>
                </m:sub>
              </m:sSub>
            </m:sup>
            <m:e>
              <m:sSub>
                <m:sSubPr>
                  <m:ctrlPr>
                    <w:rPr>
                      <w:rFonts w:ascii="Cambria Math" w:hAnsi="Cambria Math"/>
                      <w:i/>
                    </w:rPr>
                  </m:ctrlPr>
                </m:sSubPr>
                <m:e>
                  <m:r>
                    <w:rPr>
                      <w:rFonts w:ascii="Cambria Math" w:hAnsi="Cambria Math"/>
                    </w:rPr>
                    <m:t>IE</m:t>
                  </m:r>
                </m:e>
                <m:sub>
                  <m:r>
                    <w:rPr>
                      <w:rFonts w:ascii="Cambria Math" w:hAnsi="Cambria Math"/>
                    </w:rPr>
                    <m:t>j,c,R,m</m:t>
                  </m:r>
                </m:sub>
              </m:sSub>
            </m:e>
          </m:nary>
          <m:r>
            <w:rPr>
              <w:rFonts w:ascii="Cambria Math" w:hAnsi="Cambria Math"/>
            </w:rPr>
            <m:t>-</m:t>
          </m:r>
          <m:sSub>
            <m:sSubPr>
              <m:ctrlPr>
                <w:rPr>
                  <w:rFonts w:ascii="Cambria Math" w:hAnsi="Cambria Math"/>
                  <w:i/>
                </w:rPr>
              </m:ctrlPr>
            </m:sSubPr>
            <m:e>
              <m:r>
                <w:rPr>
                  <w:rFonts w:ascii="Cambria Math" w:hAnsi="Cambria Math"/>
                </w:rPr>
                <m:t>CSTR</m:t>
              </m:r>
            </m:e>
            <m:sub>
              <m:r>
                <w:rPr>
                  <w:rFonts w:ascii="Cambria Math" w:hAnsi="Cambria Math"/>
                </w:rPr>
                <m:t>j</m:t>
              </m:r>
              <m:r>
                <w:rPr>
                  <w:rFonts w:ascii="Cambria Math"/>
                </w:rPr>
                <m:t>,R,</m:t>
              </m:r>
              <m:r>
                <w:rPr>
                  <w:rFonts w:ascii="Cambria Math" w:hAnsi="Cambria Math"/>
                </w:rPr>
                <m:t>m-</m:t>
              </m:r>
              <m:r>
                <w:rPr>
                  <w:rFonts w:ascii="Cambria Math"/>
                </w:rPr>
                <m:t>1</m:t>
              </m:r>
            </m:sub>
          </m:sSub>
        </m:oMath>
      </m:oMathPara>
    </w:p>
    <w:p w:rsidR="00E9756B" w:rsidRPr="004E6CFC" w:rsidRDefault="00E9756B" w:rsidP="00E9756B">
      <w:pPr>
        <w:spacing w:before="120"/>
      </w:pPr>
      <w:r w:rsidRPr="004E6CFC">
        <w:t>Donde:</w:t>
      </w:r>
    </w:p>
    <w:p w:rsidR="00E9756B" w:rsidRPr="00DA7FDA" w:rsidRDefault="00E9756B" w:rsidP="00E9756B">
      <w:pPr>
        <w:ind w:left="1410" w:hanging="1410"/>
      </w:pPr>
      <w:r w:rsidRPr="004E6CFC">
        <w:rPr>
          <w:i/>
          <w:iCs/>
        </w:rPr>
        <w:t>IM</w:t>
      </w:r>
      <w:r w:rsidRPr="004E6CFC">
        <w:rPr>
          <w:i/>
          <w:iCs/>
          <w:vertAlign w:val="subscript"/>
        </w:rPr>
        <w:t>j,4,R,m,t</w:t>
      </w:r>
      <w:r w:rsidRPr="004E6CFC">
        <w:t>:</w:t>
      </w:r>
      <w:r w:rsidRPr="004E6CFC">
        <w:tab/>
        <w:t xml:space="preserve">Ingreso mensual del OR </w:t>
      </w:r>
      <w:r w:rsidRPr="004E6CFC">
        <w:rPr>
          <w:i/>
          <w:iCs/>
        </w:rPr>
        <w:t>j,</w:t>
      </w:r>
      <w:r w:rsidRPr="004E6CFC">
        <w:rPr>
          <w:iCs/>
        </w:rPr>
        <w:t xml:space="preserve"> en el </w:t>
      </w:r>
      <w:r w:rsidRPr="004E6CFC">
        <w:t>nivel de tensión 4</w:t>
      </w:r>
      <w:r w:rsidRPr="004E6CFC">
        <w:rPr>
          <w:iCs/>
        </w:rPr>
        <w:t>,</w:t>
      </w:r>
      <w:r w:rsidRPr="004E6CFC">
        <w:t xml:space="preserve"> que opera activos en el STR </w:t>
      </w:r>
      <w:r w:rsidRPr="004E6CFC">
        <w:rPr>
          <w:i/>
          <w:iCs/>
        </w:rPr>
        <w:t>R</w:t>
      </w:r>
      <w:r w:rsidRPr="004E6CFC">
        <w:t xml:space="preserve"> en el mes </w:t>
      </w:r>
      <w:r w:rsidRPr="004E6CFC">
        <w:rPr>
          <w:i/>
        </w:rPr>
        <w:t>m</w:t>
      </w:r>
      <w:r w:rsidRPr="004E6CFC">
        <w:t xml:space="preserve"> del </w:t>
      </w:r>
      <w:r w:rsidRPr="00DA7FDA">
        <w:t xml:space="preserve">año </w:t>
      </w:r>
      <w:r w:rsidRPr="00DA7FDA">
        <w:rPr>
          <w:i/>
        </w:rPr>
        <w:t>t</w:t>
      </w:r>
      <w:r w:rsidRPr="00DA7FDA">
        <w:t xml:space="preserve">, en pesos. </w:t>
      </w:r>
    </w:p>
    <w:p w:rsidR="00E9756B" w:rsidRPr="00DA7FDA" w:rsidRDefault="00E9756B" w:rsidP="00E9756B">
      <w:pPr>
        <w:ind w:left="1410" w:hanging="1410"/>
      </w:pPr>
      <w:r w:rsidRPr="00DA7FDA">
        <w:rPr>
          <w:i/>
          <w:iCs/>
        </w:rPr>
        <w:t>IAA</w:t>
      </w:r>
      <w:r w:rsidRPr="00DA7FDA">
        <w:rPr>
          <w:i/>
          <w:iCs/>
          <w:vertAlign w:val="subscript"/>
        </w:rPr>
        <w:t>j,4,t</w:t>
      </w:r>
      <w:r w:rsidRPr="00DA7FDA">
        <w:t>:</w:t>
      </w:r>
      <w:r w:rsidRPr="00DA7FDA">
        <w:tab/>
        <w:t xml:space="preserve">Ingreso anual por los activos de uso del nivel de tensión </w:t>
      </w:r>
      <w:r w:rsidRPr="00DA7FDA">
        <w:rPr>
          <w:i/>
          <w:iCs/>
        </w:rPr>
        <w:t xml:space="preserve">4, </w:t>
      </w:r>
      <w:r w:rsidRPr="00DA7FDA">
        <w:rPr>
          <w:iCs/>
        </w:rPr>
        <w:t>del</w:t>
      </w:r>
      <w:r w:rsidRPr="00DA7FDA">
        <w:rPr>
          <w:i/>
          <w:iCs/>
        </w:rPr>
        <w:t xml:space="preserve"> </w:t>
      </w:r>
      <w:r w:rsidRPr="00DA7FDA">
        <w:t xml:space="preserve">OR </w:t>
      </w:r>
      <w:r w:rsidRPr="00DA7FDA">
        <w:rPr>
          <w:i/>
          <w:iCs/>
        </w:rPr>
        <w:t>j</w:t>
      </w:r>
      <w:r w:rsidRPr="00DA7FDA">
        <w:rPr>
          <w:iCs/>
        </w:rPr>
        <w:t>,</w:t>
      </w:r>
      <w:r w:rsidRPr="00DA7FDA">
        <w:t xml:space="preserve"> en el año </w:t>
      </w:r>
      <w:r w:rsidRPr="00DA7FDA">
        <w:rPr>
          <w:i/>
        </w:rPr>
        <w:t>t</w:t>
      </w:r>
      <w:r w:rsidRPr="00DA7FDA">
        <w:t xml:space="preserve">, según lo establecido en el capítulo </w:t>
      </w:r>
      <w:r w:rsidRPr="00DA7FDA">
        <w:fldChar w:fldCharType="begin"/>
      </w:r>
      <w:r w:rsidRPr="00DA7FDA">
        <w:instrText xml:space="preserve"> REF _Ref398643120 \r \h\t  \* MERGEFORMAT </w:instrText>
      </w:r>
      <w:r w:rsidRPr="00DA7FDA">
        <w:fldChar w:fldCharType="separate"/>
      </w:r>
      <w:r w:rsidR="00737178">
        <w:t>3</w:t>
      </w:r>
      <w:r w:rsidRPr="00DA7FDA">
        <w:fldChar w:fldCharType="end"/>
      </w:r>
      <w:r w:rsidRPr="00DA7FDA">
        <w:t>.</w:t>
      </w:r>
    </w:p>
    <w:p w:rsidR="00E9756B" w:rsidRPr="00DA7FDA" w:rsidRDefault="00E9756B" w:rsidP="00E9756B">
      <w:pPr>
        <w:ind w:left="1410" w:hanging="1410"/>
      </w:pPr>
      <w:r w:rsidRPr="00DA7FDA">
        <w:rPr>
          <w:i/>
        </w:rPr>
        <w:t>fM</w:t>
      </w:r>
      <w:r w:rsidRPr="00DA7FDA">
        <w:t xml:space="preserve">: </w:t>
      </w:r>
      <w:r w:rsidRPr="00DA7FDA">
        <w:tab/>
        <w:t xml:space="preserve">Factor para calcular valores mensuales, calculado según lo establecido en el numeral </w:t>
      </w:r>
      <w:r w:rsidRPr="00DA7FDA">
        <w:fldChar w:fldCharType="begin"/>
      </w:r>
      <w:r w:rsidRPr="00DA7FDA">
        <w:instrText xml:space="preserve"> REF _Ref440612884 \r \h  \* MERGEFORMAT </w:instrText>
      </w:r>
      <w:r w:rsidRPr="00DA7FDA">
        <w:fldChar w:fldCharType="separate"/>
      </w:r>
      <w:r w:rsidR="00737178">
        <w:t>2.8</w:t>
      </w:r>
      <w:r w:rsidRPr="00DA7FDA">
        <w:fldChar w:fldCharType="end"/>
      </w:r>
      <w:r w:rsidRPr="00DA7FDA">
        <w:t>.</w:t>
      </w:r>
    </w:p>
    <w:p w:rsidR="00E9756B" w:rsidRPr="004E6CFC" w:rsidRDefault="00E9756B" w:rsidP="00E9756B">
      <w:pPr>
        <w:ind w:left="1410" w:hanging="1410"/>
      </w:pPr>
      <w:r w:rsidRPr="00DA7FDA">
        <w:rPr>
          <w:i/>
          <w:iCs/>
        </w:rPr>
        <w:t>IAAOM</w:t>
      </w:r>
      <w:r w:rsidRPr="00DA7FDA">
        <w:rPr>
          <w:i/>
          <w:iCs/>
          <w:vertAlign w:val="subscript"/>
        </w:rPr>
        <w:t>j,4,t</w:t>
      </w:r>
      <w:r w:rsidRPr="00DA7FDA">
        <w:t>:</w:t>
      </w:r>
      <w:r w:rsidRPr="00DA7FDA">
        <w:tab/>
        <w:t xml:space="preserve">Ingreso anual por los gastos de administración, operación y mantenimiento del nivel de tensión </w:t>
      </w:r>
      <w:r w:rsidRPr="00DA7FDA">
        <w:rPr>
          <w:i/>
          <w:iCs/>
        </w:rPr>
        <w:t xml:space="preserve">4, </w:t>
      </w:r>
      <w:r w:rsidRPr="00DA7FDA">
        <w:rPr>
          <w:iCs/>
        </w:rPr>
        <w:t>del</w:t>
      </w:r>
      <w:r w:rsidRPr="00DA7FDA">
        <w:rPr>
          <w:i/>
          <w:iCs/>
        </w:rPr>
        <w:t xml:space="preserve"> </w:t>
      </w:r>
      <w:r w:rsidRPr="00DA7FDA">
        <w:t xml:space="preserve">OR </w:t>
      </w:r>
      <w:r w:rsidRPr="00DA7FDA">
        <w:rPr>
          <w:i/>
          <w:iCs/>
        </w:rPr>
        <w:t>j</w:t>
      </w:r>
      <w:r w:rsidRPr="00DA7FDA">
        <w:rPr>
          <w:iCs/>
        </w:rPr>
        <w:t>,</w:t>
      </w:r>
      <w:r w:rsidRPr="00DA7FDA">
        <w:t xml:space="preserve"> en el año </w:t>
      </w:r>
      <w:r w:rsidRPr="00DA7FDA">
        <w:rPr>
          <w:i/>
        </w:rPr>
        <w:t>t</w:t>
      </w:r>
      <w:r w:rsidRPr="00DA7FDA">
        <w:t xml:space="preserve">, calculado según lo establecido en el capítulo </w:t>
      </w:r>
      <w:r w:rsidRPr="00DA7FDA">
        <w:fldChar w:fldCharType="begin"/>
      </w:r>
      <w:r w:rsidRPr="00DA7FDA">
        <w:instrText xml:space="preserve"> REF _Ref445133283 \r \h\t  \* MERGEFORMAT </w:instrText>
      </w:r>
      <w:r w:rsidRPr="00DA7FDA">
        <w:fldChar w:fldCharType="separate"/>
      </w:r>
      <w:r w:rsidR="00737178">
        <w:t>4</w:t>
      </w:r>
      <w:r w:rsidRPr="00DA7FDA">
        <w:fldChar w:fldCharType="end"/>
      </w:r>
      <w:r w:rsidRPr="00DA7FDA">
        <w:t>.</w:t>
      </w:r>
    </w:p>
    <w:p w:rsidR="00E9756B" w:rsidRPr="004E6CFC" w:rsidRDefault="00E9756B" w:rsidP="00E9756B">
      <w:pPr>
        <w:ind w:left="1410" w:hanging="1410"/>
        <w:rPr>
          <w:i/>
        </w:rPr>
      </w:pPr>
      <w:r w:rsidRPr="004E6CFC">
        <w:rPr>
          <w:i/>
        </w:rPr>
        <w:t>IE</w:t>
      </w:r>
      <w:r w:rsidRPr="004E6CFC">
        <w:rPr>
          <w:i/>
          <w:vertAlign w:val="subscript"/>
        </w:rPr>
        <w:t>j,c,R,m</w:t>
      </w:r>
      <w:r w:rsidRPr="004E6CFC">
        <w:rPr>
          <w:i/>
        </w:rPr>
        <w:t>:</w:t>
      </w:r>
      <w:r w:rsidRPr="004E6CFC">
        <w:rPr>
          <w:i/>
        </w:rPr>
        <w:tab/>
      </w:r>
      <w:r w:rsidRPr="004E6CFC">
        <w:t xml:space="preserve">Ingreso mensual esperado del OR </w:t>
      </w:r>
      <w:r w:rsidRPr="004E6CFC">
        <w:rPr>
          <w:i/>
        </w:rPr>
        <w:t>j</w:t>
      </w:r>
      <w:r w:rsidRPr="004E6CFC">
        <w:t xml:space="preserve"> por la convocatoria </w:t>
      </w:r>
      <w:r w:rsidRPr="004E6CFC">
        <w:rPr>
          <w:i/>
        </w:rPr>
        <w:t>c</w:t>
      </w:r>
      <w:r w:rsidRPr="004E6CFC">
        <w:t xml:space="preserve"> en el STR </w:t>
      </w:r>
      <w:r w:rsidRPr="004E6CFC">
        <w:rPr>
          <w:i/>
        </w:rPr>
        <w:t>R</w:t>
      </w:r>
      <w:r w:rsidRPr="004E6CFC">
        <w:t xml:space="preserve">, para el mes </w:t>
      </w:r>
      <w:r w:rsidRPr="004E6CFC">
        <w:rPr>
          <w:i/>
        </w:rPr>
        <w:t xml:space="preserve">m. </w:t>
      </w:r>
      <w:r w:rsidRPr="004E6CFC">
        <w:t xml:space="preserve">Esta variable corresponde con la variable </w:t>
      </w:r>
      <w:r w:rsidRPr="004E6CFC">
        <w:rPr>
          <w:i/>
        </w:rPr>
        <w:t>IE</w:t>
      </w:r>
      <w:r w:rsidRPr="004E6CFC">
        <w:rPr>
          <w:i/>
          <w:vertAlign w:val="subscript"/>
        </w:rPr>
        <w:t>p,R,m</w:t>
      </w:r>
      <w:r w:rsidRPr="004E6CFC">
        <w:t xml:space="preserve"> definida en la Resolución CREG 024 de 2013, o aquella que la modifique o </w:t>
      </w:r>
      <w:r w:rsidR="0094295C" w:rsidRPr="004E6CFC">
        <w:t>sustituya.</w:t>
      </w:r>
    </w:p>
    <w:p w:rsidR="00E9756B" w:rsidRPr="004E6CFC" w:rsidRDefault="00E9756B" w:rsidP="00E9756B">
      <w:pPr>
        <w:ind w:left="1410" w:hanging="1410"/>
      </w:pPr>
      <w:r w:rsidRPr="004E6CFC">
        <w:rPr>
          <w:i/>
        </w:rPr>
        <w:t>C</w:t>
      </w:r>
      <w:r w:rsidRPr="004E6CFC">
        <w:rPr>
          <w:i/>
          <w:vertAlign w:val="subscript"/>
        </w:rPr>
        <w:t>j,R</w:t>
      </w:r>
      <w:r w:rsidRPr="004E6CFC">
        <w:rPr>
          <w:i/>
        </w:rPr>
        <w:t>:</w:t>
      </w:r>
      <w:r w:rsidRPr="004E6CFC">
        <w:rPr>
          <w:i/>
        </w:rPr>
        <w:tab/>
      </w:r>
      <w:r w:rsidRPr="004E6CFC">
        <w:t>Número total de</w:t>
      </w:r>
      <w:r w:rsidRPr="004E6CFC">
        <w:rPr>
          <w:i/>
        </w:rPr>
        <w:t xml:space="preserve"> </w:t>
      </w:r>
      <w:r w:rsidRPr="004E6CFC">
        <w:t xml:space="preserve">convocatorias adjudicadas al OR </w:t>
      </w:r>
      <w:r w:rsidRPr="004E6CFC">
        <w:rPr>
          <w:i/>
        </w:rPr>
        <w:t>j</w:t>
      </w:r>
      <w:r w:rsidRPr="004E6CFC">
        <w:t xml:space="preserve"> en el STR </w:t>
      </w:r>
      <w:r w:rsidRPr="004E6CFC">
        <w:rPr>
          <w:i/>
        </w:rPr>
        <w:t>R.</w:t>
      </w:r>
      <w:r w:rsidRPr="004E6CFC">
        <w:t xml:space="preserve">  </w:t>
      </w:r>
    </w:p>
    <w:p w:rsidR="00E9756B" w:rsidRPr="004E6CFC" w:rsidRDefault="00E9756B" w:rsidP="00E9756B">
      <w:pPr>
        <w:tabs>
          <w:tab w:val="left" w:pos="1418"/>
          <w:tab w:val="left" w:pos="1701"/>
        </w:tabs>
        <w:spacing w:before="120"/>
        <w:ind w:left="1418" w:hanging="1418"/>
      </w:pPr>
      <w:r w:rsidRPr="004E6CFC">
        <w:rPr>
          <w:i/>
        </w:rPr>
        <w:t>CSTR</w:t>
      </w:r>
      <w:r w:rsidRPr="004E6CFC">
        <w:rPr>
          <w:i/>
          <w:vertAlign w:val="subscript"/>
        </w:rPr>
        <w:t>j,R,m-1</w:t>
      </w:r>
      <w:r w:rsidRPr="004E6CFC">
        <w:t xml:space="preserve">: </w:t>
      </w:r>
      <w:r w:rsidRPr="004E6CFC">
        <w:tab/>
        <w:t xml:space="preserve">Valor </w:t>
      </w:r>
      <w:r w:rsidRPr="00DA7FDA">
        <w:t xml:space="preserve">mensual de las compensaciones del OR </w:t>
      </w:r>
      <w:r w:rsidRPr="00DA7FDA">
        <w:rPr>
          <w:i/>
        </w:rPr>
        <w:t>j</w:t>
      </w:r>
      <w:r w:rsidRPr="00DA7FDA">
        <w:t xml:space="preserve">, por activos que opera en el STR </w:t>
      </w:r>
      <w:r w:rsidRPr="00DA7FDA">
        <w:rPr>
          <w:i/>
          <w:iCs/>
        </w:rPr>
        <w:t>R</w:t>
      </w:r>
      <w:r w:rsidRPr="00DA7FDA">
        <w:t xml:space="preserve">, correspondiente al mes </w:t>
      </w:r>
      <w:r w:rsidRPr="00DA7FDA">
        <w:rPr>
          <w:i/>
        </w:rPr>
        <w:t>m-1</w:t>
      </w:r>
      <w:r w:rsidRPr="00DA7FDA">
        <w:t xml:space="preserve">, según lo establecido en el numeral </w:t>
      </w:r>
      <w:r w:rsidRPr="00DA7FDA">
        <w:fldChar w:fldCharType="begin"/>
      </w:r>
      <w:r w:rsidRPr="00DA7FDA">
        <w:instrText xml:space="preserve"> REF _Ref184402103 \r \h  \* MERGEFORMAT </w:instrText>
      </w:r>
      <w:r w:rsidRPr="00DA7FDA">
        <w:fldChar w:fldCharType="separate"/>
      </w:r>
      <w:r w:rsidR="00737178">
        <w:t>5.1.14</w:t>
      </w:r>
      <w:r w:rsidRPr="00DA7FDA">
        <w:fldChar w:fldCharType="end"/>
      </w:r>
      <w:r w:rsidRPr="004E6CFC">
        <w:t>.</w:t>
      </w:r>
    </w:p>
    <w:p w:rsidR="00E9756B" w:rsidRPr="004E6CFC" w:rsidRDefault="00E9756B" w:rsidP="00E9756B">
      <w:pPr>
        <w:ind w:left="1410" w:hanging="1410"/>
      </w:pPr>
      <w:r w:rsidRPr="004E6CFC">
        <w:rPr>
          <w:i/>
          <w:iCs/>
        </w:rPr>
        <w:t>IRM</w:t>
      </w:r>
      <w:r w:rsidRPr="004E6CFC">
        <w:rPr>
          <w:i/>
          <w:iCs/>
          <w:vertAlign w:val="subscript"/>
        </w:rPr>
        <w:t>j,4,t</w:t>
      </w:r>
      <w:r w:rsidRPr="004E6CFC">
        <w:t>:</w:t>
      </w:r>
      <w:r w:rsidRPr="004E6CFC">
        <w:tab/>
        <w:t xml:space="preserve">Ingreso del OR </w:t>
      </w:r>
      <w:r w:rsidRPr="004E6CFC">
        <w:rPr>
          <w:i/>
          <w:iCs/>
        </w:rPr>
        <w:t>j,</w:t>
      </w:r>
      <w:r w:rsidRPr="004E6CFC">
        <w:t xml:space="preserve"> en el nivel de tensión 4, del año </w:t>
      </w:r>
      <w:r w:rsidRPr="004E6CFC">
        <w:rPr>
          <w:i/>
        </w:rPr>
        <w:t>t</w:t>
      </w:r>
      <w:r w:rsidRPr="004E6CFC">
        <w:t xml:space="preserve">, recibido por otros conceptos, según lo establecido en el numeral </w:t>
      </w:r>
      <w:r w:rsidRPr="004E6CFC">
        <w:fldChar w:fldCharType="begin"/>
      </w:r>
      <w:r w:rsidRPr="004E6CFC">
        <w:instrText xml:space="preserve"> REF _Ref444843905 \r \h  \* MERGEFORMAT </w:instrText>
      </w:r>
      <w:r w:rsidRPr="004E6CFC">
        <w:fldChar w:fldCharType="separate"/>
      </w:r>
      <w:r w:rsidR="00737178">
        <w:t>2.7</w:t>
      </w:r>
      <w:r w:rsidRPr="004E6CFC">
        <w:fldChar w:fldCharType="end"/>
      </w:r>
      <w:r w:rsidRPr="004E6CFC">
        <w:t xml:space="preserve">. </w:t>
      </w:r>
    </w:p>
    <w:p w:rsidR="00E9756B" w:rsidRPr="004E6CFC" w:rsidRDefault="00E9756B" w:rsidP="00E9756B">
      <w:pPr>
        <w:ind w:left="1410" w:hanging="1410"/>
      </w:pPr>
      <w:r w:rsidRPr="004E6CFC">
        <w:rPr>
          <w:i/>
          <w:iCs/>
        </w:rPr>
        <w:t>IPP</w:t>
      </w:r>
      <w:r w:rsidRPr="004E6CFC">
        <w:rPr>
          <w:i/>
          <w:iCs/>
          <w:vertAlign w:val="subscript"/>
        </w:rPr>
        <w:t>m-1</w:t>
      </w:r>
      <w:r w:rsidRPr="004E6CFC">
        <w:t>:</w:t>
      </w:r>
      <w:r w:rsidRPr="004E6CFC">
        <w:tab/>
        <w:t xml:space="preserve">Índice de precios del productor del mes </w:t>
      </w:r>
      <w:r w:rsidRPr="004E6CFC">
        <w:rPr>
          <w:i/>
        </w:rPr>
        <w:t>m</w:t>
      </w:r>
      <w:r w:rsidRPr="004E6CFC">
        <w:rPr>
          <w:i/>
          <w:iCs/>
        </w:rPr>
        <w:t>-1</w:t>
      </w:r>
      <w:r w:rsidRPr="004E6CFC">
        <w:t>.</w:t>
      </w:r>
    </w:p>
    <w:p w:rsidR="00E9756B" w:rsidRDefault="00E9756B" w:rsidP="00E9756B">
      <w:pPr>
        <w:ind w:left="1410" w:hanging="1410"/>
      </w:pPr>
      <w:r w:rsidRPr="004E6CFC">
        <w:rPr>
          <w:i/>
          <w:iCs/>
        </w:rPr>
        <w:t>IPP</w:t>
      </w:r>
      <w:r w:rsidRPr="004E6CFC">
        <w:rPr>
          <w:i/>
          <w:iCs/>
          <w:vertAlign w:val="subscript"/>
        </w:rPr>
        <w:t>o</w:t>
      </w:r>
      <w:r w:rsidRPr="004E6CFC">
        <w:t>:</w:t>
      </w:r>
      <w:r w:rsidRPr="004E6CFC">
        <w:tab/>
        <w:t>Índice de precios del productor de la fecha de corte.</w:t>
      </w:r>
    </w:p>
    <w:p w:rsidR="00E9756B" w:rsidRDefault="00E9756B" w:rsidP="00E9756B">
      <w:pPr>
        <w:rPr>
          <w:iCs/>
        </w:rPr>
      </w:pPr>
      <w:r w:rsidRPr="00EB1B16">
        <w:rPr>
          <w:iCs/>
        </w:rPr>
        <w:t>P</w:t>
      </w:r>
      <w:r>
        <w:rPr>
          <w:iCs/>
        </w:rPr>
        <w:t>ara la distribución de ingresos de un STR entre los agentes que operan activos en ese sistema se tendrán en cuenta, por separado, los ingresos de convocatorias ejecutadas el mercado de comercialización propio y las ejecutadas en otros mercados de comercialización. Con este propósito se define la siguiente variable:</w:t>
      </w:r>
    </w:p>
    <w:p w:rsidR="00E9756B" w:rsidRDefault="00C9592F" w:rsidP="00E9756B">
      <w:pPr>
        <w:rPr>
          <w:iCs/>
        </w:rPr>
      </w:pPr>
      <m:oMathPara>
        <m:oMath>
          <m:sSub>
            <m:sSubPr>
              <m:ctrlPr>
                <w:rPr>
                  <w:rFonts w:ascii="Cambria Math" w:hAnsi="Cambria Math"/>
                  <w:i/>
                </w:rPr>
              </m:ctrlPr>
            </m:sSubPr>
            <m:e>
              <m:r>
                <w:rPr>
                  <w:rFonts w:ascii="Cambria Math" w:hAnsi="Cambria Math"/>
                </w:rPr>
                <m:t>IMSC</m:t>
              </m:r>
            </m:e>
            <m:sub>
              <m:r>
                <w:rPr>
                  <w:rFonts w:ascii="Cambria Math" w:hAnsi="Cambria Math"/>
                </w:rPr>
                <m:t>j</m:t>
              </m:r>
              <m:r>
                <w:rPr>
                  <w:rFonts w:ascii="Cambria Math"/>
                </w:rPr>
                <m:t>,4,</m:t>
              </m:r>
              <m:r>
                <w:rPr>
                  <w:rFonts w:ascii="Cambria Math" w:hAnsi="Cambria Math"/>
                </w:rPr>
                <m:t>R</m:t>
              </m:r>
              <m:r>
                <w:rPr>
                  <w:rFonts w:ascii="Cambria Math"/>
                </w:rPr>
                <m:t>,</m:t>
              </m:r>
              <m:r>
                <w:rPr>
                  <w:rFonts w:ascii="Cambria Math" w:hAnsi="Cambria Math"/>
                </w:rPr>
                <m:t>m,t</m:t>
              </m:r>
            </m:sub>
          </m:sSub>
          <m:r>
            <w:rPr>
              <w:rFonts w:ascii="Cambria Math"/>
            </w:rPr>
            <m:t>=</m:t>
          </m:r>
          <m:sSub>
            <m:sSubPr>
              <m:ctrlPr>
                <w:rPr>
                  <w:rFonts w:ascii="Cambria Math" w:hAnsi="Cambria Math"/>
                  <w:i/>
                </w:rPr>
              </m:ctrlPr>
            </m:sSubPr>
            <m:e>
              <m:r>
                <w:rPr>
                  <w:rFonts w:ascii="Cambria Math" w:hAnsi="Cambria Math"/>
                </w:rPr>
                <m:t>IM</m:t>
              </m:r>
            </m:e>
            <m:sub>
              <m:r>
                <w:rPr>
                  <w:rFonts w:ascii="Cambria Math" w:hAnsi="Cambria Math"/>
                </w:rPr>
                <m:t>j</m:t>
              </m:r>
              <m:r>
                <w:rPr>
                  <w:rFonts w:ascii="Cambria Math"/>
                </w:rPr>
                <m:t>,4,</m:t>
              </m:r>
              <m:r>
                <w:rPr>
                  <w:rFonts w:ascii="Cambria Math" w:hAnsi="Cambria Math"/>
                </w:rPr>
                <m:t>R</m:t>
              </m:r>
              <m:r>
                <w:rPr>
                  <w:rFonts w:ascii="Cambria Math"/>
                </w:rPr>
                <m:t>,</m:t>
              </m:r>
              <m:r>
                <w:rPr>
                  <w:rFonts w:ascii="Cambria Math" w:hAnsi="Cambria Math"/>
                </w:rPr>
                <m:t>m,t</m:t>
              </m:r>
            </m:sub>
          </m:sSub>
          <m:r>
            <w:rPr>
              <w:rFonts w:ascii="Cambria Math" w:hAnsi="Cambria Math"/>
            </w:rPr>
            <m:t>-</m:t>
          </m:r>
          <m:nary>
            <m:naryPr>
              <m:chr m:val="∑"/>
              <m:limLoc m:val="undOvr"/>
              <m:ctrlPr>
                <w:rPr>
                  <w:rFonts w:ascii="Cambria Math" w:hAnsi="Cambria Math"/>
                  <w:i/>
                </w:rPr>
              </m:ctrlPr>
            </m:naryPr>
            <m:sub>
              <m:r>
                <w:rPr>
                  <w:rFonts w:ascii="Cambria Math" w:hAnsi="Cambria Math"/>
                </w:rPr>
                <m:t>c=1</m:t>
              </m:r>
            </m:sub>
            <m:sup>
              <m:sSub>
                <m:sSubPr>
                  <m:ctrlPr>
                    <w:rPr>
                      <w:rFonts w:ascii="Cambria Math" w:hAnsi="Cambria Math"/>
                      <w:i/>
                    </w:rPr>
                  </m:ctrlPr>
                </m:sSubPr>
                <m:e>
                  <m:r>
                    <w:rPr>
                      <w:rFonts w:ascii="Cambria Math" w:hAnsi="Cambria Math"/>
                    </w:rPr>
                    <m:t>C</m:t>
                  </m:r>
                </m:e>
                <m:sub>
                  <m:r>
                    <w:rPr>
                      <w:rFonts w:ascii="Cambria Math" w:hAnsi="Cambria Math"/>
                    </w:rPr>
                    <m:t>j,Rdj</m:t>
                  </m:r>
                </m:sub>
              </m:sSub>
            </m:sup>
            <m:e>
              <m:sSub>
                <m:sSubPr>
                  <m:ctrlPr>
                    <w:rPr>
                      <w:rFonts w:ascii="Cambria Math" w:hAnsi="Cambria Math"/>
                      <w:i/>
                    </w:rPr>
                  </m:ctrlPr>
                </m:sSubPr>
                <m:e>
                  <m:r>
                    <w:rPr>
                      <w:rFonts w:ascii="Cambria Math" w:hAnsi="Cambria Math"/>
                    </w:rPr>
                    <m:t>IE</m:t>
                  </m:r>
                </m:e>
                <m:sub>
                  <m:r>
                    <w:rPr>
                      <w:rFonts w:ascii="Cambria Math" w:hAnsi="Cambria Math"/>
                    </w:rPr>
                    <m:t>j,c,R,m</m:t>
                  </m:r>
                </m:sub>
              </m:sSub>
            </m:e>
          </m:nary>
        </m:oMath>
      </m:oMathPara>
    </w:p>
    <w:p w:rsidR="00E9756B" w:rsidRPr="004E6CFC" w:rsidRDefault="00E9756B" w:rsidP="00E9756B">
      <w:pPr>
        <w:spacing w:before="120"/>
      </w:pPr>
      <w:r w:rsidRPr="004E6CFC">
        <w:t>Donde:</w:t>
      </w:r>
    </w:p>
    <w:p w:rsidR="00E9756B" w:rsidRPr="004E6CFC" w:rsidRDefault="00E9756B" w:rsidP="00E9756B">
      <w:pPr>
        <w:ind w:left="1410" w:hanging="1410"/>
      </w:pPr>
      <w:r>
        <w:rPr>
          <w:i/>
          <w:iCs/>
        </w:rPr>
        <w:t>IMSC</w:t>
      </w:r>
      <w:r w:rsidRPr="004E6CFC">
        <w:rPr>
          <w:i/>
          <w:iCs/>
          <w:vertAlign w:val="subscript"/>
        </w:rPr>
        <w:t>j,4,R,m,t</w:t>
      </w:r>
      <w:r w:rsidRPr="004E6CFC">
        <w:t>:</w:t>
      </w:r>
      <w:r w:rsidRPr="004E6CFC">
        <w:tab/>
        <w:t xml:space="preserve">Ingreso mensual del OR </w:t>
      </w:r>
      <w:r w:rsidRPr="004E6CFC">
        <w:rPr>
          <w:i/>
          <w:iCs/>
        </w:rPr>
        <w:t>j,</w:t>
      </w:r>
      <w:r w:rsidRPr="004E6CFC">
        <w:rPr>
          <w:iCs/>
        </w:rPr>
        <w:t xml:space="preserve"> en el </w:t>
      </w:r>
      <w:r w:rsidRPr="004E6CFC">
        <w:t>nivel de tensión 4</w:t>
      </w:r>
      <w:r w:rsidRPr="004E6CFC">
        <w:rPr>
          <w:iCs/>
        </w:rPr>
        <w:t>,</w:t>
      </w:r>
      <w:r w:rsidRPr="004E6CFC">
        <w:t xml:space="preserve"> en el mes </w:t>
      </w:r>
      <w:r w:rsidRPr="004E6CFC">
        <w:rPr>
          <w:i/>
        </w:rPr>
        <w:t>m</w:t>
      </w:r>
      <w:r w:rsidRPr="004E6CFC">
        <w:t xml:space="preserve"> del año </w:t>
      </w:r>
      <w:r w:rsidRPr="004E6CFC">
        <w:rPr>
          <w:i/>
        </w:rPr>
        <w:t>t</w:t>
      </w:r>
      <w:r w:rsidRPr="004E6CFC">
        <w:t>,</w:t>
      </w:r>
      <w:r>
        <w:t xml:space="preserve"> sin incluir los ingresos de las convocatorias construidas</w:t>
      </w:r>
      <w:r w:rsidRPr="004E6CFC">
        <w:t xml:space="preserve"> en </w:t>
      </w:r>
      <w:r>
        <w:t>un mercado de comercialización diferente al propio</w:t>
      </w:r>
      <w:r w:rsidRPr="004E6CFC">
        <w:t xml:space="preserve">. </w:t>
      </w:r>
    </w:p>
    <w:p w:rsidR="00E9756B" w:rsidRPr="004E6CFC" w:rsidRDefault="00E9756B" w:rsidP="00E9756B">
      <w:pPr>
        <w:ind w:left="1410" w:hanging="1410"/>
      </w:pPr>
      <w:r w:rsidRPr="004E6CFC">
        <w:rPr>
          <w:i/>
          <w:iCs/>
        </w:rPr>
        <w:t>IM</w:t>
      </w:r>
      <w:r w:rsidRPr="004E6CFC">
        <w:rPr>
          <w:i/>
          <w:iCs/>
          <w:vertAlign w:val="subscript"/>
        </w:rPr>
        <w:t>j,4,R,m,t</w:t>
      </w:r>
      <w:r w:rsidRPr="004E6CFC">
        <w:t>:</w:t>
      </w:r>
      <w:r w:rsidRPr="004E6CFC">
        <w:tab/>
        <w:t xml:space="preserve">Ingreso mensual del OR </w:t>
      </w:r>
      <w:r w:rsidRPr="004E6CFC">
        <w:rPr>
          <w:i/>
          <w:iCs/>
        </w:rPr>
        <w:t>j</w:t>
      </w:r>
      <w:r>
        <w:t xml:space="preserve">, </w:t>
      </w:r>
      <w:r w:rsidRPr="004E6CFC">
        <w:t xml:space="preserve">perteneciente al STR </w:t>
      </w:r>
      <w:r w:rsidRPr="004E6CFC">
        <w:rPr>
          <w:i/>
          <w:iCs/>
        </w:rPr>
        <w:t>R</w:t>
      </w:r>
      <w:r>
        <w:t xml:space="preserve">, </w:t>
      </w:r>
      <w:r w:rsidRPr="004E6CFC">
        <w:t xml:space="preserve">en el nivel de tensión 4 en el mes </w:t>
      </w:r>
      <w:r w:rsidRPr="004E6CFC">
        <w:rPr>
          <w:i/>
        </w:rPr>
        <w:t>m</w:t>
      </w:r>
      <w:r w:rsidRPr="004E6CFC">
        <w:t xml:space="preserve"> del año </w:t>
      </w:r>
      <w:r w:rsidRPr="004E6CFC">
        <w:rPr>
          <w:i/>
        </w:rPr>
        <w:t>t</w:t>
      </w:r>
      <w:r w:rsidRPr="004E6CFC">
        <w:t xml:space="preserve">, calculado según lo establecido en </w:t>
      </w:r>
      <w:r>
        <w:t xml:space="preserve">este </w:t>
      </w:r>
      <w:r w:rsidRPr="00EB1B16">
        <w:t>numeral</w:t>
      </w:r>
      <w:r w:rsidRPr="001672B5">
        <w:t>.</w:t>
      </w:r>
    </w:p>
    <w:p w:rsidR="00E9756B" w:rsidRPr="004E6CFC" w:rsidRDefault="00E9756B" w:rsidP="00E9756B">
      <w:pPr>
        <w:ind w:left="1410" w:hanging="1410"/>
        <w:rPr>
          <w:i/>
        </w:rPr>
      </w:pPr>
      <w:r w:rsidRPr="004E6CFC">
        <w:rPr>
          <w:i/>
        </w:rPr>
        <w:t>IE</w:t>
      </w:r>
      <w:r w:rsidRPr="004E6CFC">
        <w:rPr>
          <w:i/>
          <w:vertAlign w:val="subscript"/>
        </w:rPr>
        <w:t>j,c,R,m</w:t>
      </w:r>
      <w:r w:rsidRPr="004E6CFC">
        <w:rPr>
          <w:i/>
        </w:rPr>
        <w:t>:</w:t>
      </w:r>
      <w:r w:rsidRPr="004E6CFC">
        <w:rPr>
          <w:i/>
        </w:rPr>
        <w:tab/>
      </w:r>
      <w:r w:rsidRPr="004E6CFC">
        <w:t xml:space="preserve">Ingreso mensual esperado del OR </w:t>
      </w:r>
      <w:r w:rsidRPr="004E6CFC">
        <w:rPr>
          <w:i/>
        </w:rPr>
        <w:t>j</w:t>
      </w:r>
      <w:r w:rsidRPr="004E6CFC">
        <w:t xml:space="preserve"> por la convocatoria </w:t>
      </w:r>
      <w:r w:rsidRPr="004E6CFC">
        <w:rPr>
          <w:i/>
        </w:rPr>
        <w:t>c</w:t>
      </w:r>
      <w:r w:rsidRPr="004E6CFC">
        <w:t xml:space="preserve"> en el STR </w:t>
      </w:r>
      <w:r w:rsidRPr="004E6CFC">
        <w:rPr>
          <w:i/>
        </w:rPr>
        <w:t>R</w:t>
      </w:r>
      <w:r w:rsidRPr="004E6CFC">
        <w:t xml:space="preserve">, </w:t>
      </w:r>
      <w:r>
        <w:t>ejecutada en un mercado diferente a su mercado de comercia</w:t>
      </w:r>
      <w:r>
        <w:softHyphen/>
        <w:t xml:space="preserve">lización, </w:t>
      </w:r>
      <w:r w:rsidRPr="004E6CFC">
        <w:t xml:space="preserve">para el mes </w:t>
      </w:r>
      <w:r w:rsidRPr="004E6CFC">
        <w:rPr>
          <w:i/>
        </w:rPr>
        <w:t xml:space="preserve">m. </w:t>
      </w:r>
      <w:r w:rsidRPr="004E6CFC">
        <w:t xml:space="preserve">Esta variable corresponde con la variable </w:t>
      </w:r>
      <w:r w:rsidRPr="004E6CFC">
        <w:rPr>
          <w:i/>
        </w:rPr>
        <w:t>IE</w:t>
      </w:r>
      <w:r w:rsidRPr="004E6CFC">
        <w:rPr>
          <w:i/>
          <w:vertAlign w:val="subscript"/>
        </w:rPr>
        <w:t>p,R,m</w:t>
      </w:r>
      <w:r w:rsidRPr="004E6CFC">
        <w:t xml:space="preserve"> definida en la Resolución CREG 024 de 2013, o aquella que la modifique o </w:t>
      </w:r>
      <w:r w:rsidR="0094295C" w:rsidRPr="004E6CFC">
        <w:t>sustituya.</w:t>
      </w:r>
    </w:p>
    <w:p w:rsidR="00E9756B" w:rsidRPr="004E6CFC" w:rsidRDefault="00E9756B" w:rsidP="00E9756B">
      <w:pPr>
        <w:ind w:left="1410" w:hanging="1410"/>
      </w:pPr>
      <w:r w:rsidRPr="004E6CFC">
        <w:rPr>
          <w:i/>
        </w:rPr>
        <w:t>C</w:t>
      </w:r>
      <w:r w:rsidRPr="004E6CFC">
        <w:rPr>
          <w:i/>
          <w:vertAlign w:val="subscript"/>
        </w:rPr>
        <w:t>j,R</w:t>
      </w:r>
      <w:r>
        <w:rPr>
          <w:i/>
          <w:vertAlign w:val="subscript"/>
        </w:rPr>
        <w:t>dj</w:t>
      </w:r>
      <w:r w:rsidRPr="004E6CFC">
        <w:rPr>
          <w:i/>
        </w:rPr>
        <w:t>:</w:t>
      </w:r>
      <w:r w:rsidRPr="004E6CFC">
        <w:rPr>
          <w:i/>
        </w:rPr>
        <w:tab/>
      </w:r>
      <w:r w:rsidRPr="004E6CFC">
        <w:t>Número total de</w:t>
      </w:r>
      <w:r w:rsidRPr="004E6CFC">
        <w:rPr>
          <w:i/>
        </w:rPr>
        <w:t xml:space="preserve"> </w:t>
      </w:r>
      <w:r w:rsidRPr="004E6CFC">
        <w:t xml:space="preserve">convocatorias adjudicadas al OR </w:t>
      </w:r>
      <w:r w:rsidRPr="004E6CFC">
        <w:rPr>
          <w:i/>
        </w:rPr>
        <w:t>j</w:t>
      </w:r>
      <w:r w:rsidRPr="004E6CFC">
        <w:t xml:space="preserve"> en </w:t>
      </w:r>
      <w:r>
        <w:t>el</w:t>
      </w:r>
      <w:r w:rsidRPr="004E6CFC">
        <w:t xml:space="preserve"> STR</w:t>
      </w:r>
      <w:r w:rsidRPr="00200184">
        <w:t xml:space="preserve"> </w:t>
      </w:r>
      <w:r w:rsidRPr="00200184">
        <w:rPr>
          <w:i/>
        </w:rPr>
        <w:t>R</w:t>
      </w:r>
      <w:r>
        <w:t xml:space="preserve">, en un </w:t>
      </w:r>
      <w:r w:rsidRPr="00200184">
        <w:t>mercado de comercialización</w:t>
      </w:r>
      <w:r>
        <w:t xml:space="preserve"> diferente al propio</w:t>
      </w:r>
      <w:r w:rsidRPr="00200184">
        <w:t>.</w:t>
      </w:r>
      <w:r w:rsidRPr="004E6CFC">
        <w:t xml:space="preserve">  </w:t>
      </w:r>
    </w:p>
    <w:p w:rsidR="00E9756B" w:rsidRPr="004E6CFC" w:rsidRDefault="00E9756B" w:rsidP="00E9756B">
      <w:pPr>
        <w:pStyle w:val="Ttulo2"/>
      </w:pPr>
      <w:bookmarkStart w:id="102" w:name="_Toc440027081"/>
      <w:bookmarkStart w:id="103" w:name="_Ref440377351"/>
      <w:bookmarkStart w:id="104" w:name="_Toc476824121"/>
      <w:bookmarkStart w:id="105" w:name="_Toc505335900"/>
      <w:r w:rsidRPr="004E6CFC">
        <w:t>INGRESOS DE LOS TR EN EL NIVEL DE TENSIÓN  4</w:t>
      </w:r>
      <w:bookmarkEnd w:id="102"/>
      <w:bookmarkEnd w:id="103"/>
      <w:bookmarkEnd w:id="104"/>
      <w:bookmarkEnd w:id="105"/>
    </w:p>
    <w:p w:rsidR="00E9756B" w:rsidRPr="004E6CFC" w:rsidRDefault="00E9756B" w:rsidP="00E9756B">
      <w:r w:rsidRPr="004E6CFC">
        <w:t>El LAC calculará el ingreso mensual de nivel de tensión 4 de cada TR, así:</w:t>
      </w:r>
    </w:p>
    <w:p w:rsidR="00E9756B" w:rsidRPr="004E6CFC" w:rsidRDefault="00C9592F" w:rsidP="00E9756B">
      <m:oMathPara>
        <m:oMath>
          <m:sSub>
            <m:sSubPr>
              <m:ctrlPr>
                <w:rPr>
                  <w:rFonts w:ascii="Cambria Math" w:hAnsi="Cambria Math"/>
                  <w:i/>
                </w:rPr>
              </m:ctrlPr>
            </m:sSubPr>
            <m:e>
              <m:r>
                <w:rPr>
                  <w:rFonts w:ascii="Cambria Math" w:hAnsi="Cambria Math"/>
                </w:rPr>
                <m:t>IMTR</m:t>
              </m:r>
            </m:e>
            <m:sub>
              <m:r>
                <w:rPr>
                  <w:rFonts w:ascii="Cambria Math" w:hAnsi="Cambria Math"/>
                </w:rPr>
                <m:t>r</m:t>
              </m:r>
              <m:r>
                <w:rPr>
                  <w:rFonts w:ascii="Cambria Math"/>
                </w:rPr>
                <m:t>,</m:t>
              </m:r>
              <m:r>
                <w:rPr>
                  <w:rFonts w:ascii="Cambria Math" w:hAnsi="Cambria Math"/>
                </w:rPr>
                <m:t>R</m:t>
              </m:r>
              <m:r>
                <w:rPr>
                  <w:rFonts w:ascii="Cambria Math"/>
                </w:rPr>
                <m:t>,</m:t>
              </m:r>
              <m:r>
                <w:rPr>
                  <w:rFonts w:ascii="Cambria Math" w:hAnsi="Cambria Math"/>
                </w:rPr>
                <m:t>m,t</m:t>
              </m:r>
            </m:sub>
          </m:sSub>
          <m:r>
            <w:rPr>
              <w:rFonts w:ascii="Cambria Math"/>
            </w:rPr>
            <m:t>=</m:t>
          </m:r>
          <m:nary>
            <m:naryPr>
              <m:chr m:val="∑"/>
              <m:limLoc m:val="undOvr"/>
              <m:ctrlPr>
                <w:rPr>
                  <w:rFonts w:ascii="Cambria Math" w:hAnsi="Cambria Math"/>
                  <w:i/>
                </w:rPr>
              </m:ctrlPr>
            </m:naryPr>
            <m:sub>
              <m:r>
                <w:rPr>
                  <w:rFonts w:ascii="Cambria Math" w:hAnsi="Cambria Math"/>
                </w:rPr>
                <m:t>c=1</m:t>
              </m:r>
            </m:sub>
            <m:sup>
              <m:sSub>
                <m:sSubPr>
                  <m:ctrlPr>
                    <w:rPr>
                      <w:rFonts w:ascii="Cambria Math" w:hAnsi="Cambria Math"/>
                      <w:i/>
                    </w:rPr>
                  </m:ctrlPr>
                </m:sSubPr>
                <m:e>
                  <m:r>
                    <w:rPr>
                      <w:rFonts w:ascii="Cambria Math" w:hAnsi="Cambria Math"/>
                    </w:rPr>
                    <m:t>C</m:t>
                  </m:r>
                </m:e>
                <m:sub>
                  <m:r>
                    <w:rPr>
                      <w:rFonts w:ascii="Cambria Math" w:hAnsi="Cambria Math"/>
                    </w:rPr>
                    <m:t>r,R</m:t>
                  </m:r>
                </m:sub>
              </m:sSub>
            </m:sup>
            <m:e>
              <m:sSub>
                <m:sSubPr>
                  <m:ctrlPr>
                    <w:rPr>
                      <w:rFonts w:ascii="Cambria Math" w:hAnsi="Cambria Math"/>
                      <w:i/>
                    </w:rPr>
                  </m:ctrlPr>
                </m:sSubPr>
                <m:e>
                  <m:r>
                    <w:rPr>
                      <w:rFonts w:ascii="Cambria Math" w:hAnsi="Cambria Math"/>
                    </w:rPr>
                    <m:t>IE</m:t>
                  </m:r>
                </m:e>
                <m:sub>
                  <m:r>
                    <w:rPr>
                      <w:rFonts w:ascii="Cambria Math" w:hAnsi="Cambria Math"/>
                    </w:rPr>
                    <m:t>r,c,R,m</m:t>
                  </m:r>
                </m:sub>
              </m:sSub>
            </m:e>
          </m:nary>
          <m:r>
            <w:rPr>
              <w:rFonts w:ascii="Cambria Math" w:hAnsi="Cambria Math"/>
            </w:rPr>
            <m:t>-</m:t>
          </m:r>
          <m:sSub>
            <m:sSubPr>
              <m:ctrlPr>
                <w:rPr>
                  <w:rFonts w:ascii="Cambria Math" w:hAnsi="Cambria Math"/>
                  <w:i/>
                </w:rPr>
              </m:ctrlPr>
            </m:sSubPr>
            <m:e>
              <m:r>
                <w:rPr>
                  <w:rFonts w:ascii="Cambria Math" w:hAnsi="Cambria Math"/>
                </w:rPr>
                <m:t>CSTR</m:t>
              </m:r>
            </m:e>
            <m:sub>
              <m:r>
                <w:rPr>
                  <w:rFonts w:ascii="Cambria Math" w:hAnsi="Cambria Math"/>
                </w:rPr>
                <m:t>r</m:t>
              </m:r>
              <m:r>
                <w:rPr>
                  <w:rFonts w:ascii="Cambria Math"/>
                </w:rPr>
                <m:t>,R,</m:t>
              </m:r>
              <m:r>
                <w:rPr>
                  <w:rFonts w:ascii="Cambria Math" w:hAnsi="Cambria Math"/>
                </w:rPr>
                <m:t>m-</m:t>
              </m:r>
              <m:r>
                <w:rPr>
                  <w:rFonts w:ascii="Cambria Math"/>
                </w:rPr>
                <m:t>1</m:t>
              </m:r>
            </m:sub>
          </m:sSub>
        </m:oMath>
      </m:oMathPara>
    </w:p>
    <w:p w:rsidR="00E9756B" w:rsidRPr="004E6CFC" w:rsidRDefault="00E9756B" w:rsidP="00E9756B">
      <w:pPr>
        <w:spacing w:before="120"/>
      </w:pPr>
      <w:r w:rsidRPr="004E6CFC">
        <w:t>Donde:</w:t>
      </w:r>
    </w:p>
    <w:p w:rsidR="00E9756B" w:rsidRPr="004E6CFC" w:rsidRDefault="00E9756B" w:rsidP="00E9756B">
      <w:pPr>
        <w:ind w:left="1410" w:hanging="1410"/>
      </w:pPr>
      <w:r w:rsidRPr="004E6CFC">
        <w:rPr>
          <w:i/>
          <w:iCs/>
        </w:rPr>
        <w:t>IMTR</w:t>
      </w:r>
      <w:r w:rsidRPr="004E6CFC">
        <w:rPr>
          <w:i/>
          <w:iCs/>
          <w:vertAlign w:val="subscript"/>
        </w:rPr>
        <w:t>r,R,m,t</w:t>
      </w:r>
      <w:r w:rsidRPr="004E6CFC">
        <w:t>:</w:t>
      </w:r>
      <w:r w:rsidRPr="004E6CFC">
        <w:tab/>
        <w:t xml:space="preserve">Ingreso mensual del TR </w:t>
      </w:r>
      <w:r w:rsidRPr="004E6CFC">
        <w:rPr>
          <w:i/>
          <w:iCs/>
        </w:rPr>
        <w:t>r,</w:t>
      </w:r>
      <w:r w:rsidRPr="004E6CFC">
        <w:rPr>
          <w:iCs/>
        </w:rPr>
        <w:t xml:space="preserve"> en el </w:t>
      </w:r>
      <w:r w:rsidRPr="004E6CFC">
        <w:t xml:space="preserve">STR </w:t>
      </w:r>
      <w:r w:rsidRPr="004E6CFC">
        <w:rPr>
          <w:i/>
          <w:iCs/>
        </w:rPr>
        <w:t>R</w:t>
      </w:r>
      <w:r w:rsidRPr="004E6CFC">
        <w:t xml:space="preserve"> para el mes </w:t>
      </w:r>
      <w:r w:rsidRPr="004E6CFC">
        <w:rPr>
          <w:i/>
        </w:rPr>
        <w:t>m</w:t>
      </w:r>
      <w:r w:rsidRPr="004E6CFC">
        <w:t xml:space="preserve"> del año </w:t>
      </w:r>
      <w:r w:rsidRPr="004E6CFC">
        <w:rPr>
          <w:i/>
        </w:rPr>
        <w:t>t</w:t>
      </w:r>
      <w:r w:rsidRPr="004E6CFC">
        <w:t xml:space="preserve">, en pesos. </w:t>
      </w:r>
    </w:p>
    <w:p w:rsidR="00E9756B" w:rsidRPr="004E6CFC" w:rsidRDefault="00E9756B" w:rsidP="00E9756B">
      <w:pPr>
        <w:ind w:left="1410" w:hanging="1410"/>
        <w:rPr>
          <w:i/>
        </w:rPr>
      </w:pPr>
      <w:r w:rsidRPr="004E6CFC">
        <w:rPr>
          <w:i/>
        </w:rPr>
        <w:t>IE</w:t>
      </w:r>
      <w:r w:rsidRPr="004E6CFC">
        <w:rPr>
          <w:i/>
          <w:vertAlign w:val="subscript"/>
        </w:rPr>
        <w:t>r,c,R,m</w:t>
      </w:r>
      <w:r w:rsidRPr="004E6CFC">
        <w:rPr>
          <w:i/>
        </w:rPr>
        <w:t>:</w:t>
      </w:r>
      <w:r w:rsidRPr="004E6CFC">
        <w:rPr>
          <w:i/>
        </w:rPr>
        <w:tab/>
      </w:r>
      <w:r w:rsidRPr="004E6CFC">
        <w:t xml:space="preserve">Ingreso mensual esperado por la convocatoria </w:t>
      </w:r>
      <w:r w:rsidRPr="004E6CFC">
        <w:rPr>
          <w:i/>
        </w:rPr>
        <w:t>c</w:t>
      </w:r>
      <w:r w:rsidRPr="004E6CFC">
        <w:t xml:space="preserve"> adjudicada al TR </w:t>
      </w:r>
      <w:r w:rsidRPr="004E6CFC">
        <w:rPr>
          <w:i/>
        </w:rPr>
        <w:t xml:space="preserve">r </w:t>
      </w:r>
      <w:r w:rsidRPr="004E6CFC">
        <w:t>en el STR </w:t>
      </w:r>
      <w:r w:rsidRPr="004E6CFC">
        <w:rPr>
          <w:i/>
        </w:rPr>
        <w:t>R</w:t>
      </w:r>
      <w:r w:rsidRPr="004E6CFC">
        <w:t xml:space="preserve">, para el mes </w:t>
      </w:r>
      <w:r w:rsidRPr="004E6CFC">
        <w:rPr>
          <w:i/>
        </w:rPr>
        <w:t>m.</w:t>
      </w:r>
      <w:r w:rsidRPr="004E6CFC">
        <w:t xml:space="preserve"> Esta variable corresponde con la variable </w:t>
      </w:r>
      <w:r w:rsidRPr="004E6CFC">
        <w:rPr>
          <w:i/>
        </w:rPr>
        <w:t>IE</w:t>
      </w:r>
      <w:r w:rsidRPr="004E6CFC">
        <w:rPr>
          <w:i/>
          <w:vertAlign w:val="subscript"/>
        </w:rPr>
        <w:t>p,R,m</w:t>
      </w:r>
      <w:r w:rsidRPr="004E6CFC">
        <w:t xml:space="preserve"> definida en la Resolución CREG 024 de 2013, o aquella que la modifique o sustituya.</w:t>
      </w:r>
      <w:r w:rsidRPr="004E6CFC">
        <w:rPr>
          <w:i/>
        </w:rPr>
        <w:t xml:space="preserve"> </w:t>
      </w:r>
    </w:p>
    <w:p w:rsidR="00E9756B" w:rsidRPr="004E6CFC" w:rsidRDefault="00E9756B" w:rsidP="00E9756B">
      <w:pPr>
        <w:ind w:left="1410" w:hanging="1410"/>
      </w:pPr>
      <w:r w:rsidRPr="004E6CFC">
        <w:rPr>
          <w:i/>
        </w:rPr>
        <w:t>C</w:t>
      </w:r>
      <w:r w:rsidRPr="004E6CFC">
        <w:rPr>
          <w:i/>
          <w:vertAlign w:val="subscript"/>
        </w:rPr>
        <w:t>r,R</w:t>
      </w:r>
      <w:r w:rsidRPr="004E6CFC">
        <w:rPr>
          <w:i/>
        </w:rPr>
        <w:t>:</w:t>
      </w:r>
      <w:r w:rsidRPr="004E6CFC">
        <w:rPr>
          <w:i/>
        </w:rPr>
        <w:tab/>
      </w:r>
      <w:r w:rsidRPr="004E6CFC">
        <w:t>Número total de</w:t>
      </w:r>
      <w:r w:rsidRPr="004E6CFC">
        <w:rPr>
          <w:i/>
        </w:rPr>
        <w:t xml:space="preserve"> </w:t>
      </w:r>
      <w:r w:rsidRPr="004E6CFC">
        <w:t xml:space="preserve">convocatorias adjudicadas al TR </w:t>
      </w:r>
      <w:r w:rsidRPr="004E6CFC">
        <w:rPr>
          <w:i/>
        </w:rPr>
        <w:t>r</w:t>
      </w:r>
      <w:r w:rsidRPr="004E6CFC">
        <w:t xml:space="preserve"> en el STR </w:t>
      </w:r>
      <w:r w:rsidRPr="004E6CFC">
        <w:rPr>
          <w:i/>
        </w:rPr>
        <w:t>R.</w:t>
      </w:r>
      <w:r w:rsidRPr="004E6CFC">
        <w:t xml:space="preserve">  </w:t>
      </w:r>
    </w:p>
    <w:p w:rsidR="00E9756B" w:rsidRDefault="00E9756B" w:rsidP="00E9756B">
      <w:pPr>
        <w:tabs>
          <w:tab w:val="left" w:pos="1418"/>
          <w:tab w:val="left" w:pos="1701"/>
        </w:tabs>
        <w:spacing w:before="120"/>
        <w:ind w:left="1418" w:hanging="1418"/>
      </w:pPr>
      <w:r w:rsidRPr="004E6CFC">
        <w:rPr>
          <w:i/>
        </w:rPr>
        <w:t>CSTR</w:t>
      </w:r>
      <w:r w:rsidRPr="004E6CFC">
        <w:rPr>
          <w:i/>
          <w:vertAlign w:val="subscript"/>
        </w:rPr>
        <w:t>r,R,m-1</w:t>
      </w:r>
      <w:r w:rsidRPr="004E6CFC">
        <w:t xml:space="preserve">: </w:t>
      </w:r>
      <w:r w:rsidRPr="004E6CFC">
        <w:tab/>
        <w:t xml:space="preserve">Valor mensual de las compensaciones del TR </w:t>
      </w:r>
      <w:r w:rsidRPr="004E6CFC">
        <w:rPr>
          <w:i/>
        </w:rPr>
        <w:t>r</w:t>
      </w:r>
      <w:r w:rsidRPr="004E6CFC">
        <w:t xml:space="preserve">, por activos que opera en el STR </w:t>
      </w:r>
      <w:r w:rsidRPr="004E6CFC">
        <w:rPr>
          <w:i/>
          <w:iCs/>
        </w:rPr>
        <w:t>R</w:t>
      </w:r>
      <w:r w:rsidRPr="004E6CFC">
        <w:t xml:space="preserve">, correspondiente al mes </w:t>
      </w:r>
      <w:r w:rsidRPr="004E6CFC">
        <w:rPr>
          <w:i/>
        </w:rPr>
        <w:t>m-1</w:t>
      </w:r>
      <w:r w:rsidRPr="004E6CFC">
        <w:t xml:space="preserve">, según lo establecido en el numeral </w:t>
      </w:r>
      <w:r w:rsidRPr="004E6CFC">
        <w:fldChar w:fldCharType="begin"/>
      </w:r>
      <w:r w:rsidRPr="004E6CFC">
        <w:instrText xml:space="preserve"> REF _Ref184402103 \r \h  \* MERGEFORMAT </w:instrText>
      </w:r>
      <w:r w:rsidRPr="004E6CFC">
        <w:fldChar w:fldCharType="separate"/>
      </w:r>
      <w:r w:rsidR="00737178">
        <w:t>5.1.14</w:t>
      </w:r>
      <w:r w:rsidRPr="004E6CFC">
        <w:fldChar w:fldCharType="end"/>
      </w:r>
      <w:r w:rsidRPr="004E6CFC">
        <w:t>.</w:t>
      </w:r>
    </w:p>
    <w:p w:rsidR="00E9756B" w:rsidRPr="004E6CFC" w:rsidRDefault="00E9756B" w:rsidP="00E9756B">
      <w:pPr>
        <w:pStyle w:val="Ttulo2"/>
      </w:pPr>
      <w:bookmarkStart w:id="106" w:name="_Toc505335901"/>
      <w:r>
        <w:t>repartición de ingresos de nivel de tensión 4</w:t>
      </w:r>
      <w:bookmarkEnd w:id="106"/>
    </w:p>
    <w:p w:rsidR="00E9756B" w:rsidRDefault="00E9756B" w:rsidP="00E9756B">
      <w:pPr>
        <w:spacing w:before="120"/>
      </w:pPr>
      <w:r>
        <w:t>Para distribuir los ingresos por el uso de los activos de nivel de tensión 4 entre los agentes beneficiarios se tendrá en cuenta lo señalado en este numeral, adicional a lo previsto en la regulación vigente.</w:t>
      </w:r>
    </w:p>
    <w:p w:rsidR="00E9756B" w:rsidRDefault="00E9756B" w:rsidP="00E9756B">
      <w:pPr>
        <w:spacing w:before="120"/>
      </w:pPr>
      <w:r>
        <w:lastRenderedPageBreak/>
        <w:t>Para cada uno de los OR, con mercados de comercialización en un determinado STR, al momento de distribuir los ingresos se considerará el valor del ingreso ajustado calculado de la siguiente forma:</w:t>
      </w:r>
    </w:p>
    <w:p w:rsidR="00E9756B" w:rsidRDefault="00C9592F" w:rsidP="00E9756B">
      <w:pPr>
        <w:spacing w:before="120"/>
      </w:pPr>
      <m:oMathPara>
        <m:oMath>
          <m:sSub>
            <m:sSubPr>
              <m:ctrlPr>
                <w:rPr>
                  <w:rFonts w:ascii="Cambria Math" w:hAnsi="Cambria Math"/>
                  <w:i/>
                </w:rPr>
              </m:ctrlPr>
            </m:sSubPr>
            <m:e>
              <m:r>
                <w:rPr>
                  <w:rFonts w:ascii="Cambria Math" w:hAnsi="Cambria Math"/>
                </w:rPr>
                <m:t>IMASC</m:t>
              </m:r>
            </m:e>
            <m:sub>
              <m:r>
                <w:rPr>
                  <w:rFonts w:ascii="Cambria Math" w:hAnsi="Cambria Math"/>
                </w:rPr>
                <m:t>j</m:t>
              </m:r>
              <m:r>
                <w:rPr>
                  <w:rFonts w:ascii="Cambria Math"/>
                </w:rPr>
                <m:t>,4,</m:t>
              </m:r>
              <m:r>
                <w:rPr>
                  <w:rFonts w:ascii="Cambria Math" w:hAnsi="Cambria Math"/>
                </w:rPr>
                <m:t>R</m:t>
              </m:r>
              <m:r>
                <w:rPr>
                  <w:rFonts w:ascii="Cambria Math"/>
                </w:rPr>
                <m:t>,</m:t>
              </m:r>
              <m:r>
                <w:rPr>
                  <w:rFonts w:ascii="Cambria Math" w:hAnsi="Cambria Math"/>
                </w:rPr>
                <m:t>m,t</m:t>
              </m:r>
            </m:sub>
          </m:sSub>
          <m:r>
            <w:rPr>
              <w:rFonts w:ascii="Cambria Math"/>
            </w:rPr>
            <m:t>=</m:t>
          </m:r>
          <m:sSub>
            <m:sSubPr>
              <m:ctrlPr>
                <w:rPr>
                  <w:rFonts w:ascii="Cambria Math" w:hAnsi="Cambria Math"/>
                  <w:i/>
                </w:rPr>
              </m:ctrlPr>
            </m:sSubPr>
            <m:e>
              <m:r>
                <w:rPr>
                  <w:rFonts w:ascii="Cambria Math" w:hAnsi="Cambria Math"/>
                </w:rPr>
                <m:t>IMSC</m:t>
              </m:r>
            </m:e>
            <m:sub>
              <m:r>
                <w:rPr>
                  <w:rFonts w:ascii="Cambria Math" w:hAnsi="Cambria Math"/>
                </w:rPr>
                <m:t>j</m:t>
              </m:r>
              <m:r>
                <w:rPr>
                  <w:rFonts w:ascii="Cambria Math"/>
                </w:rPr>
                <m:t>,4,</m:t>
              </m:r>
              <m:r>
                <w:rPr>
                  <w:rFonts w:ascii="Cambria Math" w:hAnsi="Cambria Math"/>
                </w:rPr>
                <m:t>R</m:t>
              </m:r>
              <m:r>
                <w:rPr>
                  <w:rFonts w:ascii="Cambria Math"/>
                </w:rPr>
                <m:t>,</m:t>
              </m:r>
              <m:r>
                <w:rPr>
                  <w:rFonts w:ascii="Cambria Math" w:hAnsi="Cambria Math"/>
                </w:rPr>
                <m:t>m,t</m:t>
              </m:r>
            </m:sub>
          </m:sSub>
          <m:r>
            <w:rPr>
              <w:rFonts w:ascii="Cambria Math" w:hAnsi="Cambria Math"/>
            </w:rPr>
            <m:t>*</m:t>
          </m:r>
          <m:f>
            <m:fPr>
              <m:ctrlPr>
                <w:rPr>
                  <w:rFonts w:ascii="Cambria Math" w:hAnsi="Cambria Math"/>
                  <w:i/>
                </w:rPr>
              </m:ctrlPr>
            </m:fPr>
            <m:num>
              <m:d>
                <m:dPr>
                  <m:ctrlPr>
                    <w:rPr>
                      <w:rFonts w:ascii="Cambria Math" w:hAnsi="Cambria Math"/>
                      <w:i/>
                    </w:rPr>
                  </m:ctrlPr>
                </m:dPr>
                <m:e>
                  <m:r>
                    <w:rPr>
                      <w:rFonts w:ascii="Cambria Math" w:hAnsi="Cambria Math"/>
                    </w:rPr>
                    <m:t>1-</m:t>
                  </m:r>
                  <m:sSub>
                    <m:sSubPr>
                      <m:ctrlPr>
                        <w:rPr>
                          <w:rFonts w:ascii="Cambria Math" w:hAnsi="Cambria Math"/>
                          <w:i/>
                        </w:rPr>
                      </m:ctrlPr>
                    </m:sSubPr>
                    <m:e>
                      <m:r>
                        <w:rPr>
                          <w:rFonts w:ascii="Cambria Math" w:hAnsi="Cambria Math"/>
                        </w:rPr>
                        <m:t>P</m:t>
                      </m:r>
                    </m:e>
                    <m:sub>
                      <m:r>
                        <w:rPr>
                          <w:rFonts w:ascii="Cambria Math" w:hAnsi="Cambria Math"/>
                        </w:rPr>
                        <m:t>4,j,m,t</m:t>
                      </m:r>
                    </m:sub>
                  </m:sSub>
                </m:e>
              </m:d>
            </m:num>
            <m:den>
              <m:d>
                <m:dPr>
                  <m:ctrlPr>
                    <w:rPr>
                      <w:rFonts w:ascii="Cambria Math" w:hAnsi="Cambria Math"/>
                      <w:i/>
                    </w:rPr>
                  </m:ctrlPr>
                </m:dPr>
                <m:e>
                  <m:r>
                    <w:rPr>
                      <w:rFonts w:ascii="Cambria Math" w:hAnsi="Cambria Math"/>
                    </w:rPr>
                    <m:t>1-</m:t>
                  </m:r>
                  <m:sSub>
                    <m:sSubPr>
                      <m:ctrlPr>
                        <w:rPr>
                          <w:rFonts w:ascii="Cambria Math" w:hAnsi="Cambria Math" w:cs="Arial"/>
                          <w:i/>
                          <w:szCs w:val="20"/>
                          <w:lang w:val="es-CO"/>
                        </w:rPr>
                      </m:ctrlPr>
                    </m:sSubPr>
                    <m:e>
                      <m:r>
                        <w:rPr>
                          <w:rFonts w:ascii="Cambria Math" w:hAnsi="Cambria Math" w:cs="Arial"/>
                          <w:szCs w:val="20"/>
                          <w:lang w:val="es-CO"/>
                        </w:rPr>
                        <m:t>P</m:t>
                      </m:r>
                    </m:e>
                    <m:sub>
                      <m:r>
                        <w:rPr>
                          <w:rFonts w:ascii="Cambria Math" w:hAnsi="Cambria Math" w:cs="Arial"/>
                          <w:szCs w:val="20"/>
                          <w:lang w:val="es-CO"/>
                        </w:rPr>
                        <m:t>4,R,m,t</m:t>
                      </m:r>
                    </m:sub>
                  </m:sSub>
                </m:e>
              </m:d>
            </m:den>
          </m:f>
        </m:oMath>
      </m:oMathPara>
    </w:p>
    <w:p w:rsidR="00E9756B" w:rsidRPr="004E6CFC" w:rsidRDefault="00E9756B" w:rsidP="00E9756B">
      <w:pPr>
        <w:spacing w:before="120"/>
      </w:pPr>
      <w:r w:rsidRPr="004E6CFC">
        <w:t>Donde:</w:t>
      </w:r>
    </w:p>
    <w:p w:rsidR="00E9756B" w:rsidRPr="004E6CFC" w:rsidRDefault="00E9756B" w:rsidP="00E9756B">
      <w:pPr>
        <w:ind w:left="1701" w:hanging="1701"/>
      </w:pPr>
      <w:r>
        <w:rPr>
          <w:i/>
          <w:iCs/>
        </w:rPr>
        <w:t>IMASC</w:t>
      </w:r>
      <w:r w:rsidRPr="004E6CFC">
        <w:rPr>
          <w:i/>
          <w:iCs/>
          <w:vertAlign w:val="subscript"/>
        </w:rPr>
        <w:t>j,4,R,m,t</w:t>
      </w:r>
      <w:r w:rsidRPr="004E6CFC">
        <w:t>:</w:t>
      </w:r>
      <w:r w:rsidRPr="004E6CFC">
        <w:tab/>
        <w:t xml:space="preserve">Ingreso mensual </w:t>
      </w:r>
      <w:r>
        <w:t xml:space="preserve">ajustado </w:t>
      </w:r>
      <w:r w:rsidRPr="004E6CFC">
        <w:t xml:space="preserve">del OR </w:t>
      </w:r>
      <w:r w:rsidRPr="004E6CFC">
        <w:rPr>
          <w:i/>
          <w:iCs/>
        </w:rPr>
        <w:t>j,</w:t>
      </w:r>
      <w:r w:rsidRPr="004E6CFC">
        <w:rPr>
          <w:iCs/>
        </w:rPr>
        <w:t xml:space="preserve"> en el </w:t>
      </w:r>
      <w:r w:rsidRPr="004E6CFC">
        <w:t>nivel de tensión 4</w:t>
      </w:r>
      <w:r w:rsidRPr="004E6CFC">
        <w:rPr>
          <w:iCs/>
        </w:rPr>
        <w:t>,</w:t>
      </w:r>
      <w:r w:rsidRPr="004E6CFC">
        <w:t xml:space="preserve"> en el mes </w:t>
      </w:r>
      <w:r w:rsidRPr="004E6CFC">
        <w:rPr>
          <w:i/>
        </w:rPr>
        <w:t>m</w:t>
      </w:r>
      <w:r w:rsidRPr="004E6CFC">
        <w:t xml:space="preserve"> del año </w:t>
      </w:r>
      <w:r w:rsidRPr="004E6CFC">
        <w:rPr>
          <w:i/>
        </w:rPr>
        <w:t>t</w:t>
      </w:r>
      <w:r w:rsidRPr="004E6CFC">
        <w:t>,</w:t>
      </w:r>
      <w:r>
        <w:t xml:space="preserve"> sin incluir los ingresos por convocatorias construidas</w:t>
      </w:r>
      <w:r w:rsidRPr="004E6CFC">
        <w:t xml:space="preserve"> en </w:t>
      </w:r>
      <w:r>
        <w:t>un mercado de comercialización diferente al propio.</w:t>
      </w:r>
      <w:r w:rsidRPr="004E6CFC">
        <w:t xml:space="preserve"> </w:t>
      </w:r>
    </w:p>
    <w:p w:rsidR="00E9756B" w:rsidRPr="00DA7FDA" w:rsidRDefault="00E9756B" w:rsidP="00E9756B">
      <w:pPr>
        <w:ind w:left="1701" w:hanging="1701"/>
      </w:pPr>
      <w:r>
        <w:rPr>
          <w:i/>
          <w:iCs/>
        </w:rPr>
        <w:t>IMSC</w:t>
      </w:r>
      <w:r w:rsidRPr="004E6CFC">
        <w:rPr>
          <w:i/>
          <w:iCs/>
          <w:vertAlign w:val="subscript"/>
        </w:rPr>
        <w:t>j,4,R,m,t</w:t>
      </w:r>
      <w:r w:rsidRPr="004E6CFC">
        <w:t>:</w:t>
      </w:r>
      <w:r w:rsidRPr="004E6CFC">
        <w:tab/>
        <w:t xml:space="preserve">Ingreso mensual del OR </w:t>
      </w:r>
      <w:r w:rsidRPr="004E6CFC">
        <w:rPr>
          <w:i/>
          <w:iCs/>
        </w:rPr>
        <w:t>j,</w:t>
      </w:r>
      <w:r w:rsidRPr="004E6CFC">
        <w:rPr>
          <w:iCs/>
        </w:rPr>
        <w:t xml:space="preserve"> en el </w:t>
      </w:r>
      <w:r w:rsidRPr="004E6CFC">
        <w:t>nivel de tensión 4</w:t>
      </w:r>
      <w:r w:rsidRPr="004E6CFC">
        <w:rPr>
          <w:iCs/>
        </w:rPr>
        <w:t>,</w:t>
      </w:r>
      <w:r w:rsidRPr="004E6CFC">
        <w:t xml:space="preserve"> en el mes </w:t>
      </w:r>
      <w:r w:rsidRPr="004E6CFC">
        <w:rPr>
          <w:i/>
        </w:rPr>
        <w:t>m</w:t>
      </w:r>
      <w:r w:rsidRPr="004E6CFC">
        <w:t xml:space="preserve"> del año </w:t>
      </w:r>
      <w:r w:rsidRPr="004E6CFC">
        <w:rPr>
          <w:i/>
        </w:rPr>
        <w:t>t</w:t>
      </w:r>
      <w:r w:rsidRPr="004E6CFC">
        <w:t>,</w:t>
      </w:r>
      <w:r>
        <w:t xml:space="preserve"> sin incluir los ingresos de las convocatorias construidas</w:t>
      </w:r>
      <w:r w:rsidRPr="004E6CFC">
        <w:t xml:space="preserve"> en </w:t>
      </w:r>
      <w:r>
        <w:t xml:space="preserve">un mercado de </w:t>
      </w:r>
      <w:r w:rsidRPr="00DA7FDA">
        <w:t xml:space="preserve">comercialización diferente al propio, calculado según lo establecido en el numeral </w:t>
      </w:r>
      <w:r w:rsidRPr="00DA7FDA">
        <w:fldChar w:fldCharType="begin"/>
      </w:r>
      <w:r w:rsidRPr="00DA7FDA">
        <w:instrText xml:space="preserve"> REF _Ref440377350 \r \h  \* MERGEFORMAT </w:instrText>
      </w:r>
      <w:r w:rsidRPr="00DA7FDA">
        <w:fldChar w:fldCharType="separate"/>
      </w:r>
      <w:r w:rsidR="00737178">
        <w:t>2.1</w:t>
      </w:r>
      <w:r w:rsidRPr="00DA7FDA">
        <w:fldChar w:fldCharType="end"/>
      </w:r>
      <w:r w:rsidRPr="00DA7FDA">
        <w:t>.</w:t>
      </w:r>
    </w:p>
    <w:p w:rsidR="00E9756B" w:rsidRPr="00DA7FDA" w:rsidRDefault="00E9756B" w:rsidP="00E9756B">
      <w:pPr>
        <w:ind w:left="1701" w:hanging="1701"/>
      </w:pPr>
      <w:r w:rsidRPr="00DA7FDA">
        <w:rPr>
          <w:i/>
          <w:iCs/>
        </w:rPr>
        <w:t>P</w:t>
      </w:r>
      <w:r w:rsidRPr="00DA7FDA">
        <w:rPr>
          <w:i/>
          <w:iCs/>
          <w:vertAlign w:val="subscript"/>
        </w:rPr>
        <w:t>4,j,m,t</w:t>
      </w:r>
      <w:r w:rsidRPr="00DA7FDA">
        <w:t>:</w:t>
      </w:r>
      <w:r w:rsidRPr="00DA7FDA">
        <w:tab/>
        <w:t xml:space="preserve">Factor de pérdidas del nivel de tensión 4 del OR </w:t>
      </w:r>
      <w:r w:rsidRPr="00DA7FDA">
        <w:rPr>
          <w:i/>
        </w:rPr>
        <w:t>j</w:t>
      </w:r>
      <w:r w:rsidRPr="00DA7FDA">
        <w:t>, que hace parte del STR </w:t>
      </w:r>
      <w:r w:rsidRPr="00DA7FDA">
        <w:rPr>
          <w:i/>
          <w:iCs/>
        </w:rPr>
        <w:t>R</w:t>
      </w:r>
      <w:r w:rsidRPr="00DA7FDA">
        <w:t xml:space="preserve">, en el mes </w:t>
      </w:r>
      <w:r w:rsidRPr="00DA7FDA">
        <w:rPr>
          <w:i/>
        </w:rPr>
        <w:t>m</w:t>
      </w:r>
      <w:r w:rsidRPr="00DA7FDA">
        <w:t xml:space="preserve"> del año </w:t>
      </w:r>
      <w:r w:rsidRPr="00DA7FDA">
        <w:rPr>
          <w:i/>
        </w:rPr>
        <w:t>t</w:t>
      </w:r>
      <w:r w:rsidRPr="00DA7FDA">
        <w:t xml:space="preserve">, calculado de acuerdo con lo previsto en el numeral </w:t>
      </w:r>
      <w:r w:rsidR="00DA7FDA" w:rsidRPr="00DA7FDA">
        <w:fldChar w:fldCharType="begin"/>
      </w:r>
      <w:r w:rsidR="00DA7FDA" w:rsidRPr="00DA7FDA">
        <w:instrText xml:space="preserve"> REF _Ref505174398 \r \h </w:instrText>
      </w:r>
      <w:r w:rsidR="00DA7FDA">
        <w:instrText xml:space="preserve"> \* MERGEFORMAT </w:instrText>
      </w:r>
      <w:r w:rsidR="00DA7FDA" w:rsidRPr="00DA7FDA">
        <w:fldChar w:fldCharType="separate"/>
      </w:r>
      <w:r w:rsidR="00737178">
        <w:t>7.1.2.1</w:t>
      </w:r>
      <w:r w:rsidR="00DA7FDA" w:rsidRPr="00DA7FDA">
        <w:fldChar w:fldCharType="end"/>
      </w:r>
    </w:p>
    <w:p w:rsidR="00E9756B" w:rsidRPr="00DA7FDA" w:rsidRDefault="00E9756B" w:rsidP="00E9756B">
      <w:pPr>
        <w:ind w:left="1701" w:hanging="1701"/>
      </w:pPr>
      <w:r w:rsidRPr="00DA7FDA">
        <w:rPr>
          <w:i/>
          <w:iCs/>
        </w:rPr>
        <w:t>P</w:t>
      </w:r>
      <w:r w:rsidRPr="00DA7FDA">
        <w:rPr>
          <w:i/>
          <w:iCs/>
          <w:vertAlign w:val="subscript"/>
        </w:rPr>
        <w:t>4,R,m,t</w:t>
      </w:r>
      <w:r w:rsidRPr="00DA7FDA">
        <w:t>:</w:t>
      </w:r>
      <w:r w:rsidRPr="00DA7FDA">
        <w:tab/>
        <w:t>Factor de pérdidas ponderado del nivel de tensión 4, para los OR que hacen parte del STR </w:t>
      </w:r>
      <w:r w:rsidRPr="00DA7FDA">
        <w:rPr>
          <w:i/>
          <w:iCs/>
        </w:rPr>
        <w:t>R</w:t>
      </w:r>
      <w:r w:rsidRPr="00DA7FDA">
        <w:t xml:space="preserve">, en el mes </w:t>
      </w:r>
      <w:r w:rsidRPr="00DA7FDA">
        <w:rPr>
          <w:i/>
        </w:rPr>
        <w:t>m</w:t>
      </w:r>
      <w:r w:rsidRPr="00DA7FDA">
        <w:t xml:space="preserve"> del año </w:t>
      </w:r>
      <w:r w:rsidRPr="00DA7FDA">
        <w:rPr>
          <w:i/>
        </w:rPr>
        <w:t>t</w:t>
      </w:r>
      <w:r w:rsidRPr="00DA7FDA">
        <w:t xml:space="preserve">, calculado de acuerdo con lo previsto en el numeral </w:t>
      </w:r>
      <w:r w:rsidRPr="00DA7FDA">
        <w:fldChar w:fldCharType="begin"/>
      </w:r>
      <w:r w:rsidRPr="00DA7FDA">
        <w:instrText xml:space="preserve"> REF _Ref505156359 \r \h </w:instrText>
      </w:r>
      <w:r w:rsidR="00DA7FDA">
        <w:instrText xml:space="preserve"> \* MERGEFORMAT </w:instrText>
      </w:r>
      <w:r w:rsidRPr="00DA7FDA">
        <w:fldChar w:fldCharType="separate"/>
      </w:r>
      <w:r w:rsidR="00737178">
        <w:t>1.1.1</w:t>
      </w:r>
      <w:r w:rsidRPr="00DA7FDA">
        <w:fldChar w:fldCharType="end"/>
      </w:r>
    </w:p>
    <w:p w:rsidR="00E9756B" w:rsidRPr="004E6CFC" w:rsidRDefault="00E9756B" w:rsidP="00E9756B">
      <w:pPr>
        <w:spacing w:before="120"/>
      </w:pPr>
      <w:r w:rsidRPr="00DA7FDA">
        <w:t>Para los ingresos relacionados con convocatorias, tanto de OR</w:t>
      </w:r>
      <w:r>
        <w:t xml:space="preserve"> que con</w:t>
      </w:r>
      <w:r w:rsidR="00C4621D">
        <w:t>s</w:t>
      </w:r>
      <w:r>
        <w:t>truyen proyectos en mercados de comercialización diferentes al suyo, como los de los TR, el ingreso ajustado a considerar para la distribución de los ingresos del STR es igual a los ingresos esperados de cada convocatoria menos las compen</w:t>
      </w:r>
      <w:r>
        <w:softHyphen/>
        <w:t xml:space="preserve">saciones, en los casos en que haya lugar. </w:t>
      </w:r>
    </w:p>
    <w:p w:rsidR="00E9756B" w:rsidRPr="004E6CFC" w:rsidRDefault="00E9756B" w:rsidP="00E9756B">
      <w:pPr>
        <w:pStyle w:val="Ttulo2"/>
      </w:pPr>
      <w:bookmarkStart w:id="107" w:name="_Toc440027082"/>
      <w:bookmarkStart w:id="108" w:name="_Ref440377352"/>
      <w:bookmarkStart w:id="109" w:name="_Toc476824122"/>
      <w:bookmarkStart w:id="110" w:name="_Toc505335902"/>
      <w:r w:rsidRPr="004E6CFC">
        <w:t>INGRESOS DE NIVEL DE TENSIÓN  3</w:t>
      </w:r>
      <w:bookmarkEnd w:id="107"/>
      <w:bookmarkEnd w:id="108"/>
      <w:bookmarkEnd w:id="109"/>
      <w:bookmarkEnd w:id="110"/>
    </w:p>
    <w:p w:rsidR="00E9756B" w:rsidRPr="004E6CFC" w:rsidRDefault="00E9756B" w:rsidP="00E9756B">
      <w:pPr>
        <w:rPr>
          <w:lang w:val="es-ES_tradnl"/>
        </w:rPr>
      </w:pPr>
      <w:bookmarkStart w:id="111" w:name="_Toc440027083"/>
      <w:bookmarkStart w:id="112" w:name="_Ref440377353"/>
      <w:r w:rsidRPr="004E6CFC">
        <w:rPr>
          <w:lang w:val="es-ES_tradnl"/>
        </w:rPr>
        <w:t>El LAC calculará el ingreso mensual del nivel de tensión 3 de cada OR así:</w:t>
      </w:r>
    </w:p>
    <w:p w:rsidR="00E9756B" w:rsidRPr="004E6CFC" w:rsidRDefault="00C9592F" w:rsidP="00E9756B">
      <m:oMathPara>
        <m:oMath>
          <m:sSub>
            <m:sSubPr>
              <m:ctrlPr>
                <w:rPr>
                  <w:rFonts w:ascii="Cambria Math" w:hAnsi="Cambria Math"/>
                  <w:i/>
                </w:rPr>
              </m:ctrlPr>
            </m:sSubPr>
            <m:e>
              <m:r>
                <w:rPr>
                  <w:rFonts w:ascii="Cambria Math" w:hAnsi="Cambria Math"/>
                </w:rPr>
                <m:t>IA</m:t>
              </m:r>
            </m:e>
            <m:sub>
              <m:r>
                <w:rPr>
                  <w:rFonts w:ascii="Cambria Math" w:hAnsi="Cambria Math"/>
                </w:rPr>
                <m:t>j,3</m:t>
              </m:r>
              <m:r>
                <w:rPr>
                  <w:rFonts w:ascii="Cambria Math"/>
                </w:rPr>
                <m:t>,m,</m:t>
              </m:r>
              <m:r>
                <w:rPr>
                  <w:rFonts w:ascii="Cambria Math" w:hAnsi="Cambria Math"/>
                </w:rPr>
                <m:t>t</m:t>
              </m:r>
            </m:sub>
          </m:sSub>
          <m:r>
            <w:rPr>
              <w:rFonts w:ascii="Cambria Math"/>
            </w:rPr>
            <m:t>=</m:t>
          </m:r>
          <m:d>
            <m:dPr>
              <m:begChr m:val="["/>
              <m:endChr m:val="]"/>
              <m:ctrlPr>
                <w:rPr>
                  <w:rFonts w:ascii="Cambria Math" w:hAnsi="Cambria Math"/>
                  <w:i/>
                  <w:sz w:val="22"/>
                </w:rPr>
              </m:ctrlPr>
            </m:dPr>
            <m:e>
              <m:sSub>
                <m:sSubPr>
                  <m:ctrlPr>
                    <w:rPr>
                      <w:rFonts w:ascii="Cambria Math" w:hAnsi="Cambria Math"/>
                      <w:sz w:val="22"/>
                    </w:rPr>
                  </m:ctrlPr>
                </m:sSubPr>
                <m:e>
                  <m:r>
                    <w:rPr>
                      <w:rFonts w:ascii="Cambria Math" w:hAnsi="Cambria Math"/>
                      <w:sz w:val="22"/>
                    </w:rPr>
                    <m:t>IAA</m:t>
                  </m:r>
                </m:e>
                <m:sub>
                  <m:r>
                    <w:rPr>
                      <w:rFonts w:ascii="Cambria Math" w:hAnsi="Cambria Math"/>
                      <w:sz w:val="22"/>
                    </w:rPr>
                    <m:t>j</m:t>
                  </m:r>
                  <m:r>
                    <m:rPr>
                      <m:sty m:val="p"/>
                    </m:rPr>
                    <w:rPr>
                      <w:rFonts w:ascii="Cambria Math" w:hAnsi="Cambria Math"/>
                      <w:sz w:val="22"/>
                    </w:rPr>
                    <m:t>,3,</m:t>
                  </m:r>
                  <m:r>
                    <w:rPr>
                      <w:rFonts w:ascii="Cambria Math" w:hAnsi="Cambria Math"/>
                      <w:sz w:val="22"/>
                    </w:rPr>
                    <m:t>t</m:t>
                  </m:r>
                </m:sub>
              </m:sSub>
              <m:r>
                <m:rPr>
                  <m:sty m:val="p"/>
                </m:rPr>
                <w:rPr>
                  <w:rFonts w:ascii="Cambria Math" w:hAnsi="Cambria Math"/>
                  <w:sz w:val="22"/>
                </w:rPr>
                <m:t>*</m:t>
              </m:r>
              <m:r>
                <w:rPr>
                  <w:rFonts w:ascii="Cambria Math" w:hAnsi="Cambria Math"/>
                  <w:sz w:val="22"/>
                </w:rPr>
                <m:t>fM</m:t>
              </m:r>
              <m:r>
                <m:rPr>
                  <m:sty m:val="p"/>
                </m:rPr>
                <w:rPr>
                  <w:rFonts w:ascii="Cambria Math" w:hAnsi="Cambria Math"/>
                  <w:sz w:val="22"/>
                </w:rPr>
                <m:t>+</m:t>
              </m:r>
              <m:f>
                <m:fPr>
                  <m:ctrlPr>
                    <w:rPr>
                      <w:rFonts w:ascii="Cambria Math" w:hAnsi="Cambria Math"/>
                      <w:sz w:val="22"/>
                    </w:rPr>
                  </m:ctrlPr>
                </m:fPr>
                <m:num>
                  <m:sSub>
                    <m:sSubPr>
                      <m:ctrlPr>
                        <w:rPr>
                          <w:rFonts w:ascii="Cambria Math" w:hAnsi="Cambria Math"/>
                          <w:sz w:val="22"/>
                        </w:rPr>
                      </m:ctrlPr>
                    </m:sSubPr>
                    <m:e>
                      <m:r>
                        <w:rPr>
                          <w:rFonts w:ascii="Cambria Math" w:hAnsi="Cambria Math"/>
                          <w:sz w:val="22"/>
                        </w:rPr>
                        <m:t>IAAOM</m:t>
                      </m:r>
                    </m:e>
                    <m:sub>
                      <m:r>
                        <w:rPr>
                          <w:rFonts w:ascii="Cambria Math" w:hAnsi="Cambria Math"/>
                          <w:sz w:val="22"/>
                        </w:rPr>
                        <m:t>j</m:t>
                      </m:r>
                      <m:r>
                        <m:rPr>
                          <m:sty m:val="p"/>
                        </m:rPr>
                        <w:rPr>
                          <w:rFonts w:ascii="Cambria Math" w:hAnsi="Cambria Math"/>
                          <w:sz w:val="22"/>
                        </w:rPr>
                        <m:t>,3,</m:t>
                      </m:r>
                      <m:r>
                        <w:rPr>
                          <w:rFonts w:ascii="Cambria Math" w:hAnsi="Cambria Math"/>
                          <w:sz w:val="22"/>
                        </w:rPr>
                        <m:t>t</m:t>
                      </m:r>
                    </m:sub>
                  </m:sSub>
                  <m:r>
                    <w:rPr>
                      <w:rFonts w:ascii="Cambria Math" w:hAnsi="Cambria Math"/>
                      <w:sz w:val="22"/>
                    </w:rPr>
                    <m:t>-</m:t>
                  </m:r>
                  <m:sSub>
                    <m:sSubPr>
                      <m:ctrlPr>
                        <w:rPr>
                          <w:rFonts w:ascii="Cambria Math" w:hAnsi="Cambria Math"/>
                          <w:i/>
                          <w:sz w:val="22"/>
                        </w:rPr>
                      </m:ctrlPr>
                    </m:sSubPr>
                    <m:e>
                      <m:r>
                        <w:rPr>
                          <w:rFonts w:ascii="Cambria Math" w:hAnsi="Cambria Math"/>
                          <w:sz w:val="22"/>
                        </w:rPr>
                        <m:t>IRM</m:t>
                      </m:r>
                    </m:e>
                    <m:sub>
                      <m:r>
                        <w:rPr>
                          <w:rFonts w:ascii="Cambria Math" w:hAnsi="Cambria Math"/>
                          <w:sz w:val="22"/>
                        </w:rPr>
                        <m:t>j,3,t</m:t>
                      </m:r>
                    </m:sub>
                  </m:sSub>
                </m:num>
                <m:den>
                  <m:r>
                    <w:rPr>
                      <w:rFonts w:ascii="Cambria Math" w:hAnsi="Cambria Math"/>
                      <w:sz w:val="22"/>
                    </w:rPr>
                    <m:t>12</m:t>
                  </m:r>
                </m:den>
              </m:f>
            </m:e>
          </m:d>
          <m:r>
            <w:rPr>
              <w:rFonts w:ascii="Cambria Math" w:hAnsi="Cambria Math"/>
              <w:sz w:val="22"/>
            </w:rPr>
            <m:t>*</m:t>
          </m:r>
          <m:f>
            <m:fPr>
              <m:ctrlPr>
                <w:rPr>
                  <w:rFonts w:ascii="Cambria Math" w:hAnsi="Cambria Math"/>
                  <w:i/>
                  <w:sz w:val="22"/>
                </w:rPr>
              </m:ctrlPr>
            </m:fPr>
            <m:num>
              <m:sSub>
                <m:sSubPr>
                  <m:ctrlPr>
                    <w:rPr>
                      <w:rFonts w:ascii="Cambria Math" w:hAnsi="Cambria Math"/>
                      <w:i/>
                      <w:sz w:val="22"/>
                    </w:rPr>
                  </m:ctrlPr>
                </m:sSubPr>
                <m:e>
                  <m:r>
                    <w:rPr>
                      <w:rFonts w:ascii="Cambria Math" w:hAnsi="Cambria Math"/>
                      <w:sz w:val="22"/>
                    </w:rPr>
                    <m:t>IPP</m:t>
                  </m:r>
                </m:e>
                <m:sub>
                  <m:r>
                    <w:rPr>
                      <w:rFonts w:ascii="Cambria Math" w:hAnsi="Cambria Math"/>
                      <w:sz w:val="22"/>
                    </w:rPr>
                    <m:t>m-</m:t>
                  </m:r>
                  <m:r>
                    <w:rPr>
                      <w:rFonts w:ascii="Cambria Math"/>
                      <w:sz w:val="22"/>
                    </w:rPr>
                    <m:t>1</m:t>
                  </m:r>
                </m:sub>
              </m:sSub>
            </m:num>
            <m:den>
              <m:sSub>
                <m:sSubPr>
                  <m:ctrlPr>
                    <w:rPr>
                      <w:rFonts w:ascii="Cambria Math" w:hAnsi="Cambria Math"/>
                      <w:i/>
                      <w:sz w:val="22"/>
                    </w:rPr>
                  </m:ctrlPr>
                </m:sSubPr>
                <m:e>
                  <m:r>
                    <w:rPr>
                      <w:rFonts w:ascii="Cambria Math" w:hAnsi="Cambria Math"/>
                      <w:sz w:val="22"/>
                    </w:rPr>
                    <m:t>IPP</m:t>
                  </m:r>
                </m:e>
                <m:sub>
                  <m:r>
                    <w:rPr>
                      <w:rFonts w:ascii="Cambria Math"/>
                      <w:sz w:val="22"/>
                    </w:rPr>
                    <m:t>0</m:t>
                  </m:r>
                </m:sub>
              </m:sSub>
            </m:den>
          </m:f>
        </m:oMath>
      </m:oMathPara>
    </w:p>
    <w:p w:rsidR="00E9756B" w:rsidRPr="004E6CFC" w:rsidRDefault="00E9756B" w:rsidP="00E9756B">
      <w:pPr>
        <w:spacing w:before="120"/>
      </w:pPr>
      <w:r w:rsidRPr="004E6CFC">
        <w:t>Donde:</w:t>
      </w:r>
    </w:p>
    <w:p w:rsidR="00E9756B" w:rsidRPr="004E6CFC" w:rsidRDefault="00E9756B" w:rsidP="00E9756B">
      <w:pPr>
        <w:spacing w:before="120"/>
        <w:ind w:left="1418" w:hanging="1418"/>
      </w:pPr>
      <w:r w:rsidRPr="004E6CFC">
        <w:rPr>
          <w:i/>
          <w:iCs/>
        </w:rPr>
        <w:t>IA</w:t>
      </w:r>
      <w:r w:rsidRPr="004E6CFC">
        <w:rPr>
          <w:i/>
          <w:iCs/>
          <w:vertAlign w:val="subscript"/>
        </w:rPr>
        <w:t>j,3,m,t</w:t>
      </w:r>
      <w:r w:rsidRPr="004E6CFC">
        <w:t>:</w:t>
      </w:r>
      <w:r w:rsidRPr="004E6CFC">
        <w:tab/>
        <w:t xml:space="preserve">Ingreso del OR </w:t>
      </w:r>
      <w:r w:rsidRPr="004E6CFC">
        <w:rPr>
          <w:i/>
          <w:iCs/>
        </w:rPr>
        <w:t>j</w:t>
      </w:r>
      <w:r w:rsidRPr="004E6CFC">
        <w:t xml:space="preserve"> en el nivel de tensión 3 en el mes </w:t>
      </w:r>
      <w:r w:rsidRPr="004E6CFC">
        <w:rPr>
          <w:i/>
        </w:rPr>
        <w:t>m</w:t>
      </w:r>
      <w:r w:rsidRPr="004E6CFC">
        <w:t xml:space="preserve"> del año </w:t>
      </w:r>
      <w:r w:rsidRPr="004E6CFC">
        <w:rPr>
          <w:i/>
        </w:rPr>
        <w:t>t</w:t>
      </w:r>
      <w:r w:rsidRPr="004E6CFC">
        <w:t>, en pesos.</w:t>
      </w:r>
    </w:p>
    <w:p w:rsidR="00E9756B" w:rsidRPr="00DA7FDA" w:rsidRDefault="00E9756B" w:rsidP="00E9756B">
      <w:pPr>
        <w:ind w:left="1410" w:hanging="1410"/>
      </w:pPr>
      <w:r w:rsidRPr="004E6CFC">
        <w:rPr>
          <w:i/>
          <w:iCs/>
        </w:rPr>
        <w:t>IAA</w:t>
      </w:r>
      <w:r w:rsidRPr="004E6CFC">
        <w:rPr>
          <w:i/>
          <w:iCs/>
          <w:vertAlign w:val="subscript"/>
        </w:rPr>
        <w:t>j,3,t</w:t>
      </w:r>
      <w:r w:rsidRPr="004E6CFC">
        <w:t>:</w:t>
      </w:r>
      <w:r w:rsidRPr="004E6CFC">
        <w:tab/>
        <w:t xml:space="preserve">Ingreso anual por los activos de uso del nivel de tensión </w:t>
      </w:r>
      <w:r w:rsidRPr="004E6CFC">
        <w:rPr>
          <w:i/>
          <w:iCs/>
        </w:rPr>
        <w:t xml:space="preserve">3 </w:t>
      </w:r>
      <w:r w:rsidRPr="004E6CFC">
        <w:rPr>
          <w:iCs/>
        </w:rPr>
        <w:t>del</w:t>
      </w:r>
      <w:r w:rsidRPr="004E6CFC">
        <w:rPr>
          <w:i/>
          <w:iCs/>
        </w:rPr>
        <w:t xml:space="preserve"> </w:t>
      </w:r>
      <w:r w:rsidRPr="004E6CFC">
        <w:t xml:space="preserve">OR </w:t>
      </w:r>
      <w:r w:rsidRPr="004E6CFC">
        <w:rPr>
          <w:i/>
          <w:iCs/>
        </w:rPr>
        <w:t>j</w:t>
      </w:r>
      <w:r w:rsidRPr="004E6CFC">
        <w:t xml:space="preserve"> en el año </w:t>
      </w:r>
      <w:r w:rsidRPr="004E6CFC">
        <w:rPr>
          <w:i/>
        </w:rPr>
        <w:t>t</w:t>
      </w:r>
      <w:r w:rsidRPr="004E6CFC">
        <w:t xml:space="preserve">, según lo establecido </w:t>
      </w:r>
      <w:r w:rsidRPr="00DA7FDA">
        <w:t xml:space="preserve">en el capítulo </w:t>
      </w:r>
      <w:r w:rsidRPr="00DA7FDA">
        <w:fldChar w:fldCharType="begin"/>
      </w:r>
      <w:r w:rsidRPr="00DA7FDA">
        <w:instrText xml:space="preserve"> REF _Ref398643120 \r \h\t  \* MERGEFORMAT </w:instrText>
      </w:r>
      <w:r w:rsidRPr="00DA7FDA">
        <w:fldChar w:fldCharType="separate"/>
      </w:r>
      <w:r w:rsidR="00737178">
        <w:t>3</w:t>
      </w:r>
      <w:r w:rsidRPr="00DA7FDA">
        <w:fldChar w:fldCharType="end"/>
      </w:r>
      <w:r w:rsidRPr="00DA7FDA">
        <w:t>.</w:t>
      </w:r>
    </w:p>
    <w:p w:rsidR="00E9756B" w:rsidRPr="00DA7FDA" w:rsidRDefault="00E9756B" w:rsidP="00E9756B">
      <w:pPr>
        <w:ind w:left="1410" w:hanging="1410"/>
      </w:pPr>
      <w:r w:rsidRPr="00DA7FDA">
        <w:rPr>
          <w:i/>
        </w:rPr>
        <w:t>fM</w:t>
      </w:r>
      <w:r w:rsidRPr="00DA7FDA">
        <w:t xml:space="preserve">: </w:t>
      </w:r>
      <w:r w:rsidRPr="00DA7FDA">
        <w:tab/>
        <w:t xml:space="preserve">Factor para calcular valores mensuales, calculado conforme a lo establecido en el numeral </w:t>
      </w:r>
      <w:r w:rsidRPr="00DA7FDA">
        <w:fldChar w:fldCharType="begin"/>
      </w:r>
      <w:r w:rsidRPr="00DA7FDA">
        <w:instrText xml:space="preserve"> REF _Ref440612884 \r \h  \* MERGEFORMAT </w:instrText>
      </w:r>
      <w:r w:rsidRPr="00DA7FDA">
        <w:fldChar w:fldCharType="separate"/>
      </w:r>
      <w:r w:rsidR="00737178">
        <w:t>2.8</w:t>
      </w:r>
      <w:r w:rsidRPr="00DA7FDA">
        <w:fldChar w:fldCharType="end"/>
      </w:r>
      <w:r w:rsidRPr="00DA7FDA">
        <w:t>.</w:t>
      </w:r>
    </w:p>
    <w:p w:rsidR="00E9756B" w:rsidRPr="004E6CFC" w:rsidRDefault="00E9756B" w:rsidP="00E9756B">
      <w:pPr>
        <w:ind w:left="1410" w:hanging="1410"/>
      </w:pPr>
      <w:r w:rsidRPr="00DA7FDA">
        <w:rPr>
          <w:i/>
          <w:iCs/>
        </w:rPr>
        <w:t>IAAOM</w:t>
      </w:r>
      <w:r w:rsidRPr="00DA7FDA">
        <w:rPr>
          <w:i/>
          <w:iCs/>
          <w:vertAlign w:val="subscript"/>
        </w:rPr>
        <w:t>j,3,t</w:t>
      </w:r>
      <w:r w:rsidRPr="00DA7FDA">
        <w:t>:</w:t>
      </w:r>
      <w:r w:rsidRPr="00DA7FDA">
        <w:tab/>
        <w:t xml:space="preserve">Ingreso anual por los gastos de administración, operación y mantenimiento del nivel de tensión </w:t>
      </w:r>
      <w:r w:rsidRPr="00DA7FDA">
        <w:rPr>
          <w:i/>
          <w:iCs/>
        </w:rPr>
        <w:t xml:space="preserve">3  </w:t>
      </w:r>
      <w:r w:rsidRPr="00DA7FDA">
        <w:rPr>
          <w:iCs/>
        </w:rPr>
        <w:t>del</w:t>
      </w:r>
      <w:r w:rsidRPr="00DA7FDA">
        <w:rPr>
          <w:i/>
          <w:iCs/>
        </w:rPr>
        <w:t xml:space="preserve"> </w:t>
      </w:r>
      <w:r w:rsidRPr="00DA7FDA">
        <w:t xml:space="preserve">OR </w:t>
      </w:r>
      <w:r w:rsidRPr="00DA7FDA">
        <w:rPr>
          <w:i/>
          <w:iCs/>
        </w:rPr>
        <w:t xml:space="preserve">j </w:t>
      </w:r>
      <w:r w:rsidRPr="00DA7FDA">
        <w:t xml:space="preserve"> en el año </w:t>
      </w:r>
      <w:r w:rsidRPr="00DA7FDA">
        <w:rPr>
          <w:i/>
        </w:rPr>
        <w:t>t</w:t>
      </w:r>
      <w:r w:rsidRPr="00DA7FDA">
        <w:t xml:space="preserve">, según lo establecido en el capítulo </w:t>
      </w:r>
      <w:r w:rsidRPr="00DA7FDA">
        <w:fldChar w:fldCharType="begin"/>
      </w:r>
      <w:r w:rsidRPr="00DA7FDA">
        <w:instrText xml:space="preserve"> REF _Ref445133283 \r \h\t  \* MERGEFORMAT </w:instrText>
      </w:r>
      <w:r w:rsidRPr="00DA7FDA">
        <w:fldChar w:fldCharType="separate"/>
      </w:r>
      <w:r w:rsidR="00737178">
        <w:t>4</w:t>
      </w:r>
      <w:r w:rsidRPr="00DA7FDA">
        <w:fldChar w:fldCharType="end"/>
      </w:r>
      <w:r w:rsidRPr="00DA7FDA">
        <w:t>.</w:t>
      </w:r>
    </w:p>
    <w:p w:rsidR="00E9756B" w:rsidRPr="004E6CFC" w:rsidRDefault="00E9756B" w:rsidP="00E9756B">
      <w:pPr>
        <w:ind w:left="1410" w:hanging="1410"/>
      </w:pPr>
      <w:r w:rsidRPr="004E6CFC">
        <w:rPr>
          <w:i/>
          <w:iCs/>
        </w:rPr>
        <w:lastRenderedPageBreak/>
        <w:t>IRM</w:t>
      </w:r>
      <w:r w:rsidRPr="004E6CFC">
        <w:rPr>
          <w:i/>
          <w:iCs/>
          <w:vertAlign w:val="subscript"/>
        </w:rPr>
        <w:t>j,3,t</w:t>
      </w:r>
      <w:r w:rsidRPr="004E6CFC">
        <w:t>:</w:t>
      </w:r>
      <w:r w:rsidRPr="004E6CFC">
        <w:tab/>
        <w:t xml:space="preserve">Ingreso del OR </w:t>
      </w:r>
      <w:r w:rsidRPr="004E6CFC">
        <w:rPr>
          <w:i/>
          <w:iCs/>
        </w:rPr>
        <w:t>j,</w:t>
      </w:r>
      <w:r w:rsidRPr="004E6CFC">
        <w:t xml:space="preserve"> en el nivel de tensión 3, del año </w:t>
      </w:r>
      <w:r w:rsidRPr="004E6CFC">
        <w:rPr>
          <w:i/>
        </w:rPr>
        <w:t>t</w:t>
      </w:r>
      <w:r w:rsidRPr="004E6CFC">
        <w:t xml:space="preserve">, recibido por otros conceptos, según lo establecido en el numeral </w:t>
      </w:r>
      <w:r w:rsidRPr="004E6CFC">
        <w:fldChar w:fldCharType="begin"/>
      </w:r>
      <w:r w:rsidRPr="004E6CFC">
        <w:instrText xml:space="preserve"> REF _Ref444843905 \r \h  \* MERGEFORMAT </w:instrText>
      </w:r>
      <w:r w:rsidRPr="004E6CFC">
        <w:fldChar w:fldCharType="separate"/>
      </w:r>
      <w:r w:rsidR="00737178">
        <w:t>2.7</w:t>
      </w:r>
      <w:r w:rsidRPr="004E6CFC">
        <w:fldChar w:fldCharType="end"/>
      </w:r>
      <w:r w:rsidRPr="004E6CFC">
        <w:t>.</w:t>
      </w:r>
    </w:p>
    <w:p w:rsidR="00E9756B" w:rsidRPr="004E6CFC" w:rsidRDefault="00E9756B" w:rsidP="00E9756B">
      <w:pPr>
        <w:ind w:left="1410" w:hanging="1410"/>
      </w:pPr>
      <w:r w:rsidRPr="004E6CFC">
        <w:rPr>
          <w:i/>
          <w:iCs/>
        </w:rPr>
        <w:t>IPP</w:t>
      </w:r>
      <w:r w:rsidRPr="004E6CFC">
        <w:rPr>
          <w:i/>
          <w:iCs/>
          <w:vertAlign w:val="subscript"/>
        </w:rPr>
        <w:t>m-1</w:t>
      </w:r>
      <w:r w:rsidRPr="004E6CFC">
        <w:t>:</w:t>
      </w:r>
      <w:r w:rsidRPr="004E6CFC">
        <w:tab/>
        <w:t xml:space="preserve">Índice de precios del productor del mes </w:t>
      </w:r>
      <w:r w:rsidRPr="004E6CFC">
        <w:rPr>
          <w:i/>
        </w:rPr>
        <w:t>m</w:t>
      </w:r>
      <w:r w:rsidRPr="004E6CFC">
        <w:rPr>
          <w:i/>
          <w:iCs/>
        </w:rPr>
        <w:t>-1</w:t>
      </w:r>
      <w:r w:rsidRPr="004E6CFC">
        <w:t>.</w:t>
      </w:r>
    </w:p>
    <w:p w:rsidR="00E9756B" w:rsidRPr="004E6CFC" w:rsidRDefault="00E9756B" w:rsidP="00E9756B">
      <w:pPr>
        <w:ind w:left="1410" w:hanging="1410"/>
      </w:pPr>
      <w:r w:rsidRPr="004E6CFC">
        <w:rPr>
          <w:i/>
          <w:iCs/>
        </w:rPr>
        <w:t>IPP</w:t>
      </w:r>
      <w:r w:rsidRPr="004E6CFC">
        <w:rPr>
          <w:i/>
          <w:iCs/>
          <w:vertAlign w:val="subscript"/>
        </w:rPr>
        <w:t>o</w:t>
      </w:r>
      <w:r w:rsidRPr="004E6CFC">
        <w:t>:</w:t>
      </w:r>
      <w:r w:rsidRPr="004E6CFC">
        <w:tab/>
        <w:t>Índice de precios del productor de la fecha de corte.</w:t>
      </w:r>
    </w:p>
    <w:p w:rsidR="00E9756B" w:rsidRPr="004E6CFC" w:rsidRDefault="00E9756B" w:rsidP="00E9756B">
      <w:pPr>
        <w:pStyle w:val="Ttulo2"/>
      </w:pPr>
      <w:bookmarkStart w:id="113" w:name="_Ref476823862"/>
      <w:bookmarkStart w:id="114" w:name="_Toc476824123"/>
      <w:bookmarkStart w:id="115" w:name="_Toc505335903"/>
      <w:r w:rsidRPr="004E6CFC">
        <w:t>INGRESOS DE NIVEL DE TENSIÓN  2</w:t>
      </w:r>
      <w:bookmarkEnd w:id="111"/>
      <w:bookmarkEnd w:id="112"/>
      <w:bookmarkEnd w:id="113"/>
      <w:bookmarkEnd w:id="114"/>
      <w:bookmarkEnd w:id="115"/>
    </w:p>
    <w:p w:rsidR="00E9756B" w:rsidRPr="004E6CFC" w:rsidRDefault="00E9756B" w:rsidP="00E9756B">
      <w:pPr>
        <w:rPr>
          <w:lang w:val="es-ES_tradnl"/>
        </w:rPr>
      </w:pPr>
      <w:bookmarkStart w:id="116" w:name="_Toc440027084"/>
      <w:bookmarkStart w:id="117" w:name="_Ref440377354"/>
      <w:r w:rsidRPr="004E6CFC">
        <w:rPr>
          <w:lang w:val="es-ES_tradnl"/>
        </w:rPr>
        <w:t>El LAC calculará el ingreso mensual del nivel de tensión 2 de cada OR así:</w:t>
      </w:r>
    </w:p>
    <w:p w:rsidR="00E9756B" w:rsidRPr="004E6CFC" w:rsidRDefault="00C9592F" w:rsidP="00E9756B">
      <m:oMathPara>
        <m:oMath>
          <m:sSub>
            <m:sSubPr>
              <m:ctrlPr>
                <w:rPr>
                  <w:rFonts w:ascii="Cambria Math" w:hAnsi="Cambria Math"/>
                  <w:i/>
                </w:rPr>
              </m:ctrlPr>
            </m:sSubPr>
            <m:e>
              <m:r>
                <w:rPr>
                  <w:rFonts w:ascii="Cambria Math" w:hAnsi="Cambria Math"/>
                </w:rPr>
                <m:t>IA</m:t>
              </m:r>
            </m:e>
            <m:sub>
              <m:r>
                <w:rPr>
                  <w:rFonts w:ascii="Cambria Math" w:hAnsi="Cambria Math"/>
                </w:rPr>
                <m:t>j,2</m:t>
              </m:r>
              <m:r>
                <w:rPr>
                  <w:rFonts w:ascii="Cambria Math"/>
                </w:rPr>
                <m:t>,m,</m:t>
              </m:r>
              <m:r>
                <w:rPr>
                  <w:rFonts w:ascii="Cambria Math" w:hAnsi="Cambria Math"/>
                </w:rPr>
                <m:t>t</m:t>
              </m:r>
            </m:sub>
          </m:sSub>
          <m:r>
            <w:rPr>
              <w:rFonts w:ascii="Cambria Math"/>
            </w:rPr>
            <m:t>=</m:t>
          </m:r>
          <m:d>
            <m:dPr>
              <m:begChr m:val="["/>
              <m:endChr m:val="]"/>
              <m:ctrlPr>
                <w:rPr>
                  <w:rFonts w:ascii="Cambria Math" w:hAnsi="Cambria Math"/>
                  <w:i/>
                  <w:sz w:val="22"/>
                </w:rPr>
              </m:ctrlPr>
            </m:dPr>
            <m:e>
              <m:sSub>
                <m:sSubPr>
                  <m:ctrlPr>
                    <w:rPr>
                      <w:rFonts w:ascii="Cambria Math" w:hAnsi="Cambria Math"/>
                      <w:sz w:val="22"/>
                    </w:rPr>
                  </m:ctrlPr>
                </m:sSubPr>
                <m:e>
                  <m:r>
                    <w:rPr>
                      <w:rFonts w:ascii="Cambria Math" w:hAnsi="Cambria Math"/>
                      <w:sz w:val="22"/>
                    </w:rPr>
                    <m:t>IAA</m:t>
                  </m:r>
                </m:e>
                <m:sub>
                  <m:r>
                    <w:rPr>
                      <w:rFonts w:ascii="Cambria Math" w:hAnsi="Cambria Math"/>
                      <w:sz w:val="22"/>
                    </w:rPr>
                    <m:t>j</m:t>
                  </m:r>
                  <m:r>
                    <m:rPr>
                      <m:sty m:val="p"/>
                    </m:rPr>
                    <w:rPr>
                      <w:rFonts w:ascii="Cambria Math" w:hAnsi="Cambria Math"/>
                      <w:sz w:val="22"/>
                    </w:rPr>
                    <m:t>,2,</m:t>
                  </m:r>
                  <m:r>
                    <w:rPr>
                      <w:rFonts w:ascii="Cambria Math" w:hAnsi="Cambria Math"/>
                      <w:sz w:val="22"/>
                    </w:rPr>
                    <m:t>t</m:t>
                  </m:r>
                </m:sub>
              </m:sSub>
              <m:r>
                <m:rPr>
                  <m:sty m:val="p"/>
                </m:rPr>
                <w:rPr>
                  <w:rFonts w:ascii="Cambria Math" w:hAnsi="Cambria Math"/>
                  <w:sz w:val="22"/>
                </w:rPr>
                <m:t>*</m:t>
              </m:r>
              <m:r>
                <w:rPr>
                  <w:rFonts w:ascii="Cambria Math" w:hAnsi="Cambria Math"/>
                  <w:sz w:val="22"/>
                </w:rPr>
                <m:t>fM</m:t>
              </m:r>
              <m:r>
                <m:rPr>
                  <m:sty m:val="p"/>
                </m:rPr>
                <w:rPr>
                  <w:rFonts w:ascii="Cambria Math" w:hAnsi="Cambria Math"/>
                  <w:sz w:val="22"/>
                </w:rPr>
                <m:t>+</m:t>
              </m:r>
              <m:f>
                <m:fPr>
                  <m:ctrlPr>
                    <w:rPr>
                      <w:rFonts w:ascii="Cambria Math" w:hAnsi="Cambria Math"/>
                      <w:sz w:val="22"/>
                    </w:rPr>
                  </m:ctrlPr>
                </m:fPr>
                <m:num>
                  <m:sSub>
                    <m:sSubPr>
                      <m:ctrlPr>
                        <w:rPr>
                          <w:rFonts w:ascii="Cambria Math" w:hAnsi="Cambria Math"/>
                          <w:sz w:val="22"/>
                        </w:rPr>
                      </m:ctrlPr>
                    </m:sSubPr>
                    <m:e>
                      <m:r>
                        <w:rPr>
                          <w:rFonts w:ascii="Cambria Math" w:hAnsi="Cambria Math"/>
                          <w:sz w:val="22"/>
                        </w:rPr>
                        <m:t>IAAOM</m:t>
                      </m:r>
                    </m:e>
                    <m:sub>
                      <m:r>
                        <w:rPr>
                          <w:rFonts w:ascii="Cambria Math" w:hAnsi="Cambria Math"/>
                          <w:sz w:val="22"/>
                        </w:rPr>
                        <m:t>j</m:t>
                      </m:r>
                      <m:r>
                        <m:rPr>
                          <m:sty m:val="p"/>
                        </m:rPr>
                        <w:rPr>
                          <w:rFonts w:ascii="Cambria Math" w:hAnsi="Cambria Math"/>
                          <w:sz w:val="22"/>
                        </w:rPr>
                        <m:t>,2,</m:t>
                      </m:r>
                      <m:r>
                        <w:rPr>
                          <w:rFonts w:ascii="Cambria Math" w:hAnsi="Cambria Math"/>
                          <w:sz w:val="22"/>
                        </w:rPr>
                        <m:t>t</m:t>
                      </m:r>
                    </m:sub>
                  </m:sSub>
                  <m:r>
                    <w:rPr>
                      <w:rFonts w:ascii="Cambria Math" w:hAnsi="Cambria Math"/>
                      <w:sz w:val="22"/>
                    </w:rPr>
                    <m:t>-</m:t>
                  </m:r>
                  <m:sSub>
                    <m:sSubPr>
                      <m:ctrlPr>
                        <w:rPr>
                          <w:rFonts w:ascii="Cambria Math" w:hAnsi="Cambria Math"/>
                          <w:i/>
                          <w:sz w:val="22"/>
                        </w:rPr>
                      </m:ctrlPr>
                    </m:sSubPr>
                    <m:e>
                      <m:r>
                        <w:rPr>
                          <w:rFonts w:ascii="Cambria Math" w:hAnsi="Cambria Math"/>
                          <w:sz w:val="22"/>
                        </w:rPr>
                        <m:t>IRM</m:t>
                      </m:r>
                    </m:e>
                    <m:sub>
                      <m:r>
                        <w:rPr>
                          <w:rFonts w:ascii="Cambria Math" w:hAnsi="Cambria Math"/>
                          <w:sz w:val="22"/>
                        </w:rPr>
                        <m:t>j,2,t</m:t>
                      </m:r>
                    </m:sub>
                  </m:sSub>
                </m:num>
                <m:den>
                  <m:r>
                    <w:rPr>
                      <w:rFonts w:ascii="Cambria Math" w:hAnsi="Cambria Math"/>
                      <w:sz w:val="22"/>
                    </w:rPr>
                    <m:t>12</m:t>
                  </m:r>
                </m:den>
              </m:f>
            </m:e>
          </m:d>
          <m:r>
            <w:rPr>
              <w:rFonts w:ascii="Cambria Math" w:hAnsi="Cambria Math"/>
              <w:sz w:val="22"/>
            </w:rPr>
            <m:t>*</m:t>
          </m:r>
          <m:f>
            <m:fPr>
              <m:ctrlPr>
                <w:rPr>
                  <w:rFonts w:ascii="Cambria Math" w:hAnsi="Cambria Math"/>
                  <w:i/>
                  <w:sz w:val="22"/>
                </w:rPr>
              </m:ctrlPr>
            </m:fPr>
            <m:num>
              <m:sSub>
                <m:sSubPr>
                  <m:ctrlPr>
                    <w:rPr>
                      <w:rFonts w:ascii="Cambria Math" w:hAnsi="Cambria Math"/>
                      <w:i/>
                      <w:sz w:val="22"/>
                    </w:rPr>
                  </m:ctrlPr>
                </m:sSubPr>
                <m:e>
                  <m:r>
                    <w:rPr>
                      <w:rFonts w:ascii="Cambria Math" w:hAnsi="Cambria Math"/>
                      <w:sz w:val="22"/>
                    </w:rPr>
                    <m:t>IPP</m:t>
                  </m:r>
                </m:e>
                <m:sub>
                  <m:r>
                    <w:rPr>
                      <w:rFonts w:ascii="Cambria Math" w:hAnsi="Cambria Math"/>
                      <w:sz w:val="22"/>
                    </w:rPr>
                    <m:t>m-</m:t>
                  </m:r>
                  <m:r>
                    <w:rPr>
                      <w:rFonts w:ascii="Cambria Math"/>
                      <w:sz w:val="22"/>
                    </w:rPr>
                    <m:t>1</m:t>
                  </m:r>
                </m:sub>
              </m:sSub>
            </m:num>
            <m:den>
              <m:sSub>
                <m:sSubPr>
                  <m:ctrlPr>
                    <w:rPr>
                      <w:rFonts w:ascii="Cambria Math" w:hAnsi="Cambria Math"/>
                      <w:i/>
                      <w:sz w:val="22"/>
                    </w:rPr>
                  </m:ctrlPr>
                </m:sSubPr>
                <m:e>
                  <m:r>
                    <w:rPr>
                      <w:rFonts w:ascii="Cambria Math" w:hAnsi="Cambria Math"/>
                      <w:sz w:val="22"/>
                    </w:rPr>
                    <m:t>IPP</m:t>
                  </m:r>
                </m:e>
                <m:sub>
                  <m:r>
                    <w:rPr>
                      <w:rFonts w:ascii="Cambria Math"/>
                      <w:sz w:val="22"/>
                    </w:rPr>
                    <m:t>0</m:t>
                  </m:r>
                </m:sub>
              </m:sSub>
            </m:den>
          </m:f>
        </m:oMath>
      </m:oMathPara>
    </w:p>
    <w:p w:rsidR="00E9756B" w:rsidRPr="004E6CFC" w:rsidRDefault="00E9756B" w:rsidP="00E9756B">
      <w:pPr>
        <w:spacing w:before="120"/>
      </w:pPr>
      <w:r w:rsidRPr="004E6CFC">
        <w:t>Donde:</w:t>
      </w:r>
    </w:p>
    <w:p w:rsidR="00E9756B" w:rsidRPr="004E6CFC" w:rsidRDefault="00E9756B" w:rsidP="00E9756B">
      <w:pPr>
        <w:spacing w:before="120"/>
        <w:ind w:left="1418" w:hanging="1418"/>
      </w:pPr>
      <w:r w:rsidRPr="004E6CFC">
        <w:rPr>
          <w:i/>
          <w:iCs/>
        </w:rPr>
        <w:t>IA</w:t>
      </w:r>
      <w:r w:rsidRPr="004E6CFC">
        <w:rPr>
          <w:i/>
          <w:iCs/>
          <w:vertAlign w:val="subscript"/>
        </w:rPr>
        <w:t>j,2,m,t</w:t>
      </w:r>
      <w:r w:rsidRPr="004E6CFC">
        <w:t>:</w:t>
      </w:r>
      <w:r w:rsidRPr="004E6CFC">
        <w:tab/>
        <w:t xml:space="preserve">Ingreso del OR </w:t>
      </w:r>
      <w:r w:rsidRPr="004E6CFC">
        <w:rPr>
          <w:i/>
          <w:iCs/>
        </w:rPr>
        <w:t>j</w:t>
      </w:r>
      <w:r w:rsidRPr="004E6CFC">
        <w:t xml:space="preserve"> en el nivel de tensión 2 en el mes </w:t>
      </w:r>
      <w:r w:rsidRPr="004E6CFC">
        <w:rPr>
          <w:i/>
        </w:rPr>
        <w:t>m</w:t>
      </w:r>
      <w:r w:rsidRPr="004E6CFC">
        <w:t xml:space="preserve"> del año </w:t>
      </w:r>
      <w:r w:rsidRPr="004E6CFC">
        <w:rPr>
          <w:i/>
        </w:rPr>
        <w:t>t</w:t>
      </w:r>
      <w:r w:rsidRPr="004E6CFC">
        <w:t>, en pesos.</w:t>
      </w:r>
    </w:p>
    <w:p w:rsidR="00E9756B" w:rsidRPr="00DA7FDA" w:rsidRDefault="00E9756B" w:rsidP="00E9756B">
      <w:pPr>
        <w:ind w:left="1410" w:hanging="1410"/>
      </w:pPr>
      <w:r w:rsidRPr="00DA7FDA">
        <w:rPr>
          <w:i/>
          <w:iCs/>
        </w:rPr>
        <w:t>IAA</w:t>
      </w:r>
      <w:r w:rsidRPr="00DA7FDA">
        <w:rPr>
          <w:i/>
          <w:iCs/>
          <w:vertAlign w:val="subscript"/>
        </w:rPr>
        <w:t>j,2,t</w:t>
      </w:r>
      <w:r w:rsidRPr="00DA7FDA">
        <w:t>:</w:t>
      </w:r>
      <w:r w:rsidRPr="00DA7FDA">
        <w:tab/>
        <w:t xml:space="preserve">Ingreso anual por los activos de uso del nivel de tensión </w:t>
      </w:r>
      <w:r w:rsidRPr="00DA7FDA">
        <w:rPr>
          <w:i/>
          <w:iCs/>
        </w:rPr>
        <w:t xml:space="preserve">2 </w:t>
      </w:r>
      <w:r w:rsidRPr="00DA7FDA">
        <w:rPr>
          <w:iCs/>
        </w:rPr>
        <w:t>del</w:t>
      </w:r>
      <w:r w:rsidRPr="00DA7FDA">
        <w:rPr>
          <w:i/>
          <w:iCs/>
        </w:rPr>
        <w:t xml:space="preserve"> </w:t>
      </w:r>
      <w:r w:rsidRPr="00DA7FDA">
        <w:t xml:space="preserve">OR </w:t>
      </w:r>
      <w:r w:rsidRPr="00DA7FDA">
        <w:rPr>
          <w:i/>
          <w:iCs/>
        </w:rPr>
        <w:t>j</w:t>
      </w:r>
      <w:r w:rsidRPr="00DA7FDA">
        <w:t xml:space="preserve"> en el año </w:t>
      </w:r>
      <w:r w:rsidRPr="00DA7FDA">
        <w:rPr>
          <w:i/>
        </w:rPr>
        <w:t>t</w:t>
      </w:r>
      <w:r w:rsidRPr="00DA7FDA">
        <w:t xml:space="preserve">, según lo establecido en el capítulo </w:t>
      </w:r>
      <w:r w:rsidRPr="00DA7FDA">
        <w:fldChar w:fldCharType="begin"/>
      </w:r>
      <w:r w:rsidRPr="00DA7FDA">
        <w:instrText xml:space="preserve"> REF _Ref398643120 \r \h\t  \* MERGEFORMAT </w:instrText>
      </w:r>
      <w:r w:rsidRPr="00DA7FDA">
        <w:fldChar w:fldCharType="separate"/>
      </w:r>
      <w:r w:rsidR="00737178">
        <w:t>3</w:t>
      </w:r>
      <w:r w:rsidRPr="00DA7FDA">
        <w:fldChar w:fldCharType="end"/>
      </w:r>
      <w:r w:rsidRPr="00DA7FDA">
        <w:t>.</w:t>
      </w:r>
    </w:p>
    <w:p w:rsidR="00E9756B" w:rsidRPr="004E6CFC" w:rsidRDefault="00E9756B" w:rsidP="00E9756B">
      <w:pPr>
        <w:ind w:left="1410" w:hanging="1410"/>
      </w:pPr>
      <w:r w:rsidRPr="00DA7FDA">
        <w:rPr>
          <w:i/>
        </w:rPr>
        <w:t>fM</w:t>
      </w:r>
      <w:r w:rsidRPr="00DA7FDA">
        <w:t xml:space="preserve">: </w:t>
      </w:r>
      <w:r w:rsidRPr="00DA7FDA">
        <w:tab/>
        <w:t>Factor para calcular valores mensuales, calculado conforme</w:t>
      </w:r>
      <w:r w:rsidRPr="004E6CFC">
        <w:t xml:space="preserve"> a lo establecido en el numeral </w:t>
      </w:r>
      <w:r w:rsidRPr="004E6CFC">
        <w:fldChar w:fldCharType="begin"/>
      </w:r>
      <w:r w:rsidRPr="004E6CFC">
        <w:instrText xml:space="preserve"> REF _Ref440612884 \r \h  \* MERGEFORMAT </w:instrText>
      </w:r>
      <w:r w:rsidRPr="004E6CFC">
        <w:fldChar w:fldCharType="separate"/>
      </w:r>
      <w:r w:rsidR="00737178">
        <w:t>2.8</w:t>
      </w:r>
      <w:r w:rsidRPr="004E6CFC">
        <w:fldChar w:fldCharType="end"/>
      </w:r>
      <w:r w:rsidRPr="004E6CFC">
        <w:t>.</w:t>
      </w:r>
    </w:p>
    <w:p w:rsidR="00E9756B" w:rsidRPr="00DA7FDA" w:rsidRDefault="00E9756B" w:rsidP="00E9756B">
      <w:pPr>
        <w:ind w:left="1410" w:hanging="1410"/>
      </w:pPr>
      <w:r w:rsidRPr="004E6CFC">
        <w:rPr>
          <w:i/>
          <w:iCs/>
        </w:rPr>
        <w:t>IAAOM</w:t>
      </w:r>
      <w:r w:rsidRPr="004E6CFC">
        <w:rPr>
          <w:i/>
          <w:iCs/>
          <w:vertAlign w:val="subscript"/>
        </w:rPr>
        <w:t>j,2,t</w:t>
      </w:r>
      <w:r w:rsidRPr="004E6CFC">
        <w:t>:</w:t>
      </w:r>
      <w:r w:rsidRPr="004E6CFC">
        <w:tab/>
        <w:t xml:space="preserve">Ingreso anual por </w:t>
      </w:r>
      <w:r w:rsidRPr="00DA7FDA">
        <w:t xml:space="preserve">los gastos de administración, operación y mantenimiento del nivel de tensión </w:t>
      </w:r>
      <w:r w:rsidRPr="00DA7FDA">
        <w:rPr>
          <w:i/>
          <w:iCs/>
        </w:rPr>
        <w:t xml:space="preserve">2 </w:t>
      </w:r>
      <w:r w:rsidRPr="00DA7FDA">
        <w:rPr>
          <w:iCs/>
        </w:rPr>
        <w:t>del</w:t>
      </w:r>
      <w:r w:rsidRPr="00DA7FDA">
        <w:rPr>
          <w:i/>
          <w:iCs/>
        </w:rPr>
        <w:t xml:space="preserve"> </w:t>
      </w:r>
      <w:r w:rsidRPr="00DA7FDA">
        <w:t xml:space="preserve">OR </w:t>
      </w:r>
      <w:r w:rsidRPr="00DA7FDA">
        <w:rPr>
          <w:i/>
          <w:iCs/>
        </w:rPr>
        <w:t>j</w:t>
      </w:r>
      <w:r w:rsidRPr="00DA7FDA">
        <w:t xml:space="preserve"> en el año </w:t>
      </w:r>
      <w:r w:rsidRPr="00DA7FDA">
        <w:rPr>
          <w:i/>
        </w:rPr>
        <w:t>t</w:t>
      </w:r>
      <w:r w:rsidRPr="00DA7FDA">
        <w:t xml:space="preserve">, según lo establecido en el capítulo </w:t>
      </w:r>
      <w:r w:rsidRPr="00DA7FDA">
        <w:fldChar w:fldCharType="begin"/>
      </w:r>
      <w:r w:rsidRPr="00DA7FDA">
        <w:instrText xml:space="preserve"> REF _Ref445133283 \r \h\t  \* MERGEFORMAT </w:instrText>
      </w:r>
      <w:r w:rsidRPr="00DA7FDA">
        <w:fldChar w:fldCharType="separate"/>
      </w:r>
      <w:r w:rsidR="00737178">
        <w:t>4</w:t>
      </w:r>
      <w:r w:rsidRPr="00DA7FDA">
        <w:fldChar w:fldCharType="end"/>
      </w:r>
      <w:r w:rsidRPr="00DA7FDA">
        <w:t>.</w:t>
      </w:r>
    </w:p>
    <w:p w:rsidR="00E9756B" w:rsidRPr="004E6CFC" w:rsidRDefault="00E9756B" w:rsidP="00E9756B">
      <w:pPr>
        <w:ind w:left="1410" w:hanging="1410"/>
      </w:pPr>
      <w:r w:rsidRPr="00DA7FDA">
        <w:rPr>
          <w:i/>
          <w:iCs/>
        </w:rPr>
        <w:t>IRM</w:t>
      </w:r>
      <w:r w:rsidRPr="00DA7FDA">
        <w:rPr>
          <w:i/>
          <w:iCs/>
          <w:vertAlign w:val="subscript"/>
        </w:rPr>
        <w:t>j,2,t</w:t>
      </w:r>
      <w:r w:rsidRPr="00DA7FDA">
        <w:t>:</w:t>
      </w:r>
      <w:r w:rsidRPr="00DA7FDA">
        <w:tab/>
        <w:t xml:space="preserve">Ingreso del OR </w:t>
      </w:r>
      <w:r w:rsidRPr="00DA7FDA">
        <w:rPr>
          <w:i/>
          <w:iCs/>
        </w:rPr>
        <w:t>j,</w:t>
      </w:r>
      <w:r w:rsidRPr="00DA7FDA">
        <w:t xml:space="preserve"> en el nivel</w:t>
      </w:r>
      <w:r w:rsidRPr="004E6CFC">
        <w:t xml:space="preserve"> de tensión </w:t>
      </w:r>
      <w:r w:rsidRPr="004E6CFC">
        <w:rPr>
          <w:i/>
        </w:rPr>
        <w:t>2</w:t>
      </w:r>
      <w:r w:rsidRPr="004E6CFC">
        <w:t xml:space="preserve">, del año </w:t>
      </w:r>
      <w:r w:rsidRPr="004E6CFC">
        <w:rPr>
          <w:i/>
        </w:rPr>
        <w:t>t</w:t>
      </w:r>
      <w:r w:rsidRPr="004E6CFC">
        <w:t xml:space="preserve">, recibido por otros conceptos, según lo establecido en el numeral </w:t>
      </w:r>
      <w:r w:rsidRPr="004E6CFC">
        <w:fldChar w:fldCharType="begin"/>
      </w:r>
      <w:r w:rsidRPr="004E6CFC">
        <w:instrText xml:space="preserve"> REF _Ref444843905 \r \h  \* MERGEFORMAT </w:instrText>
      </w:r>
      <w:r w:rsidRPr="004E6CFC">
        <w:fldChar w:fldCharType="separate"/>
      </w:r>
      <w:r w:rsidR="00737178">
        <w:t>2.7</w:t>
      </w:r>
      <w:r w:rsidRPr="004E6CFC">
        <w:fldChar w:fldCharType="end"/>
      </w:r>
      <w:r w:rsidRPr="004E6CFC">
        <w:t>.</w:t>
      </w:r>
    </w:p>
    <w:p w:rsidR="00E9756B" w:rsidRPr="004E6CFC" w:rsidRDefault="00E9756B" w:rsidP="00E9756B">
      <w:pPr>
        <w:ind w:left="1410" w:hanging="1410"/>
      </w:pPr>
      <w:r w:rsidRPr="004E6CFC">
        <w:rPr>
          <w:i/>
          <w:iCs/>
        </w:rPr>
        <w:t>IPP</w:t>
      </w:r>
      <w:r w:rsidRPr="004E6CFC">
        <w:rPr>
          <w:i/>
          <w:iCs/>
          <w:vertAlign w:val="subscript"/>
        </w:rPr>
        <w:t>m-1</w:t>
      </w:r>
      <w:r w:rsidRPr="004E6CFC">
        <w:t>:</w:t>
      </w:r>
      <w:r w:rsidRPr="004E6CFC">
        <w:tab/>
        <w:t xml:space="preserve">Índice de precios del productor del mes </w:t>
      </w:r>
      <w:r w:rsidRPr="004E6CFC">
        <w:rPr>
          <w:i/>
        </w:rPr>
        <w:t>m</w:t>
      </w:r>
      <w:r w:rsidRPr="004E6CFC">
        <w:rPr>
          <w:i/>
          <w:iCs/>
        </w:rPr>
        <w:t>-1</w:t>
      </w:r>
      <w:r w:rsidRPr="004E6CFC">
        <w:t>.</w:t>
      </w:r>
    </w:p>
    <w:p w:rsidR="00E9756B" w:rsidRPr="004E6CFC" w:rsidRDefault="00E9756B" w:rsidP="00E9756B">
      <w:pPr>
        <w:ind w:left="1410" w:hanging="1410"/>
      </w:pPr>
      <w:r w:rsidRPr="004E6CFC">
        <w:rPr>
          <w:i/>
          <w:iCs/>
        </w:rPr>
        <w:t>IPP</w:t>
      </w:r>
      <w:r w:rsidRPr="004E6CFC">
        <w:rPr>
          <w:i/>
          <w:iCs/>
          <w:vertAlign w:val="subscript"/>
        </w:rPr>
        <w:t>o</w:t>
      </w:r>
      <w:r w:rsidRPr="004E6CFC">
        <w:t>:</w:t>
      </w:r>
      <w:r w:rsidRPr="004E6CFC">
        <w:tab/>
        <w:t>Índice de precios del productor de la fecha de corte.</w:t>
      </w:r>
    </w:p>
    <w:p w:rsidR="00E9756B" w:rsidRPr="004E6CFC" w:rsidRDefault="00E9756B" w:rsidP="00E9756B">
      <w:pPr>
        <w:pStyle w:val="Ttulo2"/>
      </w:pPr>
      <w:bookmarkStart w:id="118" w:name="_Ref476823881"/>
      <w:bookmarkStart w:id="119" w:name="_Toc476824124"/>
      <w:bookmarkStart w:id="120" w:name="_Toc505335904"/>
      <w:r w:rsidRPr="004E6CFC">
        <w:t>INGRESOS DE NIVEL DE TENSIÓN 1</w:t>
      </w:r>
      <w:bookmarkEnd w:id="116"/>
      <w:bookmarkEnd w:id="117"/>
      <w:bookmarkEnd w:id="118"/>
      <w:bookmarkEnd w:id="119"/>
      <w:bookmarkEnd w:id="120"/>
    </w:p>
    <w:p w:rsidR="00E9756B" w:rsidRPr="004E6CFC" w:rsidRDefault="00E9756B" w:rsidP="00E9756B">
      <w:pPr>
        <w:rPr>
          <w:lang w:val="es-ES_tradnl"/>
        </w:rPr>
      </w:pPr>
      <w:r w:rsidRPr="004E6CFC">
        <w:rPr>
          <w:lang w:val="es-ES_tradnl"/>
        </w:rPr>
        <w:t>El LAC calculará el ingreso mensual del nivel de tensión 1 de cada OR así:</w:t>
      </w:r>
    </w:p>
    <w:p w:rsidR="00E9756B" w:rsidRPr="004E6CFC" w:rsidRDefault="00C9592F" w:rsidP="00E9756B">
      <m:oMathPara>
        <m:oMath>
          <m:sSub>
            <m:sSubPr>
              <m:ctrlPr>
                <w:rPr>
                  <w:rFonts w:ascii="Cambria Math" w:hAnsi="Cambria Math"/>
                  <w:i/>
                </w:rPr>
              </m:ctrlPr>
            </m:sSubPr>
            <m:e>
              <m:r>
                <w:rPr>
                  <w:rFonts w:ascii="Cambria Math" w:hAnsi="Cambria Math"/>
                </w:rPr>
                <m:t>IA</m:t>
              </m:r>
            </m:e>
            <m:sub>
              <m:r>
                <w:rPr>
                  <w:rFonts w:ascii="Cambria Math" w:hAnsi="Cambria Math"/>
                </w:rPr>
                <m:t>j,1</m:t>
              </m:r>
              <m:r>
                <w:rPr>
                  <w:rFonts w:ascii="Cambria Math"/>
                </w:rPr>
                <m:t>,m,</m:t>
              </m:r>
              <m:r>
                <w:rPr>
                  <w:rFonts w:ascii="Cambria Math" w:hAnsi="Cambria Math"/>
                </w:rPr>
                <m:t>t</m:t>
              </m:r>
            </m:sub>
          </m:sSub>
          <m:r>
            <w:rPr>
              <w:rFonts w:ascii="Cambria Math"/>
            </w:rPr>
            <m:t>=</m:t>
          </m:r>
          <m:d>
            <m:dPr>
              <m:begChr m:val="["/>
              <m:endChr m:val="]"/>
              <m:ctrlPr>
                <w:rPr>
                  <w:rFonts w:ascii="Cambria Math" w:hAnsi="Cambria Math"/>
                  <w:i/>
                  <w:sz w:val="22"/>
                </w:rPr>
              </m:ctrlPr>
            </m:dPr>
            <m:e>
              <m:sSub>
                <m:sSubPr>
                  <m:ctrlPr>
                    <w:rPr>
                      <w:rFonts w:ascii="Cambria Math" w:hAnsi="Cambria Math"/>
                      <w:sz w:val="22"/>
                    </w:rPr>
                  </m:ctrlPr>
                </m:sSubPr>
                <m:e>
                  <m:r>
                    <w:rPr>
                      <w:rFonts w:ascii="Cambria Math" w:hAnsi="Cambria Math"/>
                      <w:sz w:val="22"/>
                    </w:rPr>
                    <m:t>IAA</m:t>
                  </m:r>
                </m:e>
                <m:sub>
                  <m:r>
                    <w:rPr>
                      <w:rFonts w:ascii="Cambria Math" w:hAnsi="Cambria Math"/>
                      <w:sz w:val="22"/>
                    </w:rPr>
                    <m:t>j</m:t>
                  </m:r>
                  <m:r>
                    <m:rPr>
                      <m:sty m:val="p"/>
                    </m:rPr>
                    <w:rPr>
                      <w:rFonts w:ascii="Cambria Math" w:hAnsi="Cambria Math"/>
                      <w:sz w:val="22"/>
                    </w:rPr>
                    <m:t>,1,</m:t>
                  </m:r>
                  <m:r>
                    <w:rPr>
                      <w:rFonts w:ascii="Cambria Math" w:hAnsi="Cambria Math"/>
                      <w:sz w:val="22"/>
                    </w:rPr>
                    <m:t>t</m:t>
                  </m:r>
                </m:sub>
              </m:sSub>
              <m:r>
                <m:rPr>
                  <m:sty m:val="p"/>
                </m:rPr>
                <w:rPr>
                  <w:rFonts w:ascii="Cambria Math" w:hAnsi="Cambria Math"/>
                  <w:sz w:val="22"/>
                </w:rPr>
                <m:t>*</m:t>
              </m:r>
              <m:r>
                <w:rPr>
                  <w:rFonts w:ascii="Cambria Math" w:hAnsi="Cambria Math"/>
                  <w:sz w:val="22"/>
                </w:rPr>
                <m:t>fM</m:t>
              </m:r>
              <m:r>
                <m:rPr>
                  <m:sty m:val="p"/>
                </m:rPr>
                <w:rPr>
                  <w:rFonts w:ascii="Cambria Math" w:hAnsi="Cambria Math"/>
                  <w:sz w:val="22"/>
                </w:rPr>
                <m:t>-</m:t>
              </m:r>
              <m:f>
                <m:fPr>
                  <m:ctrlPr>
                    <w:rPr>
                      <w:rFonts w:ascii="Cambria Math" w:hAnsi="Cambria Math"/>
                      <w:sz w:val="22"/>
                    </w:rPr>
                  </m:ctrlPr>
                </m:fPr>
                <m:num>
                  <m:sSub>
                    <m:sSubPr>
                      <m:ctrlPr>
                        <w:rPr>
                          <w:rFonts w:ascii="Cambria Math" w:hAnsi="Cambria Math"/>
                          <w:sz w:val="22"/>
                        </w:rPr>
                      </m:ctrlPr>
                    </m:sSubPr>
                    <m:e>
                      <m:r>
                        <w:rPr>
                          <w:rFonts w:ascii="Cambria Math" w:hAnsi="Cambria Math"/>
                          <w:sz w:val="22"/>
                        </w:rPr>
                        <m:t xml:space="preserve"> IRM</m:t>
                      </m:r>
                    </m:e>
                    <m:sub>
                      <m:r>
                        <w:rPr>
                          <w:rFonts w:ascii="Cambria Math" w:hAnsi="Cambria Math"/>
                          <w:sz w:val="22"/>
                        </w:rPr>
                        <m:t xml:space="preserve"> j</m:t>
                      </m:r>
                      <m:r>
                        <m:rPr>
                          <m:sty m:val="p"/>
                        </m:rPr>
                        <w:rPr>
                          <w:rFonts w:ascii="Cambria Math" w:hAnsi="Cambria Math"/>
                          <w:sz w:val="22"/>
                        </w:rPr>
                        <m:t>,1,</m:t>
                      </m:r>
                      <m:r>
                        <w:rPr>
                          <w:rFonts w:ascii="Cambria Math" w:hAnsi="Cambria Math"/>
                          <w:sz w:val="22"/>
                        </w:rPr>
                        <m:t>t</m:t>
                      </m:r>
                    </m:sub>
                  </m:sSub>
                  <m:r>
                    <w:rPr>
                      <w:rFonts w:ascii="Cambria Math" w:hAnsi="Cambria Math"/>
                      <w:sz w:val="22"/>
                    </w:rPr>
                    <m:t>+</m:t>
                  </m:r>
                  <m:sSub>
                    <m:sSubPr>
                      <m:ctrlPr>
                        <w:rPr>
                          <w:rFonts w:ascii="Cambria Math" w:hAnsi="Cambria Math"/>
                          <w:i/>
                          <w:sz w:val="22"/>
                        </w:rPr>
                      </m:ctrlPr>
                    </m:sSubPr>
                    <m:e>
                      <m:r>
                        <w:rPr>
                          <w:rFonts w:ascii="Cambria Math" w:hAnsi="Cambria Math"/>
                          <w:sz w:val="22"/>
                        </w:rPr>
                        <m:t>OI</m:t>
                      </m:r>
                    </m:e>
                    <m:sub>
                      <m:r>
                        <w:rPr>
                          <w:rFonts w:ascii="Cambria Math" w:hAnsi="Cambria Math"/>
                          <w:sz w:val="22"/>
                        </w:rPr>
                        <m:t>j,1,t-1</m:t>
                      </m:r>
                    </m:sub>
                  </m:sSub>
                </m:num>
                <m:den>
                  <m:r>
                    <w:rPr>
                      <w:rFonts w:ascii="Cambria Math" w:hAnsi="Cambria Math"/>
                      <w:sz w:val="22"/>
                    </w:rPr>
                    <m:t>12</m:t>
                  </m:r>
                </m:den>
              </m:f>
            </m:e>
          </m:d>
          <m:r>
            <w:rPr>
              <w:rFonts w:ascii="Cambria Math" w:hAnsi="Cambria Math"/>
              <w:sz w:val="22"/>
            </w:rPr>
            <m:t>*</m:t>
          </m:r>
          <m:f>
            <m:fPr>
              <m:ctrlPr>
                <w:rPr>
                  <w:rFonts w:ascii="Cambria Math" w:hAnsi="Cambria Math"/>
                  <w:i/>
                  <w:sz w:val="22"/>
                </w:rPr>
              </m:ctrlPr>
            </m:fPr>
            <m:num>
              <m:sSub>
                <m:sSubPr>
                  <m:ctrlPr>
                    <w:rPr>
                      <w:rFonts w:ascii="Cambria Math" w:hAnsi="Cambria Math"/>
                      <w:i/>
                      <w:sz w:val="22"/>
                    </w:rPr>
                  </m:ctrlPr>
                </m:sSubPr>
                <m:e>
                  <m:r>
                    <w:rPr>
                      <w:rFonts w:ascii="Cambria Math" w:hAnsi="Cambria Math"/>
                      <w:sz w:val="22"/>
                    </w:rPr>
                    <m:t>IPP</m:t>
                  </m:r>
                </m:e>
                <m:sub>
                  <m:r>
                    <w:rPr>
                      <w:rFonts w:ascii="Cambria Math" w:hAnsi="Cambria Math"/>
                      <w:sz w:val="22"/>
                    </w:rPr>
                    <m:t>m-</m:t>
                  </m:r>
                  <m:r>
                    <w:rPr>
                      <w:rFonts w:ascii="Cambria Math"/>
                      <w:sz w:val="22"/>
                    </w:rPr>
                    <m:t>1</m:t>
                  </m:r>
                </m:sub>
              </m:sSub>
            </m:num>
            <m:den>
              <m:sSub>
                <m:sSubPr>
                  <m:ctrlPr>
                    <w:rPr>
                      <w:rFonts w:ascii="Cambria Math" w:hAnsi="Cambria Math"/>
                      <w:i/>
                      <w:sz w:val="22"/>
                    </w:rPr>
                  </m:ctrlPr>
                </m:sSubPr>
                <m:e>
                  <m:r>
                    <w:rPr>
                      <w:rFonts w:ascii="Cambria Math" w:hAnsi="Cambria Math"/>
                      <w:sz w:val="22"/>
                    </w:rPr>
                    <m:t>IPP</m:t>
                  </m:r>
                </m:e>
                <m:sub>
                  <m:r>
                    <w:rPr>
                      <w:rFonts w:ascii="Cambria Math"/>
                      <w:sz w:val="22"/>
                    </w:rPr>
                    <m:t>0</m:t>
                  </m:r>
                </m:sub>
              </m:sSub>
            </m:den>
          </m:f>
        </m:oMath>
      </m:oMathPara>
    </w:p>
    <w:p w:rsidR="00E9756B" w:rsidRPr="004E6CFC" w:rsidRDefault="00E9756B" w:rsidP="00E9756B">
      <w:pPr>
        <w:spacing w:before="120"/>
      </w:pPr>
      <w:r w:rsidRPr="004E6CFC">
        <w:t>Donde:</w:t>
      </w:r>
    </w:p>
    <w:p w:rsidR="00E9756B" w:rsidRPr="004E6CFC" w:rsidRDefault="00E9756B" w:rsidP="00E9756B">
      <w:pPr>
        <w:ind w:left="1410" w:hanging="1410"/>
      </w:pPr>
      <w:r w:rsidRPr="004E6CFC">
        <w:rPr>
          <w:i/>
          <w:iCs/>
        </w:rPr>
        <w:t>IA</w:t>
      </w:r>
      <w:r w:rsidRPr="004E6CFC">
        <w:rPr>
          <w:i/>
          <w:iCs/>
          <w:vertAlign w:val="subscript"/>
        </w:rPr>
        <w:t>j,1,m,t</w:t>
      </w:r>
      <w:r w:rsidRPr="004E6CFC">
        <w:t>:</w:t>
      </w:r>
      <w:r w:rsidRPr="004E6CFC">
        <w:tab/>
        <w:t xml:space="preserve">Ingreso del OR </w:t>
      </w:r>
      <w:r w:rsidRPr="004E6CFC">
        <w:rPr>
          <w:i/>
          <w:iCs/>
        </w:rPr>
        <w:t>j</w:t>
      </w:r>
      <w:r w:rsidRPr="004E6CFC">
        <w:t xml:space="preserve"> en el nivel de tensión 1 en el mes </w:t>
      </w:r>
      <w:r w:rsidRPr="004E6CFC">
        <w:rPr>
          <w:i/>
        </w:rPr>
        <w:t>m</w:t>
      </w:r>
      <w:r w:rsidRPr="004E6CFC">
        <w:t xml:space="preserve"> del año </w:t>
      </w:r>
      <w:r w:rsidRPr="004E6CFC">
        <w:rPr>
          <w:i/>
        </w:rPr>
        <w:t>t</w:t>
      </w:r>
      <w:r w:rsidRPr="004E6CFC">
        <w:t>, en pesos.</w:t>
      </w:r>
    </w:p>
    <w:p w:rsidR="00E9756B" w:rsidRPr="004E6CFC" w:rsidRDefault="00E9756B" w:rsidP="00E9756B">
      <w:pPr>
        <w:ind w:left="1410" w:hanging="1410"/>
      </w:pPr>
      <w:r w:rsidRPr="004E6CFC">
        <w:rPr>
          <w:i/>
          <w:iCs/>
        </w:rPr>
        <w:t>IAA</w:t>
      </w:r>
      <w:r w:rsidRPr="004E6CFC">
        <w:rPr>
          <w:i/>
          <w:iCs/>
          <w:vertAlign w:val="subscript"/>
        </w:rPr>
        <w:t>j,1,t</w:t>
      </w:r>
      <w:r w:rsidRPr="004E6CFC">
        <w:t>:</w:t>
      </w:r>
      <w:r w:rsidRPr="004E6CFC">
        <w:tab/>
        <w:t xml:space="preserve">Ingreso anual por los activos de uso del nivel de tensión </w:t>
      </w:r>
      <w:r w:rsidRPr="004E6CFC">
        <w:rPr>
          <w:i/>
          <w:iCs/>
        </w:rPr>
        <w:t xml:space="preserve">1 </w:t>
      </w:r>
      <w:r w:rsidRPr="004E6CFC">
        <w:rPr>
          <w:iCs/>
        </w:rPr>
        <w:t>del</w:t>
      </w:r>
      <w:r w:rsidRPr="004E6CFC">
        <w:rPr>
          <w:i/>
          <w:iCs/>
        </w:rPr>
        <w:t xml:space="preserve"> </w:t>
      </w:r>
      <w:r w:rsidRPr="004E6CFC">
        <w:t xml:space="preserve">OR </w:t>
      </w:r>
      <w:r w:rsidRPr="004E6CFC">
        <w:rPr>
          <w:i/>
          <w:iCs/>
        </w:rPr>
        <w:t>j</w:t>
      </w:r>
      <w:r w:rsidRPr="004E6CFC">
        <w:t xml:space="preserve"> en el año </w:t>
      </w:r>
      <w:r w:rsidRPr="004E6CFC">
        <w:rPr>
          <w:i/>
        </w:rPr>
        <w:t>t</w:t>
      </w:r>
      <w:r w:rsidRPr="004E6CFC">
        <w:t xml:space="preserve">, según lo establecido en el capítulo  </w:t>
      </w:r>
      <w:r w:rsidRPr="004E6CFC">
        <w:fldChar w:fldCharType="begin"/>
      </w:r>
      <w:r w:rsidRPr="004E6CFC">
        <w:instrText xml:space="preserve"> REF _Ref398643120 \r \h\t  \* MERGEFORMAT </w:instrText>
      </w:r>
      <w:r w:rsidRPr="004E6CFC">
        <w:fldChar w:fldCharType="separate"/>
      </w:r>
      <w:r w:rsidR="00737178">
        <w:t>3</w:t>
      </w:r>
      <w:r w:rsidRPr="004E6CFC">
        <w:fldChar w:fldCharType="end"/>
      </w:r>
      <w:r w:rsidRPr="004E6CFC">
        <w:t>.</w:t>
      </w:r>
    </w:p>
    <w:p w:rsidR="00E9756B" w:rsidRPr="004E6CFC" w:rsidRDefault="00E9756B" w:rsidP="00E9756B">
      <w:pPr>
        <w:ind w:left="1410" w:hanging="1410"/>
      </w:pPr>
      <w:r w:rsidRPr="004E6CFC">
        <w:rPr>
          <w:i/>
        </w:rPr>
        <w:t>fM</w:t>
      </w:r>
      <w:r w:rsidRPr="004E6CFC">
        <w:t xml:space="preserve">: </w:t>
      </w:r>
      <w:r w:rsidRPr="004E6CFC">
        <w:tab/>
        <w:t xml:space="preserve">Factor para calcular valores mensuales, calculado conforme a lo establecido en el numeral </w:t>
      </w:r>
      <w:r w:rsidRPr="004E6CFC">
        <w:fldChar w:fldCharType="begin"/>
      </w:r>
      <w:r w:rsidRPr="004E6CFC">
        <w:instrText xml:space="preserve"> REF _Ref440612884 \r \h  \* MERGEFORMAT </w:instrText>
      </w:r>
      <w:r w:rsidRPr="004E6CFC">
        <w:fldChar w:fldCharType="separate"/>
      </w:r>
      <w:r w:rsidR="00737178">
        <w:t>2.8</w:t>
      </w:r>
      <w:r w:rsidRPr="004E6CFC">
        <w:fldChar w:fldCharType="end"/>
      </w:r>
      <w:r w:rsidRPr="004E6CFC">
        <w:t>.</w:t>
      </w:r>
    </w:p>
    <w:p w:rsidR="00E9756B" w:rsidRPr="004E6CFC" w:rsidRDefault="00E9756B" w:rsidP="00E9756B">
      <w:pPr>
        <w:ind w:left="1410" w:hanging="1410"/>
      </w:pPr>
      <w:r w:rsidRPr="004E6CFC">
        <w:rPr>
          <w:i/>
          <w:iCs/>
        </w:rPr>
        <w:lastRenderedPageBreak/>
        <w:t>IRM</w:t>
      </w:r>
      <w:r w:rsidRPr="004E6CFC">
        <w:rPr>
          <w:i/>
          <w:iCs/>
          <w:vertAlign w:val="subscript"/>
        </w:rPr>
        <w:t>j,1,t</w:t>
      </w:r>
      <w:r w:rsidRPr="004E6CFC">
        <w:t>:</w:t>
      </w:r>
      <w:r w:rsidRPr="004E6CFC">
        <w:tab/>
        <w:t xml:space="preserve">Ingreso del OR </w:t>
      </w:r>
      <w:r w:rsidRPr="004E6CFC">
        <w:rPr>
          <w:i/>
          <w:iCs/>
        </w:rPr>
        <w:t>j,</w:t>
      </w:r>
      <w:r w:rsidRPr="004E6CFC">
        <w:t xml:space="preserve"> en el nivel de tensión </w:t>
      </w:r>
      <w:r w:rsidRPr="004E6CFC">
        <w:rPr>
          <w:i/>
        </w:rPr>
        <w:t>1</w:t>
      </w:r>
      <w:r w:rsidRPr="004E6CFC">
        <w:t xml:space="preserve">, en el año </w:t>
      </w:r>
      <w:r w:rsidRPr="004E6CFC">
        <w:rPr>
          <w:i/>
        </w:rPr>
        <w:t>t</w:t>
      </w:r>
      <w:r w:rsidRPr="004E6CFC">
        <w:t xml:space="preserve">, recibido por otros conceptos, según lo establecido en el numeral </w:t>
      </w:r>
      <w:r w:rsidRPr="004E6CFC">
        <w:fldChar w:fldCharType="begin"/>
      </w:r>
      <w:r w:rsidRPr="004E6CFC">
        <w:instrText xml:space="preserve"> REF _Ref444843905 \r \h  \* MERGEFORMAT </w:instrText>
      </w:r>
      <w:r w:rsidRPr="004E6CFC">
        <w:fldChar w:fldCharType="separate"/>
      </w:r>
      <w:r w:rsidR="00737178">
        <w:t>2.7</w:t>
      </w:r>
      <w:r w:rsidRPr="004E6CFC">
        <w:fldChar w:fldCharType="end"/>
      </w:r>
      <w:r w:rsidRPr="004E6CFC">
        <w:t>.</w:t>
      </w:r>
    </w:p>
    <w:p w:rsidR="00E9756B" w:rsidRPr="004E6CFC" w:rsidRDefault="00E9756B" w:rsidP="00E9756B">
      <w:pPr>
        <w:spacing w:before="120"/>
        <w:ind w:left="1418" w:hanging="1418"/>
      </w:pPr>
      <w:r w:rsidRPr="004E6CFC">
        <w:rPr>
          <w:i/>
          <w:iCs/>
        </w:rPr>
        <w:t>OI</w:t>
      </w:r>
      <w:r w:rsidRPr="004E6CFC">
        <w:rPr>
          <w:i/>
          <w:iCs/>
          <w:vertAlign w:val="subscript"/>
        </w:rPr>
        <w:t>j,1,t-1</w:t>
      </w:r>
      <w:r w:rsidRPr="004E6CFC">
        <w:t>:</w:t>
      </w:r>
      <w:r w:rsidRPr="004E6CFC">
        <w:tab/>
        <w:t xml:space="preserve">Ingresos por la explotación de activos de uso en todos los niveles de tensión en actividades distintas a la distribución de energía eléctrica en el año </w:t>
      </w:r>
      <w:r w:rsidRPr="004E6CFC">
        <w:rPr>
          <w:i/>
        </w:rPr>
        <w:t>t-1</w:t>
      </w:r>
      <w:r w:rsidRPr="004E6CFC">
        <w:t xml:space="preserve">.  </w:t>
      </w:r>
    </w:p>
    <w:p w:rsidR="00E9756B" w:rsidRPr="004E6CFC" w:rsidRDefault="00E9756B" w:rsidP="00E9756B">
      <w:pPr>
        <w:ind w:left="1410" w:hanging="1410"/>
      </w:pPr>
      <w:r w:rsidRPr="004E6CFC">
        <w:rPr>
          <w:i/>
          <w:iCs/>
        </w:rPr>
        <w:t>IPP</w:t>
      </w:r>
      <w:r w:rsidRPr="004E6CFC">
        <w:rPr>
          <w:i/>
          <w:iCs/>
          <w:vertAlign w:val="subscript"/>
        </w:rPr>
        <w:t>m-1</w:t>
      </w:r>
      <w:r w:rsidRPr="004E6CFC">
        <w:t>:</w:t>
      </w:r>
      <w:r w:rsidRPr="004E6CFC">
        <w:tab/>
        <w:t xml:space="preserve">Índice de precios del productor del mes </w:t>
      </w:r>
      <w:r w:rsidRPr="004E6CFC">
        <w:rPr>
          <w:i/>
        </w:rPr>
        <w:t>m</w:t>
      </w:r>
      <w:r w:rsidRPr="004E6CFC">
        <w:rPr>
          <w:i/>
          <w:iCs/>
        </w:rPr>
        <w:t>-1</w:t>
      </w:r>
      <w:r w:rsidRPr="004E6CFC">
        <w:t>.</w:t>
      </w:r>
    </w:p>
    <w:p w:rsidR="00E9756B" w:rsidRPr="004E6CFC" w:rsidRDefault="00E9756B" w:rsidP="00E9756B">
      <w:pPr>
        <w:ind w:left="1410" w:hanging="1410"/>
      </w:pPr>
      <w:r w:rsidRPr="004E6CFC">
        <w:rPr>
          <w:i/>
          <w:iCs/>
        </w:rPr>
        <w:t>IPP</w:t>
      </w:r>
      <w:r w:rsidRPr="004E6CFC">
        <w:rPr>
          <w:i/>
          <w:iCs/>
          <w:vertAlign w:val="subscript"/>
        </w:rPr>
        <w:t>o</w:t>
      </w:r>
      <w:r w:rsidRPr="004E6CFC">
        <w:t>:</w:t>
      </w:r>
      <w:r w:rsidRPr="004E6CFC">
        <w:tab/>
        <w:t>Índice de precios del productor de la fecha de corte.</w:t>
      </w:r>
    </w:p>
    <w:p w:rsidR="00E9756B" w:rsidRPr="004E6CFC" w:rsidRDefault="00E9756B" w:rsidP="00E9756B">
      <w:r w:rsidRPr="004E6CFC">
        <w:t xml:space="preserve">El valor de la variable </w:t>
      </w:r>
      <w:r w:rsidRPr="004E6CFC">
        <w:rPr>
          <w:i/>
          <w:iCs/>
        </w:rPr>
        <w:t>OI</w:t>
      </w:r>
      <w:r w:rsidRPr="004E6CFC">
        <w:rPr>
          <w:i/>
          <w:iCs/>
          <w:vertAlign w:val="subscript"/>
        </w:rPr>
        <w:t>j,1,t-1</w:t>
      </w:r>
      <w:r w:rsidRPr="004E6CFC">
        <w:t xml:space="preserve">, corresponde al 50 % de los ingresos anuales obtenidos por el OR por la explotación en actividades distintas a la de distribución de energía eléctrica de los activos remunerados mediante cargos por uso. </w:t>
      </w:r>
    </w:p>
    <w:p w:rsidR="00E9756B" w:rsidRPr="004E6CFC" w:rsidRDefault="00E9756B" w:rsidP="00E9756B">
      <w:r w:rsidRPr="004E6CFC">
        <w:t xml:space="preserve">El OR debe reportar </w:t>
      </w:r>
      <w:r w:rsidRPr="00DA7FDA">
        <w:t xml:space="preserve">al LAC el valor de la variable </w:t>
      </w:r>
      <w:r w:rsidRPr="00DA7FDA">
        <w:rPr>
          <w:i/>
          <w:iCs/>
        </w:rPr>
        <w:t>OI</w:t>
      </w:r>
      <w:r w:rsidRPr="00DA7FDA">
        <w:rPr>
          <w:i/>
          <w:iCs/>
          <w:vertAlign w:val="subscript"/>
        </w:rPr>
        <w:t>j,1,t-1</w:t>
      </w:r>
      <w:r w:rsidRPr="00DA7FDA">
        <w:t>, incluso si este valor es igual a cero, a más tardar el 15 de diciembre anterior al año de aplicación. En caso de que no se reporte dicho valor al LAC o se</w:t>
      </w:r>
      <w:r w:rsidRPr="004E6CFC">
        <w:t xml:space="preserve"> reporte en fecha posterior, este tomará el </w:t>
      </w:r>
      <w:r>
        <w:t xml:space="preserve">máximo entre el valor reportado el año anterior y el </w:t>
      </w:r>
      <w:r w:rsidRPr="004E6CFC">
        <w:t xml:space="preserve">120% del valor más alto </w:t>
      </w:r>
      <w:r>
        <w:t xml:space="preserve">de los </w:t>
      </w:r>
      <w:r w:rsidRPr="004E6CFC">
        <w:t>reportado</w:t>
      </w:r>
      <w:r>
        <w:t>s</w:t>
      </w:r>
      <w:r w:rsidRPr="004E6CFC">
        <w:t xml:space="preserve"> por los </w:t>
      </w:r>
      <w:r>
        <w:t xml:space="preserve">demás </w:t>
      </w:r>
      <w:r w:rsidRPr="004E6CFC">
        <w:t xml:space="preserve">OR </w:t>
      </w:r>
      <w:r>
        <w:t>que hayan entregado este dato</w:t>
      </w:r>
      <w:r w:rsidRPr="004E6CFC">
        <w:t>.</w:t>
      </w:r>
    </w:p>
    <w:p w:rsidR="00E9756B" w:rsidRPr="004E6CFC" w:rsidRDefault="00E9756B" w:rsidP="00E9756B">
      <w:pPr>
        <w:pStyle w:val="Ttulo2"/>
      </w:pPr>
      <w:bookmarkStart w:id="121" w:name="_Ref444843905"/>
      <w:bookmarkStart w:id="122" w:name="_Ref461011422"/>
      <w:bookmarkStart w:id="123" w:name="_Toc476824125"/>
      <w:bookmarkStart w:id="124" w:name="_Toc505335905"/>
      <w:r w:rsidRPr="004E6CFC">
        <w:t>INGRESOS POR OTROS</w:t>
      </w:r>
      <w:bookmarkEnd w:id="121"/>
      <w:r w:rsidRPr="004E6CFC">
        <w:t xml:space="preserve"> CONCEPTOS</w:t>
      </w:r>
      <w:bookmarkEnd w:id="122"/>
      <w:bookmarkEnd w:id="123"/>
      <w:bookmarkEnd w:id="124"/>
    </w:p>
    <w:p w:rsidR="00E9756B" w:rsidRPr="004E6CFC" w:rsidRDefault="00E9756B" w:rsidP="00E9756B">
      <w:r w:rsidRPr="004E6CFC">
        <w:t>El ingreso anual por otros conceptos se calcula de la siguiente manera:</w:t>
      </w:r>
    </w:p>
    <w:p w:rsidR="00E9756B" w:rsidRPr="004E6CFC" w:rsidRDefault="00C9592F" w:rsidP="00E9756B">
      <m:oMathPara>
        <m:oMath>
          <m:sSub>
            <m:sSubPr>
              <m:ctrlPr>
                <w:rPr>
                  <w:rFonts w:ascii="Cambria Math" w:hAnsi="Cambria Math"/>
                  <w:i/>
                </w:rPr>
              </m:ctrlPr>
            </m:sSubPr>
            <m:e>
              <m:sSub>
                <m:sSubPr>
                  <m:ctrlPr>
                    <w:rPr>
                      <w:rFonts w:ascii="Cambria Math" w:hAnsi="Cambria Math"/>
                      <w:i/>
                    </w:rPr>
                  </m:ctrlPr>
                </m:sSubPr>
                <m:e>
                  <m:r>
                    <w:rPr>
                      <w:rFonts w:ascii="Cambria Math" w:hAnsi="Cambria Math"/>
                    </w:rPr>
                    <m:t>IRM</m:t>
                  </m:r>
                </m:e>
                <m:sub>
                  <m:r>
                    <w:rPr>
                      <w:rFonts w:ascii="Cambria Math" w:hAnsi="Cambria Math"/>
                    </w:rPr>
                    <m:t>j,n,t</m:t>
                  </m:r>
                </m:sub>
              </m:sSub>
              <m:r>
                <w:rPr>
                  <w:rFonts w:ascii="Cambria Math" w:hAnsi="Cambria Math"/>
                </w:rPr>
                <m:t>=</m:t>
              </m:r>
              <m:sSub>
                <m:sSubPr>
                  <m:ctrlPr>
                    <w:rPr>
                      <w:rFonts w:ascii="Cambria Math" w:hAnsi="Cambria Math"/>
                      <w:i/>
                    </w:rPr>
                  </m:ctrlPr>
                </m:sSubPr>
                <m:e>
                  <m:r>
                    <w:rPr>
                      <w:rFonts w:ascii="Cambria Math" w:hAnsi="Cambria Math"/>
                    </w:rPr>
                    <m:t>IRespaldo</m:t>
                  </m:r>
                </m:e>
                <m:sub>
                  <m:r>
                    <w:rPr>
                      <w:rFonts w:ascii="Cambria Math" w:hAnsi="Cambria Math"/>
                    </w:rPr>
                    <m:t>j,n,t</m:t>
                  </m:r>
                </m:sub>
              </m:sSub>
              <m:r>
                <w:rPr>
                  <w:rFonts w:ascii="Cambria Math" w:hAnsi="Cambria Math"/>
                </w:rPr>
                <m:t>+</m:t>
              </m:r>
              <m:sSub>
                <m:sSubPr>
                  <m:ctrlPr>
                    <w:rPr>
                      <w:rFonts w:ascii="Cambria Math" w:hAnsi="Cambria Math"/>
                      <w:i/>
                    </w:rPr>
                  </m:ctrlPr>
                </m:sSubPr>
                <m:e>
                  <m:r>
                    <w:rPr>
                      <w:rFonts w:ascii="Cambria Math" w:hAnsi="Cambria Math"/>
                    </w:rPr>
                    <m:t>IMunts</m:t>
                  </m:r>
                </m:e>
                <m:sub>
                  <m:r>
                    <w:rPr>
                      <w:rFonts w:ascii="Cambria Math" w:hAnsi="Cambria Math"/>
                    </w:rPr>
                    <m:t>j,n,t</m:t>
                  </m:r>
                </m:sub>
              </m:sSub>
              <m:r>
                <w:rPr>
                  <w:rFonts w:ascii="Cambria Math" w:hAnsi="Cambria Math"/>
                </w:rPr>
                <m:t>+IReactiva</m:t>
              </m:r>
            </m:e>
            <m:sub>
              <m:r>
                <w:rPr>
                  <w:rFonts w:ascii="Cambria Math" w:hAnsi="Cambria Math"/>
                </w:rPr>
                <m:t>j</m:t>
              </m:r>
              <m:r>
                <w:rPr>
                  <w:rFonts w:ascii="Cambria Math"/>
                </w:rPr>
                <m:t>,n,</m:t>
              </m:r>
              <m:r>
                <w:rPr>
                  <w:rFonts w:ascii="Cambria Math" w:hAnsi="Cambria Math"/>
                </w:rPr>
                <m:t>t</m:t>
              </m:r>
            </m:sub>
          </m:sSub>
        </m:oMath>
      </m:oMathPara>
    </w:p>
    <w:p w:rsidR="00E9756B" w:rsidRPr="004E6CFC" w:rsidRDefault="00E9756B" w:rsidP="00E9756B">
      <w:pPr>
        <w:ind w:left="2124" w:hanging="2124"/>
        <w:rPr>
          <w:iCs/>
        </w:rPr>
      </w:pPr>
      <w:r w:rsidRPr="004E6CFC">
        <w:rPr>
          <w:iCs/>
        </w:rPr>
        <w:t>Donde:</w:t>
      </w:r>
    </w:p>
    <w:p w:rsidR="00E9756B" w:rsidRPr="004E77B3" w:rsidRDefault="00E9756B" w:rsidP="00E9756B">
      <w:pPr>
        <w:ind w:left="2124" w:hanging="2124"/>
      </w:pPr>
      <w:r w:rsidRPr="004E6CFC">
        <w:rPr>
          <w:i/>
          <w:iCs/>
        </w:rPr>
        <w:t>IRM</w:t>
      </w:r>
      <w:r w:rsidRPr="004E6CFC">
        <w:rPr>
          <w:i/>
          <w:iCs/>
          <w:vertAlign w:val="subscript"/>
        </w:rPr>
        <w:t>j,n,t</w:t>
      </w:r>
      <w:r w:rsidRPr="004E6CFC">
        <w:t>:</w:t>
      </w:r>
      <w:r w:rsidRPr="004E6CFC">
        <w:tab/>
        <w:t xml:space="preserve">Ingreso anual </w:t>
      </w:r>
      <w:r>
        <w:t>por otros conceptos</w:t>
      </w:r>
      <w:r w:rsidRPr="004E6CFC">
        <w:t xml:space="preserve"> del OR </w:t>
      </w:r>
      <w:r w:rsidRPr="004E6CFC">
        <w:rPr>
          <w:i/>
          <w:iCs/>
        </w:rPr>
        <w:t>j</w:t>
      </w:r>
      <w:r w:rsidRPr="004E6CFC">
        <w:t xml:space="preserve"> en el nivel de tensión </w:t>
      </w:r>
      <w:r w:rsidRPr="004E6CFC">
        <w:rPr>
          <w:i/>
        </w:rPr>
        <w:t>n</w:t>
      </w:r>
      <w:r w:rsidRPr="004E6CFC">
        <w:t xml:space="preserve"> del año </w:t>
      </w:r>
      <w:r w:rsidRPr="004E6CFC">
        <w:rPr>
          <w:i/>
        </w:rPr>
        <w:t>t</w:t>
      </w:r>
      <w:r w:rsidRPr="004E6CFC">
        <w:t>, en pesos</w:t>
      </w:r>
      <w:r>
        <w:t xml:space="preserve">. </w:t>
      </w:r>
      <w:r w:rsidRPr="004E6CFC">
        <w:t xml:space="preserve">Para el primer año del periodo tarifario esta variable </w:t>
      </w:r>
      <w:r w:rsidRPr="004E77B3">
        <w:t>tiene un valor igual a cero.</w:t>
      </w:r>
    </w:p>
    <w:p w:rsidR="00E9756B" w:rsidRPr="004E77B3" w:rsidRDefault="00E9756B" w:rsidP="00E9756B">
      <w:pPr>
        <w:ind w:left="2124" w:hanging="2124"/>
        <w:rPr>
          <w:rFonts w:cs="Arial"/>
          <w:lang w:val="es-ES_tradnl"/>
        </w:rPr>
      </w:pPr>
      <w:r w:rsidRPr="004E77B3">
        <w:rPr>
          <w:rFonts w:cs="Arial"/>
          <w:i/>
          <w:lang w:val="es-ES_tradnl"/>
        </w:rPr>
        <w:t>IRespaldo</w:t>
      </w:r>
      <w:r w:rsidRPr="004E77B3">
        <w:rPr>
          <w:rFonts w:cs="Arial"/>
          <w:i/>
          <w:vertAlign w:val="subscript"/>
          <w:lang w:val="es-ES_tradnl"/>
        </w:rPr>
        <w:t>j,n,t</w:t>
      </w:r>
      <w:r w:rsidRPr="004E77B3">
        <w:rPr>
          <w:rFonts w:cs="Arial"/>
          <w:lang w:val="es-ES_tradnl"/>
        </w:rPr>
        <w:t xml:space="preserve">: </w:t>
      </w:r>
      <w:r w:rsidRPr="004E77B3">
        <w:rPr>
          <w:rFonts w:cs="Arial"/>
          <w:lang w:val="es-ES_tradnl"/>
        </w:rPr>
        <w:tab/>
        <w:t xml:space="preserve">Ingreso correspondiente al año </w:t>
      </w:r>
      <w:r w:rsidRPr="004E77B3">
        <w:rPr>
          <w:rFonts w:cs="Arial"/>
          <w:i/>
          <w:lang w:val="es-ES_tradnl"/>
        </w:rPr>
        <w:t>t</w:t>
      </w:r>
      <w:r w:rsidRPr="004E77B3">
        <w:rPr>
          <w:rFonts w:cs="Arial"/>
          <w:lang w:val="es-ES_tradnl"/>
        </w:rPr>
        <w:t xml:space="preserve">, recibido por parte del OR </w:t>
      </w:r>
      <w:r w:rsidRPr="004E77B3">
        <w:rPr>
          <w:rFonts w:cs="Arial"/>
          <w:i/>
          <w:lang w:val="es-ES_tradnl"/>
        </w:rPr>
        <w:t>j</w:t>
      </w:r>
      <w:r w:rsidRPr="004E77B3">
        <w:rPr>
          <w:rFonts w:cs="Arial"/>
          <w:lang w:val="es-ES_tradnl"/>
        </w:rPr>
        <w:t xml:space="preserve"> en el nivel de tensión </w:t>
      </w:r>
      <w:r w:rsidRPr="004E77B3">
        <w:rPr>
          <w:rFonts w:cs="Arial"/>
          <w:i/>
          <w:lang w:val="es-ES_tradnl"/>
        </w:rPr>
        <w:t>n</w:t>
      </w:r>
      <w:r w:rsidRPr="004E77B3">
        <w:rPr>
          <w:rFonts w:cs="Arial"/>
          <w:lang w:val="es-ES_tradnl"/>
        </w:rPr>
        <w:t xml:space="preserve"> por concepto de respaldo de red, conforme a lo establecido en el capítulo </w:t>
      </w:r>
      <w:r w:rsidRPr="004E77B3">
        <w:rPr>
          <w:rFonts w:cs="Arial"/>
          <w:lang w:val="es-ES_tradnl"/>
        </w:rPr>
        <w:fldChar w:fldCharType="begin"/>
      </w:r>
      <w:r w:rsidRPr="004E77B3">
        <w:rPr>
          <w:rFonts w:cs="Arial"/>
          <w:lang w:val="es-ES_tradnl"/>
        </w:rPr>
        <w:instrText xml:space="preserve"> REF _Ref403636258 \r \h\t  \* MERGEFORMAT </w:instrText>
      </w:r>
      <w:r w:rsidRPr="004E77B3">
        <w:rPr>
          <w:rFonts w:cs="Arial"/>
          <w:lang w:val="es-ES_tradnl"/>
        </w:rPr>
      </w:r>
      <w:r w:rsidRPr="004E77B3">
        <w:rPr>
          <w:rFonts w:cs="Arial"/>
          <w:lang w:val="es-ES_tradnl"/>
        </w:rPr>
        <w:fldChar w:fldCharType="separate"/>
      </w:r>
      <w:r w:rsidR="00737178">
        <w:rPr>
          <w:rFonts w:cs="Arial"/>
          <w:lang w:val="es-ES_tradnl"/>
        </w:rPr>
        <w:t>10</w:t>
      </w:r>
      <w:r w:rsidRPr="004E77B3">
        <w:rPr>
          <w:rFonts w:cs="Arial"/>
          <w:lang w:val="es-ES_tradnl"/>
        </w:rPr>
        <w:fldChar w:fldCharType="end"/>
      </w:r>
      <w:r w:rsidRPr="004E77B3">
        <w:rPr>
          <w:rFonts w:cs="Arial"/>
          <w:lang w:val="es-ES_tradnl"/>
        </w:rPr>
        <w:t>.</w:t>
      </w:r>
    </w:p>
    <w:p w:rsidR="00E9756B" w:rsidRPr="004E77B3" w:rsidRDefault="00E9756B" w:rsidP="00E9756B">
      <w:pPr>
        <w:ind w:left="2124" w:hanging="2124"/>
        <w:rPr>
          <w:rFonts w:cs="Arial"/>
          <w:lang w:val="es-ES_tradnl"/>
        </w:rPr>
      </w:pPr>
      <w:r w:rsidRPr="004E77B3">
        <w:rPr>
          <w:rFonts w:cs="Arial"/>
          <w:i/>
          <w:lang w:val="es-ES_tradnl"/>
        </w:rPr>
        <w:t>IMunts</w:t>
      </w:r>
      <w:r w:rsidRPr="004E77B3">
        <w:rPr>
          <w:rFonts w:cs="Arial"/>
          <w:i/>
          <w:vertAlign w:val="subscript"/>
          <w:lang w:val="es-ES_tradnl"/>
        </w:rPr>
        <w:t>j,n,t</w:t>
      </w:r>
      <w:r w:rsidRPr="004E77B3">
        <w:rPr>
          <w:rFonts w:cs="Arial"/>
          <w:lang w:val="es-ES_tradnl"/>
        </w:rPr>
        <w:t xml:space="preserve">: </w:t>
      </w:r>
      <w:r w:rsidRPr="004E77B3">
        <w:rPr>
          <w:rFonts w:cs="Arial"/>
          <w:lang w:val="es-ES_tradnl"/>
        </w:rPr>
        <w:tab/>
        <w:t xml:space="preserve">Ingresos correspondiente al año </w:t>
      </w:r>
      <w:r w:rsidRPr="004E77B3">
        <w:rPr>
          <w:rFonts w:cs="Arial"/>
          <w:i/>
          <w:lang w:val="es-ES_tradnl"/>
        </w:rPr>
        <w:t>t</w:t>
      </w:r>
      <w:r w:rsidRPr="004E77B3">
        <w:rPr>
          <w:rFonts w:cs="Arial"/>
          <w:lang w:val="es-ES_tradnl"/>
        </w:rPr>
        <w:t xml:space="preserve">, recibido por parte del OR j en el nivel de tensión </w:t>
      </w:r>
      <w:r w:rsidRPr="004E77B3">
        <w:rPr>
          <w:rFonts w:cs="Arial"/>
          <w:i/>
          <w:lang w:val="es-ES_tradnl"/>
        </w:rPr>
        <w:t xml:space="preserve">n </w:t>
      </w:r>
      <w:r w:rsidRPr="004E77B3">
        <w:rPr>
          <w:rFonts w:cs="Arial"/>
          <w:lang w:val="es-ES_tradnl"/>
        </w:rPr>
        <w:t xml:space="preserve">por concepto de migración de usuarios a otros niveles de tensión, conforme a lo establecido en el capítulo </w:t>
      </w:r>
      <w:r w:rsidRPr="004E77B3">
        <w:rPr>
          <w:rFonts w:cs="Arial"/>
          <w:lang w:val="es-ES_tradnl"/>
        </w:rPr>
        <w:fldChar w:fldCharType="begin"/>
      </w:r>
      <w:r w:rsidRPr="004E77B3">
        <w:rPr>
          <w:rFonts w:cs="Arial"/>
          <w:lang w:val="es-ES_tradnl"/>
        </w:rPr>
        <w:instrText xml:space="preserve"> REF _Ref403636261 \r \h\t  \* MERGEFORMAT </w:instrText>
      </w:r>
      <w:r w:rsidRPr="004E77B3">
        <w:rPr>
          <w:rFonts w:cs="Arial"/>
          <w:lang w:val="es-ES_tradnl"/>
        </w:rPr>
      </w:r>
      <w:r w:rsidRPr="004E77B3">
        <w:rPr>
          <w:rFonts w:cs="Arial"/>
          <w:lang w:val="es-ES_tradnl"/>
        </w:rPr>
        <w:fldChar w:fldCharType="separate"/>
      </w:r>
      <w:r w:rsidR="00737178">
        <w:rPr>
          <w:rFonts w:cs="Arial"/>
          <w:lang w:val="es-ES_tradnl"/>
        </w:rPr>
        <w:t>11</w:t>
      </w:r>
      <w:r w:rsidRPr="004E77B3">
        <w:rPr>
          <w:rFonts w:cs="Arial"/>
          <w:lang w:val="es-ES_tradnl"/>
        </w:rPr>
        <w:fldChar w:fldCharType="end"/>
      </w:r>
      <w:r w:rsidRPr="004E77B3">
        <w:rPr>
          <w:rFonts w:cs="Arial"/>
          <w:lang w:val="es-ES_tradnl"/>
        </w:rPr>
        <w:t>.</w:t>
      </w:r>
    </w:p>
    <w:p w:rsidR="00E9756B" w:rsidRPr="004E6CFC" w:rsidRDefault="00E9756B" w:rsidP="00E9756B">
      <w:pPr>
        <w:ind w:left="2124" w:hanging="2124"/>
        <w:rPr>
          <w:rFonts w:cs="Arial"/>
          <w:lang w:val="es-ES_tradnl"/>
        </w:rPr>
      </w:pPr>
      <w:r w:rsidRPr="004E77B3">
        <w:rPr>
          <w:rFonts w:cs="Arial"/>
          <w:i/>
          <w:lang w:val="es-ES_tradnl"/>
        </w:rPr>
        <w:t>IReactiva</w:t>
      </w:r>
      <w:r w:rsidRPr="004E77B3">
        <w:rPr>
          <w:rFonts w:cs="Arial"/>
          <w:i/>
          <w:vertAlign w:val="subscript"/>
          <w:lang w:val="es-ES_tradnl"/>
        </w:rPr>
        <w:t>j,n,t</w:t>
      </w:r>
      <w:r w:rsidRPr="004E77B3">
        <w:rPr>
          <w:rFonts w:cs="Arial"/>
          <w:lang w:val="es-ES_tradnl"/>
        </w:rPr>
        <w:t xml:space="preserve">: </w:t>
      </w:r>
      <w:r w:rsidRPr="004E77B3">
        <w:rPr>
          <w:rFonts w:cs="Arial"/>
          <w:lang w:val="es-ES_tradnl"/>
        </w:rPr>
        <w:tab/>
        <w:t xml:space="preserve">Ingresos a descontar al OR </w:t>
      </w:r>
      <w:r w:rsidRPr="004E77B3">
        <w:rPr>
          <w:rFonts w:cs="Arial"/>
          <w:i/>
          <w:lang w:val="es-ES_tradnl"/>
        </w:rPr>
        <w:t>j</w:t>
      </w:r>
      <w:r w:rsidRPr="004E77B3">
        <w:rPr>
          <w:rFonts w:cs="Arial"/>
          <w:lang w:val="es-ES_tradnl"/>
        </w:rPr>
        <w:t xml:space="preserve"> en el nivel de tensión </w:t>
      </w:r>
      <w:r w:rsidRPr="004E77B3">
        <w:rPr>
          <w:rFonts w:cs="Arial"/>
          <w:i/>
          <w:lang w:val="es-ES_tradnl"/>
        </w:rPr>
        <w:t>n</w:t>
      </w:r>
      <w:r w:rsidRPr="004E77B3">
        <w:rPr>
          <w:rFonts w:cs="Arial"/>
          <w:lang w:val="es-ES_tradnl"/>
        </w:rPr>
        <w:t xml:space="preserve"> por concepto de transporte de energía reactiva en exceso, correspondiente al año </w:t>
      </w:r>
      <w:r w:rsidRPr="004E77B3">
        <w:rPr>
          <w:rFonts w:cs="Arial"/>
          <w:i/>
          <w:lang w:val="es-ES_tradnl"/>
        </w:rPr>
        <w:t>t</w:t>
      </w:r>
      <w:r w:rsidRPr="004E77B3">
        <w:rPr>
          <w:rFonts w:cs="Arial"/>
          <w:lang w:val="es-ES_tradnl"/>
        </w:rPr>
        <w:t xml:space="preserve">, conforme a lo establecido en el capítulo </w:t>
      </w:r>
      <w:r w:rsidRPr="004E77B3">
        <w:rPr>
          <w:rFonts w:cs="Arial"/>
          <w:lang w:val="es-ES_tradnl"/>
        </w:rPr>
        <w:fldChar w:fldCharType="begin"/>
      </w:r>
      <w:r w:rsidRPr="004E77B3">
        <w:rPr>
          <w:rFonts w:cs="Arial"/>
          <w:lang w:val="es-ES_tradnl"/>
        </w:rPr>
        <w:instrText xml:space="preserve"> REF _Ref403056342 \r \h\t  \* MERGEFORMAT </w:instrText>
      </w:r>
      <w:r w:rsidRPr="004E77B3">
        <w:rPr>
          <w:rFonts w:cs="Arial"/>
          <w:lang w:val="es-ES_tradnl"/>
        </w:rPr>
      </w:r>
      <w:r w:rsidRPr="004E77B3">
        <w:rPr>
          <w:rFonts w:cs="Arial"/>
          <w:lang w:val="es-ES_tradnl"/>
        </w:rPr>
        <w:fldChar w:fldCharType="separate"/>
      </w:r>
      <w:r w:rsidR="00737178">
        <w:rPr>
          <w:rFonts w:cs="Arial"/>
          <w:lang w:val="es-ES_tradnl"/>
        </w:rPr>
        <w:t>12</w:t>
      </w:r>
      <w:r w:rsidRPr="004E77B3">
        <w:rPr>
          <w:rFonts w:cs="Arial"/>
          <w:lang w:val="es-ES_tradnl"/>
        </w:rPr>
        <w:fldChar w:fldCharType="end"/>
      </w:r>
      <w:r w:rsidRPr="004E77B3">
        <w:rPr>
          <w:rFonts w:cs="Arial"/>
          <w:lang w:val="es-ES_tradnl"/>
        </w:rPr>
        <w:t>.</w:t>
      </w:r>
    </w:p>
    <w:p w:rsidR="00E9756B" w:rsidRPr="004E6CFC" w:rsidRDefault="00E9756B" w:rsidP="00E9756B"/>
    <w:p w:rsidR="00E9756B" w:rsidRPr="004E6CFC" w:rsidRDefault="00E9756B" w:rsidP="00E9756B">
      <w:pPr>
        <w:pStyle w:val="Ttulo2"/>
      </w:pPr>
      <w:bookmarkStart w:id="125" w:name="_Toc476824126"/>
      <w:bookmarkStart w:id="126" w:name="_Toc505335906"/>
      <w:r w:rsidRPr="004E6CFC">
        <w:t xml:space="preserve">FACTOR PARA CALCULAR </w:t>
      </w:r>
      <w:bookmarkStart w:id="127" w:name="_Ref440612884"/>
      <w:r w:rsidRPr="004E6CFC">
        <w:t>VALORES MENSUALES</w:t>
      </w:r>
      <w:bookmarkEnd w:id="125"/>
      <w:bookmarkEnd w:id="126"/>
      <w:bookmarkEnd w:id="127"/>
    </w:p>
    <w:p w:rsidR="00E9756B" w:rsidRPr="004E6CFC" w:rsidRDefault="00E9756B" w:rsidP="00E9756B">
      <w:pPr>
        <w:rPr>
          <w:bCs/>
          <w:szCs w:val="22"/>
        </w:rPr>
      </w:pPr>
      <w:r w:rsidRPr="004E6CFC">
        <w:rPr>
          <w:bCs/>
          <w:szCs w:val="22"/>
        </w:rPr>
        <w:t xml:space="preserve">Para calcular el factor que se utiliza para convertir un valor anual en un pago mensual con una rentabilidad </w:t>
      </w:r>
      <w:r w:rsidRPr="004F396E">
        <w:rPr>
          <w:bCs/>
          <w:i/>
          <w:szCs w:val="22"/>
        </w:rPr>
        <w:t>r</w:t>
      </w:r>
      <w:r w:rsidRPr="004E6CFC">
        <w:rPr>
          <w:bCs/>
          <w:szCs w:val="22"/>
        </w:rPr>
        <w:t xml:space="preserve"> se utiliza la siguiente fórmula:</w:t>
      </w:r>
    </w:p>
    <w:p w:rsidR="00E9756B" w:rsidRPr="004E6CFC" w:rsidRDefault="00E9756B" w:rsidP="00E9756B">
      <w:pPr>
        <w:jc w:val="center"/>
        <w:rPr>
          <w:bCs/>
        </w:rPr>
      </w:pPr>
      <m:oMathPara>
        <m:oMath>
          <m:r>
            <w:rPr>
              <w:rFonts w:ascii="Cambria Math" w:hAnsi="Cambria Math"/>
            </w:rPr>
            <w:lastRenderedPageBreak/>
            <m:t>fM</m:t>
          </m:r>
          <m:r>
            <m:rPr>
              <m:sty m:val="p"/>
            </m:rPr>
            <w:rPr>
              <w:rFonts w:ascii="Cambria Math" w:hAnsi="Cambria Math"/>
            </w:rPr>
            <m:t>=</m:t>
          </m:r>
          <m:f>
            <m:fPr>
              <m:ctrlPr>
                <w:rPr>
                  <w:rFonts w:ascii="Cambria Math" w:hAnsi="Cambria Math"/>
                  <w:bCs/>
                </w:rPr>
              </m:ctrlPr>
            </m:fPr>
            <m:num>
              <m:sSup>
                <m:sSupPr>
                  <m:ctrlPr>
                    <w:rPr>
                      <w:rFonts w:ascii="Cambria Math" w:hAnsi="Cambria Math"/>
                      <w:bCs/>
                    </w:rPr>
                  </m:ctrlPr>
                </m:sSupPr>
                <m:e>
                  <m:d>
                    <m:dPr>
                      <m:ctrlPr>
                        <w:rPr>
                          <w:rFonts w:ascii="Cambria Math" w:hAnsi="Cambria Math"/>
                          <w:bCs/>
                        </w:rPr>
                      </m:ctrlPr>
                    </m:dPr>
                    <m:e>
                      <m:r>
                        <m:rPr>
                          <m:sty m:val="p"/>
                        </m:rPr>
                        <w:rPr>
                          <w:rFonts w:ascii="Cambria Math" w:hAnsi="Cambria Math"/>
                        </w:rPr>
                        <m:t>1+</m:t>
                      </m:r>
                      <m:r>
                        <w:rPr>
                          <w:rFonts w:ascii="Cambria Math" w:hAnsi="Cambria Math"/>
                        </w:rPr>
                        <m:t>r</m:t>
                      </m:r>
                    </m:e>
                  </m:d>
                </m:e>
                <m:sup>
                  <m:f>
                    <m:fPr>
                      <m:type m:val="skw"/>
                      <m:ctrlPr>
                        <w:rPr>
                          <w:rFonts w:ascii="Cambria Math" w:hAnsi="Cambria Math"/>
                          <w:bCs/>
                        </w:rPr>
                      </m:ctrlPr>
                    </m:fPr>
                    <m:num>
                      <m:r>
                        <m:rPr>
                          <m:sty m:val="p"/>
                        </m:rPr>
                        <w:rPr>
                          <w:rFonts w:ascii="Cambria Math" w:hAnsi="Cambria Math"/>
                        </w:rPr>
                        <m:t>1</m:t>
                      </m:r>
                    </m:num>
                    <m:den>
                      <m:r>
                        <m:rPr>
                          <m:sty m:val="p"/>
                        </m:rPr>
                        <w:rPr>
                          <w:rFonts w:ascii="Cambria Math" w:hAnsi="Cambria Math"/>
                        </w:rPr>
                        <m:t>12</m:t>
                      </m:r>
                    </m:den>
                  </m:f>
                </m:sup>
              </m:sSup>
              <m:r>
                <m:rPr>
                  <m:sty m:val="p"/>
                </m:rPr>
                <w:rPr>
                  <w:rFonts w:ascii="Cambria Math" w:hAnsi="Cambria Math"/>
                </w:rPr>
                <m:t>-1</m:t>
              </m:r>
            </m:num>
            <m:den>
              <m:r>
                <w:rPr>
                  <w:rFonts w:ascii="Cambria Math" w:hAnsi="Cambria Math"/>
                </w:rPr>
                <m:t>r</m:t>
              </m:r>
            </m:den>
          </m:f>
        </m:oMath>
      </m:oMathPara>
    </w:p>
    <w:p w:rsidR="00E9756B" w:rsidRPr="004E6CFC" w:rsidRDefault="00E9756B" w:rsidP="00E9756B">
      <w:r w:rsidRPr="004E6CFC">
        <w:t>Donde:</w:t>
      </w:r>
    </w:p>
    <w:p w:rsidR="00E9756B" w:rsidRPr="004E6CFC" w:rsidRDefault="00E9756B" w:rsidP="00E9756B">
      <w:pPr>
        <w:ind w:left="1416" w:hanging="1416"/>
        <w:rPr>
          <w:i/>
        </w:rPr>
      </w:pPr>
      <w:r w:rsidRPr="004E6CFC">
        <w:rPr>
          <w:i/>
        </w:rPr>
        <w:t>fM</w:t>
      </w:r>
      <w:r w:rsidRPr="004E6CFC">
        <w:t xml:space="preserve">: </w:t>
      </w:r>
      <w:r w:rsidRPr="004E6CFC">
        <w:tab/>
        <w:t>Factor para calcular valores mensuales.</w:t>
      </w:r>
    </w:p>
    <w:p w:rsidR="00681973" w:rsidRPr="004E6CFC" w:rsidRDefault="00E9756B" w:rsidP="00E9756B">
      <w:pPr>
        <w:ind w:left="1416" w:hanging="1416"/>
      </w:pPr>
      <w:r w:rsidRPr="004E6CFC">
        <w:rPr>
          <w:i/>
        </w:rPr>
        <w:t>r</w:t>
      </w:r>
      <w:r w:rsidRPr="004E6CFC">
        <w:t xml:space="preserve">: </w:t>
      </w:r>
      <w:r w:rsidRPr="004E6CFC">
        <w:tab/>
        <w:t>Tasa de retorno reconocida para la actividad de distribución de energía eléctrica pa</w:t>
      </w:r>
      <w:r>
        <w:t>ra un esquema de ingreso máximo</w:t>
      </w:r>
      <w:r w:rsidR="00681973" w:rsidRPr="004E6CFC">
        <w:t>.</w:t>
      </w:r>
    </w:p>
    <w:p w:rsidR="00193054" w:rsidRPr="004E6CFC" w:rsidRDefault="00193054" w:rsidP="00193054">
      <w:pPr>
        <w:spacing w:before="0" w:after="0"/>
        <w:jc w:val="left"/>
      </w:pPr>
      <w:r w:rsidRPr="004E6CFC">
        <w:br w:type="page"/>
      </w:r>
    </w:p>
    <w:p w:rsidR="00193054" w:rsidRPr="004E77B3" w:rsidRDefault="00193054" w:rsidP="00193054">
      <w:pPr>
        <w:pStyle w:val="Ttulo1"/>
      </w:pPr>
      <w:bookmarkStart w:id="128" w:name="_Ref460923885"/>
      <w:bookmarkStart w:id="129" w:name="_Toc505335907"/>
      <w:bookmarkStart w:id="130" w:name="_Ref398643120"/>
      <w:bookmarkStart w:id="131" w:name="_Toc408493136"/>
      <w:r w:rsidRPr="004E77B3">
        <w:lastRenderedPageBreak/>
        <w:t>INGRESO ANUAL POR INVERSI</w:t>
      </w:r>
      <w:r w:rsidR="00FE3EC8" w:rsidRPr="004E77B3">
        <w:t>ONES</w:t>
      </w:r>
      <w:bookmarkEnd w:id="128"/>
      <w:bookmarkEnd w:id="129"/>
      <w:r w:rsidRPr="004E77B3">
        <w:t xml:space="preserve"> </w:t>
      </w:r>
      <w:bookmarkEnd w:id="130"/>
      <w:bookmarkEnd w:id="131"/>
    </w:p>
    <w:p w:rsidR="00EF4850" w:rsidRPr="004E6CFC" w:rsidRDefault="00EF4850" w:rsidP="00EF4850">
      <w:r w:rsidRPr="004E6CFC">
        <w:t xml:space="preserve">Los ingresos anuales asociados con la infraestructura utilizada para la prestación del servicio en cada uno de los niveles de tensión se determinan de conformidad con la </w:t>
      </w:r>
      <w:r w:rsidR="009A559F" w:rsidRPr="004E6CFC">
        <w:t>siguiente</w:t>
      </w:r>
      <w:r w:rsidRPr="004E6CFC">
        <w:t xml:space="preserve"> expresión:</w:t>
      </w:r>
    </w:p>
    <w:p w:rsidR="00EF4850" w:rsidRPr="004E6CFC" w:rsidRDefault="00C9592F" w:rsidP="00EF4850">
      <m:oMathPara>
        <m:oMath>
          <m:sSub>
            <m:sSubPr>
              <m:ctrlPr>
                <w:rPr>
                  <w:rFonts w:ascii="Cambria Math" w:hAnsi="Cambria Math"/>
                  <w:i/>
                </w:rPr>
              </m:ctrlPr>
            </m:sSubPr>
            <m:e>
              <m:r>
                <w:rPr>
                  <w:rFonts w:ascii="Cambria Math" w:hAnsi="Cambria Math"/>
                </w:rPr>
                <m:t>IAA</m:t>
              </m:r>
            </m:e>
            <m:sub>
              <m:r>
                <w:rPr>
                  <w:rFonts w:ascii="Cambria Math" w:hAnsi="Cambria Math"/>
                </w:rPr>
                <m:t>j,n,t</m:t>
              </m:r>
            </m:sub>
          </m:sSub>
          <m:r>
            <w:rPr>
              <w:rFonts w:ascii="Cambria Math" w:hAnsi="Cambria Math"/>
            </w:rPr>
            <m:t>=</m:t>
          </m:r>
          <m:sSub>
            <m:sSubPr>
              <m:ctrlPr>
                <w:rPr>
                  <w:rFonts w:ascii="Cambria Math" w:hAnsi="Cambria Math"/>
                  <w:i/>
                </w:rPr>
              </m:ctrlPr>
            </m:sSubPr>
            <m:e>
              <m:r>
                <w:rPr>
                  <w:rFonts w:ascii="Cambria Math" w:hAnsi="Cambria Math"/>
                </w:rPr>
                <m:t>BRA</m:t>
              </m:r>
            </m:e>
            <m:sub>
              <m:r>
                <w:rPr>
                  <w:rFonts w:ascii="Cambria Math" w:hAnsi="Cambria Math"/>
                </w:rPr>
                <m:t>j,n,t</m:t>
              </m:r>
            </m:sub>
          </m:sSub>
          <m:r>
            <w:rPr>
              <w:rFonts w:ascii="Cambria Math" w:hAnsi="Cambria Math"/>
            </w:rPr>
            <m:t>*r+</m:t>
          </m:r>
          <m:sSub>
            <m:sSubPr>
              <m:ctrlPr>
                <w:rPr>
                  <w:rFonts w:ascii="Cambria Math" w:hAnsi="Cambria Math"/>
                  <w:i/>
                </w:rPr>
              </m:ctrlPr>
            </m:sSubPr>
            <m:e>
              <m:r>
                <w:rPr>
                  <w:rFonts w:ascii="Cambria Math" w:hAnsi="Cambria Math"/>
                </w:rPr>
                <m:t>RC</m:t>
              </m:r>
            </m:e>
            <m:sub>
              <m:r>
                <w:rPr>
                  <w:rFonts w:ascii="Cambria Math" w:hAnsi="Cambria Math"/>
                </w:rPr>
                <m:t>j,n,t</m:t>
              </m:r>
            </m:sub>
          </m:sSub>
          <m:r>
            <w:rPr>
              <w:rFonts w:ascii="Cambria Math" w:hAnsi="Cambria Math"/>
            </w:rPr>
            <m:t>+</m:t>
          </m:r>
          <m:sSub>
            <m:sSubPr>
              <m:ctrlPr>
                <w:rPr>
                  <w:rFonts w:ascii="Cambria Math" w:hAnsi="Cambria Math"/>
                  <w:i/>
                </w:rPr>
              </m:ctrlPr>
            </m:sSubPr>
            <m:e>
              <m:r>
                <w:rPr>
                  <w:rFonts w:ascii="Cambria Math" w:hAnsi="Cambria Math"/>
                </w:rPr>
                <m:t>BRT</m:t>
              </m:r>
            </m:e>
            <m:sub>
              <m:r>
                <w:rPr>
                  <w:rFonts w:ascii="Cambria Math" w:hAnsi="Cambria Math"/>
                </w:rPr>
                <m:t>j,n,t</m:t>
              </m:r>
            </m:sub>
          </m:sSub>
        </m:oMath>
      </m:oMathPara>
    </w:p>
    <w:p w:rsidR="00EF4850" w:rsidRPr="004E6CFC" w:rsidRDefault="00EF4850" w:rsidP="00EF4850">
      <w:pPr>
        <w:ind w:left="1410" w:hanging="1410"/>
        <w:rPr>
          <w:iCs/>
        </w:rPr>
      </w:pPr>
      <w:r w:rsidRPr="004E6CFC">
        <w:rPr>
          <w:iCs/>
        </w:rPr>
        <w:t>Donde:</w:t>
      </w:r>
    </w:p>
    <w:p w:rsidR="00EF4850" w:rsidRPr="004E6CFC" w:rsidRDefault="00EF4850" w:rsidP="00EF4850">
      <w:pPr>
        <w:ind w:left="1410" w:hanging="1410"/>
      </w:pPr>
      <w:r w:rsidRPr="004E6CFC">
        <w:rPr>
          <w:i/>
          <w:iCs/>
        </w:rPr>
        <w:t>IAA</w:t>
      </w:r>
      <w:r w:rsidRPr="004E6CFC">
        <w:rPr>
          <w:i/>
          <w:iCs/>
          <w:vertAlign w:val="subscript"/>
        </w:rPr>
        <w:t>j,n,t</w:t>
      </w:r>
      <w:r w:rsidRPr="004E6CFC">
        <w:t>:</w:t>
      </w:r>
      <w:r w:rsidRPr="004E6CFC">
        <w:tab/>
        <w:t xml:space="preserve">Ingreso anual por inversión en activos del OR </w:t>
      </w:r>
      <w:r w:rsidRPr="004E6CFC">
        <w:rPr>
          <w:i/>
        </w:rPr>
        <w:t>j</w:t>
      </w:r>
      <w:r w:rsidRPr="004E6CFC">
        <w:t xml:space="preserve"> en el nivel de tensión </w:t>
      </w:r>
      <w:r w:rsidRPr="004E6CFC">
        <w:rPr>
          <w:i/>
          <w:iCs/>
        </w:rPr>
        <w:t xml:space="preserve">n </w:t>
      </w:r>
      <w:r w:rsidRPr="004E6CFC">
        <w:t xml:space="preserve">para el año </w:t>
      </w:r>
      <w:r w:rsidRPr="004E6CFC">
        <w:rPr>
          <w:i/>
        </w:rPr>
        <w:t>t.</w:t>
      </w:r>
    </w:p>
    <w:p w:rsidR="00EF4850" w:rsidRPr="004E6CFC" w:rsidRDefault="00EF4850" w:rsidP="00EF4850">
      <w:pPr>
        <w:ind w:left="1410" w:hanging="1410"/>
      </w:pPr>
      <w:r w:rsidRPr="004E6CFC">
        <w:rPr>
          <w:i/>
          <w:iCs/>
        </w:rPr>
        <w:t>BRA</w:t>
      </w:r>
      <w:r w:rsidRPr="004E6CFC">
        <w:rPr>
          <w:i/>
          <w:iCs/>
          <w:vertAlign w:val="subscript"/>
        </w:rPr>
        <w:t>j,n,t</w:t>
      </w:r>
      <w:r w:rsidRPr="004E6CFC">
        <w:t>:</w:t>
      </w:r>
      <w:r w:rsidRPr="004E6CFC">
        <w:tab/>
        <w:t xml:space="preserve">Base regulatoria de activos del OR </w:t>
      </w:r>
      <w:r w:rsidRPr="004E6CFC">
        <w:rPr>
          <w:i/>
        </w:rPr>
        <w:t>j</w:t>
      </w:r>
      <w:r w:rsidRPr="004E6CFC">
        <w:t xml:space="preserve"> en el  nivel de tensión </w:t>
      </w:r>
      <w:r w:rsidRPr="004E6CFC">
        <w:rPr>
          <w:i/>
          <w:iCs/>
        </w:rPr>
        <w:t xml:space="preserve">n </w:t>
      </w:r>
      <w:r w:rsidRPr="004E6CFC">
        <w:t xml:space="preserve">para el año </w:t>
      </w:r>
      <w:r w:rsidRPr="004E6CFC">
        <w:rPr>
          <w:i/>
        </w:rPr>
        <w:t xml:space="preserve">t, </w:t>
      </w:r>
      <w:r w:rsidRPr="004E6CFC">
        <w:t xml:space="preserve">calculada según lo definido en el numeral </w:t>
      </w:r>
      <w:r w:rsidRPr="004E6CFC">
        <w:fldChar w:fldCharType="begin"/>
      </w:r>
      <w:r w:rsidRPr="004E6CFC">
        <w:instrText xml:space="preserve"> REF _Ref405914103 \r \h  \* MERGEFORMAT </w:instrText>
      </w:r>
      <w:r w:rsidRPr="004E6CFC">
        <w:fldChar w:fldCharType="separate"/>
      </w:r>
      <w:r w:rsidR="00737178">
        <w:t>3.1</w:t>
      </w:r>
      <w:r w:rsidRPr="004E6CFC">
        <w:fldChar w:fldCharType="end"/>
      </w:r>
      <w:r w:rsidRPr="004E6CFC">
        <w:t>.</w:t>
      </w:r>
      <w:r w:rsidRPr="004E6CFC">
        <w:rPr>
          <w:i/>
        </w:rPr>
        <w:t xml:space="preserve"> </w:t>
      </w:r>
    </w:p>
    <w:p w:rsidR="00EF4850" w:rsidRPr="004E6CFC" w:rsidRDefault="00EF4850" w:rsidP="00EF4850">
      <w:pPr>
        <w:numPr>
          <w:ilvl w:val="12"/>
          <w:numId w:val="0"/>
        </w:numPr>
        <w:suppressAutoHyphens/>
        <w:spacing w:before="120"/>
        <w:ind w:left="1418" w:hanging="1418"/>
        <w:rPr>
          <w:i/>
        </w:rPr>
      </w:pPr>
      <w:r w:rsidRPr="004E6CFC">
        <w:rPr>
          <w:i/>
        </w:rPr>
        <w:t>r</w:t>
      </w:r>
      <w:r w:rsidRPr="004E6CFC">
        <w:t>:</w:t>
      </w:r>
      <w:r w:rsidRPr="004E6CFC">
        <w:tab/>
        <w:t xml:space="preserve">Tasa de retorno reconocida para la actividad de distribución de energía eléctrica para un esquema de ingreso máximo. </w:t>
      </w:r>
    </w:p>
    <w:p w:rsidR="00EF4850" w:rsidRPr="004E6CFC" w:rsidRDefault="00EF4850" w:rsidP="00EF4850">
      <w:pPr>
        <w:ind w:left="1416" w:hanging="1416"/>
      </w:pPr>
      <w:r w:rsidRPr="004E6CFC">
        <w:rPr>
          <w:i/>
          <w:iCs/>
        </w:rPr>
        <w:t>RC</w:t>
      </w:r>
      <w:r w:rsidRPr="004E6CFC">
        <w:rPr>
          <w:i/>
          <w:iCs/>
          <w:vertAlign w:val="subscript"/>
        </w:rPr>
        <w:t>j,n,t</w:t>
      </w:r>
      <w:r w:rsidRPr="004E6CFC">
        <w:t>:</w:t>
      </w:r>
      <w:r w:rsidRPr="004E6CFC">
        <w:tab/>
        <w:t xml:space="preserve">Recuperación de capital reconocida para los activos remunerados en la base regulatoria de activos del OR </w:t>
      </w:r>
      <w:r w:rsidRPr="004E6CFC">
        <w:rPr>
          <w:i/>
        </w:rPr>
        <w:t>j</w:t>
      </w:r>
      <w:r w:rsidRPr="004E6CFC">
        <w:t xml:space="preserve"> en el  nivel de tensión </w:t>
      </w:r>
      <w:r w:rsidRPr="004E6CFC">
        <w:rPr>
          <w:i/>
          <w:iCs/>
        </w:rPr>
        <w:t xml:space="preserve">n </w:t>
      </w:r>
      <w:r w:rsidRPr="004E6CFC">
        <w:t xml:space="preserve">para el año </w:t>
      </w:r>
      <w:r w:rsidRPr="004E6CFC">
        <w:rPr>
          <w:i/>
        </w:rPr>
        <w:t>t,</w:t>
      </w:r>
      <w:r w:rsidRPr="004E6CFC">
        <w:t xml:space="preserve"> calculada según lo definido en el numeral </w:t>
      </w:r>
      <w:r w:rsidRPr="004E6CFC">
        <w:fldChar w:fldCharType="begin"/>
      </w:r>
      <w:r w:rsidRPr="004E6CFC">
        <w:instrText xml:space="preserve"> REF _Ref398642842 \r \h  \* MERGEFORMAT </w:instrText>
      </w:r>
      <w:r w:rsidRPr="004E6CFC">
        <w:fldChar w:fldCharType="separate"/>
      </w:r>
      <w:r w:rsidR="00737178">
        <w:t>3.2</w:t>
      </w:r>
      <w:r w:rsidRPr="004E6CFC">
        <w:fldChar w:fldCharType="end"/>
      </w:r>
      <w:r w:rsidRPr="004E6CFC">
        <w:t>.</w:t>
      </w:r>
    </w:p>
    <w:p w:rsidR="00EF4850" w:rsidRPr="004E6CFC" w:rsidRDefault="00EF4850" w:rsidP="00EF4850">
      <w:pPr>
        <w:ind w:left="1416" w:hanging="1416"/>
      </w:pPr>
      <w:r w:rsidRPr="004E6CFC">
        <w:rPr>
          <w:i/>
          <w:iCs/>
        </w:rPr>
        <w:t>BRT</w:t>
      </w:r>
      <w:r w:rsidRPr="004E6CFC">
        <w:rPr>
          <w:i/>
          <w:iCs/>
          <w:vertAlign w:val="subscript"/>
        </w:rPr>
        <w:t>j,n,t</w:t>
      </w:r>
      <w:r w:rsidRPr="004E6CFC">
        <w:t>:</w:t>
      </w:r>
      <w:r w:rsidRPr="004E6CFC">
        <w:tab/>
        <w:t xml:space="preserve">Base regulatoria de terrenos del OR </w:t>
      </w:r>
      <w:r w:rsidRPr="004E6CFC">
        <w:rPr>
          <w:i/>
        </w:rPr>
        <w:t>j</w:t>
      </w:r>
      <w:r w:rsidRPr="004E6CFC">
        <w:t xml:space="preserve"> en el nivel de tensión </w:t>
      </w:r>
      <w:r w:rsidRPr="004E6CFC">
        <w:rPr>
          <w:i/>
          <w:iCs/>
        </w:rPr>
        <w:t xml:space="preserve">n </w:t>
      </w:r>
      <w:r w:rsidRPr="004E6CFC">
        <w:t xml:space="preserve">para el año </w:t>
      </w:r>
      <w:r w:rsidRPr="004E6CFC">
        <w:rPr>
          <w:i/>
        </w:rPr>
        <w:t>t</w:t>
      </w:r>
      <w:r w:rsidRPr="004E6CFC">
        <w:t xml:space="preserve">, calculada según lo establecido en el numeral </w:t>
      </w:r>
      <w:r w:rsidRPr="004E6CFC">
        <w:fldChar w:fldCharType="begin"/>
      </w:r>
      <w:r w:rsidRPr="004E6CFC">
        <w:instrText xml:space="preserve"> REF _Ref476823897 \r \h  \* MERGEFORMAT </w:instrText>
      </w:r>
      <w:r w:rsidRPr="004E6CFC">
        <w:fldChar w:fldCharType="separate"/>
      </w:r>
      <w:r w:rsidR="00737178">
        <w:t>3.3</w:t>
      </w:r>
      <w:r w:rsidRPr="004E6CFC">
        <w:fldChar w:fldCharType="end"/>
      </w:r>
      <w:r w:rsidRPr="004E6CFC">
        <w:t>.</w:t>
      </w:r>
    </w:p>
    <w:p w:rsidR="00EF4850" w:rsidRPr="004E6CFC" w:rsidRDefault="00EF4850" w:rsidP="00EF4850">
      <w:pPr>
        <w:pStyle w:val="Ttulo2"/>
      </w:pPr>
      <w:bookmarkStart w:id="132" w:name="_Ref405914103"/>
      <w:bookmarkStart w:id="133" w:name="_Toc408493137"/>
      <w:bookmarkStart w:id="134" w:name="_Toc504809403"/>
      <w:bookmarkStart w:id="135" w:name="_Toc505335908"/>
      <w:r w:rsidRPr="004E6CFC">
        <w:t>BASE REGULATORIA DE ACTIVOS</w:t>
      </w:r>
      <w:bookmarkEnd w:id="132"/>
      <w:bookmarkEnd w:id="133"/>
      <w:bookmarkEnd w:id="134"/>
      <w:bookmarkEnd w:id="135"/>
    </w:p>
    <w:p w:rsidR="00EF4850" w:rsidRPr="004E6CFC" w:rsidRDefault="00EF4850" w:rsidP="00EF4850">
      <w:r w:rsidRPr="004E6CFC">
        <w:t>La base regulatoria de activos de los OR se determina de la siguiente forma:</w:t>
      </w:r>
    </w:p>
    <w:p w:rsidR="00EF4850" w:rsidRPr="004E6CFC" w:rsidRDefault="00C9592F" w:rsidP="00EF4850">
      <m:oMathPara>
        <m:oMath>
          <m:sSub>
            <m:sSubPr>
              <m:ctrlPr>
                <w:rPr>
                  <w:rFonts w:ascii="Cambria Math" w:hAnsi="Cambria Math"/>
                  <w:i/>
                </w:rPr>
              </m:ctrlPr>
            </m:sSubPr>
            <m:e>
              <m:r>
                <w:rPr>
                  <w:rFonts w:ascii="Cambria Math" w:hAnsi="Cambria Math"/>
                </w:rPr>
                <m:t>BRA</m:t>
              </m:r>
            </m:e>
            <m:sub>
              <m:r>
                <w:rPr>
                  <w:rFonts w:ascii="Cambria Math" w:hAnsi="Cambria Math"/>
                </w:rPr>
                <m:t>j</m:t>
              </m:r>
              <m:r>
                <w:rPr>
                  <w:rFonts w:ascii="Cambria Math"/>
                </w:rPr>
                <m:t>,</m:t>
              </m:r>
              <m:r>
                <w:rPr>
                  <w:rFonts w:ascii="Cambria Math" w:hAnsi="Cambria Math"/>
                </w:rPr>
                <m:t>n,t</m:t>
              </m:r>
            </m:sub>
          </m:sSub>
          <m:r>
            <w:rPr>
              <w:rFonts w:ascii="Cambria Math"/>
            </w:rPr>
            <m:t>=</m:t>
          </m:r>
          <m:sSub>
            <m:sSubPr>
              <m:ctrlPr>
                <w:rPr>
                  <w:rFonts w:ascii="Cambria Math" w:hAnsi="Cambria Math"/>
                  <w:i/>
                </w:rPr>
              </m:ctrlPr>
            </m:sSubPr>
            <m:e>
              <m:r>
                <w:rPr>
                  <w:rFonts w:ascii="Cambria Math"/>
                </w:rPr>
                <m:t>BRAE</m:t>
              </m:r>
            </m:e>
            <m:sub>
              <m:r>
                <w:rPr>
                  <w:rFonts w:ascii="Cambria Math"/>
                </w:rPr>
                <m:t>j,n,t</m:t>
              </m:r>
            </m:sub>
          </m:sSub>
          <m:r>
            <w:rPr>
              <w:rFonts w:ascii="Cambria Math"/>
            </w:rPr>
            <m:t>+</m:t>
          </m:r>
          <m:sSub>
            <m:sSubPr>
              <m:ctrlPr>
                <w:rPr>
                  <w:rFonts w:ascii="Cambria Math" w:hAnsi="Cambria Math"/>
                  <w:i/>
                </w:rPr>
              </m:ctrlPr>
            </m:sSubPr>
            <m:e>
              <m:r>
                <w:rPr>
                  <w:rFonts w:ascii="Cambria Math"/>
                </w:rPr>
                <m:t>BRANE</m:t>
              </m:r>
            </m:e>
            <m:sub>
              <m:r>
                <w:rPr>
                  <w:rFonts w:ascii="Cambria Math"/>
                </w:rPr>
                <m:t>j,n,t</m:t>
              </m:r>
            </m:sub>
          </m:sSub>
        </m:oMath>
      </m:oMathPara>
    </w:p>
    <w:p w:rsidR="00EF4850" w:rsidRPr="004E6CFC" w:rsidRDefault="00EF4850" w:rsidP="00EF4850">
      <w:pPr>
        <w:ind w:left="1410" w:hanging="1410"/>
        <w:rPr>
          <w:iCs/>
        </w:rPr>
      </w:pPr>
      <w:r w:rsidRPr="004E6CFC">
        <w:rPr>
          <w:iCs/>
        </w:rPr>
        <w:t>Donde:</w:t>
      </w:r>
    </w:p>
    <w:p w:rsidR="00EF4850" w:rsidRPr="004E6CFC" w:rsidRDefault="00EF4850" w:rsidP="00EF4850">
      <w:pPr>
        <w:ind w:left="1410" w:hanging="1410"/>
      </w:pPr>
      <w:r w:rsidRPr="004E6CFC">
        <w:rPr>
          <w:i/>
          <w:iCs/>
        </w:rPr>
        <w:t>BRA</w:t>
      </w:r>
      <w:r w:rsidRPr="004E6CFC">
        <w:rPr>
          <w:i/>
          <w:iCs/>
          <w:vertAlign w:val="subscript"/>
        </w:rPr>
        <w:t>j,n,t</w:t>
      </w:r>
      <w:r w:rsidRPr="004E6CFC">
        <w:t>:</w:t>
      </w:r>
      <w:r w:rsidRPr="004E6CFC">
        <w:tab/>
        <w:t xml:space="preserve">Base regulatoria de activos del OR </w:t>
      </w:r>
      <w:r w:rsidRPr="004E6CFC">
        <w:rPr>
          <w:i/>
        </w:rPr>
        <w:t>j</w:t>
      </w:r>
      <w:r w:rsidRPr="004E6CFC">
        <w:t xml:space="preserve"> en </w:t>
      </w:r>
      <w:r w:rsidR="009A559F" w:rsidRPr="004E6CFC">
        <w:t>el nivel</w:t>
      </w:r>
      <w:r w:rsidRPr="004E6CFC">
        <w:t xml:space="preserve"> de tensión </w:t>
      </w:r>
      <w:r w:rsidRPr="004E6CFC">
        <w:rPr>
          <w:i/>
          <w:iCs/>
        </w:rPr>
        <w:t xml:space="preserve">n </w:t>
      </w:r>
      <w:r w:rsidRPr="004E6CFC">
        <w:t xml:space="preserve">para el año </w:t>
      </w:r>
      <w:r w:rsidRPr="004E6CFC">
        <w:rPr>
          <w:i/>
        </w:rPr>
        <w:t>t.</w:t>
      </w:r>
    </w:p>
    <w:p w:rsidR="00EF4850" w:rsidRPr="004E6CFC" w:rsidRDefault="00EF4850" w:rsidP="00EF4850">
      <w:pPr>
        <w:ind w:left="1416" w:hanging="1416"/>
      </w:pPr>
      <w:r w:rsidRPr="004E6CFC">
        <w:rPr>
          <w:i/>
          <w:iCs/>
        </w:rPr>
        <w:t>BRAE</w:t>
      </w:r>
      <w:r w:rsidRPr="004E6CFC">
        <w:rPr>
          <w:i/>
          <w:iCs/>
          <w:vertAlign w:val="subscript"/>
        </w:rPr>
        <w:t>j,n,t</w:t>
      </w:r>
      <w:r w:rsidRPr="004E6CFC">
        <w:t>:</w:t>
      </w:r>
      <w:r w:rsidRPr="004E6CFC">
        <w:tab/>
        <w:t>Base regulatoria de activos eléctricos</w:t>
      </w:r>
      <w:r w:rsidRPr="004E6CFC">
        <w:rPr>
          <w:i/>
          <w:iCs/>
        </w:rPr>
        <w:t xml:space="preserve"> </w:t>
      </w:r>
      <w:r w:rsidRPr="004E6CFC">
        <w:t xml:space="preserve">del OR </w:t>
      </w:r>
      <w:r w:rsidRPr="004E6CFC">
        <w:rPr>
          <w:i/>
        </w:rPr>
        <w:t>j</w:t>
      </w:r>
      <w:r w:rsidRPr="004E6CFC">
        <w:t xml:space="preserve"> en el nivel de tensión </w:t>
      </w:r>
      <w:r w:rsidRPr="004E6CFC">
        <w:rPr>
          <w:i/>
          <w:iCs/>
        </w:rPr>
        <w:t xml:space="preserve">n </w:t>
      </w:r>
      <w:r w:rsidRPr="004E6CFC">
        <w:t xml:space="preserve">para el año </w:t>
      </w:r>
      <w:r w:rsidRPr="004E6CFC">
        <w:rPr>
          <w:i/>
        </w:rPr>
        <w:t>t</w:t>
      </w:r>
      <w:r w:rsidRPr="004E6CFC">
        <w:t xml:space="preserve">, según lo establecido en el numeral </w:t>
      </w:r>
      <w:r w:rsidRPr="004E6CFC">
        <w:fldChar w:fldCharType="begin"/>
      </w:r>
      <w:r w:rsidRPr="004E6CFC">
        <w:instrText xml:space="preserve"> REF _Ref398643025 \r \h  \* MERGEFORMAT </w:instrText>
      </w:r>
      <w:r w:rsidRPr="004E6CFC">
        <w:fldChar w:fldCharType="separate"/>
      </w:r>
      <w:r w:rsidR="00737178">
        <w:t>3.1.1</w:t>
      </w:r>
      <w:r w:rsidRPr="004E6CFC">
        <w:fldChar w:fldCharType="end"/>
      </w:r>
      <w:r w:rsidRPr="004E6CFC">
        <w:t>.</w:t>
      </w:r>
    </w:p>
    <w:p w:rsidR="00EF4850" w:rsidRPr="004E6CFC" w:rsidRDefault="00EF4850" w:rsidP="00EF4850">
      <w:pPr>
        <w:ind w:left="1416" w:hanging="1416"/>
      </w:pPr>
      <w:r w:rsidRPr="004E6CFC">
        <w:rPr>
          <w:i/>
          <w:iCs/>
        </w:rPr>
        <w:t>BRANE</w:t>
      </w:r>
      <w:r w:rsidRPr="004E6CFC">
        <w:rPr>
          <w:i/>
          <w:iCs/>
          <w:vertAlign w:val="subscript"/>
        </w:rPr>
        <w:t>j,n,t</w:t>
      </w:r>
      <w:r w:rsidRPr="004E6CFC">
        <w:t>:</w:t>
      </w:r>
      <w:r w:rsidRPr="004E6CFC">
        <w:tab/>
        <w:t xml:space="preserve">Base regulatoria de activos no eléctricos del OR </w:t>
      </w:r>
      <w:r w:rsidRPr="004E6CFC">
        <w:rPr>
          <w:i/>
        </w:rPr>
        <w:t>j</w:t>
      </w:r>
      <w:r w:rsidRPr="004E6CFC">
        <w:t xml:space="preserve"> en el nivel de tensión </w:t>
      </w:r>
      <w:r w:rsidRPr="004E6CFC">
        <w:rPr>
          <w:i/>
          <w:iCs/>
        </w:rPr>
        <w:t xml:space="preserve">n </w:t>
      </w:r>
      <w:r w:rsidRPr="004E6CFC">
        <w:t xml:space="preserve">para el año </w:t>
      </w:r>
      <w:r w:rsidRPr="004E6CFC">
        <w:rPr>
          <w:i/>
        </w:rPr>
        <w:t>t</w:t>
      </w:r>
      <w:r w:rsidRPr="004E6CFC">
        <w:t>,</w:t>
      </w:r>
      <w:r w:rsidRPr="004E6CFC">
        <w:rPr>
          <w:i/>
        </w:rPr>
        <w:t xml:space="preserve"> </w:t>
      </w:r>
      <w:r w:rsidRPr="004E6CFC">
        <w:t xml:space="preserve">según lo establecido en el numeral </w:t>
      </w:r>
      <w:r w:rsidRPr="004E6CFC">
        <w:fldChar w:fldCharType="begin"/>
      </w:r>
      <w:r w:rsidRPr="004E6CFC">
        <w:instrText xml:space="preserve"> REF _Ref445133477 \r \h  \* MERGEFORMAT </w:instrText>
      </w:r>
      <w:r w:rsidRPr="004E6CFC">
        <w:fldChar w:fldCharType="separate"/>
      </w:r>
      <w:r w:rsidR="00737178">
        <w:t>3.1.2</w:t>
      </w:r>
      <w:r w:rsidRPr="004E6CFC">
        <w:fldChar w:fldCharType="end"/>
      </w:r>
      <w:r w:rsidRPr="004E6CFC">
        <w:t>.</w:t>
      </w:r>
    </w:p>
    <w:p w:rsidR="00EF4850" w:rsidRPr="004E6CFC" w:rsidRDefault="00EF4850" w:rsidP="00EF4850">
      <w:pPr>
        <w:pStyle w:val="Ttulo3"/>
      </w:pPr>
      <w:bookmarkStart w:id="136" w:name="_Ref398643025"/>
      <w:bookmarkStart w:id="137" w:name="_Toc408493138"/>
      <w:bookmarkStart w:id="138" w:name="_Toc504809404"/>
      <w:bookmarkStart w:id="139" w:name="_Toc505335909"/>
      <w:r w:rsidRPr="004E6CFC">
        <w:t>Base regulatoria de activos eléctricos</w:t>
      </w:r>
      <w:bookmarkEnd w:id="136"/>
      <w:bookmarkEnd w:id="137"/>
      <w:bookmarkEnd w:id="138"/>
      <w:bookmarkEnd w:id="139"/>
    </w:p>
    <w:p w:rsidR="00EF4850" w:rsidRPr="004E6CFC" w:rsidRDefault="00EF4850" w:rsidP="00EF4850">
      <w:r w:rsidRPr="004E6CFC">
        <w:t>La base regulatoria de activos eléctricos de los OR se determina de la siguiente forma:</w:t>
      </w:r>
    </w:p>
    <w:p w:rsidR="00EF4850" w:rsidRPr="004E6CFC" w:rsidRDefault="00C9592F" w:rsidP="00EF4850">
      <m:oMathPara>
        <m:oMath>
          <m:sSub>
            <m:sSubPr>
              <m:ctrlPr>
                <w:rPr>
                  <w:rFonts w:ascii="Cambria Math" w:hAnsi="Cambria Math"/>
                  <w:i/>
                </w:rPr>
              </m:ctrlPr>
            </m:sSubPr>
            <m:e>
              <m:r>
                <w:rPr>
                  <w:rFonts w:ascii="Cambria Math" w:hAnsi="Cambria Math"/>
                </w:rPr>
                <m:t>BRAE</m:t>
              </m:r>
            </m:e>
            <m:sub>
              <m:r>
                <w:rPr>
                  <w:rFonts w:ascii="Cambria Math" w:hAnsi="Cambria Math"/>
                </w:rPr>
                <m:t>j</m:t>
              </m:r>
              <m:r>
                <w:rPr>
                  <w:rFonts w:ascii="Cambria Math"/>
                </w:rPr>
                <m:t>,</m:t>
              </m:r>
              <m:r>
                <w:rPr>
                  <w:rFonts w:ascii="Cambria Math" w:hAnsi="Cambria Math"/>
                </w:rPr>
                <m:t>n,t</m:t>
              </m:r>
            </m:sub>
          </m:sSub>
          <m:r>
            <w:rPr>
              <w:rFonts w:ascii="Cambria Math"/>
            </w:rPr>
            <m:t>=</m:t>
          </m:r>
          <m:sSub>
            <m:sSubPr>
              <m:ctrlPr>
                <w:rPr>
                  <w:rFonts w:ascii="Cambria Math" w:hAnsi="Cambria Math"/>
                  <w:i/>
                </w:rPr>
              </m:ctrlPr>
            </m:sSubPr>
            <m:e>
              <m:r>
                <w:rPr>
                  <w:rFonts w:ascii="Cambria Math"/>
                </w:rPr>
                <m:t>BRAE</m:t>
              </m:r>
            </m:e>
            <m:sub>
              <m:r>
                <w:rPr>
                  <w:rFonts w:ascii="Cambria Math"/>
                </w:rPr>
                <m:t>j,n,t</m:t>
              </m:r>
              <m:r>
                <w:rPr>
                  <w:rFonts w:ascii="Cambria Math"/>
                </w:rPr>
                <m:t>-</m:t>
              </m:r>
              <m:r>
                <w:rPr>
                  <w:rFonts w:ascii="Cambria Math"/>
                </w:rPr>
                <m:t>1</m:t>
              </m:r>
            </m:sub>
          </m:sSub>
          <m:r>
            <w:rPr>
              <w:rFonts w:ascii="Cambria Math"/>
            </w:rPr>
            <m:t>-</m:t>
          </m:r>
          <m:sSub>
            <m:sSubPr>
              <m:ctrlPr>
                <w:rPr>
                  <w:rFonts w:ascii="Cambria Math" w:hAnsi="Cambria Math"/>
                  <w:i/>
                </w:rPr>
              </m:ctrlPr>
            </m:sSubPr>
            <m:e>
              <m:r>
                <w:rPr>
                  <w:rFonts w:ascii="Cambria Math"/>
                </w:rPr>
                <m:t>RC</m:t>
              </m:r>
            </m:e>
            <m:sub>
              <m:r>
                <w:rPr>
                  <w:rFonts w:ascii="Cambria Math"/>
                </w:rPr>
                <m:t>j,n,t</m:t>
              </m:r>
            </m:sub>
          </m:sSub>
          <m:r>
            <w:rPr>
              <w:rFonts w:ascii="Cambria Math"/>
            </w:rPr>
            <m:t>+</m:t>
          </m:r>
          <m:sSub>
            <m:sSubPr>
              <m:ctrlPr>
                <w:rPr>
                  <w:rFonts w:ascii="Cambria Math" w:hAnsi="Cambria Math"/>
                  <w:i/>
                </w:rPr>
              </m:ctrlPr>
            </m:sSubPr>
            <m:e>
              <m:r>
                <w:rPr>
                  <w:rFonts w:ascii="Cambria Math"/>
                </w:rPr>
                <m:t>BRAEN</m:t>
              </m:r>
            </m:e>
            <m:sub>
              <m:r>
                <w:rPr>
                  <w:rFonts w:ascii="Cambria Math"/>
                </w:rPr>
                <m:t>j,n,t</m:t>
              </m:r>
            </m:sub>
          </m:sSub>
          <m:r>
            <w:rPr>
              <w:rFonts w:ascii="Cambria Math"/>
            </w:rPr>
            <m:t>-</m:t>
          </m:r>
          <m:sSub>
            <m:sSubPr>
              <m:ctrlPr>
                <w:rPr>
                  <w:rFonts w:ascii="Cambria Math" w:hAnsi="Cambria Math"/>
                  <w:i/>
                </w:rPr>
              </m:ctrlPr>
            </m:sSubPr>
            <m:e>
              <m:r>
                <w:rPr>
                  <w:rFonts w:ascii="Cambria Math" w:hAnsi="Cambria Math"/>
                </w:rPr>
                <m:t>BRAFO</m:t>
              </m:r>
            </m:e>
            <m:sub>
              <m:r>
                <w:rPr>
                  <w:rFonts w:ascii="Cambria Math" w:hAnsi="Cambria Math"/>
                </w:rPr>
                <m:t>j,n,t</m:t>
              </m:r>
            </m:sub>
          </m:sSub>
        </m:oMath>
      </m:oMathPara>
    </w:p>
    <w:p w:rsidR="00EF4850" w:rsidRPr="004E6CFC" w:rsidRDefault="00EF4850" w:rsidP="00EF4850">
      <w:pPr>
        <w:ind w:left="1410" w:hanging="1410"/>
        <w:rPr>
          <w:iCs/>
        </w:rPr>
      </w:pPr>
      <w:r w:rsidRPr="004E6CFC">
        <w:rPr>
          <w:iCs/>
        </w:rPr>
        <w:t>Donde:</w:t>
      </w:r>
    </w:p>
    <w:p w:rsidR="00EF4850" w:rsidRPr="004E6CFC" w:rsidRDefault="00EF4850" w:rsidP="00EF4850">
      <w:pPr>
        <w:ind w:left="1416" w:hanging="1416"/>
        <w:rPr>
          <w:i/>
          <w:iCs/>
        </w:rPr>
      </w:pPr>
      <w:r w:rsidRPr="004E6CFC">
        <w:rPr>
          <w:i/>
          <w:iCs/>
        </w:rPr>
        <w:t>BRAE</w:t>
      </w:r>
      <w:r w:rsidRPr="004E6CFC">
        <w:rPr>
          <w:i/>
          <w:iCs/>
          <w:vertAlign w:val="subscript"/>
        </w:rPr>
        <w:t>j,n,t</w:t>
      </w:r>
      <w:r w:rsidRPr="004E6CFC">
        <w:t>:</w:t>
      </w:r>
      <w:r w:rsidRPr="004E6CFC">
        <w:tab/>
        <w:t xml:space="preserve">Base regulatoria de activos eléctricos del OR </w:t>
      </w:r>
      <w:r w:rsidRPr="004E6CFC">
        <w:rPr>
          <w:i/>
        </w:rPr>
        <w:t>j</w:t>
      </w:r>
      <w:r w:rsidRPr="004E6CFC">
        <w:t xml:space="preserve"> en el nivel de tensión </w:t>
      </w:r>
      <w:r w:rsidRPr="004E6CFC">
        <w:rPr>
          <w:i/>
          <w:iCs/>
        </w:rPr>
        <w:t xml:space="preserve">n </w:t>
      </w:r>
      <w:r w:rsidRPr="004E6CFC">
        <w:t xml:space="preserve">para el año </w:t>
      </w:r>
      <w:r w:rsidRPr="004E6CFC">
        <w:rPr>
          <w:i/>
        </w:rPr>
        <w:t>t</w:t>
      </w:r>
      <w:r w:rsidRPr="004E6CFC">
        <w:t>.</w:t>
      </w:r>
    </w:p>
    <w:p w:rsidR="00EF4850" w:rsidRPr="004E6CFC" w:rsidRDefault="00EF4850" w:rsidP="00EF4850">
      <w:pPr>
        <w:ind w:left="1416" w:hanging="1416"/>
        <w:rPr>
          <w:i/>
          <w:iCs/>
        </w:rPr>
      </w:pPr>
      <w:r w:rsidRPr="004E6CFC">
        <w:rPr>
          <w:i/>
          <w:iCs/>
        </w:rPr>
        <w:lastRenderedPageBreak/>
        <w:t>RC</w:t>
      </w:r>
      <w:r w:rsidRPr="004E6CFC">
        <w:rPr>
          <w:i/>
          <w:iCs/>
          <w:vertAlign w:val="subscript"/>
        </w:rPr>
        <w:t>j,n,t</w:t>
      </w:r>
      <w:r w:rsidRPr="004E6CFC">
        <w:t>:</w:t>
      </w:r>
      <w:r w:rsidRPr="004E6CFC">
        <w:tab/>
        <w:t xml:space="preserve">Recuperación de capital reconocida para los activos remunerados en la base regulatoria del OR </w:t>
      </w:r>
      <w:r w:rsidRPr="004E6CFC">
        <w:rPr>
          <w:i/>
        </w:rPr>
        <w:t>j</w:t>
      </w:r>
      <w:r w:rsidRPr="004E6CFC">
        <w:t xml:space="preserve"> en el  nivel de tensión </w:t>
      </w:r>
      <w:r w:rsidRPr="004E6CFC">
        <w:rPr>
          <w:i/>
          <w:iCs/>
        </w:rPr>
        <w:t xml:space="preserve">n </w:t>
      </w:r>
      <w:r w:rsidRPr="004E6CFC">
        <w:t xml:space="preserve">para el año </w:t>
      </w:r>
      <w:r w:rsidRPr="004E6CFC">
        <w:rPr>
          <w:i/>
        </w:rPr>
        <w:t>t</w:t>
      </w:r>
      <w:r w:rsidRPr="004E6CFC">
        <w:t xml:space="preserve">, según lo establecido en el numeral </w:t>
      </w:r>
      <w:r w:rsidRPr="004E6CFC">
        <w:fldChar w:fldCharType="begin"/>
      </w:r>
      <w:r w:rsidRPr="004E6CFC">
        <w:instrText xml:space="preserve"> REF _Ref398642842 \r \h  \* MERGEFORMAT </w:instrText>
      </w:r>
      <w:r w:rsidRPr="004E6CFC">
        <w:fldChar w:fldCharType="separate"/>
      </w:r>
      <w:r w:rsidR="00737178">
        <w:t>3.2</w:t>
      </w:r>
      <w:r w:rsidRPr="004E6CFC">
        <w:fldChar w:fldCharType="end"/>
      </w:r>
      <w:r w:rsidRPr="004E6CFC">
        <w:t>.</w:t>
      </w:r>
    </w:p>
    <w:p w:rsidR="00EF4850" w:rsidRPr="004E6CFC" w:rsidRDefault="00EF4850" w:rsidP="00EF4850">
      <w:pPr>
        <w:ind w:left="1416" w:hanging="1416"/>
      </w:pPr>
      <w:r w:rsidRPr="004E6CFC">
        <w:rPr>
          <w:i/>
          <w:iCs/>
        </w:rPr>
        <w:t>BRAEN</w:t>
      </w:r>
      <w:r w:rsidRPr="004E6CFC">
        <w:rPr>
          <w:i/>
          <w:iCs/>
          <w:vertAlign w:val="subscript"/>
        </w:rPr>
        <w:t>j,n,t</w:t>
      </w:r>
      <w:r w:rsidRPr="004E6CFC">
        <w:t>:</w:t>
      </w:r>
      <w:r w:rsidRPr="004E6CFC">
        <w:tab/>
        <w:t xml:space="preserve">Base regulatoria de activos eléctricos nuevos del OR </w:t>
      </w:r>
      <w:r w:rsidRPr="004E6CFC">
        <w:rPr>
          <w:i/>
        </w:rPr>
        <w:t>j</w:t>
      </w:r>
      <w:r w:rsidRPr="004E6CFC">
        <w:t xml:space="preserve"> en el  nivel de tensión </w:t>
      </w:r>
      <w:r w:rsidRPr="004E6CFC">
        <w:rPr>
          <w:i/>
          <w:iCs/>
        </w:rPr>
        <w:t xml:space="preserve">n </w:t>
      </w:r>
      <w:r w:rsidRPr="004E6CFC">
        <w:t xml:space="preserve">para el año </w:t>
      </w:r>
      <w:r w:rsidRPr="004E6CFC">
        <w:rPr>
          <w:i/>
        </w:rPr>
        <w:t>t</w:t>
      </w:r>
      <w:r w:rsidRPr="004E6CFC">
        <w:t xml:space="preserve">, según lo establecido en el numeral </w:t>
      </w:r>
      <w:r w:rsidRPr="004E6CFC">
        <w:fldChar w:fldCharType="begin"/>
      </w:r>
      <w:r w:rsidRPr="004E6CFC">
        <w:instrText xml:space="preserve"> REF _Ref404081390 \r \h  \* MERGEFORMAT </w:instrText>
      </w:r>
      <w:r w:rsidRPr="004E6CFC">
        <w:fldChar w:fldCharType="separate"/>
      </w:r>
      <w:r w:rsidR="00737178">
        <w:t>3.1.1.2</w:t>
      </w:r>
      <w:r w:rsidRPr="004E6CFC">
        <w:fldChar w:fldCharType="end"/>
      </w:r>
      <w:r w:rsidRPr="004E6CFC">
        <w:t xml:space="preserve">. </w:t>
      </w:r>
    </w:p>
    <w:p w:rsidR="00EF4850" w:rsidRPr="004E6CFC" w:rsidRDefault="00EF4850" w:rsidP="00EF4850">
      <w:pPr>
        <w:ind w:left="1410" w:hanging="1410"/>
      </w:pPr>
      <w:r w:rsidRPr="004E6CFC">
        <w:rPr>
          <w:i/>
          <w:iCs/>
        </w:rPr>
        <w:t>BRAFO</w:t>
      </w:r>
      <w:r w:rsidRPr="004E6CFC">
        <w:rPr>
          <w:i/>
          <w:iCs/>
          <w:vertAlign w:val="subscript"/>
        </w:rPr>
        <w:t>j,n,t</w:t>
      </w:r>
      <w:r w:rsidRPr="004E6CFC">
        <w:t>:</w:t>
      </w:r>
      <w:r w:rsidRPr="004E6CFC">
        <w:tab/>
        <w:t xml:space="preserve">Base regulatoria de activos eléctricos fuera de operación del OR </w:t>
      </w:r>
      <w:r w:rsidRPr="004E6CFC">
        <w:rPr>
          <w:i/>
        </w:rPr>
        <w:t>j</w:t>
      </w:r>
      <w:r w:rsidRPr="004E6CFC">
        <w:t xml:space="preserve"> .en el  nivel de tensión </w:t>
      </w:r>
      <w:r w:rsidRPr="004E6CFC">
        <w:rPr>
          <w:i/>
          <w:iCs/>
        </w:rPr>
        <w:t xml:space="preserve">n </w:t>
      </w:r>
      <w:r w:rsidRPr="004E6CFC">
        <w:t xml:space="preserve">para el año </w:t>
      </w:r>
      <w:r w:rsidRPr="004E6CFC">
        <w:rPr>
          <w:i/>
        </w:rPr>
        <w:t>t</w:t>
      </w:r>
      <w:r w:rsidRPr="004E6CFC">
        <w:t xml:space="preserve">, según lo establecido en el numeral </w:t>
      </w:r>
      <w:r w:rsidRPr="004E6CFC">
        <w:fldChar w:fldCharType="begin"/>
      </w:r>
      <w:r w:rsidRPr="004E6CFC">
        <w:instrText xml:space="preserve"> REF _Ref404081440 \r \h  \* MERGEFORMAT </w:instrText>
      </w:r>
      <w:r w:rsidRPr="004E6CFC">
        <w:fldChar w:fldCharType="separate"/>
      </w:r>
      <w:r w:rsidR="00737178">
        <w:t>3.1.1.4</w:t>
      </w:r>
      <w:r w:rsidRPr="004E6CFC">
        <w:fldChar w:fldCharType="end"/>
      </w:r>
      <w:r w:rsidRPr="004E6CFC">
        <w:t>.</w:t>
      </w:r>
    </w:p>
    <w:p w:rsidR="00EF4850" w:rsidRPr="004E6CFC" w:rsidRDefault="00EF4850" w:rsidP="00EF4850">
      <w:r w:rsidRPr="004E6CFC">
        <w:t xml:space="preserve">Para el primer año del periodo tarifario, la variable </w:t>
      </w:r>
      <w:r w:rsidRPr="004E6CFC">
        <w:rPr>
          <w:i/>
        </w:rPr>
        <w:t>BRAE</w:t>
      </w:r>
      <w:r w:rsidRPr="004E6CFC">
        <w:rPr>
          <w:i/>
          <w:vertAlign w:val="subscript"/>
        </w:rPr>
        <w:t>j,n,t</w:t>
      </w:r>
      <w:r w:rsidRPr="004E6CFC">
        <w:rPr>
          <w:i/>
          <w:vertAlign w:val="subscript"/>
        </w:rPr>
        <w:noBreakHyphen/>
        <w:t>1</w:t>
      </w:r>
      <w:r w:rsidRPr="004E6CFC">
        <w:t xml:space="preserve"> se calcula de acuerdo con lo  establecido en el numeral </w:t>
      </w:r>
      <w:r w:rsidRPr="004E6CFC">
        <w:fldChar w:fldCharType="begin"/>
      </w:r>
      <w:r w:rsidRPr="004E6CFC">
        <w:instrText xml:space="preserve"> REF _Ref408308421 \r \h  \* MERGEFORMAT </w:instrText>
      </w:r>
      <w:r w:rsidRPr="004E6CFC">
        <w:fldChar w:fldCharType="separate"/>
      </w:r>
      <w:r w:rsidR="00737178">
        <w:t>3.1.1.1</w:t>
      </w:r>
      <w:r w:rsidRPr="004E6CFC">
        <w:fldChar w:fldCharType="end"/>
      </w:r>
      <w:r w:rsidRPr="004E6CFC">
        <w:t>.</w:t>
      </w:r>
    </w:p>
    <w:p w:rsidR="00EF4850" w:rsidRPr="004E6CFC" w:rsidRDefault="00EF4850" w:rsidP="00EF4850">
      <w:pPr>
        <w:pStyle w:val="Ttulo4"/>
        <w:ind w:left="1416" w:hanging="1416"/>
      </w:pPr>
      <w:bookmarkStart w:id="140" w:name="_Ref398643041"/>
      <w:bookmarkStart w:id="141" w:name="_Ref408308421"/>
      <w:r w:rsidRPr="004E6CFC">
        <w:t xml:space="preserve">Base regulatoria de activos eléctricos </w:t>
      </w:r>
      <w:bookmarkEnd w:id="140"/>
      <w:r w:rsidRPr="004E6CFC">
        <w:t>al inicio del periodo tarifario</w:t>
      </w:r>
      <w:bookmarkEnd w:id="141"/>
    </w:p>
    <w:p w:rsidR="00EF4850" w:rsidRPr="004E6CFC" w:rsidRDefault="00EF4850" w:rsidP="00EF4850">
      <w:pPr>
        <w:rPr>
          <w:lang w:val="es-ES_tradnl"/>
        </w:rPr>
      </w:pPr>
      <w:r w:rsidRPr="004E6CFC">
        <w:rPr>
          <w:lang w:val="es-ES_tradnl"/>
        </w:rPr>
        <w:t xml:space="preserve">La base regulatoria de activos eléctricos para el primer año del periodo tarifario se determina de la siguiente forma: </w:t>
      </w:r>
    </w:p>
    <w:p w:rsidR="00EF4850" w:rsidRPr="004E6CFC" w:rsidRDefault="00C9592F" w:rsidP="00EF4850">
      <m:oMathPara>
        <m:oMath>
          <m:sSub>
            <m:sSubPr>
              <m:ctrlPr>
                <w:rPr>
                  <w:rFonts w:ascii="Cambria Math" w:hAnsi="Cambria Math"/>
                  <w:i/>
                </w:rPr>
              </m:ctrlPr>
            </m:sSubPr>
            <m:e>
              <m:r>
                <w:rPr>
                  <w:rFonts w:ascii="Cambria Math" w:hAnsi="Cambria Math"/>
                </w:rPr>
                <m:t>BRAE</m:t>
              </m:r>
            </m:e>
            <m:sub>
              <m:r>
                <w:rPr>
                  <w:rFonts w:ascii="Cambria Math" w:hAnsi="Cambria Math"/>
                </w:rPr>
                <m:t>j</m:t>
              </m:r>
              <m:r>
                <w:rPr>
                  <w:rFonts w:ascii="Cambria Math"/>
                </w:rPr>
                <m:t>,n,0</m:t>
              </m:r>
            </m:sub>
          </m:sSub>
          <m:r>
            <w:rPr>
              <w:rFonts w:ascii="Cambria Math"/>
            </w:rPr>
            <m:t>=</m:t>
          </m:r>
          <m:nary>
            <m:naryPr>
              <m:chr m:val="∑"/>
              <m:limLoc m:val="undOvr"/>
              <m:ctrlPr>
                <w:rPr>
                  <w:rFonts w:ascii="Cambria Math" w:hAnsi="Cambria Math"/>
                  <w:i/>
                </w:rPr>
              </m:ctrlPr>
            </m:naryPr>
            <m:sub>
              <m:r>
                <w:rPr>
                  <w:rFonts w:ascii="Cambria Math" w:hAnsi="Cambria Math"/>
                </w:rPr>
                <m:t>l=1</m:t>
              </m:r>
            </m:sub>
            <m:sup>
              <m:sSub>
                <m:sSubPr>
                  <m:ctrlPr>
                    <w:rPr>
                      <w:rFonts w:ascii="Cambria Math" w:hAnsi="Cambria Math"/>
                      <w:i/>
                    </w:rPr>
                  </m:ctrlPr>
                </m:sSubPr>
                <m:e>
                  <m:r>
                    <w:rPr>
                      <w:rFonts w:ascii="Cambria Math" w:hAnsi="Cambria Math"/>
                    </w:rPr>
                    <m:t>L</m:t>
                  </m:r>
                </m:e>
                <m:sub>
                  <m:r>
                    <w:rPr>
                      <w:rFonts w:ascii="Cambria Math" w:hAnsi="Cambria Math"/>
                    </w:rPr>
                    <m:t>n</m:t>
                  </m:r>
                </m:sub>
              </m:sSub>
            </m:sup>
            <m:e>
              <m:d>
                <m:dPr>
                  <m:ctrlPr>
                    <w:rPr>
                      <w:rFonts w:ascii="Cambria Math" w:hAnsi="Cambria Math"/>
                      <w:i/>
                    </w:rPr>
                  </m:ctrlPr>
                </m:dPr>
                <m:e>
                  <m:sSub>
                    <m:sSubPr>
                      <m:ctrlPr>
                        <w:rPr>
                          <w:rFonts w:ascii="Cambria Math" w:hAnsi="Cambria Math"/>
                          <w:i/>
                        </w:rPr>
                      </m:ctrlPr>
                    </m:sSubPr>
                    <m:e>
                      <m:r>
                        <w:rPr>
                          <w:rFonts w:ascii="Cambria Math" w:hAnsi="Cambria Math"/>
                        </w:rPr>
                        <m:t xml:space="preserve"> CRII</m:t>
                      </m:r>
                    </m:e>
                    <m:sub>
                      <m:r>
                        <w:rPr>
                          <w:rFonts w:ascii="Cambria Math" w:hAnsi="Cambria Math"/>
                        </w:rPr>
                        <m:t>j,n,l</m:t>
                      </m:r>
                    </m:sub>
                  </m:sSub>
                  <m:sSub>
                    <m:sSubPr>
                      <m:ctrlPr>
                        <w:rPr>
                          <w:rFonts w:ascii="Cambria Math" w:hAnsi="Cambria Math"/>
                          <w:i/>
                        </w:rPr>
                      </m:ctrlPr>
                    </m:sSubPr>
                    <m:e>
                      <m:r>
                        <w:rPr>
                          <w:rFonts w:ascii="Cambria Math" w:hAnsi="Cambria Math"/>
                        </w:rPr>
                        <m:t>*CRA</m:t>
                      </m:r>
                    </m:e>
                    <m:sub>
                      <m:r>
                        <w:rPr>
                          <w:rFonts w:ascii="Cambria Math" w:hAnsi="Cambria Math"/>
                        </w:rPr>
                        <m:t>n,l</m:t>
                      </m:r>
                    </m:sub>
                  </m:sSub>
                  <m:r>
                    <w:rPr>
                      <w:rFonts w:ascii="Cambria Math" w:hAnsi="Cambria Math"/>
                    </w:rPr>
                    <m:t xml:space="preserve">+ </m:t>
                  </m:r>
                  <m:sSub>
                    <m:sSubPr>
                      <m:ctrlPr>
                        <w:rPr>
                          <w:rFonts w:ascii="Cambria Math" w:hAnsi="Cambria Math"/>
                          <w:i/>
                        </w:rPr>
                      </m:ctrlPr>
                    </m:sSubPr>
                    <m:e>
                      <m:r>
                        <w:rPr>
                          <w:rFonts w:ascii="Cambria Math" w:hAnsi="Cambria Math"/>
                        </w:rPr>
                        <m:t>CRIN</m:t>
                      </m:r>
                    </m:e>
                    <m:sub>
                      <m:r>
                        <w:rPr>
                          <w:rFonts w:ascii="Cambria Math" w:hAnsi="Cambria Math"/>
                        </w:rPr>
                        <m:t>j,n,l</m:t>
                      </m:r>
                    </m:sub>
                  </m:sSub>
                </m:e>
              </m:d>
            </m:e>
          </m:nary>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IPP</m:t>
                  </m:r>
                </m:e>
                <m:sub>
                  <m:r>
                    <w:rPr>
                      <w:rFonts w:ascii="Cambria Math" w:hAnsi="Cambria Math"/>
                    </w:rPr>
                    <m:t>0</m:t>
                  </m:r>
                </m:sub>
              </m:sSub>
            </m:num>
            <m:den>
              <m:sSub>
                <m:sSubPr>
                  <m:ctrlPr>
                    <w:rPr>
                      <w:rFonts w:ascii="Cambria Math" w:hAnsi="Cambria Math"/>
                      <w:i/>
                    </w:rPr>
                  </m:ctrlPr>
                </m:sSubPr>
                <m:e>
                  <m:r>
                    <w:rPr>
                      <w:rFonts w:ascii="Cambria Math" w:hAnsi="Cambria Math"/>
                    </w:rPr>
                    <m:t>IPP</m:t>
                  </m:r>
                </m:e>
                <m:sub>
                  <m:r>
                    <w:rPr>
                      <w:rFonts w:ascii="Cambria Math" w:hAnsi="Cambria Math"/>
                    </w:rPr>
                    <m:t>base</m:t>
                  </m:r>
                </m:sub>
              </m:sSub>
            </m:den>
          </m:f>
        </m:oMath>
      </m:oMathPara>
    </w:p>
    <w:p w:rsidR="00EF4850" w:rsidRPr="004E6CFC" w:rsidRDefault="00EF4850" w:rsidP="00EF4850">
      <w:pPr>
        <w:ind w:left="1410" w:hanging="1410"/>
        <w:rPr>
          <w:iCs/>
        </w:rPr>
      </w:pPr>
      <w:r w:rsidRPr="004E6CFC">
        <w:rPr>
          <w:iCs/>
        </w:rPr>
        <w:t>Donde:</w:t>
      </w:r>
    </w:p>
    <w:p w:rsidR="00EF4850" w:rsidRPr="004E6CFC" w:rsidRDefault="00EF4850" w:rsidP="00EF4850">
      <w:pPr>
        <w:ind w:left="1416" w:hanging="1416"/>
      </w:pPr>
      <w:r w:rsidRPr="004E6CFC">
        <w:rPr>
          <w:i/>
          <w:iCs/>
        </w:rPr>
        <w:t>BRAE</w:t>
      </w:r>
      <w:r w:rsidRPr="004E6CFC">
        <w:rPr>
          <w:i/>
          <w:iCs/>
          <w:vertAlign w:val="subscript"/>
        </w:rPr>
        <w:t>j,n,0</w:t>
      </w:r>
      <w:r w:rsidRPr="004E6CFC">
        <w:t>:</w:t>
      </w:r>
      <w:r w:rsidRPr="004E6CFC">
        <w:tab/>
        <w:t xml:space="preserve">Base regulatoria de activos eléctricos del OR </w:t>
      </w:r>
      <w:r w:rsidRPr="004E6CFC">
        <w:rPr>
          <w:i/>
        </w:rPr>
        <w:t>j</w:t>
      </w:r>
      <w:r w:rsidRPr="004E6CFC">
        <w:t xml:space="preserve"> en el nivel de tensión </w:t>
      </w:r>
      <w:r w:rsidRPr="004E6CFC">
        <w:rPr>
          <w:i/>
          <w:iCs/>
        </w:rPr>
        <w:t xml:space="preserve">n </w:t>
      </w:r>
      <w:r w:rsidRPr="004E6CFC">
        <w:t>al inicio del periodo tarifario.</w:t>
      </w:r>
    </w:p>
    <w:p w:rsidR="00EF4850" w:rsidRPr="004E6CFC" w:rsidRDefault="00EF4850" w:rsidP="00EF4850">
      <w:pPr>
        <w:spacing w:before="120"/>
        <w:ind w:left="1418" w:hanging="1418"/>
      </w:pPr>
      <w:r w:rsidRPr="004E6CFC">
        <w:rPr>
          <w:i/>
          <w:iCs/>
        </w:rPr>
        <w:t>CRII</w:t>
      </w:r>
      <w:r w:rsidRPr="004E6CFC">
        <w:rPr>
          <w:i/>
          <w:iCs/>
          <w:vertAlign w:val="subscript"/>
        </w:rPr>
        <w:t>j,n,l</w:t>
      </w:r>
      <w:r w:rsidRPr="004E6CFC">
        <w:t>:</w:t>
      </w:r>
      <w:r w:rsidRPr="004E6CFC">
        <w:tab/>
        <w:t xml:space="preserve">Valor implícito de los activos del OR </w:t>
      </w:r>
      <w:r w:rsidRPr="004E6CFC">
        <w:rPr>
          <w:i/>
        </w:rPr>
        <w:t>j</w:t>
      </w:r>
      <w:r w:rsidRPr="004E6CFC">
        <w:t xml:space="preserve"> en el nivel de tensión </w:t>
      </w:r>
      <w:r w:rsidRPr="004E6CFC">
        <w:rPr>
          <w:i/>
        </w:rPr>
        <w:t>n</w:t>
      </w:r>
      <w:r w:rsidRPr="004E6CFC">
        <w:t xml:space="preserve"> para la categoría de activos </w:t>
      </w:r>
      <w:r w:rsidRPr="004E6CFC">
        <w:rPr>
          <w:i/>
        </w:rPr>
        <w:t>l</w:t>
      </w:r>
      <w:r w:rsidRPr="004E6CFC">
        <w:t xml:space="preserve">, calculado de acuerdo con lo establecido en el numeral </w:t>
      </w:r>
      <w:r w:rsidRPr="004E6CFC">
        <w:fldChar w:fldCharType="begin"/>
      </w:r>
      <w:r w:rsidRPr="004E6CFC">
        <w:instrText xml:space="preserve"> REF _Ref439666783 \r \h  \* MERGEFORMAT </w:instrText>
      </w:r>
      <w:r w:rsidRPr="004E6CFC">
        <w:fldChar w:fldCharType="separate"/>
      </w:r>
      <w:r w:rsidR="00737178">
        <w:t>3.1.1.1.1</w:t>
      </w:r>
      <w:r w:rsidRPr="004E6CFC">
        <w:fldChar w:fldCharType="end"/>
      </w:r>
      <w:r w:rsidRPr="004E6CFC">
        <w:t>.</w:t>
      </w:r>
    </w:p>
    <w:p w:rsidR="00EF4850" w:rsidRDefault="00EF4850" w:rsidP="00EF4850">
      <w:pPr>
        <w:tabs>
          <w:tab w:val="left" w:pos="1418"/>
        </w:tabs>
        <w:spacing w:before="120"/>
        <w:ind w:left="1418" w:hanging="1418"/>
      </w:pPr>
      <w:r w:rsidRPr="004E6CFC">
        <w:rPr>
          <w:i/>
          <w:iCs/>
        </w:rPr>
        <w:t>CRA</w:t>
      </w:r>
      <w:r w:rsidRPr="004E6CFC">
        <w:rPr>
          <w:i/>
          <w:iCs/>
          <w:vertAlign w:val="subscript"/>
        </w:rPr>
        <w:t>n</w:t>
      </w:r>
      <w:r>
        <w:rPr>
          <w:i/>
          <w:iCs/>
          <w:vertAlign w:val="subscript"/>
        </w:rPr>
        <w:t>,</w:t>
      </w:r>
      <w:r w:rsidRPr="004E6CFC">
        <w:rPr>
          <w:i/>
          <w:iCs/>
          <w:vertAlign w:val="subscript"/>
        </w:rPr>
        <w:t>l</w:t>
      </w:r>
      <w:r w:rsidRPr="004E6CFC">
        <w:rPr>
          <w:i/>
          <w:iCs/>
        </w:rPr>
        <w:t>:</w:t>
      </w:r>
      <w:r w:rsidRPr="004E6CFC">
        <w:tab/>
        <w:t xml:space="preserve">Factor de capital remanente de los activos en el nivel de tensión </w:t>
      </w:r>
      <w:r w:rsidRPr="004E6CFC">
        <w:rPr>
          <w:i/>
        </w:rPr>
        <w:t>n</w:t>
      </w:r>
      <w:r>
        <w:rPr>
          <w:i/>
        </w:rPr>
        <w:t xml:space="preserve"> </w:t>
      </w:r>
      <w:r w:rsidRPr="00DF0956">
        <w:t>para</w:t>
      </w:r>
      <w:r>
        <w:rPr>
          <w:i/>
        </w:rPr>
        <w:t xml:space="preserve"> </w:t>
      </w:r>
      <w:r w:rsidRPr="004E6CFC">
        <w:t xml:space="preserve">la categoría de activos </w:t>
      </w:r>
      <w:r w:rsidRPr="004E6CFC">
        <w:rPr>
          <w:i/>
        </w:rPr>
        <w:t>l</w:t>
      </w:r>
      <w:r w:rsidRPr="004E6CFC">
        <w:t>, calculado de acuerdo co</w:t>
      </w:r>
      <w:r>
        <w:t xml:space="preserve">n lo establecido en el numeral </w:t>
      </w:r>
      <w:r>
        <w:fldChar w:fldCharType="begin"/>
      </w:r>
      <w:r>
        <w:instrText xml:space="preserve"> REF _Ref456272755 \r \h </w:instrText>
      </w:r>
      <w:r>
        <w:fldChar w:fldCharType="separate"/>
      </w:r>
      <w:r w:rsidR="00737178">
        <w:t>3.1.1.1.3</w:t>
      </w:r>
      <w:r>
        <w:fldChar w:fldCharType="end"/>
      </w:r>
      <w:r w:rsidRPr="004E6CFC">
        <w:t>.</w:t>
      </w:r>
    </w:p>
    <w:p w:rsidR="00EF4850" w:rsidRPr="004E6CFC" w:rsidRDefault="00EF4850" w:rsidP="00EF4850">
      <w:pPr>
        <w:spacing w:before="120"/>
        <w:ind w:left="1418" w:hanging="1418"/>
      </w:pPr>
      <w:r w:rsidRPr="004E6CFC">
        <w:rPr>
          <w:i/>
          <w:iCs/>
        </w:rPr>
        <w:t>CRIN</w:t>
      </w:r>
      <w:r w:rsidRPr="004E6CFC">
        <w:rPr>
          <w:i/>
          <w:iCs/>
          <w:vertAlign w:val="subscript"/>
        </w:rPr>
        <w:t>j,n,l</w:t>
      </w:r>
      <w:r w:rsidRPr="004E6CFC">
        <w:t>:</w:t>
      </w:r>
      <w:r w:rsidRPr="004E6CFC">
        <w:tab/>
      </w:r>
      <w:r>
        <w:t xml:space="preserve">Valor de </w:t>
      </w:r>
      <w:r w:rsidRPr="004E6CFC">
        <w:t xml:space="preserve">la inversión del OR </w:t>
      </w:r>
      <w:r w:rsidRPr="004E6CFC">
        <w:rPr>
          <w:i/>
        </w:rPr>
        <w:t>j</w:t>
      </w:r>
      <w:r w:rsidRPr="004E6CFC">
        <w:t xml:space="preserve"> en el nivel de tensión </w:t>
      </w:r>
      <w:r w:rsidRPr="004E6CFC">
        <w:rPr>
          <w:i/>
        </w:rPr>
        <w:t>n</w:t>
      </w:r>
      <w:r w:rsidRPr="004E6CFC">
        <w:t xml:space="preserve"> para la categoría de activos </w:t>
      </w:r>
      <w:r w:rsidRPr="004E6CFC">
        <w:rPr>
          <w:i/>
        </w:rPr>
        <w:t>l</w:t>
      </w:r>
      <w:r w:rsidRPr="004E6CFC">
        <w:t xml:space="preserve">, asociado con los activos que fueron puestos en operación en el periodo 2008 a la fecha de corte, calculado de acuerdo con lo establecido en el numeral </w:t>
      </w:r>
      <w:r>
        <w:fldChar w:fldCharType="begin"/>
      </w:r>
      <w:r>
        <w:instrText xml:space="preserve"> REF _Ref504639236 \r \h </w:instrText>
      </w:r>
      <w:r>
        <w:fldChar w:fldCharType="separate"/>
      </w:r>
      <w:r w:rsidR="00737178">
        <w:t>3.1.1.1.4</w:t>
      </w:r>
      <w:r>
        <w:fldChar w:fldCharType="end"/>
      </w:r>
      <w:r>
        <w:t>.</w:t>
      </w:r>
    </w:p>
    <w:p w:rsidR="00EF4850" w:rsidRPr="004E6CFC" w:rsidRDefault="00EF4850" w:rsidP="00EF4850">
      <w:pPr>
        <w:tabs>
          <w:tab w:val="left" w:pos="1418"/>
        </w:tabs>
        <w:spacing w:before="120"/>
        <w:ind w:left="1418" w:hanging="1418"/>
      </w:pPr>
      <w:r w:rsidRPr="001F18B6">
        <w:rPr>
          <w:i/>
          <w:iCs/>
        </w:rPr>
        <w:t>L</w:t>
      </w:r>
      <w:r w:rsidRPr="001F18B6">
        <w:rPr>
          <w:i/>
          <w:iCs/>
          <w:vertAlign w:val="subscript"/>
        </w:rPr>
        <w:t>n</w:t>
      </w:r>
      <w:r w:rsidRPr="001F18B6">
        <w:rPr>
          <w:i/>
          <w:iCs/>
        </w:rPr>
        <w:t>:</w:t>
      </w:r>
      <w:r w:rsidRPr="001F18B6">
        <w:t xml:space="preserve"> </w:t>
      </w:r>
      <w:r w:rsidRPr="001F18B6">
        <w:tab/>
        <w:t xml:space="preserve">Cantidad de categorías de activos en el nivel de tensión </w:t>
      </w:r>
      <w:r w:rsidRPr="001F18B6">
        <w:rPr>
          <w:i/>
        </w:rPr>
        <w:t xml:space="preserve">n, </w:t>
      </w:r>
      <w:r w:rsidRPr="001F18B6">
        <w:t xml:space="preserve">incluyendo la categoría </w:t>
      </w:r>
      <w:r w:rsidRPr="001F18B6">
        <w:rPr>
          <w:i/>
        </w:rPr>
        <w:t>l</w:t>
      </w:r>
      <w:r w:rsidRPr="001F18B6">
        <w:t xml:space="preserve"> = 10.</w:t>
      </w:r>
    </w:p>
    <w:p w:rsidR="00EF4850" w:rsidRPr="004E6CFC" w:rsidRDefault="00EF4850" w:rsidP="00EF4850">
      <w:pPr>
        <w:ind w:left="1410" w:hanging="1410"/>
      </w:pPr>
      <w:r w:rsidRPr="004E6CFC">
        <w:rPr>
          <w:i/>
          <w:iCs/>
        </w:rPr>
        <w:t>IPP</w:t>
      </w:r>
      <w:r>
        <w:rPr>
          <w:i/>
          <w:iCs/>
          <w:vertAlign w:val="subscript"/>
        </w:rPr>
        <w:t>0</w:t>
      </w:r>
      <w:r w:rsidRPr="004E6CFC">
        <w:t>:</w:t>
      </w:r>
      <w:r w:rsidRPr="004E6CFC">
        <w:tab/>
        <w:t>Índice de precios del productor</w:t>
      </w:r>
      <w:r w:rsidRPr="004E6CFC" w:rsidDel="004B5F5F">
        <w:t xml:space="preserve"> </w:t>
      </w:r>
      <w:r>
        <w:t>de</w:t>
      </w:r>
      <w:r w:rsidRPr="004E6CFC">
        <w:t xml:space="preserve"> la fecha de corte.</w:t>
      </w:r>
    </w:p>
    <w:p w:rsidR="00EF4850" w:rsidRPr="004E6CFC" w:rsidRDefault="00EF4850" w:rsidP="00EF4850">
      <w:pPr>
        <w:ind w:left="1410" w:hanging="1410"/>
      </w:pPr>
      <w:r w:rsidRPr="004E6CFC">
        <w:rPr>
          <w:i/>
          <w:iCs/>
        </w:rPr>
        <w:t>IPP</w:t>
      </w:r>
      <w:r w:rsidRPr="004E6CFC">
        <w:rPr>
          <w:i/>
          <w:iCs/>
          <w:vertAlign w:val="subscript"/>
        </w:rPr>
        <w:t>base</w:t>
      </w:r>
      <w:r w:rsidRPr="004E6CFC">
        <w:t>:</w:t>
      </w:r>
      <w:r w:rsidRPr="004E6CFC">
        <w:tab/>
        <w:t>Índice de precios del productor correspondiente a diciembre de 2007.</w:t>
      </w:r>
    </w:p>
    <w:p w:rsidR="00EF4850" w:rsidRPr="004E6CFC" w:rsidRDefault="00EF4850" w:rsidP="00EF4850">
      <w:pPr>
        <w:pStyle w:val="Ttulo5"/>
      </w:pPr>
      <w:bookmarkStart w:id="142" w:name="_Ref439666783"/>
      <w:r w:rsidRPr="004E6CFC">
        <w:t xml:space="preserve">Valor implícito de los activos </w:t>
      </w:r>
      <w:bookmarkEnd w:id="142"/>
    </w:p>
    <w:p w:rsidR="00EF4850" w:rsidRPr="004E6CFC" w:rsidRDefault="00EF4850" w:rsidP="00EF4850">
      <w:pPr>
        <w:rPr>
          <w:lang w:val="es-ES_tradnl"/>
        </w:rPr>
      </w:pPr>
      <w:r w:rsidRPr="004E6CFC">
        <w:t xml:space="preserve">El valor implícito de los activos </w:t>
      </w:r>
      <w:r w:rsidRPr="004E6CFC">
        <w:rPr>
          <w:lang w:val="es-ES_tradnl"/>
        </w:rPr>
        <w:t xml:space="preserve">se calcula de la siguiente forma: </w:t>
      </w:r>
    </w:p>
    <w:p w:rsidR="00EF4850" w:rsidRPr="004E6CFC" w:rsidRDefault="00C9592F" w:rsidP="00EF4850">
      <m:oMathPara>
        <m:oMath>
          <m:sSub>
            <m:sSubPr>
              <m:ctrlPr>
                <w:rPr>
                  <w:rFonts w:ascii="Cambria Math" w:hAnsi="Cambria Math"/>
                  <w:i/>
                </w:rPr>
              </m:ctrlPr>
            </m:sSubPr>
            <m:e>
              <m:r>
                <w:rPr>
                  <w:rFonts w:ascii="Cambria Math" w:hAnsi="Cambria Math"/>
                </w:rPr>
                <m:t>CRII</m:t>
              </m:r>
            </m:e>
            <m:sub>
              <m:r>
                <w:rPr>
                  <w:rFonts w:ascii="Cambria Math" w:hAnsi="Cambria Math"/>
                </w:rPr>
                <m:t>j</m:t>
              </m:r>
              <m:r>
                <w:rPr>
                  <w:rFonts w:ascii="Cambria Math"/>
                </w:rPr>
                <m:t>,n,l</m:t>
              </m:r>
            </m:sub>
          </m:sSub>
          <m:r>
            <w:rPr>
              <w:rFonts w:ascii="Cambria Math"/>
            </w:rPr>
            <m:t>=</m:t>
          </m:r>
          <m:sSub>
            <m:sSubPr>
              <m:ctrlPr>
                <w:rPr>
                  <w:rFonts w:ascii="Cambria Math" w:hAnsi="Cambria Math"/>
                  <w:i/>
                </w:rPr>
              </m:ctrlPr>
            </m:sSubPr>
            <m:e>
              <m:r>
                <w:rPr>
                  <w:rFonts w:ascii="Cambria Math" w:hAnsi="Cambria Math"/>
                </w:rPr>
                <m:t>CAI</m:t>
              </m:r>
            </m:e>
            <m:sub>
              <m:r>
                <w:rPr>
                  <w:rFonts w:ascii="Cambria Math" w:hAnsi="Cambria Math"/>
                </w:rPr>
                <m:t>j</m:t>
              </m:r>
              <m:r>
                <w:rPr>
                  <w:rFonts w:ascii="Cambria Math"/>
                </w:rPr>
                <m:t>,n,l</m:t>
              </m:r>
            </m:sub>
          </m:sSub>
          <m:r>
            <w:rPr>
              <w:rFonts w:ascii="Cambria Math" w:hAnsi="Cambria Math"/>
            </w:rPr>
            <m:t>*</m:t>
          </m:r>
          <m:f>
            <m:fPr>
              <m:ctrlPr>
                <w:rPr>
                  <w:rFonts w:ascii="Cambria Math" w:hAnsi="Cambria Math"/>
                  <w:i/>
                </w:rPr>
              </m:ctrlPr>
            </m:fPr>
            <m:num>
              <m:r>
                <w:rPr>
                  <w:rFonts w:ascii="Cambria Math" w:hAnsi="Cambria Math"/>
                </w:rPr>
                <m:t>1-</m:t>
              </m:r>
              <m:sSup>
                <m:sSupPr>
                  <m:ctrlPr>
                    <w:rPr>
                      <w:rFonts w:ascii="Cambria Math" w:hAnsi="Cambria Math"/>
                      <w:i/>
                    </w:rPr>
                  </m:ctrlPr>
                </m:sSupPr>
                <m:e>
                  <m:d>
                    <m:dPr>
                      <m:ctrlPr>
                        <w:rPr>
                          <w:rFonts w:ascii="Cambria Math" w:hAnsi="Cambria Math"/>
                          <w:i/>
                        </w:rPr>
                      </m:ctrlPr>
                    </m:dPr>
                    <m:e>
                      <m:r>
                        <w:rPr>
                          <w:rFonts w:ascii="Cambria Math" w:hAnsi="Cambria Math"/>
                        </w:rPr>
                        <m:t>1+</m:t>
                      </m:r>
                      <m:sSub>
                        <m:sSubPr>
                          <m:ctrlPr>
                            <w:rPr>
                              <w:rFonts w:ascii="Cambria Math" w:hAnsi="Cambria Math"/>
                              <w:i/>
                            </w:rPr>
                          </m:ctrlPr>
                        </m:sSubPr>
                        <m:e>
                          <m:r>
                            <w:rPr>
                              <w:rFonts w:ascii="Cambria Math" w:hAnsi="Cambria Math"/>
                            </w:rPr>
                            <m:t>ri</m:t>
                          </m:r>
                        </m:e>
                        <m:sub>
                          <m:r>
                            <w:rPr>
                              <w:rFonts w:ascii="Cambria Math" w:hAnsi="Cambria Math"/>
                            </w:rPr>
                            <m:t>n</m:t>
                          </m:r>
                        </m:sub>
                      </m:sSub>
                    </m:e>
                  </m:d>
                </m:e>
                <m:sup>
                  <m:r>
                    <w:rPr>
                      <w:rFonts w:ascii="Cambria Math" w:hAnsi="Cambria Math"/>
                    </w:rPr>
                    <m:t>-</m:t>
                  </m:r>
                  <m:sSub>
                    <m:sSubPr>
                      <m:ctrlPr>
                        <w:rPr>
                          <w:rFonts w:ascii="Cambria Math" w:hAnsi="Cambria Math"/>
                          <w:i/>
                        </w:rPr>
                      </m:ctrlPr>
                    </m:sSubPr>
                    <m:e>
                      <m:r>
                        <w:rPr>
                          <w:rFonts w:ascii="Cambria Math" w:hAnsi="Cambria Math"/>
                        </w:rPr>
                        <m:t>vu</m:t>
                      </m:r>
                    </m:e>
                    <m:sub>
                      <m:r>
                        <w:rPr>
                          <w:rFonts w:ascii="Cambria Math" w:hAnsi="Cambria Math"/>
                        </w:rPr>
                        <m:t>n.l</m:t>
                      </m:r>
                    </m:sub>
                  </m:sSub>
                </m:sup>
              </m:sSup>
            </m:num>
            <m:den>
              <m:sSub>
                <m:sSubPr>
                  <m:ctrlPr>
                    <w:rPr>
                      <w:rFonts w:ascii="Cambria Math" w:hAnsi="Cambria Math"/>
                      <w:i/>
                    </w:rPr>
                  </m:ctrlPr>
                </m:sSubPr>
                <m:e>
                  <m:r>
                    <w:rPr>
                      <w:rFonts w:ascii="Cambria Math" w:hAnsi="Cambria Math"/>
                    </w:rPr>
                    <m:t>ri</m:t>
                  </m:r>
                </m:e>
                <m:sub>
                  <m:r>
                    <w:rPr>
                      <w:rFonts w:ascii="Cambria Math" w:hAnsi="Cambria Math"/>
                    </w:rPr>
                    <m:t>n</m:t>
                  </m:r>
                </m:sub>
              </m:sSub>
            </m:den>
          </m:f>
          <m:sSub>
            <m:sSubPr>
              <m:ctrlPr>
                <w:rPr>
                  <w:rFonts w:ascii="Cambria Math" w:hAnsi="Cambria Math"/>
                  <w:i/>
                </w:rPr>
              </m:ctrlPr>
            </m:sSubPr>
            <m:e>
              <m:r>
                <w:rPr>
                  <w:rFonts w:ascii="Cambria Math" w:hAnsi="Cambria Math"/>
                </w:rPr>
                <m:t>+</m:t>
              </m:r>
              <m:sSub>
                <m:sSubPr>
                  <m:ctrlPr>
                    <w:rPr>
                      <w:rFonts w:ascii="Cambria Math" w:hAnsi="Cambria Math"/>
                      <w:i/>
                    </w:rPr>
                  </m:ctrlPr>
                </m:sSubPr>
                <m:e>
                  <m:r>
                    <w:rPr>
                      <w:rFonts w:ascii="Cambria Math" w:hAnsi="Cambria Math"/>
                    </w:rPr>
                    <m:t xml:space="preserve"> CRINR</m:t>
                  </m:r>
                </m:e>
                <m:sub>
                  <m:r>
                    <w:rPr>
                      <w:rFonts w:ascii="Cambria Math" w:hAnsi="Cambria Math"/>
                    </w:rPr>
                    <m:t>j,n,l</m:t>
                  </m:r>
                </m:sub>
              </m:sSub>
              <m:r>
                <w:rPr>
                  <w:rFonts w:ascii="Cambria Math" w:hAnsi="Cambria Math"/>
                </w:rPr>
                <m:t>-CRIFO</m:t>
              </m:r>
            </m:e>
            <m:sub>
              <m:r>
                <w:rPr>
                  <w:rFonts w:ascii="Cambria Math" w:hAnsi="Cambria Math"/>
                </w:rPr>
                <m:t>j,n,l</m:t>
              </m:r>
            </m:sub>
          </m:sSub>
        </m:oMath>
      </m:oMathPara>
    </w:p>
    <w:p w:rsidR="00EF4850" w:rsidRPr="004E6CFC" w:rsidRDefault="00EF4850" w:rsidP="00EF4850">
      <w:pPr>
        <w:rPr>
          <w:lang w:val="es-ES_tradnl"/>
        </w:rPr>
      </w:pPr>
      <w:r w:rsidRPr="004E6CFC">
        <w:rPr>
          <w:lang w:val="es-ES_tradnl"/>
        </w:rPr>
        <w:t>Donde:</w:t>
      </w:r>
    </w:p>
    <w:p w:rsidR="00EF4850" w:rsidRPr="004E6CFC" w:rsidRDefault="00EF4850" w:rsidP="00EF4850">
      <w:pPr>
        <w:ind w:left="1418" w:hanging="1418"/>
      </w:pPr>
      <w:r w:rsidRPr="004E6CFC">
        <w:rPr>
          <w:i/>
          <w:iCs/>
        </w:rPr>
        <w:t>CRII</w:t>
      </w:r>
      <w:r w:rsidRPr="004E6CFC">
        <w:rPr>
          <w:i/>
          <w:iCs/>
          <w:vertAlign w:val="subscript"/>
        </w:rPr>
        <w:t>j,n,l</w:t>
      </w:r>
      <w:r w:rsidRPr="004E6CFC">
        <w:t>:</w:t>
      </w:r>
      <w:r w:rsidRPr="004E6CFC">
        <w:tab/>
        <w:t xml:space="preserve">Valor implícito de los activos del OR </w:t>
      </w:r>
      <w:r w:rsidRPr="004E6CFC">
        <w:rPr>
          <w:i/>
        </w:rPr>
        <w:t>j</w:t>
      </w:r>
      <w:r w:rsidRPr="004E6CFC">
        <w:t xml:space="preserve"> en el nivel de tensión </w:t>
      </w:r>
      <w:r w:rsidRPr="004E6CFC">
        <w:rPr>
          <w:i/>
        </w:rPr>
        <w:t>n</w:t>
      </w:r>
      <w:r w:rsidRPr="004E6CFC">
        <w:t xml:space="preserve"> para la categoría de activos </w:t>
      </w:r>
      <w:r w:rsidRPr="004E6CFC">
        <w:rPr>
          <w:i/>
        </w:rPr>
        <w:t>l</w:t>
      </w:r>
      <w:r w:rsidRPr="004E6CFC">
        <w:t>.</w:t>
      </w:r>
    </w:p>
    <w:p w:rsidR="00EF4850" w:rsidRPr="004E6CFC" w:rsidRDefault="00EF4850" w:rsidP="00EF4850">
      <w:pPr>
        <w:ind w:left="1418" w:hanging="1418"/>
        <w:rPr>
          <w:lang w:val="es-ES_tradnl"/>
        </w:rPr>
      </w:pPr>
      <w:r w:rsidRPr="004E6CFC">
        <w:rPr>
          <w:i/>
          <w:iCs/>
        </w:rPr>
        <w:t>CAI</w:t>
      </w:r>
      <w:r w:rsidRPr="004E6CFC">
        <w:rPr>
          <w:i/>
          <w:iCs/>
          <w:vertAlign w:val="subscript"/>
        </w:rPr>
        <w:t>j,n,l</w:t>
      </w:r>
      <w:r w:rsidRPr="004E6CFC">
        <w:t>:</w:t>
      </w:r>
      <w:r w:rsidRPr="004E6CFC">
        <w:tab/>
        <w:t xml:space="preserve">Costo anual de la inversión del OR </w:t>
      </w:r>
      <w:r w:rsidRPr="004E6CFC">
        <w:rPr>
          <w:i/>
        </w:rPr>
        <w:t>j</w:t>
      </w:r>
      <w:r w:rsidRPr="004E6CFC">
        <w:t xml:space="preserve"> por los activos del nivel de tensión </w:t>
      </w:r>
      <w:r w:rsidRPr="004E6CFC">
        <w:rPr>
          <w:i/>
        </w:rPr>
        <w:t>n</w:t>
      </w:r>
      <w:r w:rsidRPr="004E6CFC">
        <w:t xml:space="preserve"> en la categoría de activos </w:t>
      </w:r>
      <w:r w:rsidRPr="004E6CFC">
        <w:rPr>
          <w:i/>
        </w:rPr>
        <w:t>l</w:t>
      </w:r>
      <w:r w:rsidRPr="004E6CFC">
        <w:t xml:space="preserve">. De acuerdo con lo establecido en los numerales </w:t>
      </w:r>
      <w:r w:rsidRPr="004E6CFC">
        <w:fldChar w:fldCharType="begin"/>
      </w:r>
      <w:r w:rsidRPr="004E6CFC">
        <w:instrText xml:space="preserve"> REF _Ref439927235 \r \h  \* MERGEFORMAT </w:instrText>
      </w:r>
      <w:r w:rsidRPr="004E6CFC">
        <w:fldChar w:fldCharType="separate"/>
      </w:r>
      <w:r w:rsidR="00737178">
        <w:t>3.1.1.1.1.1</w:t>
      </w:r>
      <w:r w:rsidRPr="004E6CFC">
        <w:fldChar w:fldCharType="end"/>
      </w:r>
      <w:r w:rsidRPr="004E6CFC">
        <w:t xml:space="preserve">, </w:t>
      </w:r>
      <w:r w:rsidRPr="004E6CFC">
        <w:fldChar w:fldCharType="begin"/>
      </w:r>
      <w:r w:rsidRPr="004E6CFC">
        <w:instrText xml:space="preserve"> REF _Ref439927236 \r \h  \* MERGEFORMAT </w:instrText>
      </w:r>
      <w:r w:rsidRPr="004E6CFC">
        <w:fldChar w:fldCharType="separate"/>
      </w:r>
      <w:r w:rsidR="00737178">
        <w:t>3.1.1.1.1.2</w:t>
      </w:r>
      <w:r w:rsidRPr="004E6CFC">
        <w:fldChar w:fldCharType="end"/>
      </w:r>
      <w:r w:rsidRPr="004E6CFC">
        <w:t xml:space="preserve">, </w:t>
      </w:r>
      <w:r w:rsidRPr="004E6CFC">
        <w:fldChar w:fldCharType="begin"/>
      </w:r>
      <w:r w:rsidRPr="004E6CFC">
        <w:instrText xml:space="preserve"> REF _Ref439668233 \r \h  \* MERGEFORMAT </w:instrText>
      </w:r>
      <w:r w:rsidRPr="004E6CFC">
        <w:fldChar w:fldCharType="separate"/>
      </w:r>
      <w:r w:rsidR="00737178">
        <w:t>3.1.1.1.1.3</w:t>
      </w:r>
      <w:r w:rsidRPr="004E6CFC">
        <w:fldChar w:fldCharType="end"/>
      </w:r>
      <w:r w:rsidRPr="004E6CFC">
        <w:t xml:space="preserve"> y </w:t>
      </w:r>
      <w:r w:rsidRPr="004E6CFC">
        <w:fldChar w:fldCharType="begin"/>
      </w:r>
      <w:r w:rsidRPr="004E6CFC">
        <w:instrText xml:space="preserve"> REF _Ref439668235 \r \h  \* MERGEFORMAT </w:instrText>
      </w:r>
      <w:r w:rsidRPr="004E6CFC">
        <w:fldChar w:fldCharType="separate"/>
      </w:r>
      <w:r w:rsidR="00737178">
        <w:t>3.1.1.1.1.4</w:t>
      </w:r>
      <w:r w:rsidRPr="004E6CFC">
        <w:fldChar w:fldCharType="end"/>
      </w:r>
      <w:r w:rsidRPr="004E6CFC">
        <w:t>.</w:t>
      </w:r>
    </w:p>
    <w:p w:rsidR="00EF4850" w:rsidRPr="004E6CFC" w:rsidRDefault="00EF4850" w:rsidP="00EF4850">
      <w:pPr>
        <w:ind w:left="1418" w:hanging="1418"/>
        <w:rPr>
          <w:lang w:val="es-ES_tradnl"/>
        </w:rPr>
      </w:pPr>
      <w:r w:rsidRPr="004E6CFC">
        <w:rPr>
          <w:i/>
          <w:iCs/>
        </w:rPr>
        <w:t>ri</w:t>
      </w:r>
      <w:r w:rsidRPr="004E6CFC">
        <w:rPr>
          <w:i/>
          <w:iCs/>
          <w:vertAlign w:val="subscript"/>
        </w:rPr>
        <w:t>n</w:t>
      </w:r>
      <w:r w:rsidRPr="004E6CFC">
        <w:t>:</w:t>
      </w:r>
      <w:r w:rsidRPr="004E6CFC">
        <w:tab/>
        <w:t xml:space="preserve">Tasa de retorno para la remuneración de las inversiones en el nivel de tensión </w:t>
      </w:r>
      <w:r w:rsidRPr="004E6CFC">
        <w:rPr>
          <w:i/>
        </w:rPr>
        <w:t>n.</w:t>
      </w:r>
      <w:r w:rsidRPr="004E6CFC">
        <w:t xml:space="preserve"> Este valor corresponde a 13% para el nivel de tensión 4 y 13,9% para los niveles de tensión 3, 2 y 1.</w:t>
      </w:r>
    </w:p>
    <w:p w:rsidR="00EF4850" w:rsidRPr="004E6CFC" w:rsidRDefault="00EF4850" w:rsidP="00EF4850">
      <w:pPr>
        <w:ind w:left="1418" w:hanging="1418"/>
        <w:rPr>
          <w:i/>
        </w:rPr>
      </w:pPr>
      <w:r w:rsidRPr="004E6CFC">
        <w:rPr>
          <w:i/>
          <w:iCs/>
          <w:lang w:val="es-ES_tradnl"/>
        </w:rPr>
        <w:t>Vu</w:t>
      </w:r>
      <w:r w:rsidRPr="004E6CFC">
        <w:rPr>
          <w:i/>
          <w:iCs/>
          <w:vertAlign w:val="subscript"/>
          <w:lang w:val="es-ES_tradnl"/>
        </w:rPr>
        <w:t>n,l</w:t>
      </w:r>
      <w:r w:rsidRPr="004E6CFC">
        <w:t>:</w:t>
      </w:r>
      <w:r w:rsidRPr="004E6CFC">
        <w:tab/>
        <w:t xml:space="preserve">Vida útil para los activos del nivel de tensión </w:t>
      </w:r>
      <w:r w:rsidRPr="004E6CFC">
        <w:rPr>
          <w:i/>
        </w:rPr>
        <w:t>n</w:t>
      </w:r>
      <w:r w:rsidRPr="004E6CFC">
        <w:t xml:space="preserve"> y la categoría de activos </w:t>
      </w:r>
      <w:r w:rsidRPr="004E6CFC">
        <w:rPr>
          <w:i/>
        </w:rPr>
        <w:t>l</w:t>
      </w:r>
      <w:r w:rsidRPr="004E6CFC">
        <w:t xml:space="preserve">. De acuerdo con lo establecido en el numeral </w:t>
      </w:r>
      <w:r w:rsidRPr="004E6CFC">
        <w:fldChar w:fldCharType="begin"/>
      </w:r>
      <w:r w:rsidRPr="004E6CFC">
        <w:instrText xml:space="preserve"> REF _Ref210529042 \r \h  \* MERGEFORMAT </w:instrText>
      </w:r>
      <w:r w:rsidRPr="004E6CFC">
        <w:fldChar w:fldCharType="separate"/>
      </w:r>
      <w:r w:rsidR="00737178">
        <w:t>15.2</w:t>
      </w:r>
      <w:r w:rsidRPr="004E6CFC">
        <w:fldChar w:fldCharType="end"/>
      </w:r>
      <w:r w:rsidRPr="004E6CFC">
        <w:t>.</w:t>
      </w:r>
    </w:p>
    <w:p w:rsidR="00EF4850" w:rsidRPr="004E6CFC" w:rsidRDefault="00EF4850" w:rsidP="00EF4850">
      <w:pPr>
        <w:ind w:left="1418" w:hanging="1418"/>
      </w:pPr>
      <w:r w:rsidRPr="004E6CFC">
        <w:rPr>
          <w:i/>
          <w:iCs/>
        </w:rPr>
        <w:t>CRINR</w:t>
      </w:r>
      <w:r w:rsidRPr="004E6CFC">
        <w:rPr>
          <w:i/>
          <w:iCs/>
          <w:vertAlign w:val="subscript"/>
        </w:rPr>
        <w:t>j,n,l</w:t>
      </w:r>
      <w:r w:rsidRPr="004E6CFC">
        <w:t>:</w:t>
      </w:r>
      <w:r w:rsidRPr="004E6CFC">
        <w:tab/>
        <w:t xml:space="preserve">Valor de los activos en operación no incluido para el OR </w:t>
      </w:r>
      <w:r w:rsidRPr="004E6CFC">
        <w:rPr>
          <w:i/>
        </w:rPr>
        <w:t>j</w:t>
      </w:r>
      <w:r w:rsidRPr="004E6CFC">
        <w:t xml:space="preserve"> en el nivel de tensión </w:t>
      </w:r>
      <w:r w:rsidRPr="004E6CFC">
        <w:rPr>
          <w:i/>
        </w:rPr>
        <w:t>n</w:t>
      </w:r>
      <w:r w:rsidRPr="004E6CFC">
        <w:t xml:space="preserve"> y la categoría de activos </w:t>
      </w:r>
      <w:r w:rsidRPr="004E6CFC">
        <w:rPr>
          <w:i/>
        </w:rPr>
        <w:t>l</w:t>
      </w:r>
      <w:r w:rsidRPr="004E6CFC">
        <w:t xml:space="preserve">, calculado de acuerdo con lo establecido en el numeral </w:t>
      </w:r>
      <w:r w:rsidRPr="004E6CFC">
        <w:fldChar w:fldCharType="begin"/>
      </w:r>
      <w:r w:rsidRPr="004E6CFC">
        <w:instrText xml:space="preserve"> REF _Ref460419076 \r \h  \* MERGEFORMAT </w:instrText>
      </w:r>
      <w:r w:rsidRPr="004E6CFC">
        <w:fldChar w:fldCharType="separate"/>
      </w:r>
      <w:r w:rsidR="00737178">
        <w:t>3.1.1.1.1.7</w:t>
      </w:r>
      <w:r w:rsidRPr="004E6CFC">
        <w:fldChar w:fldCharType="end"/>
      </w:r>
      <w:r w:rsidRPr="004E6CFC">
        <w:t xml:space="preserve">.  </w:t>
      </w:r>
    </w:p>
    <w:p w:rsidR="00EF4850" w:rsidRDefault="00EF4850" w:rsidP="00EF4850">
      <w:pPr>
        <w:ind w:left="1418" w:hanging="1418"/>
      </w:pPr>
      <w:r w:rsidRPr="004E6CFC">
        <w:rPr>
          <w:i/>
          <w:iCs/>
        </w:rPr>
        <w:t>CRIFO</w:t>
      </w:r>
      <w:r w:rsidRPr="004E6CFC">
        <w:rPr>
          <w:i/>
          <w:iCs/>
          <w:vertAlign w:val="subscript"/>
        </w:rPr>
        <w:t>j,n,l</w:t>
      </w:r>
      <w:r w:rsidRPr="004E6CFC">
        <w:t>:</w:t>
      </w:r>
      <w:r w:rsidRPr="004E6CFC">
        <w:tab/>
        <w:t xml:space="preserve">Valor de los activos fuera de operación en el sistema del OR </w:t>
      </w:r>
      <w:r w:rsidRPr="004E6CFC">
        <w:rPr>
          <w:i/>
        </w:rPr>
        <w:t>j</w:t>
      </w:r>
      <w:r w:rsidRPr="004E6CFC">
        <w:t xml:space="preserve"> en el nivel de tensión </w:t>
      </w:r>
      <w:r w:rsidRPr="004E6CFC">
        <w:rPr>
          <w:i/>
        </w:rPr>
        <w:t>n</w:t>
      </w:r>
      <w:r w:rsidRPr="004E6CFC">
        <w:t xml:space="preserve"> y la categoría de activos </w:t>
      </w:r>
      <w:r w:rsidRPr="004E6CFC">
        <w:rPr>
          <w:i/>
        </w:rPr>
        <w:t>l</w:t>
      </w:r>
      <w:r w:rsidRPr="004E6CFC">
        <w:t xml:space="preserve">, calculado de acuerdo con lo establecido en el numeral </w:t>
      </w:r>
      <w:r w:rsidRPr="004E6CFC">
        <w:fldChar w:fldCharType="begin"/>
      </w:r>
      <w:r w:rsidRPr="004E6CFC">
        <w:instrText xml:space="preserve"> REF _Ref460419096 \r \h  \* MERGEFORMAT </w:instrText>
      </w:r>
      <w:r w:rsidRPr="004E6CFC">
        <w:fldChar w:fldCharType="separate"/>
      </w:r>
      <w:r w:rsidR="00737178">
        <w:t>3.1.1.1.1.8</w:t>
      </w:r>
      <w:r w:rsidRPr="004E6CFC">
        <w:fldChar w:fldCharType="end"/>
      </w:r>
      <w:r w:rsidRPr="004E6CFC">
        <w:t>.</w:t>
      </w:r>
    </w:p>
    <w:p w:rsidR="00EF4850" w:rsidRPr="004E6CFC" w:rsidRDefault="00EF4850" w:rsidP="00EF4850">
      <w:pPr>
        <w:pStyle w:val="Ttulo6"/>
        <w:ind w:left="2124" w:hanging="2124"/>
      </w:pPr>
      <w:bookmarkStart w:id="143" w:name="_Ref439927235"/>
      <w:r w:rsidRPr="004E6CFC">
        <w:t>Costo anual de la inversión de nivel de tensión 4</w:t>
      </w:r>
      <w:bookmarkEnd w:id="143"/>
    </w:p>
    <w:p w:rsidR="00EF4850" w:rsidRPr="004E6CFC" w:rsidRDefault="00EF4850" w:rsidP="00EF4850">
      <w:pPr>
        <w:rPr>
          <w:rFonts w:cs="Arial"/>
        </w:rPr>
      </w:pPr>
      <w:r w:rsidRPr="004E6CFC">
        <w:rPr>
          <w:rFonts w:cs="Arial"/>
        </w:rPr>
        <w:t xml:space="preserve">El costo anual de la inversión del nivel de tensión 4 y la categoría de activos </w:t>
      </w:r>
      <w:r w:rsidRPr="004E6CFC">
        <w:rPr>
          <w:rFonts w:cs="Arial"/>
          <w:i/>
        </w:rPr>
        <w:t>l</w:t>
      </w:r>
      <w:r w:rsidRPr="004E6CFC">
        <w:rPr>
          <w:rFonts w:cs="Arial"/>
        </w:rPr>
        <w:t xml:space="preserve"> se calcula de la siguiente manera:</w:t>
      </w:r>
    </w:p>
    <w:p w:rsidR="00EF4850" w:rsidRPr="004E6CFC" w:rsidRDefault="00C9592F" w:rsidP="00EF4850">
      <m:oMathPara>
        <m:oMath>
          <m:sSub>
            <m:sSubPr>
              <m:ctrlPr>
                <w:rPr>
                  <w:rFonts w:ascii="Cambria Math" w:hAnsi="Cambria Math"/>
                  <w:i/>
                </w:rPr>
              </m:ctrlPr>
            </m:sSubPr>
            <m:e>
              <m:r>
                <w:rPr>
                  <w:rFonts w:ascii="Cambria Math" w:hAnsi="Cambria Math"/>
                </w:rPr>
                <m:t>CAI</m:t>
              </m:r>
            </m:e>
            <m:sub>
              <m:r>
                <w:rPr>
                  <w:rFonts w:ascii="Cambria Math" w:hAnsi="Cambria Math"/>
                </w:rPr>
                <m:t>j</m:t>
              </m:r>
              <m:r>
                <w:rPr>
                  <w:rFonts w:ascii="Cambria Math"/>
                </w:rPr>
                <m:t>,4,l</m:t>
              </m:r>
            </m:sub>
          </m:sSub>
          <m:r>
            <w:rPr>
              <w:rFonts w:ascii="Cambria Math"/>
            </w:rPr>
            <m:t>=</m:t>
          </m:r>
          <m:d>
            <m:dPr>
              <m:ctrlPr>
                <w:rPr>
                  <w:rFonts w:ascii="Cambria Math" w:hAnsi="Cambria Math"/>
                  <w:i/>
                </w:rPr>
              </m:ctrlPr>
            </m:dPr>
            <m:e>
              <m:sSub>
                <m:sSubPr>
                  <m:ctrlPr>
                    <w:rPr>
                      <w:rFonts w:ascii="Cambria Math" w:hAnsi="Cambria Math"/>
                      <w:i/>
                    </w:rPr>
                  </m:ctrlPr>
                </m:sSubPr>
                <m:e>
                  <m:r>
                    <w:rPr>
                      <w:rFonts w:ascii="Cambria Math" w:hAnsi="Cambria Math"/>
                    </w:rPr>
                    <m:t>CA</m:t>
                  </m:r>
                </m:e>
                <m:sub>
                  <m:r>
                    <w:rPr>
                      <w:rFonts w:ascii="Cambria Math" w:hAnsi="Cambria Math"/>
                    </w:rPr>
                    <m:t>j</m:t>
                  </m:r>
                  <m:r>
                    <w:rPr>
                      <w:rFonts w:ascii="Cambria Math"/>
                    </w:rPr>
                    <m:t>,4</m:t>
                  </m:r>
                </m:sub>
              </m:sSub>
              <m:r>
                <w:rPr>
                  <w:rFonts w:ascii="Cambria Math" w:hAnsi="Cambria Math"/>
                </w:rPr>
                <m:t>-</m:t>
              </m:r>
              <m:sSub>
                <m:sSubPr>
                  <m:ctrlPr>
                    <w:rPr>
                      <w:rFonts w:ascii="Cambria Math" w:hAnsi="Cambria Math"/>
                      <w:i/>
                    </w:rPr>
                  </m:ctrlPr>
                </m:sSubPr>
                <m:e>
                  <m:r>
                    <w:rPr>
                      <w:rFonts w:ascii="Cambria Math" w:hAnsi="Cambria Math"/>
                    </w:rPr>
                    <m:t>AOM</m:t>
                  </m:r>
                </m:e>
                <m:sub>
                  <m:r>
                    <w:rPr>
                      <w:rFonts w:ascii="Cambria Math" w:hAnsi="Cambria Math"/>
                    </w:rPr>
                    <m:t>j</m:t>
                  </m:r>
                  <m:r>
                    <w:rPr>
                      <w:rFonts w:ascii="Cambria Math"/>
                    </w:rPr>
                    <m:t>,4</m:t>
                  </m:r>
                </m:sub>
              </m:sSub>
              <m:r>
                <w:rPr>
                  <w:rFonts w:ascii="Cambria Math" w:hAnsi="Cambria Math"/>
                </w:rPr>
                <m:t>-</m:t>
              </m:r>
              <m:sSub>
                <m:sSubPr>
                  <m:ctrlPr>
                    <w:rPr>
                      <w:rFonts w:ascii="Cambria Math" w:hAnsi="Cambria Math"/>
                      <w:i/>
                    </w:rPr>
                  </m:ctrlPr>
                </m:sSubPr>
                <m:e>
                  <m:r>
                    <w:rPr>
                      <w:rFonts w:ascii="Cambria Math" w:hAnsi="Cambria Math"/>
                    </w:rPr>
                    <m:t>CAT</m:t>
                  </m:r>
                </m:e>
                <m:sub>
                  <m:r>
                    <w:rPr>
                      <w:rFonts w:ascii="Cambria Math" w:hAnsi="Cambria Math"/>
                    </w:rPr>
                    <m:t>j</m:t>
                  </m:r>
                  <m:r>
                    <w:rPr>
                      <w:rFonts w:ascii="Cambria Math"/>
                    </w:rPr>
                    <m:t>,4</m:t>
                  </m:r>
                </m:sub>
              </m:sSub>
              <m:r>
                <w:rPr>
                  <w:rFonts w:ascii="Cambria Math" w:hAnsi="Cambria Math"/>
                </w:rPr>
                <m:t>-</m:t>
              </m:r>
              <m:sSub>
                <m:sSubPr>
                  <m:ctrlPr>
                    <w:rPr>
                      <w:rFonts w:ascii="Cambria Math" w:hAnsi="Cambria Math"/>
                      <w:i/>
                    </w:rPr>
                  </m:ctrlPr>
                </m:sSubPr>
                <m:e>
                  <m:r>
                    <w:rPr>
                      <w:rFonts w:ascii="Cambria Math" w:hAnsi="Cambria Math"/>
                    </w:rPr>
                    <m:t>CAANE</m:t>
                  </m:r>
                </m:e>
                <m:sub>
                  <m:r>
                    <w:rPr>
                      <w:rFonts w:ascii="Cambria Math" w:hAnsi="Cambria Math"/>
                    </w:rPr>
                    <m:t>j</m:t>
                  </m:r>
                  <m:r>
                    <w:rPr>
                      <w:rFonts w:ascii="Cambria Math"/>
                    </w:rPr>
                    <m:t>,4</m:t>
                  </m:r>
                </m:sub>
              </m:sSub>
            </m:e>
          </m:d>
          <m:r>
            <w:rPr>
              <w:rFonts w:ascii="Cambria Math" w:hAnsi="Cambria Math"/>
            </w:rPr>
            <m:t>*</m:t>
          </m:r>
          <m:sSub>
            <m:sSubPr>
              <m:ctrlPr>
                <w:rPr>
                  <w:rFonts w:ascii="Cambria Math" w:hAnsi="Cambria Math"/>
                  <w:i/>
                </w:rPr>
              </m:ctrlPr>
            </m:sSubPr>
            <m:e>
              <m:r>
                <w:rPr>
                  <w:rFonts w:ascii="Cambria Math" w:hAnsi="Cambria Math"/>
                </w:rPr>
                <m:t>PCAI</m:t>
              </m:r>
            </m:e>
            <m:sub>
              <m:r>
                <w:rPr>
                  <w:rFonts w:ascii="Cambria Math" w:hAnsi="Cambria Math"/>
                </w:rPr>
                <m:t>j,4,l</m:t>
              </m:r>
            </m:sub>
          </m:sSub>
        </m:oMath>
      </m:oMathPara>
    </w:p>
    <w:p w:rsidR="00EF4850" w:rsidRPr="004E6CFC" w:rsidRDefault="00EF4850" w:rsidP="00EF4850">
      <w:pPr>
        <w:rPr>
          <w:rFonts w:cs="Arial"/>
        </w:rPr>
      </w:pPr>
      <w:r w:rsidRPr="004E6CFC">
        <w:rPr>
          <w:rFonts w:cs="Arial"/>
        </w:rPr>
        <w:t>Donde:</w:t>
      </w:r>
    </w:p>
    <w:p w:rsidR="00EF4850" w:rsidRPr="004E6CFC" w:rsidRDefault="00EF4850" w:rsidP="00EF4850">
      <w:pPr>
        <w:ind w:left="1410" w:hanging="1410"/>
        <w:rPr>
          <w:rFonts w:cs="Arial"/>
        </w:rPr>
      </w:pPr>
      <w:r w:rsidRPr="004E6CFC">
        <w:rPr>
          <w:i/>
          <w:iCs/>
        </w:rPr>
        <w:t>CAI</w:t>
      </w:r>
      <w:r w:rsidRPr="004E6CFC">
        <w:rPr>
          <w:i/>
          <w:iCs/>
          <w:vertAlign w:val="subscript"/>
        </w:rPr>
        <w:t>j,4,l</w:t>
      </w:r>
      <w:r w:rsidRPr="004E6CFC">
        <w:t>:</w:t>
      </w:r>
      <w:r w:rsidRPr="004E6CFC">
        <w:tab/>
        <w:t xml:space="preserve">Costo anual de la inversión del OR </w:t>
      </w:r>
      <w:r w:rsidRPr="004E6CFC">
        <w:rPr>
          <w:i/>
        </w:rPr>
        <w:t>j</w:t>
      </w:r>
      <w:r w:rsidRPr="004E6CFC">
        <w:t xml:space="preserve"> por los activos del nivel de tensión </w:t>
      </w:r>
      <w:r w:rsidRPr="004E6CFC">
        <w:rPr>
          <w:i/>
        </w:rPr>
        <w:t>4</w:t>
      </w:r>
      <w:r w:rsidRPr="004E6CFC">
        <w:t xml:space="preserve"> en la categoría de activos </w:t>
      </w:r>
      <w:r w:rsidRPr="004E6CFC">
        <w:rPr>
          <w:i/>
        </w:rPr>
        <w:t>l</w:t>
      </w:r>
      <w:r w:rsidRPr="004E6CFC">
        <w:t>.</w:t>
      </w:r>
    </w:p>
    <w:p w:rsidR="00EF4850" w:rsidRPr="004E6CFC" w:rsidRDefault="00EF4850" w:rsidP="00EF4850">
      <w:pPr>
        <w:ind w:left="1416" w:hanging="1416"/>
      </w:pPr>
      <w:r w:rsidRPr="004E6CFC">
        <w:rPr>
          <w:i/>
          <w:iCs/>
        </w:rPr>
        <w:t>CA</w:t>
      </w:r>
      <w:r w:rsidRPr="004E6CFC">
        <w:rPr>
          <w:i/>
          <w:iCs/>
          <w:vertAlign w:val="subscript"/>
        </w:rPr>
        <w:t>j,4</w:t>
      </w:r>
      <w:r w:rsidRPr="004E6CFC">
        <w:t>:</w:t>
      </w:r>
      <w:r w:rsidRPr="004E6CFC">
        <w:tab/>
        <w:t xml:space="preserve">Costo anual por uso de los activos aprobado en aplicación de la metodología de la Resolución CREG 097 de 2008 al OR </w:t>
      </w:r>
      <w:r w:rsidRPr="004E6CFC">
        <w:rPr>
          <w:i/>
        </w:rPr>
        <w:t xml:space="preserve">j </w:t>
      </w:r>
      <w:r w:rsidRPr="004E6CFC">
        <w:t>en el nivel de tensión 4. Este valor no incluye las actualizaciones realizadas durante el periodo tarifario.</w:t>
      </w:r>
    </w:p>
    <w:p w:rsidR="00EF4850" w:rsidRPr="004E6CFC" w:rsidRDefault="00EF4850" w:rsidP="00EF4850">
      <w:pPr>
        <w:ind w:left="1416" w:hanging="1416"/>
      </w:pPr>
      <w:r w:rsidRPr="004E6CFC">
        <w:rPr>
          <w:i/>
          <w:iCs/>
        </w:rPr>
        <w:t>AOM</w:t>
      </w:r>
      <w:r w:rsidRPr="004E6CFC">
        <w:rPr>
          <w:i/>
          <w:iCs/>
          <w:vertAlign w:val="subscript"/>
        </w:rPr>
        <w:t>j,4</w:t>
      </w:r>
      <w:r w:rsidRPr="004E6CFC">
        <w:t>:</w:t>
      </w:r>
      <w:r w:rsidRPr="004E6CFC">
        <w:tab/>
        <w:t xml:space="preserve">Gastos anuales de administración, operación y mantenimiento aprobados en aplicación de la metodología de la Resolución CREG 097 de 2008 al OR </w:t>
      </w:r>
      <w:r w:rsidRPr="004E6CFC">
        <w:rPr>
          <w:i/>
        </w:rPr>
        <w:t xml:space="preserve">j </w:t>
      </w:r>
      <w:r w:rsidRPr="004E6CFC">
        <w:t>para el nivel de tensión 4. Este valor no incluye las actualizaciones realizadas durante el periodo tarifario.</w:t>
      </w:r>
    </w:p>
    <w:p w:rsidR="00EF4850" w:rsidRPr="004E6CFC" w:rsidRDefault="00EF4850" w:rsidP="00EF4850">
      <w:pPr>
        <w:ind w:left="1416" w:hanging="1416"/>
      </w:pPr>
      <w:r w:rsidRPr="004E6CFC">
        <w:rPr>
          <w:i/>
          <w:iCs/>
        </w:rPr>
        <w:t>CAT</w:t>
      </w:r>
      <w:r w:rsidRPr="004E6CFC">
        <w:rPr>
          <w:i/>
          <w:iCs/>
          <w:vertAlign w:val="subscript"/>
        </w:rPr>
        <w:t>j,4</w:t>
      </w:r>
      <w:r w:rsidRPr="004E6CFC">
        <w:t>:</w:t>
      </w:r>
      <w:r w:rsidRPr="004E6CFC">
        <w:tab/>
        <w:t xml:space="preserve">Costo anual de terrenos reconocido en aplicación de la metodología de la Resolución CREG 097 de 2008 al OR </w:t>
      </w:r>
      <w:r w:rsidRPr="004E6CFC">
        <w:rPr>
          <w:i/>
        </w:rPr>
        <w:t>j</w:t>
      </w:r>
      <w:r w:rsidRPr="004E6CFC">
        <w:t xml:space="preserve"> en el nivel de tensión 4. Este valor no incluye las actualizaciones realizadas durante el periodo tarifario.</w:t>
      </w:r>
    </w:p>
    <w:p w:rsidR="00EF4850" w:rsidRPr="004E6CFC" w:rsidRDefault="00EF4850" w:rsidP="00EF4850">
      <w:pPr>
        <w:ind w:left="1410" w:hanging="1410"/>
      </w:pPr>
      <w:r w:rsidRPr="004E6CFC">
        <w:rPr>
          <w:i/>
          <w:iCs/>
        </w:rPr>
        <w:lastRenderedPageBreak/>
        <w:t>CAANE</w:t>
      </w:r>
      <w:r w:rsidRPr="004E6CFC">
        <w:rPr>
          <w:i/>
          <w:iCs/>
          <w:vertAlign w:val="subscript"/>
        </w:rPr>
        <w:t>j,4</w:t>
      </w:r>
      <w:r w:rsidRPr="004E6CFC">
        <w:t>:</w:t>
      </w:r>
      <w:r w:rsidRPr="004E6CFC">
        <w:tab/>
        <w:t xml:space="preserve">Costo anual equivalente de los activos no eléctricos reconocido en aplicación de la metodología de la Resolución CREG 097 de 2008 al OR </w:t>
      </w:r>
      <w:r w:rsidRPr="004E6CFC">
        <w:rPr>
          <w:i/>
        </w:rPr>
        <w:t>j</w:t>
      </w:r>
      <w:r w:rsidRPr="004E6CFC">
        <w:t xml:space="preserve"> en el nivel de tensión 4. Este valor no incluye las actualizaciones realizadas durante el periodo tarifario.</w:t>
      </w:r>
    </w:p>
    <w:p w:rsidR="00EF4850" w:rsidRPr="004E6CFC" w:rsidRDefault="00EF4850" w:rsidP="00EF4850">
      <w:pPr>
        <w:ind w:left="1416" w:hanging="1416"/>
      </w:pPr>
      <w:r w:rsidRPr="004E6CFC">
        <w:rPr>
          <w:i/>
          <w:iCs/>
        </w:rPr>
        <w:t>PCAI</w:t>
      </w:r>
      <w:r w:rsidRPr="004E6CFC">
        <w:rPr>
          <w:i/>
          <w:iCs/>
          <w:vertAlign w:val="subscript"/>
        </w:rPr>
        <w:t>j,4,l</w:t>
      </w:r>
      <w:r w:rsidRPr="004E6CFC">
        <w:t>:</w:t>
      </w:r>
      <w:r w:rsidRPr="004E6CFC">
        <w:tab/>
        <w:t xml:space="preserve">Porcentaje del costo anual de los activos del OR </w:t>
      </w:r>
      <w:r w:rsidRPr="004E6CFC">
        <w:rPr>
          <w:i/>
        </w:rPr>
        <w:t>j</w:t>
      </w:r>
      <w:r w:rsidRPr="004E6CFC">
        <w:t xml:space="preserve"> en el nivel de tensión </w:t>
      </w:r>
      <w:r w:rsidRPr="004E6CFC">
        <w:rPr>
          <w:i/>
        </w:rPr>
        <w:t>4</w:t>
      </w:r>
      <w:r w:rsidRPr="004E6CFC">
        <w:t xml:space="preserve"> y la categoría de activos </w:t>
      </w:r>
      <w:r w:rsidRPr="004E6CFC">
        <w:rPr>
          <w:i/>
        </w:rPr>
        <w:t>l</w:t>
      </w:r>
      <w:r w:rsidRPr="004E6CFC">
        <w:t xml:space="preserve">, calculado de acuerdo con lo establecido en el numeral </w:t>
      </w:r>
      <w:r w:rsidRPr="004E6CFC">
        <w:fldChar w:fldCharType="begin"/>
      </w:r>
      <w:r w:rsidRPr="004E6CFC">
        <w:instrText xml:space="preserve"> REF _Ref450289018 \r \h  \* MERGEFORMAT </w:instrText>
      </w:r>
      <w:r w:rsidRPr="004E6CFC">
        <w:fldChar w:fldCharType="separate"/>
      </w:r>
      <w:r w:rsidR="00737178">
        <w:t>3.1.1.1.1.5</w:t>
      </w:r>
      <w:r w:rsidRPr="004E6CFC">
        <w:fldChar w:fldCharType="end"/>
      </w:r>
      <w:r>
        <w:t>.</w:t>
      </w:r>
    </w:p>
    <w:p w:rsidR="00EF4850" w:rsidRPr="004E6CFC" w:rsidRDefault="00EF4850" w:rsidP="00EF4850">
      <w:pPr>
        <w:rPr>
          <w:lang w:val="es-ES_tradnl"/>
        </w:rPr>
      </w:pPr>
      <w:r w:rsidRPr="004E6CFC">
        <w:t>Estos valores corresponden a los aprobados en la primera resolución de aprobación de cargos en aplicación de la metodología de la Resolución CREG 097 de 2008 o aquella que la modificó por razones diferentes a actualización de cargos por entrada en operación de nuevos activos de nivel de tensión 4.</w:t>
      </w:r>
    </w:p>
    <w:p w:rsidR="00EF4850" w:rsidRPr="004E6CFC" w:rsidRDefault="00EF4850" w:rsidP="00EF4850">
      <w:pPr>
        <w:pStyle w:val="Ttulo6"/>
        <w:ind w:left="2124" w:hanging="2124"/>
      </w:pPr>
      <w:bookmarkStart w:id="144" w:name="_Ref439927236"/>
      <w:r w:rsidRPr="004E6CFC">
        <w:t xml:space="preserve">Costo anual de la inversión de nivel de tensión </w:t>
      </w:r>
      <w:bookmarkEnd w:id="144"/>
      <w:r w:rsidRPr="004E6CFC">
        <w:t>3</w:t>
      </w:r>
    </w:p>
    <w:p w:rsidR="00EF4850" w:rsidRPr="004E6CFC" w:rsidRDefault="00EF4850" w:rsidP="00EF4850">
      <w:pPr>
        <w:rPr>
          <w:rFonts w:cs="Arial"/>
        </w:rPr>
      </w:pPr>
      <w:r w:rsidRPr="004E6CFC">
        <w:rPr>
          <w:rFonts w:cs="Arial"/>
        </w:rPr>
        <w:t xml:space="preserve">El costo anual de la inversión del nivel de tensión 3 y la categoría de activos </w:t>
      </w:r>
      <w:r w:rsidRPr="004E6CFC">
        <w:rPr>
          <w:rFonts w:cs="Arial"/>
          <w:i/>
        </w:rPr>
        <w:t>l</w:t>
      </w:r>
      <w:r w:rsidRPr="004E6CFC">
        <w:rPr>
          <w:rFonts w:cs="Arial"/>
        </w:rPr>
        <w:t xml:space="preserve"> se calcula de la siguiente manera:</w:t>
      </w:r>
    </w:p>
    <w:p w:rsidR="00EF4850" w:rsidRPr="004E6CFC" w:rsidRDefault="00C9592F" w:rsidP="00EF4850">
      <m:oMathPara>
        <m:oMath>
          <m:sSub>
            <m:sSubPr>
              <m:ctrlPr>
                <w:rPr>
                  <w:rFonts w:ascii="Cambria Math" w:hAnsi="Cambria Math"/>
                  <w:i/>
                </w:rPr>
              </m:ctrlPr>
            </m:sSubPr>
            <m:e>
              <m:r>
                <w:rPr>
                  <w:rFonts w:ascii="Cambria Math" w:hAnsi="Cambria Math"/>
                </w:rPr>
                <m:t>CAI</m:t>
              </m:r>
            </m:e>
            <m:sub>
              <m:r>
                <w:rPr>
                  <w:rFonts w:ascii="Cambria Math" w:hAnsi="Cambria Math"/>
                </w:rPr>
                <m:t>j</m:t>
              </m:r>
              <m:r>
                <w:rPr>
                  <w:rFonts w:ascii="Cambria Math"/>
                </w:rPr>
                <m:t>,3,l</m:t>
              </m:r>
            </m:sub>
          </m:sSub>
          <m:r>
            <w:rPr>
              <w:rFonts w:ascii="Cambria Math"/>
            </w:rPr>
            <m:t>=</m:t>
          </m:r>
          <m:d>
            <m:dPr>
              <m:begChr m:val="["/>
              <m:endChr m:val="]"/>
              <m:ctrlPr>
                <w:rPr>
                  <w:rFonts w:ascii="Cambria Math" w:hAnsi="Cambria Math"/>
                  <w:i/>
                </w:rPr>
              </m:ctrlPr>
            </m:dPr>
            <m:e>
              <m:r>
                <w:rPr>
                  <w:rFonts w:ascii="Cambria Math"/>
                </w:rPr>
                <m:t>(</m:t>
              </m:r>
              <m:sSub>
                <m:sSubPr>
                  <m:ctrlPr>
                    <w:rPr>
                      <w:rFonts w:ascii="Cambria Math" w:hAnsi="Cambria Math"/>
                      <w:i/>
                    </w:rPr>
                  </m:ctrlPr>
                </m:sSubPr>
                <m:e>
                  <m:r>
                    <w:rPr>
                      <w:rFonts w:ascii="Cambria Math" w:hAnsi="Cambria Math"/>
                    </w:rPr>
                    <m:t>CD</m:t>
                  </m:r>
                </m:e>
                <m:sub>
                  <m:r>
                    <w:rPr>
                      <w:rFonts w:ascii="Cambria Math" w:hAnsi="Cambria Math"/>
                    </w:rPr>
                    <m:t>j</m:t>
                  </m:r>
                  <m:r>
                    <w:rPr>
                      <w:rFonts w:ascii="Cambria Math"/>
                    </w:rPr>
                    <m:t>,3</m:t>
                  </m:r>
                </m:sub>
              </m:sSub>
              <m:r>
                <w:rPr>
                  <w:rFonts w:ascii="Cambria Math" w:hAnsi="Cambria Math"/>
                </w:rPr>
                <m:t>*</m:t>
              </m:r>
              <m:sSub>
                <m:sSubPr>
                  <m:ctrlPr>
                    <w:rPr>
                      <w:rFonts w:ascii="Cambria Math" w:hAnsi="Cambria Math"/>
                      <w:i/>
                    </w:rPr>
                  </m:ctrlPr>
                </m:sSubPr>
                <m:e>
                  <m:r>
                    <w:rPr>
                      <w:rFonts w:ascii="Cambria Math" w:hAnsi="Cambria Math"/>
                    </w:rPr>
                    <m:t>Eu</m:t>
                  </m:r>
                </m:e>
                <m:sub>
                  <m:r>
                    <w:rPr>
                      <w:rFonts w:ascii="Cambria Math" w:hAnsi="Cambria Math"/>
                    </w:rPr>
                    <m:t>j,3</m:t>
                  </m:r>
                </m:sub>
              </m:sSub>
              <m:r>
                <w:rPr>
                  <w:rFonts w:ascii="Cambria Math" w:hAnsi="Cambria Math"/>
                </w:rPr>
                <m:t>)-</m:t>
              </m:r>
              <m:sSub>
                <m:sSubPr>
                  <m:ctrlPr>
                    <w:rPr>
                      <w:rFonts w:ascii="Cambria Math" w:hAnsi="Cambria Math"/>
                      <w:i/>
                    </w:rPr>
                  </m:ctrlPr>
                </m:sSubPr>
                <m:e>
                  <m:r>
                    <w:rPr>
                      <w:rFonts w:ascii="Cambria Math" w:hAnsi="Cambria Math"/>
                    </w:rPr>
                    <m:t>AOM</m:t>
                  </m:r>
                </m:e>
                <m:sub>
                  <m:r>
                    <w:rPr>
                      <w:rFonts w:ascii="Cambria Math" w:hAnsi="Cambria Math"/>
                    </w:rPr>
                    <m:t>j</m:t>
                  </m:r>
                  <m:r>
                    <w:rPr>
                      <w:rFonts w:ascii="Cambria Math"/>
                    </w:rPr>
                    <m:t>,3</m:t>
                  </m:r>
                </m:sub>
              </m:sSub>
              <m:r>
                <w:rPr>
                  <w:rFonts w:ascii="Cambria Math" w:hAnsi="Cambria Math"/>
                </w:rPr>
                <m:t>-</m:t>
              </m:r>
              <m:sSub>
                <m:sSubPr>
                  <m:ctrlPr>
                    <w:rPr>
                      <w:rFonts w:ascii="Cambria Math" w:hAnsi="Cambria Math"/>
                      <w:i/>
                    </w:rPr>
                  </m:ctrlPr>
                </m:sSubPr>
                <m:e>
                  <m:r>
                    <w:rPr>
                      <w:rFonts w:ascii="Cambria Math" w:hAnsi="Cambria Math"/>
                    </w:rPr>
                    <m:t>CAT</m:t>
                  </m:r>
                </m:e>
                <m:sub>
                  <m:r>
                    <w:rPr>
                      <w:rFonts w:ascii="Cambria Math" w:hAnsi="Cambria Math"/>
                    </w:rPr>
                    <m:t>j</m:t>
                  </m:r>
                  <m:r>
                    <w:rPr>
                      <w:rFonts w:ascii="Cambria Math"/>
                    </w:rPr>
                    <m:t>,3</m:t>
                  </m:r>
                </m:sub>
              </m:sSub>
              <m:r>
                <w:rPr>
                  <w:rFonts w:ascii="Cambria Math" w:hAnsi="Cambria Math"/>
                </w:rPr>
                <m:t>-</m:t>
              </m:r>
              <m:sSub>
                <m:sSubPr>
                  <m:ctrlPr>
                    <w:rPr>
                      <w:rFonts w:ascii="Cambria Math" w:hAnsi="Cambria Math"/>
                      <w:i/>
                    </w:rPr>
                  </m:ctrlPr>
                </m:sSubPr>
                <m:e>
                  <m:r>
                    <w:rPr>
                      <w:rFonts w:ascii="Cambria Math" w:hAnsi="Cambria Math"/>
                    </w:rPr>
                    <m:t>CAANE</m:t>
                  </m:r>
                </m:e>
                <m:sub>
                  <m:r>
                    <w:rPr>
                      <w:rFonts w:ascii="Cambria Math" w:hAnsi="Cambria Math"/>
                    </w:rPr>
                    <m:t>j</m:t>
                  </m:r>
                  <m:r>
                    <w:rPr>
                      <w:rFonts w:ascii="Cambria Math"/>
                    </w:rPr>
                    <m:t>,3</m:t>
                  </m:r>
                </m:sub>
              </m:sSub>
              <m:r>
                <w:rPr>
                  <w:rFonts w:ascii="Cambria Math" w:hAnsi="Cambria Math"/>
                </w:rPr>
                <m:t>-</m:t>
              </m:r>
              <m:sSub>
                <m:sSubPr>
                  <m:ctrlPr>
                    <w:rPr>
                      <w:rFonts w:ascii="Cambria Math" w:hAnsi="Cambria Math"/>
                      <w:i/>
                    </w:rPr>
                  </m:ctrlPr>
                </m:sSubPr>
                <m:e>
                  <m:r>
                    <w:rPr>
                      <w:rFonts w:ascii="Cambria Math" w:hAnsi="Cambria Math"/>
                    </w:rPr>
                    <m:t>O</m:t>
                  </m:r>
                </m:e>
                <m:sub>
                  <m:r>
                    <w:rPr>
                      <w:rFonts w:ascii="Cambria Math" w:hAnsi="Cambria Math"/>
                    </w:rPr>
                    <m:t>j</m:t>
                  </m:r>
                  <m:r>
                    <w:rPr>
                      <w:rFonts w:ascii="Cambria Math"/>
                    </w:rPr>
                    <m:t>,3</m:t>
                  </m:r>
                </m:sub>
              </m:sSub>
            </m:e>
          </m:d>
          <m:r>
            <w:rPr>
              <w:rFonts w:ascii="Cambria Math" w:hAnsi="Cambria Math"/>
            </w:rPr>
            <m:t>*</m:t>
          </m:r>
          <m:sSub>
            <m:sSubPr>
              <m:ctrlPr>
                <w:rPr>
                  <w:rFonts w:ascii="Cambria Math" w:hAnsi="Cambria Math"/>
                  <w:i/>
                </w:rPr>
              </m:ctrlPr>
            </m:sSubPr>
            <m:e>
              <m:r>
                <w:rPr>
                  <w:rFonts w:ascii="Cambria Math" w:hAnsi="Cambria Math"/>
                </w:rPr>
                <m:t>PCAI</m:t>
              </m:r>
            </m:e>
            <m:sub>
              <m:r>
                <w:rPr>
                  <w:rFonts w:ascii="Cambria Math" w:hAnsi="Cambria Math"/>
                </w:rPr>
                <m:t>j,3,l</m:t>
              </m:r>
            </m:sub>
          </m:sSub>
        </m:oMath>
      </m:oMathPara>
    </w:p>
    <w:p w:rsidR="00EF4850" w:rsidRPr="004E6CFC" w:rsidRDefault="00EF4850" w:rsidP="00EF4850">
      <w:pPr>
        <w:rPr>
          <w:rFonts w:cs="Arial"/>
        </w:rPr>
      </w:pPr>
      <w:r w:rsidRPr="004E6CFC">
        <w:rPr>
          <w:rFonts w:cs="Arial"/>
        </w:rPr>
        <w:t>Donde:</w:t>
      </w:r>
    </w:p>
    <w:p w:rsidR="00EF4850" w:rsidRPr="004E6CFC" w:rsidRDefault="00EF4850" w:rsidP="00EF4850">
      <w:pPr>
        <w:ind w:left="1410" w:hanging="1410"/>
        <w:rPr>
          <w:rFonts w:cs="Arial"/>
        </w:rPr>
      </w:pPr>
      <w:r w:rsidRPr="004E6CFC">
        <w:rPr>
          <w:i/>
          <w:iCs/>
        </w:rPr>
        <w:t>CAI</w:t>
      </w:r>
      <w:r w:rsidRPr="004E6CFC">
        <w:rPr>
          <w:i/>
          <w:iCs/>
          <w:vertAlign w:val="subscript"/>
        </w:rPr>
        <w:t>j,3,l</w:t>
      </w:r>
      <w:r w:rsidRPr="004E6CFC">
        <w:t>:</w:t>
      </w:r>
      <w:r w:rsidRPr="004E6CFC">
        <w:tab/>
        <w:t xml:space="preserve">Costo anual de la inversión del OR </w:t>
      </w:r>
      <w:r w:rsidRPr="004E6CFC">
        <w:rPr>
          <w:i/>
        </w:rPr>
        <w:t>j</w:t>
      </w:r>
      <w:r w:rsidRPr="004E6CFC">
        <w:t xml:space="preserve"> por los activos del nivel de tensión </w:t>
      </w:r>
      <w:r w:rsidRPr="004E6CFC">
        <w:rPr>
          <w:i/>
        </w:rPr>
        <w:t>3</w:t>
      </w:r>
      <w:r w:rsidRPr="004E6CFC">
        <w:t xml:space="preserve"> y la categoría de activos </w:t>
      </w:r>
      <w:r w:rsidRPr="004E6CFC">
        <w:rPr>
          <w:i/>
        </w:rPr>
        <w:t>l</w:t>
      </w:r>
      <w:r w:rsidRPr="004E6CFC">
        <w:t>.</w:t>
      </w:r>
    </w:p>
    <w:p w:rsidR="00EF4850" w:rsidRPr="004E6CFC" w:rsidRDefault="00EF4850" w:rsidP="00EF4850">
      <w:pPr>
        <w:ind w:left="1416" w:hanging="1416"/>
      </w:pPr>
      <w:r w:rsidRPr="004E6CFC">
        <w:rPr>
          <w:i/>
          <w:iCs/>
        </w:rPr>
        <w:t>CD</w:t>
      </w:r>
      <w:r w:rsidRPr="004E6CFC">
        <w:rPr>
          <w:i/>
          <w:iCs/>
          <w:vertAlign w:val="subscript"/>
        </w:rPr>
        <w:t>j,3</w:t>
      </w:r>
      <w:r w:rsidRPr="004E6CFC">
        <w:t>:</w:t>
      </w:r>
      <w:r w:rsidRPr="004E6CFC">
        <w:tab/>
        <w:t xml:space="preserve">Cargo máximo del nivel de tensión 3 aprobado en aplicación de la metodología de la Resolución CREG 097 de 2008 al OR </w:t>
      </w:r>
      <w:r w:rsidRPr="004E6CFC">
        <w:rPr>
          <w:i/>
        </w:rPr>
        <w:t>j</w:t>
      </w:r>
      <w:r w:rsidRPr="004E6CFC">
        <w:t xml:space="preserve">. </w:t>
      </w:r>
    </w:p>
    <w:p w:rsidR="00EF4850" w:rsidRPr="004E6CFC" w:rsidRDefault="00EF4850" w:rsidP="00EF4850">
      <w:pPr>
        <w:ind w:left="1416" w:hanging="1416"/>
      </w:pPr>
      <w:r w:rsidRPr="004E6CFC">
        <w:rPr>
          <w:i/>
          <w:iCs/>
        </w:rPr>
        <w:t>Eu</w:t>
      </w:r>
      <w:r w:rsidRPr="004E6CFC">
        <w:rPr>
          <w:i/>
          <w:iCs/>
          <w:vertAlign w:val="subscript"/>
        </w:rPr>
        <w:t>j,3</w:t>
      </w:r>
      <w:r w:rsidRPr="004E6CFC">
        <w:t>:</w:t>
      </w:r>
      <w:r w:rsidRPr="004E6CFC">
        <w:tab/>
        <w:t xml:space="preserve">Energía útil del nivel de tensión 3 utilizada en aplicación de la metodología de la Resolución CREG 097 de 2008 para el cálculo del cargo máximo del OR </w:t>
      </w:r>
      <w:r w:rsidRPr="004E6CFC">
        <w:rPr>
          <w:i/>
        </w:rPr>
        <w:t xml:space="preserve">j </w:t>
      </w:r>
      <w:r w:rsidRPr="004E6CFC">
        <w:t xml:space="preserve">en el nivel de tensión 3. </w:t>
      </w:r>
    </w:p>
    <w:p w:rsidR="00EF4850" w:rsidRPr="004E6CFC" w:rsidRDefault="00EF4850" w:rsidP="00EF4850">
      <w:pPr>
        <w:ind w:left="1416" w:hanging="1416"/>
      </w:pPr>
      <w:r w:rsidRPr="004E6CFC">
        <w:rPr>
          <w:i/>
          <w:iCs/>
        </w:rPr>
        <w:t>AOM</w:t>
      </w:r>
      <w:r w:rsidRPr="004E6CFC">
        <w:rPr>
          <w:i/>
          <w:iCs/>
          <w:vertAlign w:val="subscript"/>
        </w:rPr>
        <w:t>j,3</w:t>
      </w:r>
      <w:r w:rsidRPr="004E6CFC">
        <w:t>:</w:t>
      </w:r>
      <w:r w:rsidRPr="004E6CFC">
        <w:tab/>
        <w:t xml:space="preserve">Gastos anuales de administración, operación y mantenimiento, aprobados, en aplicación de la metodología de la Resolución CREG 097 de 2008, al OR j para el nivel de tensión 3. </w:t>
      </w:r>
    </w:p>
    <w:p w:rsidR="00EF4850" w:rsidRPr="004E6CFC" w:rsidRDefault="00EF4850" w:rsidP="00EF4850">
      <w:pPr>
        <w:ind w:left="1416" w:hanging="1416"/>
      </w:pPr>
      <w:r w:rsidRPr="004E6CFC">
        <w:rPr>
          <w:i/>
          <w:iCs/>
        </w:rPr>
        <w:t>CAT</w:t>
      </w:r>
      <w:r w:rsidRPr="004E6CFC">
        <w:rPr>
          <w:i/>
          <w:iCs/>
          <w:vertAlign w:val="subscript"/>
        </w:rPr>
        <w:t>j,3</w:t>
      </w:r>
      <w:r w:rsidRPr="004E6CFC">
        <w:t>:</w:t>
      </w:r>
      <w:r w:rsidRPr="004E6CFC">
        <w:tab/>
        <w:t xml:space="preserve">Costo anual de terrenos reconocido en aplicación de la metodología de la Resolución CREG 097 de 2008 al OR </w:t>
      </w:r>
      <w:r w:rsidRPr="004E6CFC">
        <w:rPr>
          <w:i/>
        </w:rPr>
        <w:t>j</w:t>
      </w:r>
      <w:r w:rsidRPr="004E6CFC">
        <w:t xml:space="preserve"> en el nivel de tensión 3. </w:t>
      </w:r>
    </w:p>
    <w:p w:rsidR="00EF4850" w:rsidRPr="004E6CFC" w:rsidRDefault="00EF4850" w:rsidP="00EF4850">
      <w:pPr>
        <w:ind w:left="1416" w:hanging="1416"/>
        <w:rPr>
          <w:lang w:val="es-ES_tradnl"/>
        </w:rPr>
      </w:pPr>
      <w:r w:rsidRPr="004E6CFC">
        <w:rPr>
          <w:i/>
          <w:iCs/>
        </w:rPr>
        <w:t>CAANE</w:t>
      </w:r>
      <w:r w:rsidRPr="004E6CFC">
        <w:rPr>
          <w:i/>
          <w:iCs/>
          <w:vertAlign w:val="subscript"/>
        </w:rPr>
        <w:t>j,3</w:t>
      </w:r>
      <w:r w:rsidRPr="004E6CFC">
        <w:t>:</w:t>
      </w:r>
      <w:r w:rsidRPr="004E6CFC">
        <w:tab/>
        <w:t xml:space="preserve">Costo anual equivalente de los activos no eléctricos reconocido en aplicación de la metodología de la Resolución CREG 097 de 2008 al OR </w:t>
      </w:r>
      <w:r w:rsidRPr="004E6CFC">
        <w:rPr>
          <w:i/>
        </w:rPr>
        <w:t>j</w:t>
      </w:r>
      <w:r w:rsidRPr="004E6CFC">
        <w:t xml:space="preserve"> en el nivel de tensión 3. </w:t>
      </w:r>
    </w:p>
    <w:p w:rsidR="00EF4850" w:rsidRPr="004E6CFC" w:rsidRDefault="00EF4850" w:rsidP="00EF4850">
      <w:pPr>
        <w:ind w:left="1416" w:hanging="1416"/>
      </w:pPr>
      <w:r w:rsidRPr="004E6CFC">
        <w:rPr>
          <w:i/>
          <w:iCs/>
        </w:rPr>
        <w:t>O</w:t>
      </w:r>
      <w:r w:rsidRPr="004E6CFC">
        <w:rPr>
          <w:i/>
          <w:iCs/>
          <w:vertAlign w:val="subscript"/>
        </w:rPr>
        <w:t>j,3</w:t>
      </w:r>
      <w:r w:rsidRPr="004E6CFC">
        <w:t>:</w:t>
      </w:r>
      <w:r w:rsidRPr="004E6CFC">
        <w:tab/>
        <w:t xml:space="preserve">Pago por el uso del SDL de otros OR reconocido en aplicación de la metodología de la Resolución CREG 097 de 2008 al OR </w:t>
      </w:r>
      <w:r w:rsidRPr="004E6CFC">
        <w:rPr>
          <w:i/>
        </w:rPr>
        <w:t>j</w:t>
      </w:r>
      <w:r w:rsidRPr="004E6CFC">
        <w:t xml:space="preserve"> en los cargos de nivel de tensión 3. </w:t>
      </w:r>
    </w:p>
    <w:p w:rsidR="00EF4850" w:rsidRPr="004E6CFC" w:rsidRDefault="00EF4850" w:rsidP="00EF4850">
      <w:pPr>
        <w:ind w:left="1416" w:hanging="1416"/>
      </w:pPr>
      <w:r w:rsidRPr="004E6CFC">
        <w:rPr>
          <w:i/>
          <w:iCs/>
        </w:rPr>
        <w:t>PCAI</w:t>
      </w:r>
      <w:r w:rsidRPr="004E6CFC">
        <w:rPr>
          <w:i/>
          <w:iCs/>
          <w:vertAlign w:val="subscript"/>
        </w:rPr>
        <w:t>j,3,l</w:t>
      </w:r>
      <w:r w:rsidRPr="004E6CFC">
        <w:t>:</w:t>
      </w:r>
      <w:r w:rsidRPr="004E6CFC">
        <w:tab/>
        <w:t xml:space="preserve">Porcentaje del costo anual de los activos del OR </w:t>
      </w:r>
      <w:r w:rsidRPr="004E6CFC">
        <w:rPr>
          <w:i/>
        </w:rPr>
        <w:t>j</w:t>
      </w:r>
      <w:r w:rsidRPr="004E6CFC">
        <w:t xml:space="preserve"> en el nivel de tensión </w:t>
      </w:r>
      <w:r w:rsidRPr="004E6CFC">
        <w:rPr>
          <w:i/>
        </w:rPr>
        <w:t>3</w:t>
      </w:r>
      <w:r w:rsidRPr="004E6CFC">
        <w:t xml:space="preserve"> y la categoría de activos </w:t>
      </w:r>
      <w:r w:rsidRPr="004E6CFC">
        <w:rPr>
          <w:i/>
        </w:rPr>
        <w:t>l</w:t>
      </w:r>
      <w:r w:rsidRPr="004E6CFC">
        <w:t xml:space="preserve">, calculado de acuerdo con lo establecido en el numeral </w:t>
      </w:r>
      <w:r w:rsidRPr="004E6CFC">
        <w:fldChar w:fldCharType="begin"/>
      </w:r>
      <w:r w:rsidRPr="004E6CFC">
        <w:instrText xml:space="preserve"> REF _Ref450289018 \r \h  \* MERGEFORMAT </w:instrText>
      </w:r>
      <w:r w:rsidRPr="004E6CFC">
        <w:fldChar w:fldCharType="separate"/>
      </w:r>
      <w:r w:rsidR="00737178">
        <w:t>3.1.1.1.1.5</w:t>
      </w:r>
      <w:r w:rsidRPr="004E6CFC">
        <w:fldChar w:fldCharType="end"/>
      </w:r>
      <w:r w:rsidRPr="004E6CFC">
        <w:t>.</w:t>
      </w:r>
    </w:p>
    <w:p w:rsidR="00EF4850" w:rsidRPr="004E6CFC" w:rsidRDefault="00EF4850" w:rsidP="00EF4850">
      <w:pPr>
        <w:rPr>
          <w:lang w:val="es-ES_tradnl"/>
        </w:rPr>
      </w:pPr>
      <w:r w:rsidRPr="004E6CFC">
        <w:t xml:space="preserve">Estos valores corresponden a los aprobados en la primera resolución de aprobación de cargos en aplicación de la metodología de la Resolución CREG </w:t>
      </w:r>
      <w:r w:rsidRPr="004E6CFC">
        <w:lastRenderedPageBreak/>
        <w:t>097 de 2008 o aquella que la modificó por razones diferentes a actualización de cargos por entrada en operación de nuevos activos.</w:t>
      </w:r>
    </w:p>
    <w:p w:rsidR="00EF4850" w:rsidRPr="004E6CFC" w:rsidRDefault="00EF4850" w:rsidP="00EF4850">
      <w:pPr>
        <w:pStyle w:val="Ttulo6"/>
        <w:ind w:left="2124" w:hanging="2124"/>
      </w:pPr>
      <w:bookmarkStart w:id="145" w:name="_Ref439668233"/>
      <w:r w:rsidRPr="004E6CFC">
        <w:t>Costo anual de la inversión de nivel de tensión 2</w:t>
      </w:r>
      <w:bookmarkEnd w:id="145"/>
    </w:p>
    <w:p w:rsidR="00EF4850" w:rsidRPr="004E6CFC" w:rsidRDefault="00EF4850" w:rsidP="00EF4850">
      <w:pPr>
        <w:rPr>
          <w:rFonts w:cs="Arial"/>
        </w:rPr>
      </w:pPr>
      <w:r w:rsidRPr="004E6CFC">
        <w:rPr>
          <w:rFonts w:cs="Arial"/>
        </w:rPr>
        <w:t xml:space="preserve">El costo anual de la inversión del nivel de tensión 2 y la categoría de activos </w:t>
      </w:r>
      <w:r w:rsidRPr="004E6CFC">
        <w:rPr>
          <w:rFonts w:cs="Arial"/>
          <w:i/>
        </w:rPr>
        <w:t>l</w:t>
      </w:r>
      <w:r w:rsidRPr="004E6CFC">
        <w:rPr>
          <w:rFonts w:cs="Arial"/>
        </w:rPr>
        <w:t xml:space="preserve"> se calcula de la siguiente manera:</w:t>
      </w:r>
    </w:p>
    <w:p w:rsidR="00EF4850" w:rsidRPr="004E6CFC" w:rsidRDefault="00C9592F" w:rsidP="00EF4850">
      <m:oMathPara>
        <m:oMathParaPr>
          <m:jc m:val="center"/>
        </m:oMathParaPr>
        <m:oMath>
          <m:sSub>
            <m:sSubPr>
              <m:ctrlPr>
                <w:rPr>
                  <w:rFonts w:ascii="Cambria Math" w:hAnsi="Cambria Math"/>
                  <w:i/>
                </w:rPr>
              </m:ctrlPr>
            </m:sSubPr>
            <m:e>
              <m:r>
                <w:rPr>
                  <w:rFonts w:ascii="Cambria Math" w:hAnsi="Cambria Math"/>
                </w:rPr>
                <m:t>CAI</m:t>
              </m:r>
            </m:e>
            <m:sub>
              <m:r>
                <w:rPr>
                  <w:rFonts w:ascii="Cambria Math" w:hAnsi="Cambria Math"/>
                </w:rPr>
                <m:t>j</m:t>
              </m:r>
              <m:r>
                <w:rPr>
                  <w:rFonts w:ascii="Cambria Math"/>
                </w:rPr>
                <m:t>,2,l</m:t>
              </m:r>
            </m:sub>
          </m:sSub>
          <m:r>
            <w:rPr>
              <w:rFonts w:ascii="Cambria Math"/>
            </w:rPr>
            <m:t>=</m:t>
          </m:r>
          <m:d>
            <m:dPr>
              <m:begChr m:val="["/>
              <m:endChr m:val="]"/>
              <m:ctrlPr>
                <w:rPr>
                  <w:rFonts w:ascii="Cambria Math" w:hAnsi="Cambria Math"/>
                  <w:i/>
                </w:rPr>
              </m:ctrlPr>
            </m:dPr>
            <m:e>
              <m:r>
                <w:rPr>
                  <w:rFonts w:ascii="Cambria Math"/>
                </w:rPr>
                <m:t>(</m:t>
              </m:r>
              <m:sSub>
                <m:sSubPr>
                  <m:ctrlPr>
                    <w:rPr>
                      <w:rFonts w:ascii="Cambria Math" w:hAnsi="Cambria Math"/>
                      <w:i/>
                    </w:rPr>
                  </m:ctrlPr>
                </m:sSubPr>
                <m:e>
                  <m:r>
                    <w:rPr>
                      <w:rFonts w:ascii="Cambria Math" w:hAnsi="Cambria Math"/>
                    </w:rPr>
                    <m:t>CD</m:t>
                  </m:r>
                </m:e>
                <m:sub>
                  <m:r>
                    <w:rPr>
                      <w:rFonts w:ascii="Cambria Math" w:hAnsi="Cambria Math"/>
                    </w:rPr>
                    <m:t>j</m:t>
                  </m:r>
                  <m:r>
                    <w:rPr>
                      <w:rFonts w:ascii="Cambria Math"/>
                    </w:rPr>
                    <m:t>,2</m:t>
                  </m:r>
                </m:sub>
              </m:sSub>
              <m:r>
                <w:rPr>
                  <w:rFonts w:ascii="Cambria Math" w:hAnsi="Cambria Math"/>
                </w:rPr>
                <m:t>-</m:t>
              </m:r>
              <m:sSub>
                <m:sSubPr>
                  <m:ctrlPr>
                    <w:rPr>
                      <w:rFonts w:ascii="Cambria Math" w:hAnsi="Cambria Math"/>
                      <w:i/>
                    </w:rPr>
                  </m:ctrlPr>
                </m:sSubPr>
                <m:e>
                  <m:r>
                    <w:rPr>
                      <w:rFonts w:ascii="Cambria Math" w:hAnsi="Cambria Math"/>
                    </w:rPr>
                    <m:t>CD</m:t>
                  </m:r>
                </m:e>
                <m:sub>
                  <m:r>
                    <w:rPr>
                      <w:rFonts w:ascii="Cambria Math" w:hAnsi="Cambria Math"/>
                    </w:rPr>
                    <m:t>j</m:t>
                  </m:r>
                  <m:r>
                    <w:rPr>
                      <w:rFonts w:ascii="Cambria Math"/>
                    </w:rPr>
                    <m:t>,3</m:t>
                  </m:r>
                  <m:r>
                    <w:rPr>
                      <w:rFonts w:ascii="Cambria Math"/>
                    </w:rPr>
                    <m:t>-</m:t>
                  </m:r>
                  <m:r>
                    <w:rPr>
                      <w:rFonts w:ascii="Cambria Math"/>
                    </w:rPr>
                    <m:t>2</m:t>
                  </m:r>
                </m:sub>
              </m:sSub>
              <m:r>
                <w:rPr>
                  <w:rFonts w:ascii="Cambria Math" w:hAnsi="Cambria Math"/>
                </w:rPr>
                <m:t>)*</m:t>
              </m:r>
              <m:sSub>
                <m:sSubPr>
                  <m:ctrlPr>
                    <w:rPr>
                      <w:rFonts w:ascii="Cambria Math" w:hAnsi="Cambria Math"/>
                      <w:i/>
                    </w:rPr>
                  </m:ctrlPr>
                </m:sSubPr>
                <m:e>
                  <m:r>
                    <w:rPr>
                      <w:rFonts w:ascii="Cambria Math" w:hAnsi="Cambria Math"/>
                    </w:rPr>
                    <m:t>Eu</m:t>
                  </m:r>
                </m:e>
                <m:sub>
                  <m:r>
                    <w:rPr>
                      <w:rFonts w:ascii="Cambria Math" w:hAnsi="Cambria Math"/>
                    </w:rPr>
                    <m:t>j,2</m:t>
                  </m:r>
                </m:sub>
              </m:sSub>
              <m:r>
                <w:rPr>
                  <w:rFonts w:ascii="Cambria Math" w:hAnsi="Cambria Math"/>
                </w:rPr>
                <m:t>-</m:t>
              </m:r>
              <m:sSub>
                <m:sSubPr>
                  <m:ctrlPr>
                    <w:rPr>
                      <w:rFonts w:ascii="Cambria Math" w:hAnsi="Cambria Math"/>
                      <w:i/>
                    </w:rPr>
                  </m:ctrlPr>
                </m:sSubPr>
                <m:e>
                  <m:r>
                    <w:rPr>
                      <w:rFonts w:ascii="Cambria Math" w:hAnsi="Cambria Math"/>
                    </w:rPr>
                    <m:t>AOM</m:t>
                  </m:r>
                </m:e>
                <m:sub>
                  <m:r>
                    <w:rPr>
                      <w:rFonts w:ascii="Cambria Math" w:hAnsi="Cambria Math"/>
                    </w:rPr>
                    <m:t>j</m:t>
                  </m:r>
                  <m:r>
                    <w:rPr>
                      <w:rFonts w:ascii="Cambria Math"/>
                    </w:rPr>
                    <m:t>,2</m:t>
                  </m:r>
                </m:sub>
              </m:sSub>
              <m:r>
                <w:rPr>
                  <w:rFonts w:ascii="Cambria Math" w:hAnsi="Cambria Math"/>
                </w:rPr>
                <m:t>-</m:t>
              </m:r>
              <m:sSub>
                <m:sSubPr>
                  <m:ctrlPr>
                    <w:rPr>
                      <w:rFonts w:ascii="Cambria Math" w:hAnsi="Cambria Math"/>
                      <w:i/>
                    </w:rPr>
                  </m:ctrlPr>
                </m:sSubPr>
                <m:e>
                  <m:r>
                    <w:rPr>
                      <w:rFonts w:ascii="Cambria Math" w:hAnsi="Cambria Math"/>
                    </w:rPr>
                    <m:t>CAT</m:t>
                  </m:r>
                </m:e>
                <m:sub>
                  <m:r>
                    <w:rPr>
                      <w:rFonts w:ascii="Cambria Math" w:hAnsi="Cambria Math"/>
                    </w:rPr>
                    <m:t>j</m:t>
                  </m:r>
                  <m:r>
                    <w:rPr>
                      <w:rFonts w:ascii="Cambria Math"/>
                    </w:rPr>
                    <m:t>,2</m:t>
                  </m:r>
                </m:sub>
              </m:sSub>
              <m:r>
                <w:rPr>
                  <w:rFonts w:ascii="Cambria Math" w:hAnsi="Cambria Math"/>
                </w:rPr>
                <m:t>-</m:t>
              </m:r>
              <m:sSub>
                <m:sSubPr>
                  <m:ctrlPr>
                    <w:rPr>
                      <w:rFonts w:ascii="Cambria Math" w:hAnsi="Cambria Math"/>
                      <w:i/>
                    </w:rPr>
                  </m:ctrlPr>
                </m:sSubPr>
                <m:e>
                  <m:r>
                    <w:rPr>
                      <w:rFonts w:ascii="Cambria Math" w:hAnsi="Cambria Math"/>
                    </w:rPr>
                    <m:t>CAANE</m:t>
                  </m:r>
                </m:e>
                <m:sub>
                  <m:r>
                    <w:rPr>
                      <w:rFonts w:ascii="Cambria Math" w:hAnsi="Cambria Math"/>
                    </w:rPr>
                    <m:t>j</m:t>
                  </m:r>
                  <m:r>
                    <w:rPr>
                      <w:rFonts w:ascii="Cambria Math"/>
                    </w:rPr>
                    <m:t>,2</m:t>
                  </m:r>
                </m:sub>
              </m:sSub>
              <m:r>
                <w:rPr>
                  <w:rFonts w:ascii="Cambria Math" w:hAnsi="Cambria Math"/>
                </w:rPr>
                <m:t>-</m:t>
              </m:r>
              <m:sSub>
                <m:sSubPr>
                  <m:ctrlPr>
                    <w:rPr>
                      <w:rFonts w:ascii="Cambria Math" w:hAnsi="Cambria Math"/>
                      <w:i/>
                    </w:rPr>
                  </m:ctrlPr>
                </m:sSubPr>
                <m:e>
                  <m:r>
                    <w:rPr>
                      <w:rFonts w:ascii="Cambria Math" w:hAnsi="Cambria Math"/>
                    </w:rPr>
                    <m:t>O</m:t>
                  </m:r>
                </m:e>
                <m:sub>
                  <m:r>
                    <w:rPr>
                      <w:rFonts w:ascii="Cambria Math" w:hAnsi="Cambria Math"/>
                    </w:rPr>
                    <m:t>j</m:t>
                  </m:r>
                  <m:r>
                    <w:rPr>
                      <w:rFonts w:ascii="Cambria Math"/>
                    </w:rPr>
                    <m:t>,2</m:t>
                  </m:r>
                </m:sub>
              </m:sSub>
            </m:e>
          </m:d>
          <m:r>
            <w:rPr>
              <w:rFonts w:ascii="Cambria Math" w:hAnsi="Cambria Math"/>
            </w:rPr>
            <m:t>*</m:t>
          </m:r>
          <m:sSub>
            <m:sSubPr>
              <m:ctrlPr>
                <w:rPr>
                  <w:rFonts w:ascii="Cambria Math" w:hAnsi="Cambria Math"/>
                  <w:i/>
                </w:rPr>
              </m:ctrlPr>
            </m:sSubPr>
            <m:e>
              <m:r>
                <w:rPr>
                  <w:rFonts w:ascii="Cambria Math" w:hAnsi="Cambria Math"/>
                </w:rPr>
                <m:t>PCAI</m:t>
              </m:r>
            </m:e>
            <m:sub>
              <m:r>
                <w:rPr>
                  <w:rFonts w:ascii="Cambria Math" w:hAnsi="Cambria Math"/>
                </w:rPr>
                <m:t>j,2,l</m:t>
              </m:r>
            </m:sub>
          </m:sSub>
        </m:oMath>
      </m:oMathPara>
    </w:p>
    <w:p w:rsidR="00EF4850" w:rsidRPr="004E6CFC" w:rsidRDefault="00EF4850" w:rsidP="00EF4850">
      <w:pPr>
        <w:rPr>
          <w:rFonts w:cs="Arial"/>
        </w:rPr>
      </w:pPr>
      <w:r w:rsidRPr="004E6CFC">
        <w:rPr>
          <w:rFonts w:cs="Arial"/>
        </w:rPr>
        <w:t>Donde:</w:t>
      </w:r>
    </w:p>
    <w:p w:rsidR="00EF4850" w:rsidRPr="004E6CFC" w:rsidRDefault="00EF4850" w:rsidP="00EF4850">
      <w:pPr>
        <w:ind w:left="1410" w:hanging="1410"/>
        <w:rPr>
          <w:rFonts w:cs="Arial"/>
        </w:rPr>
      </w:pPr>
      <w:r w:rsidRPr="004E6CFC">
        <w:rPr>
          <w:i/>
          <w:iCs/>
        </w:rPr>
        <w:t>CAI</w:t>
      </w:r>
      <w:r w:rsidRPr="004E6CFC">
        <w:rPr>
          <w:i/>
          <w:iCs/>
          <w:vertAlign w:val="subscript"/>
        </w:rPr>
        <w:t>j,2,l</w:t>
      </w:r>
      <w:r w:rsidRPr="004E6CFC">
        <w:t>:</w:t>
      </w:r>
      <w:r w:rsidRPr="004E6CFC">
        <w:tab/>
        <w:t xml:space="preserve">Costo anual de la inversión del OR </w:t>
      </w:r>
      <w:r w:rsidRPr="004E6CFC">
        <w:rPr>
          <w:i/>
        </w:rPr>
        <w:t>j</w:t>
      </w:r>
      <w:r w:rsidRPr="004E6CFC">
        <w:t xml:space="preserve"> por los activos del nivel de tensión </w:t>
      </w:r>
      <w:r w:rsidRPr="004E6CFC">
        <w:rPr>
          <w:i/>
        </w:rPr>
        <w:t>2</w:t>
      </w:r>
      <w:r w:rsidRPr="004E6CFC">
        <w:t xml:space="preserve"> y la categoría de activos </w:t>
      </w:r>
      <w:r w:rsidRPr="004E6CFC">
        <w:rPr>
          <w:i/>
        </w:rPr>
        <w:t>l</w:t>
      </w:r>
      <w:r w:rsidRPr="004E6CFC">
        <w:t>.</w:t>
      </w:r>
    </w:p>
    <w:p w:rsidR="00EF4850" w:rsidRPr="004E6CFC" w:rsidRDefault="00EF4850" w:rsidP="00EF4850">
      <w:pPr>
        <w:ind w:left="1416" w:hanging="1416"/>
      </w:pPr>
      <w:r w:rsidRPr="004E6CFC">
        <w:rPr>
          <w:i/>
          <w:iCs/>
        </w:rPr>
        <w:t>CD</w:t>
      </w:r>
      <w:r w:rsidRPr="004E6CFC">
        <w:rPr>
          <w:i/>
          <w:iCs/>
          <w:vertAlign w:val="subscript"/>
        </w:rPr>
        <w:t>j,2</w:t>
      </w:r>
      <w:r w:rsidRPr="004E6CFC">
        <w:t>:</w:t>
      </w:r>
      <w:r w:rsidRPr="004E6CFC">
        <w:tab/>
        <w:t xml:space="preserve">Cargo máximo del nivel de tensión </w:t>
      </w:r>
      <w:r w:rsidRPr="004E6CFC">
        <w:rPr>
          <w:i/>
        </w:rPr>
        <w:t>2</w:t>
      </w:r>
      <w:r w:rsidRPr="004E6CFC">
        <w:t xml:space="preserve"> aprobado en aplicación de la metodología de la Resolución CREG 097 de 2008 al OR </w:t>
      </w:r>
      <w:r w:rsidRPr="004E6CFC">
        <w:rPr>
          <w:i/>
        </w:rPr>
        <w:t>j</w:t>
      </w:r>
      <w:r w:rsidRPr="004E6CFC">
        <w:t xml:space="preserve">. </w:t>
      </w:r>
    </w:p>
    <w:p w:rsidR="00EF4850" w:rsidRPr="004E6CFC" w:rsidRDefault="00EF4850" w:rsidP="00EF4850">
      <w:pPr>
        <w:ind w:left="1416" w:hanging="1416"/>
      </w:pPr>
      <w:r w:rsidRPr="004E6CFC">
        <w:rPr>
          <w:i/>
          <w:iCs/>
        </w:rPr>
        <w:t>CD</w:t>
      </w:r>
      <w:r w:rsidRPr="004E6CFC">
        <w:rPr>
          <w:i/>
          <w:iCs/>
          <w:vertAlign w:val="subscript"/>
        </w:rPr>
        <w:t>j,3-2</w:t>
      </w:r>
      <w:r w:rsidRPr="004E6CFC">
        <w:t>:</w:t>
      </w:r>
      <w:r w:rsidRPr="004E6CFC">
        <w:tab/>
        <w:t xml:space="preserve">Cargo unitario del nivel de tensión </w:t>
      </w:r>
      <w:r w:rsidRPr="004E6CFC">
        <w:rPr>
          <w:i/>
        </w:rPr>
        <w:t>3</w:t>
      </w:r>
      <w:r w:rsidRPr="004E6CFC">
        <w:t xml:space="preserve"> que se remunera parcialmente en el nivel de tensión </w:t>
      </w:r>
      <w:r w:rsidRPr="004E6CFC">
        <w:rPr>
          <w:i/>
        </w:rPr>
        <w:t>2</w:t>
      </w:r>
      <w:r w:rsidRPr="004E6CFC">
        <w:t xml:space="preserve"> aprobado en aplicación de la metodología de la Resolución CREG 097 de 2008 al OR </w:t>
      </w:r>
      <w:r w:rsidRPr="004E6CFC">
        <w:rPr>
          <w:i/>
        </w:rPr>
        <w:t>j</w:t>
      </w:r>
      <w:r w:rsidRPr="004E6CFC">
        <w:t xml:space="preserve">. </w:t>
      </w:r>
    </w:p>
    <w:p w:rsidR="00EF4850" w:rsidRPr="004E6CFC" w:rsidRDefault="00EF4850" w:rsidP="00EF4850">
      <w:pPr>
        <w:ind w:left="1416" w:hanging="1416"/>
      </w:pPr>
      <w:r w:rsidRPr="004E6CFC">
        <w:rPr>
          <w:i/>
          <w:iCs/>
        </w:rPr>
        <w:t>Eu</w:t>
      </w:r>
      <w:r w:rsidRPr="004E6CFC">
        <w:rPr>
          <w:i/>
          <w:iCs/>
          <w:vertAlign w:val="subscript"/>
        </w:rPr>
        <w:t>j,2</w:t>
      </w:r>
      <w:r w:rsidRPr="004E6CFC">
        <w:t>:</w:t>
      </w:r>
      <w:r w:rsidRPr="004E6CFC">
        <w:tab/>
        <w:t xml:space="preserve">Energía útil del nivel de tensión </w:t>
      </w:r>
      <w:r w:rsidRPr="004E6CFC">
        <w:rPr>
          <w:i/>
        </w:rPr>
        <w:t>2</w:t>
      </w:r>
      <w:r w:rsidRPr="004E6CFC">
        <w:t xml:space="preserve"> utilizada en aplicación de la metodología de la Resolución CREG 097 de 2008 para el cálculo del cargo máximo de nivel de tensión </w:t>
      </w:r>
      <w:r w:rsidRPr="004E6CFC">
        <w:rPr>
          <w:i/>
        </w:rPr>
        <w:t>2</w:t>
      </w:r>
      <w:r w:rsidRPr="004E6CFC">
        <w:t xml:space="preserve"> del OR </w:t>
      </w:r>
      <w:r w:rsidRPr="004E6CFC">
        <w:rPr>
          <w:i/>
        </w:rPr>
        <w:t>j</w:t>
      </w:r>
      <w:r w:rsidRPr="004E6CFC">
        <w:t>.</w:t>
      </w:r>
    </w:p>
    <w:p w:rsidR="00EF4850" w:rsidRPr="004E6CFC" w:rsidRDefault="00EF4850" w:rsidP="00EF4850">
      <w:pPr>
        <w:ind w:left="1416" w:hanging="1416"/>
      </w:pPr>
      <w:r w:rsidRPr="004E6CFC">
        <w:rPr>
          <w:i/>
          <w:iCs/>
        </w:rPr>
        <w:t>AOM</w:t>
      </w:r>
      <w:r w:rsidRPr="004E6CFC">
        <w:rPr>
          <w:i/>
          <w:iCs/>
          <w:vertAlign w:val="subscript"/>
        </w:rPr>
        <w:t>j,2</w:t>
      </w:r>
      <w:r w:rsidRPr="004E6CFC">
        <w:t>:</w:t>
      </w:r>
      <w:r w:rsidRPr="004E6CFC">
        <w:tab/>
        <w:t xml:space="preserve">Gastos anuales de administración, operación y mantenimiento aprobados al OR </w:t>
      </w:r>
      <w:r w:rsidRPr="004E6CFC">
        <w:rPr>
          <w:i/>
        </w:rPr>
        <w:t>j</w:t>
      </w:r>
      <w:r w:rsidRPr="004E6CFC">
        <w:t xml:space="preserve"> en el nivel de tensión </w:t>
      </w:r>
      <w:r w:rsidRPr="004E6CFC">
        <w:rPr>
          <w:i/>
        </w:rPr>
        <w:t>2</w:t>
      </w:r>
      <w:r w:rsidRPr="004E6CFC">
        <w:t xml:space="preserve"> para el primer año de aplicación de la metodología de la Resolución CREG 097 de 2008. </w:t>
      </w:r>
    </w:p>
    <w:p w:rsidR="00EF4850" w:rsidRPr="004E6CFC" w:rsidRDefault="00EF4850" w:rsidP="00EF4850">
      <w:pPr>
        <w:ind w:left="1416" w:hanging="1416"/>
      </w:pPr>
      <w:r w:rsidRPr="004E6CFC">
        <w:rPr>
          <w:i/>
          <w:iCs/>
        </w:rPr>
        <w:t>CAT</w:t>
      </w:r>
      <w:r w:rsidRPr="004E6CFC">
        <w:rPr>
          <w:i/>
          <w:iCs/>
          <w:vertAlign w:val="subscript"/>
        </w:rPr>
        <w:t>j,2</w:t>
      </w:r>
      <w:r w:rsidRPr="004E6CFC">
        <w:t>:</w:t>
      </w:r>
      <w:r w:rsidRPr="004E6CFC">
        <w:tab/>
        <w:t xml:space="preserve">Costo anual de terrenos reconocido en aplicación de la metodología de la Resolución CREG 097 de 2008 al OR </w:t>
      </w:r>
      <w:r w:rsidRPr="004E6CFC">
        <w:rPr>
          <w:i/>
        </w:rPr>
        <w:t>j</w:t>
      </w:r>
      <w:r w:rsidRPr="004E6CFC">
        <w:t xml:space="preserve"> en el nivel de tensión </w:t>
      </w:r>
      <w:r w:rsidRPr="004E6CFC">
        <w:rPr>
          <w:i/>
        </w:rPr>
        <w:t>2</w:t>
      </w:r>
      <w:r w:rsidRPr="004E6CFC">
        <w:t xml:space="preserve">. </w:t>
      </w:r>
    </w:p>
    <w:p w:rsidR="00EF4850" w:rsidRPr="004E6CFC" w:rsidRDefault="00EF4850" w:rsidP="00EF4850">
      <w:pPr>
        <w:ind w:left="1416" w:hanging="1416"/>
        <w:rPr>
          <w:lang w:val="es-ES_tradnl"/>
        </w:rPr>
      </w:pPr>
      <w:r w:rsidRPr="004E6CFC">
        <w:rPr>
          <w:i/>
          <w:iCs/>
        </w:rPr>
        <w:t>CAANE</w:t>
      </w:r>
      <w:r w:rsidRPr="004E6CFC">
        <w:rPr>
          <w:i/>
          <w:iCs/>
          <w:vertAlign w:val="subscript"/>
        </w:rPr>
        <w:t>j,2</w:t>
      </w:r>
      <w:r w:rsidRPr="004E6CFC">
        <w:t>:</w:t>
      </w:r>
      <w:r w:rsidRPr="004E6CFC">
        <w:tab/>
        <w:t xml:space="preserve">Costo anual equivalente de activos no eléctricos reconocido, en aplicación de la metodología de la Resolución CREG 097 de 2008, al OR </w:t>
      </w:r>
      <w:r w:rsidRPr="004E6CFC">
        <w:rPr>
          <w:i/>
        </w:rPr>
        <w:t>j</w:t>
      </w:r>
      <w:r w:rsidRPr="004E6CFC">
        <w:t xml:space="preserve"> en el nivel de tensión 2. </w:t>
      </w:r>
    </w:p>
    <w:p w:rsidR="00EF4850" w:rsidRPr="004E6CFC" w:rsidRDefault="00EF4850" w:rsidP="00EF4850">
      <w:pPr>
        <w:ind w:left="1416" w:hanging="1416"/>
      </w:pPr>
      <w:r w:rsidRPr="004E6CFC">
        <w:rPr>
          <w:i/>
          <w:iCs/>
        </w:rPr>
        <w:t>O</w:t>
      </w:r>
      <w:r w:rsidRPr="004E6CFC">
        <w:rPr>
          <w:i/>
          <w:iCs/>
          <w:vertAlign w:val="subscript"/>
        </w:rPr>
        <w:t>j,2</w:t>
      </w:r>
      <w:r w:rsidRPr="004E6CFC">
        <w:t>:</w:t>
      </w:r>
      <w:r w:rsidRPr="004E6CFC">
        <w:tab/>
        <w:t xml:space="preserve">Pago por el uso del SDL de otros OR reconocido, en aplicación de la metodología de la Resolución CREG 097 de 2008, en los cargos de nivel de tensión 2 del OR </w:t>
      </w:r>
      <w:r w:rsidRPr="004E6CFC">
        <w:rPr>
          <w:i/>
        </w:rPr>
        <w:t>j</w:t>
      </w:r>
      <w:r w:rsidRPr="004E6CFC">
        <w:t>.</w:t>
      </w:r>
    </w:p>
    <w:p w:rsidR="00EF4850" w:rsidRPr="004E6CFC" w:rsidRDefault="00EF4850" w:rsidP="00EF4850">
      <w:pPr>
        <w:ind w:left="1416" w:hanging="1416"/>
      </w:pPr>
      <w:r w:rsidRPr="004E6CFC">
        <w:rPr>
          <w:i/>
          <w:iCs/>
        </w:rPr>
        <w:t>PCAI</w:t>
      </w:r>
      <w:r w:rsidRPr="004E6CFC">
        <w:rPr>
          <w:i/>
          <w:iCs/>
          <w:vertAlign w:val="subscript"/>
        </w:rPr>
        <w:t>j,2,l</w:t>
      </w:r>
      <w:r w:rsidRPr="004E6CFC">
        <w:t>:</w:t>
      </w:r>
      <w:r w:rsidRPr="004E6CFC">
        <w:tab/>
        <w:t xml:space="preserve">Porcentaje del costo anual de los activos del OR </w:t>
      </w:r>
      <w:r w:rsidRPr="004E6CFC">
        <w:rPr>
          <w:i/>
        </w:rPr>
        <w:t>j</w:t>
      </w:r>
      <w:r w:rsidRPr="004E6CFC">
        <w:t xml:space="preserve"> en el nivel de tensión </w:t>
      </w:r>
      <w:r w:rsidRPr="004E6CFC">
        <w:rPr>
          <w:i/>
        </w:rPr>
        <w:t>2</w:t>
      </w:r>
      <w:r w:rsidRPr="004E6CFC">
        <w:t xml:space="preserve"> y la categoría de activos </w:t>
      </w:r>
      <w:r w:rsidRPr="004E6CFC">
        <w:rPr>
          <w:i/>
        </w:rPr>
        <w:t>l</w:t>
      </w:r>
      <w:r w:rsidRPr="004E6CFC">
        <w:t xml:space="preserve">, de acuerdo con lo establecido en el numeral </w:t>
      </w:r>
      <w:r w:rsidRPr="004E6CFC">
        <w:fldChar w:fldCharType="begin"/>
      </w:r>
      <w:r w:rsidRPr="004E6CFC">
        <w:instrText xml:space="preserve"> REF _Ref450289018 \r \h  \* MERGEFORMAT </w:instrText>
      </w:r>
      <w:r w:rsidRPr="004E6CFC">
        <w:fldChar w:fldCharType="separate"/>
      </w:r>
      <w:r w:rsidR="00737178">
        <w:t>3.1.1.1.1.5</w:t>
      </w:r>
      <w:r w:rsidRPr="004E6CFC">
        <w:fldChar w:fldCharType="end"/>
      </w:r>
      <w:r w:rsidRPr="004E6CFC">
        <w:t>.</w:t>
      </w:r>
    </w:p>
    <w:p w:rsidR="00EF4850" w:rsidRDefault="00EF4850" w:rsidP="00EF4850">
      <w:r w:rsidRPr="004E6CFC">
        <w:t>Estos valores corresponden a los aprobados en la primera resolución de aprobación de cargos en aplicación de la metodología de la Resolución CREG 097 de 2008 o aquella que la modificó por razones diferentes a actualización de cargos por entrada en operación de nuevos activos.</w:t>
      </w:r>
    </w:p>
    <w:p w:rsidR="00EF4850" w:rsidRPr="004E6CFC" w:rsidRDefault="00EF4850" w:rsidP="00EF4850">
      <w:pPr>
        <w:pStyle w:val="Ttulo6"/>
        <w:ind w:left="2124" w:hanging="2124"/>
      </w:pPr>
      <w:bookmarkStart w:id="146" w:name="_Ref439668235"/>
      <w:r w:rsidRPr="004E6CFC">
        <w:t>Costo anual de la inversión de nivel de tensión 1</w:t>
      </w:r>
      <w:bookmarkEnd w:id="146"/>
    </w:p>
    <w:p w:rsidR="00EF4850" w:rsidRPr="004E6CFC" w:rsidRDefault="00EF4850" w:rsidP="00EF4850">
      <w:pPr>
        <w:spacing w:before="200" w:after="200"/>
        <w:rPr>
          <w:rFonts w:cs="Arial"/>
        </w:rPr>
      </w:pPr>
      <w:r w:rsidRPr="004E6CFC">
        <w:rPr>
          <w:rFonts w:cs="Arial"/>
        </w:rPr>
        <w:t xml:space="preserve">El costo anual de la inversión del nivel de tensión 1 y la categoría de activos </w:t>
      </w:r>
      <w:r w:rsidRPr="004E6CFC">
        <w:rPr>
          <w:rFonts w:cs="Arial"/>
          <w:i/>
        </w:rPr>
        <w:t>l</w:t>
      </w:r>
      <w:r w:rsidRPr="004E6CFC">
        <w:rPr>
          <w:rFonts w:cs="Arial"/>
        </w:rPr>
        <w:t xml:space="preserve"> se calcula de la siguiente manera:</w:t>
      </w:r>
    </w:p>
    <w:p w:rsidR="00EF4850" w:rsidRPr="004E6CFC" w:rsidRDefault="00C9592F" w:rsidP="00EF4850">
      <w:pPr>
        <w:spacing w:before="200" w:after="200"/>
      </w:pPr>
      <m:oMathPara>
        <m:oMath>
          <m:sSub>
            <m:sSubPr>
              <m:ctrlPr>
                <w:rPr>
                  <w:rFonts w:ascii="Cambria Math" w:hAnsi="Cambria Math"/>
                  <w:i/>
                </w:rPr>
              </m:ctrlPr>
            </m:sSubPr>
            <m:e>
              <m:r>
                <w:rPr>
                  <w:rFonts w:ascii="Cambria Math" w:hAnsi="Cambria Math"/>
                </w:rPr>
                <m:t>CAI</m:t>
              </m:r>
            </m:e>
            <m:sub>
              <m:r>
                <w:rPr>
                  <w:rFonts w:ascii="Cambria Math" w:hAnsi="Cambria Math"/>
                </w:rPr>
                <m:t>j</m:t>
              </m:r>
              <m:r>
                <w:rPr>
                  <w:rFonts w:ascii="Cambria Math"/>
                </w:rPr>
                <m:t>,1,l</m:t>
              </m:r>
            </m:sub>
          </m:sSub>
          <m:r>
            <w:rPr>
              <w:rFonts w:ascii="Cambria Math"/>
            </w:rPr>
            <m:t>=</m:t>
          </m:r>
          <m:d>
            <m:dPr>
              <m:begChr m:val="["/>
              <m:endChr m:val="]"/>
              <m:ctrlPr>
                <w:rPr>
                  <w:rFonts w:ascii="Cambria Math" w:hAnsi="Cambria Math"/>
                  <w:i/>
                </w:rPr>
              </m:ctrlPr>
            </m:dPr>
            <m:e>
              <m:r>
                <w:rPr>
                  <w:rFonts w:ascii="Cambria Math"/>
                </w:rPr>
                <m:t>1,1272</m:t>
              </m:r>
              <m:r>
                <w:rPr>
                  <w:rFonts w:ascii="Cambria Math"/>
                </w:rPr>
                <m:t>*</m:t>
              </m:r>
              <m:d>
                <m:dPr>
                  <m:ctrlPr>
                    <w:rPr>
                      <w:rFonts w:ascii="Cambria Math" w:hAnsi="Cambria Math"/>
                      <w:i/>
                    </w:rPr>
                  </m:ctrlPr>
                </m:dPr>
                <m:e>
                  <m:sSub>
                    <m:sSubPr>
                      <m:ctrlPr>
                        <w:rPr>
                          <w:rFonts w:ascii="Cambria Math" w:hAnsi="Cambria Math"/>
                          <w:i/>
                        </w:rPr>
                      </m:ctrlPr>
                    </m:sSubPr>
                    <m:e>
                      <m:r>
                        <w:rPr>
                          <w:rFonts w:ascii="Cambria Math" w:hAnsi="Cambria Math"/>
                        </w:rPr>
                        <m:t>VA</m:t>
                      </m:r>
                    </m:e>
                    <m:sub>
                      <m:r>
                        <w:rPr>
                          <w:rFonts w:ascii="Cambria Math" w:hAnsi="Cambria Math"/>
                        </w:rPr>
                        <m:t>j,1,0</m:t>
                      </m:r>
                    </m:sub>
                  </m:sSub>
                  <m:r>
                    <w:rPr>
                      <w:rFonts w:ascii="Cambria Math" w:hAnsi="Cambria Math"/>
                    </w:rPr>
                    <m:t>+</m:t>
                  </m:r>
                  <m:sSub>
                    <m:sSubPr>
                      <m:ctrlPr>
                        <w:rPr>
                          <w:rFonts w:ascii="Cambria Math" w:hAnsi="Cambria Math"/>
                          <w:i/>
                        </w:rPr>
                      </m:ctrlPr>
                    </m:sSubPr>
                    <m:e>
                      <m:r>
                        <w:rPr>
                          <w:rFonts w:ascii="Cambria Math" w:hAnsi="Cambria Math"/>
                        </w:rPr>
                        <m:t>VS</m:t>
                      </m:r>
                    </m:e>
                    <m:sub>
                      <m:r>
                        <w:rPr>
                          <w:rFonts w:ascii="Cambria Math" w:hAnsi="Cambria Math"/>
                        </w:rPr>
                        <m:t>j,1,0</m:t>
                      </m:r>
                    </m:sub>
                  </m:sSub>
                </m:e>
              </m:d>
              <m:r>
                <w:rPr>
                  <w:rFonts w:ascii="Cambria Math" w:hAnsi="Cambria Math"/>
                </w:rPr>
                <m:t>*</m:t>
              </m:r>
              <m:sSub>
                <m:sSubPr>
                  <m:ctrlPr>
                    <w:rPr>
                      <w:rFonts w:ascii="Cambria Math" w:hAnsi="Cambria Math"/>
                      <w:i/>
                    </w:rPr>
                  </m:ctrlPr>
                </m:sSubPr>
                <m:e>
                  <m:r>
                    <w:rPr>
                      <w:rFonts w:ascii="Cambria Math" w:hAnsi="Cambria Math"/>
                    </w:rPr>
                    <m:t>CDIR</m:t>
                  </m:r>
                </m:e>
                <m:sub>
                  <m:r>
                    <w:rPr>
                      <w:rFonts w:ascii="Cambria Math" w:hAnsi="Cambria Math"/>
                    </w:rPr>
                    <m:t>j,1</m:t>
                  </m:r>
                </m:sub>
              </m:sSub>
              <m:r>
                <w:rPr>
                  <w:rFonts w:ascii="Cambria Math" w:hAnsi="Cambria Math"/>
                </w:rPr>
                <m:t>*0,9+</m:t>
              </m:r>
              <m:sSub>
                <m:sSubPr>
                  <m:ctrlPr>
                    <w:rPr>
                      <w:rFonts w:ascii="Cambria Math" w:hAnsi="Cambria Math"/>
                      <w:i/>
                    </w:rPr>
                  </m:ctrlPr>
                </m:sSubPr>
                <m:e>
                  <m:r>
                    <w:rPr>
                      <w:rFonts w:ascii="Cambria Math" w:hAnsi="Cambria Math"/>
                    </w:rPr>
                    <m:t>CAI</m:t>
                  </m:r>
                </m:e>
                <m:sub>
                  <m:r>
                    <w:rPr>
                      <w:rFonts w:ascii="Cambria Math" w:hAnsi="Cambria Math"/>
                    </w:rPr>
                    <m:t>j,1</m:t>
                  </m:r>
                </m:sub>
              </m:sSub>
              <m:r>
                <w:rPr>
                  <w:rFonts w:ascii="Cambria Math" w:hAnsi="Cambria Math"/>
                </w:rPr>
                <m:t>*0,1</m:t>
              </m:r>
            </m:e>
          </m:d>
          <m:r>
            <w:rPr>
              <w:rFonts w:ascii="Cambria Math" w:hAnsi="Cambria Math"/>
            </w:rPr>
            <m:t>*</m:t>
          </m:r>
          <m:sSub>
            <m:sSubPr>
              <m:ctrlPr>
                <w:rPr>
                  <w:rFonts w:ascii="Cambria Math" w:hAnsi="Cambria Math"/>
                  <w:i/>
                </w:rPr>
              </m:ctrlPr>
            </m:sSubPr>
            <m:e>
              <m:r>
                <w:rPr>
                  <w:rFonts w:ascii="Cambria Math" w:hAnsi="Cambria Math"/>
                </w:rPr>
                <m:t>PCAI</m:t>
              </m:r>
            </m:e>
            <m:sub>
              <m:r>
                <w:rPr>
                  <w:rFonts w:ascii="Cambria Math" w:hAnsi="Cambria Math"/>
                </w:rPr>
                <m:t>j,1,l</m:t>
              </m:r>
            </m:sub>
          </m:sSub>
        </m:oMath>
      </m:oMathPara>
    </w:p>
    <w:p w:rsidR="00EF4850" w:rsidRPr="004E6CFC" w:rsidRDefault="00EF4850" w:rsidP="00EF4850">
      <w:pPr>
        <w:spacing w:before="200" w:after="200"/>
        <w:rPr>
          <w:rFonts w:cs="Arial"/>
        </w:rPr>
      </w:pPr>
      <w:r w:rsidRPr="004E6CFC">
        <w:rPr>
          <w:rFonts w:cs="Arial"/>
        </w:rPr>
        <w:t>Donde:</w:t>
      </w:r>
    </w:p>
    <w:p w:rsidR="00EF4850" w:rsidRPr="004E6CFC" w:rsidRDefault="00EF4850" w:rsidP="00EF4850">
      <w:pPr>
        <w:spacing w:before="200" w:after="200"/>
        <w:ind w:left="1410" w:hanging="1410"/>
        <w:rPr>
          <w:rFonts w:cs="Arial"/>
        </w:rPr>
      </w:pPr>
      <w:r w:rsidRPr="004E6CFC">
        <w:rPr>
          <w:i/>
          <w:iCs/>
        </w:rPr>
        <w:t>CAI</w:t>
      </w:r>
      <w:r w:rsidRPr="004E6CFC">
        <w:rPr>
          <w:i/>
          <w:iCs/>
          <w:vertAlign w:val="subscript"/>
        </w:rPr>
        <w:t>j,1,l</w:t>
      </w:r>
      <w:r w:rsidRPr="004E6CFC">
        <w:t>:</w:t>
      </w:r>
      <w:r w:rsidRPr="00BB2518">
        <w:rPr>
          <w:rFonts w:cs="Arial"/>
        </w:rPr>
        <w:tab/>
        <w:t>Costo anual de la inversión del OR j por los activos del nivel de tensión 1 y la categoría de activos l.</w:t>
      </w:r>
    </w:p>
    <w:p w:rsidR="00EF4850" w:rsidRPr="004E6CFC" w:rsidRDefault="00EF4850" w:rsidP="00EF4850">
      <w:pPr>
        <w:spacing w:before="200" w:after="200"/>
        <w:ind w:left="1356" w:hanging="1356"/>
        <w:rPr>
          <w:rFonts w:cs="Arial"/>
        </w:rPr>
      </w:pPr>
      <w:r w:rsidRPr="004E6CFC">
        <w:rPr>
          <w:rFonts w:cs="Arial"/>
          <w:i/>
        </w:rPr>
        <w:t>VA</w:t>
      </w:r>
      <w:r w:rsidRPr="004E6CFC">
        <w:rPr>
          <w:rFonts w:cs="Arial"/>
          <w:i/>
          <w:vertAlign w:val="subscript"/>
        </w:rPr>
        <w:t>j,1,0</w:t>
      </w:r>
      <w:r w:rsidRPr="004E6CFC">
        <w:rPr>
          <w:rFonts w:cs="Arial"/>
          <w:i/>
        </w:rPr>
        <w:t>:</w:t>
      </w:r>
      <w:r w:rsidRPr="004E6CFC">
        <w:rPr>
          <w:rFonts w:cs="Arial"/>
        </w:rPr>
        <w:tab/>
        <w:t>Ventas anuales de energía para circuitos aéreos</w:t>
      </w:r>
      <w:r w:rsidRPr="004E6CFC">
        <w:t xml:space="preserve"> utilizadas para calcular el cargo máximo de inversión del nivel de tensión 1 del OR </w:t>
      </w:r>
      <w:r w:rsidRPr="004E6CFC">
        <w:rPr>
          <w:i/>
        </w:rPr>
        <w:t>j</w:t>
      </w:r>
      <w:r w:rsidRPr="004E6CFC">
        <w:t xml:space="preserve"> en aplicación de la metodología de la Resolución CREG 097 de 2008</w:t>
      </w:r>
      <w:r w:rsidRPr="004E6CFC">
        <w:rPr>
          <w:rFonts w:cs="Arial"/>
        </w:rPr>
        <w:t>.</w:t>
      </w:r>
    </w:p>
    <w:p w:rsidR="00EF4850" w:rsidRPr="004E6CFC" w:rsidRDefault="00EF4850" w:rsidP="00EF4850">
      <w:pPr>
        <w:spacing w:before="200" w:after="200"/>
        <w:ind w:left="1356" w:hanging="1356"/>
        <w:rPr>
          <w:rFonts w:cs="Arial"/>
        </w:rPr>
      </w:pPr>
      <w:r w:rsidRPr="004E6CFC">
        <w:rPr>
          <w:rFonts w:cs="Arial"/>
          <w:i/>
        </w:rPr>
        <w:t>VS</w:t>
      </w:r>
      <w:r w:rsidRPr="004E6CFC">
        <w:rPr>
          <w:rFonts w:cs="Arial"/>
          <w:i/>
          <w:vertAlign w:val="subscript"/>
        </w:rPr>
        <w:t>j,1,0</w:t>
      </w:r>
      <w:r w:rsidRPr="004E6CFC">
        <w:rPr>
          <w:rFonts w:cs="Arial"/>
          <w:i/>
        </w:rPr>
        <w:t>:</w:t>
      </w:r>
      <w:r w:rsidRPr="004E6CFC">
        <w:rPr>
          <w:rFonts w:cs="Arial"/>
        </w:rPr>
        <w:tab/>
        <w:t xml:space="preserve">Ventas anuales de energía para circuitos subterráneos </w:t>
      </w:r>
      <w:r w:rsidRPr="004E6CFC">
        <w:t xml:space="preserve">utilizadas para calcular el cargo máximo de inversión del nivel de tensión 1 del OR </w:t>
      </w:r>
      <w:r w:rsidRPr="004E6CFC">
        <w:rPr>
          <w:i/>
        </w:rPr>
        <w:t>j</w:t>
      </w:r>
      <w:r w:rsidRPr="004E6CFC">
        <w:t xml:space="preserve"> en aplicación de la metodología de la Resolución CREG 097 de 2008</w:t>
      </w:r>
      <w:r w:rsidRPr="004E6CFC">
        <w:rPr>
          <w:rFonts w:cs="Arial"/>
        </w:rPr>
        <w:t>.</w:t>
      </w:r>
    </w:p>
    <w:p w:rsidR="00EF4850" w:rsidRPr="004E6CFC" w:rsidRDefault="00EF4850" w:rsidP="00EF4850">
      <w:pPr>
        <w:spacing w:before="200" w:after="200"/>
        <w:ind w:left="1356" w:hanging="1356"/>
        <w:rPr>
          <w:rFonts w:cs="Arial"/>
        </w:rPr>
      </w:pPr>
      <w:r w:rsidRPr="004E6CFC">
        <w:rPr>
          <w:rFonts w:cs="Arial"/>
          <w:i/>
        </w:rPr>
        <w:t xml:space="preserve">CDIR </w:t>
      </w:r>
      <w:r w:rsidRPr="004E6CFC">
        <w:rPr>
          <w:rFonts w:cs="Arial"/>
          <w:i/>
          <w:vertAlign w:val="subscript"/>
        </w:rPr>
        <w:t>j,1</w:t>
      </w:r>
      <w:r w:rsidRPr="004E6CFC">
        <w:rPr>
          <w:rFonts w:cs="Arial"/>
          <w:i/>
        </w:rPr>
        <w:t>:</w:t>
      </w:r>
      <w:r w:rsidRPr="004E6CFC">
        <w:rPr>
          <w:rFonts w:cs="Arial"/>
        </w:rPr>
        <w:tab/>
        <w:t xml:space="preserve">Costo unitario de referencia </w:t>
      </w:r>
      <w:r w:rsidRPr="004E6CFC">
        <w:t xml:space="preserve">utilizadas para calcular el cargo máximo de inversión del nivel de tensión 1 del OR </w:t>
      </w:r>
      <w:r w:rsidRPr="004E6CFC">
        <w:rPr>
          <w:i/>
        </w:rPr>
        <w:t>j</w:t>
      </w:r>
      <w:r w:rsidRPr="004E6CFC">
        <w:t xml:space="preserve"> en aplicación de la metodología de la Resolución CREG 097 de 2008</w:t>
      </w:r>
      <w:r w:rsidRPr="004E6CFC">
        <w:rPr>
          <w:rFonts w:cs="Arial"/>
        </w:rPr>
        <w:t>.</w:t>
      </w:r>
    </w:p>
    <w:p w:rsidR="00EF4850" w:rsidRPr="004E6CFC" w:rsidRDefault="00EF4850" w:rsidP="00EF4850">
      <w:pPr>
        <w:spacing w:before="200" w:after="200"/>
        <w:ind w:left="1410" w:hanging="1410"/>
        <w:rPr>
          <w:rFonts w:cs="Arial"/>
        </w:rPr>
      </w:pPr>
      <w:r w:rsidRPr="004E6CFC">
        <w:rPr>
          <w:i/>
          <w:iCs/>
        </w:rPr>
        <w:t>CAI</w:t>
      </w:r>
      <w:r w:rsidRPr="004E6CFC">
        <w:rPr>
          <w:i/>
          <w:iCs/>
          <w:vertAlign w:val="subscript"/>
        </w:rPr>
        <w:t>j,1</w:t>
      </w:r>
      <w:r w:rsidRPr="004E6CFC">
        <w:t>:</w:t>
      </w:r>
      <w:r w:rsidRPr="004E6CFC">
        <w:tab/>
        <w:t xml:space="preserve">Costo anual de los activos de uso empleado para calcular el cargo máximo de inversión del nivel de tensión 1 del OR </w:t>
      </w:r>
      <w:r w:rsidRPr="004E6CFC">
        <w:rPr>
          <w:i/>
        </w:rPr>
        <w:t>j</w:t>
      </w:r>
      <w:r w:rsidRPr="004E6CFC">
        <w:t xml:space="preserve"> en aplicación de la metodología de la Resolución CREG 097 de 2008.</w:t>
      </w:r>
    </w:p>
    <w:p w:rsidR="00EF4850" w:rsidRPr="004E6CFC" w:rsidRDefault="00EF4850" w:rsidP="00EF4850">
      <w:pPr>
        <w:spacing w:before="200" w:after="200"/>
        <w:ind w:left="1416" w:hanging="1416"/>
      </w:pPr>
      <w:r w:rsidRPr="004E6CFC">
        <w:rPr>
          <w:i/>
          <w:iCs/>
        </w:rPr>
        <w:t>PCAI</w:t>
      </w:r>
      <w:r w:rsidRPr="004E6CFC">
        <w:rPr>
          <w:i/>
          <w:iCs/>
          <w:vertAlign w:val="subscript"/>
        </w:rPr>
        <w:t>j,1,l</w:t>
      </w:r>
      <w:r w:rsidRPr="004E6CFC">
        <w:t>:</w:t>
      </w:r>
      <w:r w:rsidRPr="004E6CFC">
        <w:tab/>
        <w:t xml:space="preserve">Porcentaje del costo anual de los activos del OR </w:t>
      </w:r>
      <w:r w:rsidRPr="004E6CFC">
        <w:rPr>
          <w:i/>
        </w:rPr>
        <w:t>j</w:t>
      </w:r>
      <w:r w:rsidRPr="004E6CFC">
        <w:t xml:space="preserve"> en el nivel de tensión </w:t>
      </w:r>
      <w:r w:rsidRPr="004E6CFC">
        <w:rPr>
          <w:i/>
        </w:rPr>
        <w:t>3</w:t>
      </w:r>
      <w:r w:rsidRPr="004E6CFC">
        <w:t xml:space="preserve"> y la categoría de activos </w:t>
      </w:r>
      <w:r w:rsidRPr="004E6CFC">
        <w:rPr>
          <w:i/>
        </w:rPr>
        <w:t>l</w:t>
      </w:r>
      <w:r w:rsidRPr="004E6CFC">
        <w:t xml:space="preserve">, de acuerdo con lo establecido en el numeral </w:t>
      </w:r>
      <w:r w:rsidRPr="004E6CFC">
        <w:fldChar w:fldCharType="begin"/>
      </w:r>
      <w:r w:rsidRPr="004E6CFC">
        <w:instrText xml:space="preserve"> REF _Ref450289018 \r \h  \* MERGEFORMAT </w:instrText>
      </w:r>
      <w:r w:rsidRPr="004E6CFC">
        <w:fldChar w:fldCharType="separate"/>
      </w:r>
      <w:r w:rsidR="00737178">
        <w:t>3.1.1.1.1.5</w:t>
      </w:r>
      <w:r w:rsidRPr="004E6CFC">
        <w:fldChar w:fldCharType="end"/>
      </w:r>
      <w:r w:rsidRPr="004E6CFC">
        <w:t>.</w:t>
      </w:r>
    </w:p>
    <w:p w:rsidR="00EF4850" w:rsidRPr="004E6CFC" w:rsidRDefault="00EF4850" w:rsidP="00EF4850">
      <w:pPr>
        <w:spacing w:before="200" w:after="200"/>
        <w:rPr>
          <w:lang w:val="es-ES_tradnl"/>
        </w:rPr>
      </w:pPr>
      <w:r w:rsidRPr="004E6CFC">
        <w:t>Estos valores corresponden a los aprobados en la primera resolución de aprobación de cargos en aplicación de la metodología de la Resolución CREG 097 de 2008 o aquella que la modificó por razones diferentes a actualización de cargos por entrada en operación de nuevos activos.</w:t>
      </w:r>
    </w:p>
    <w:p w:rsidR="00EF4850" w:rsidRPr="004E6CFC" w:rsidRDefault="00EF4850" w:rsidP="00EF4850">
      <w:pPr>
        <w:pStyle w:val="Ttulo6"/>
        <w:spacing w:before="200" w:after="200"/>
        <w:ind w:left="2124" w:hanging="2124"/>
      </w:pPr>
      <w:bookmarkStart w:id="147" w:name="_Ref439672466"/>
      <w:bookmarkStart w:id="148" w:name="_Ref450289018"/>
      <w:r w:rsidRPr="004E6CFC">
        <w:t xml:space="preserve">Porcentaje del costo anual por categoría de </w:t>
      </w:r>
      <w:bookmarkEnd w:id="147"/>
      <w:r w:rsidRPr="004E6CFC">
        <w:t xml:space="preserve">activos </w:t>
      </w:r>
      <w:bookmarkEnd w:id="148"/>
    </w:p>
    <w:p w:rsidR="00EF4850" w:rsidRPr="004E6CFC" w:rsidRDefault="00EF4850" w:rsidP="00EF4850">
      <w:pPr>
        <w:spacing w:before="200" w:after="200"/>
      </w:pPr>
      <w:bookmarkStart w:id="149" w:name="_Ref450289052"/>
      <w:r w:rsidRPr="004E6CFC">
        <w:t xml:space="preserve">El porcentaje del costo anual de los activos de nivel de tensión </w:t>
      </w:r>
      <w:r w:rsidRPr="004E6CFC">
        <w:rPr>
          <w:i/>
        </w:rPr>
        <w:t>n</w:t>
      </w:r>
      <w:r w:rsidRPr="004E6CFC">
        <w:t xml:space="preserve"> pertenecientes a</w:t>
      </w:r>
      <w:r>
        <w:t xml:space="preserve"> </w:t>
      </w:r>
      <w:r w:rsidRPr="004E6CFC">
        <w:t xml:space="preserve">la categoría de activos </w:t>
      </w:r>
      <w:r w:rsidRPr="004E6CFC">
        <w:rPr>
          <w:i/>
        </w:rPr>
        <w:t>l</w:t>
      </w:r>
      <w:r w:rsidRPr="004E6CFC">
        <w:t xml:space="preserve"> se calcula de la siguiente manera: </w:t>
      </w:r>
    </w:p>
    <w:p w:rsidR="00EF4850" w:rsidRPr="004E6CFC" w:rsidRDefault="00C9592F" w:rsidP="00EF4850">
      <w:pPr>
        <w:spacing w:before="200" w:after="200"/>
      </w:pPr>
      <m:oMathPara>
        <m:oMath>
          <m:sSub>
            <m:sSubPr>
              <m:ctrlPr>
                <w:rPr>
                  <w:rFonts w:ascii="Cambria Math" w:hAnsi="Cambria Math"/>
                  <w:i/>
                </w:rPr>
              </m:ctrlPr>
            </m:sSubPr>
            <m:e>
              <m:r>
                <w:rPr>
                  <w:rFonts w:ascii="Cambria Math" w:hAnsi="Cambria Math"/>
                </w:rPr>
                <m:t>PCAI</m:t>
              </m:r>
            </m:e>
            <m:sub>
              <m:r>
                <w:rPr>
                  <w:rFonts w:ascii="Cambria Math" w:hAnsi="Cambria Math"/>
                </w:rPr>
                <m:t>j</m:t>
              </m:r>
              <m:r>
                <w:rPr>
                  <w:rFonts w:ascii="Cambria Math"/>
                </w:rPr>
                <m:t>,n,l</m:t>
              </m:r>
            </m:sub>
          </m:sSub>
          <m:r>
            <w:rPr>
              <w:rFonts w:ascii="Cambria Math"/>
            </w:rPr>
            <m:t>=</m:t>
          </m:r>
          <m:f>
            <m:fPr>
              <m:ctrlPr>
                <w:rPr>
                  <w:rFonts w:ascii="Cambria Math" w:hAnsi="Cambria Math"/>
                  <w:i/>
                </w:rPr>
              </m:ctrlPr>
            </m:fPr>
            <m:num>
              <m:sSub>
                <m:sSubPr>
                  <m:ctrlPr>
                    <w:rPr>
                      <w:rFonts w:ascii="Cambria Math" w:hAnsi="Cambria Math"/>
                      <w:i/>
                    </w:rPr>
                  </m:ctrlPr>
                </m:sSubPr>
                <m:e>
                  <m:r>
                    <w:rPr>
                      <w:rFonts w:ascii="Cambria Math"/>
                    </w:rPr>
                    <m:t>CRI</m:t>
                  </m:r>
                </m:e>
                <m:sub>
                  <m:r>
                    <w:rPr>
                      <w:rFonts w:ascii="Cambria Math"/>
                    </w:rPr>
                    <m:t>j,n,l</m:t>
                  </m:r>
                </m:sub>
              </m:sSub>
              <m:sSub>
                <m:sSubPr>
                  <m:ctrlPr>
                    <w:rPr>
                      <w:rFonts w:ascii="Cambria Math" w:hAnsi="Cambria Math"/>
                      <w:i/>
                    </w:rPr>
                  </m:ctrlPr>
                </m:sSubPr>
                <m:e>
                  <m:r>
                    <w:rPr>
                      <w:rFonts w:ascii="Cambria Math"/>
                    </w:rPr>
                    <m:t>+</m:t>
                  </m:r>
                  <m:sSub>
                    <m:sSubPr>
                      <m:ctrlPr>
                        <w:rPr>
                          <w:rFonts w:ascii="Cambria Math" w:hAnsi="Cambria Math"/>
                          <w:i/>
                        </w:rPr>
                      </m:ctrlPr>
                    </m:sSubPr>
                    <m:e>
                      <m:r>
                        <w:rPr>
                          <w:rFonts w:ascii="Cambria Math" w:hAnsi="Cambria Math"/>
                        </w:rPr>
                        <m:t xml:space="preserve"> CRINR</m:t>
                      </m:r>
                    </m:e>
                    <m:sub>
                      <m:r>
                        <w:rPr>
                          <w:rFonts w:ascii="Cambria Math" w:hAnsi="Cambria Math"/>
                        </w:rPr>
                        <m:t>j,n,l</m:t>
                      </m:r>
                    </m:sub>
                  </m:sSub>
                  <m:r>
                    <w:rPr>
                      <w:rFonts w:ascii="Cambria Math"/>
                    </w:rPr>
                    <m:t>-</m:t>
                  </m:r>
                  <m:r>
                    <w:rPr>
                      <w:rFonts w:ascii="Cambria Math"/>
                    </w:rPr>
                    <m:t>CRIFO</m:t>
                  </m:r>
                </m:e>
                <m:sub>
                  <m:r>
                    <w:rPr>
                      <w:rFonts w:ascii="Cambria Math"/>
                    </w:rPr>
                    <m:t>j,n,l</m:t>
                  </m:r>
                </m:sub>
              </m:sSub>
            </m:num>
            <m:den>
              <m:nary>
                <m:naryPr>
                  <m:chr m:val="∑"/>
                  <m:limLoc m:val="undOvr"/>
                  <m:ctrlPr>
                    <w:rPr>
                      <w:rFonts w:ascii="Cambria Math" w:hAnsi="Cambria Math"/>
                      <w:i/>
                    </w:rPr>
                  </m:ctrlPr>
                </m:naryPr>
                <m:sub>
                  <m:r>
                    <w:rPr>
                      <w:rFonts w:ascii="Cambria Math" w:hAnsi="Cambria Math"/>
                    </w:rPr>
                    <m:t>l=1</m:t>
                  </m:r>
                </m:sub>
                <m:sup>
                  <m:sSub>
                    <m:sSubPr>
                      <m:ctrlPr>
                        <w:rPr>
                          <w:rFonts w:ascii="Cambria Math" w:hAnsi="Cambria Math"/>
                          <w:i/>
                        </w:rPr>
                      </m:ctrlPr>
                    </m:sSubPr>
                    <m:e>
                      <m:r>
                        <w:rPr>
                          <w:rFonts w:ascii="Cambria Math" w:hAnsi="Cambria Math"/>
                        </w:rPr>
                        <m:t>L</m:t>
                      </m:r>
                    </m:e>
                    <m:sub>
                      <m:r>
                        <w:rPr>
                          <w:rFonts w:ascii="Cambria Math" w:hAnsi="Cambria Math"/>
                        </w:rPr>
                        <m:t>n</m:t>
                      </m:r>
                    </m:sub>
                  </m:sSub>
                </m:sup>
                <m:e>
                  <m:d>
                    <m:dPr>
                      <m:ctrlPr>
                        <w:rPr>
                          <w:rFonts w:ascii="Cambria Math" w:hAnsi="Cambria Math"/>
                          <w:i/>
                        </w:rPr>
                      </m:ctrlPr>
                    </m:dPr>
                    <m:e>
                      <m:sSub>
                        <m:sSubPr>
                          <m:ctrlPr>
                            <w:rPr>
                              <w:rFonts w:ascii="Cambria Math" w:hAnsi="Cambria Math"/>
                              <w:i/>
                            </w:rPr>
                          </m:ctrlPr>
                        </m:sSubPr>
                        <m:e>
                          <m:r>
                            <w:rPr>
                              <w:rFonts w:ascii="Cambria Math"/>
                            </w:rPr>
                            <m:t>CRI</m:t>
                          </m:r>
                        </m:e>
                        <m:sub>
                          <m:r>
                            <w:rPr>
                              <w:rFonts w:ascii="Cambria Math"/>
                            </w:rPr>
                            <m:t>j,n,l</m:t>
                          </m:r>
                        </m:sub>
                      </m:sSub>
                      <m:r>
                        <w:rPr>
                          <w:rFonts w:ascii="Cambria Math" w:hAnsi="Cambria Math"/>
                        </w:rPr>
                        <m:t>+</m:t>
                      </m:r>
                      <m:sSub>
                        <m:sSubPr>
                          <m:ctrlPr>
                            <w:rPr>
                              <w:rFonts w:ascii="Cambria Math" w:hAnsi="Cambria Math"/>
                              <w:i/>
                            </w:rPr>
                          </m:ctrlPr>
                        </m:sSubPr>
                        <m:e>
                          <m:r>
                            <w:rPr>
                              <w:rFonts w:ascii="Cambria Math" w:hAnsi="Cambria Math"/>
                            </w:rPr>
                            <m:t xml:space="preserve"> CRINR</m:t>
                          </m:r>
                        </m:e>
                        <m:sub>
                          <m:r>
                            <w:rPr>
                              <w:rFonts w:ascii="Cambria Math" w:hAnsi="Cambria Math"/>
                            </w:rPr>
                            <m:t>j,n,l</m:t>
                          </m:r>
                        </m:sub>
                      </m:sSub>
                      <m:r>
                        <w:rPr>
                          <w:rFonts w:ascii="Cambria Math" w:hAnsi="Cambria Math"/>
                        </w:rPr>
                        <m:t>-</m:t>
                      </m:r>
                      <m:sSub>
                        <m:sSubPr>
                          <m:ctrlPr>
                            <w:rPr>
                              <w:rFonts w:ascii="Cambria Math" w:hAnsi="Cambria Math"/>
                              <w:i/>
                            </w:rPr>
                          </m:ctrlPr>
                        </m:sSubPr>
                        <m:e>
                          <m:r>
                            <w:rPr>
                              <w:rFonts w:ascii="Cambria Math"/>
                            </w:rPr>
                            <m:t>CRIFO</m:t>
                          </m:r>
                        </m:e>
                        <m:sub>
                          <m:r>
                            <w:rPr>
                              <w:rFonts w:ascii="Cambria Math"/>
                            </w:rPr>
                            <m:t>j,n,l</m:t>
                          </m:r>
                        </m:sub>
                      </m:sSub>
                    </m:e>
                  </m:d>
                </m:e>
              </m:nary>
            </m:den>
          </m:f>
        </m:oMath>
      </m:oMathPara>
    </w:p>
    <w:p w:rsidR="00EF4850" w:rsidRPr="004E6CFC" w:rsidRDefault="00EF4850" w:rsidP="00EF4850">
      <w:pPr>
        <w:spacing w:before="200" w:after="200"/>
        <w:ind w:left="1416" w:hanging="1416"/>
        <w:rPr>
          <w:iCs/>
        </w:rPr>
      </w:pPr>
      <w:r w:rsidRPr="004E6CFC">
        <w:rPr>
          <w:iCs/>
        </w:rPr>
        <w:t>Donde:</w:t>
      </w:r>
    </w:p>
    <w:p w:rsidR="00EF4850" w:rsidRPr="004E6CFC" w:rsidRDefault="00EF4850" w:rsidP="00EF4850">
      <w:pPr>
        <w:spacing w:before="200" w:after="200"/>
        <w:ind w:left="1416" w:hanging="1416"/>
      </w:pPr>
      <w:r w:rsidRPr="004E6CFC">
        <w:rPr>
          <w:i/>
          <w:iCs/>
        </w:rPr>
        <w:t>PCAI</w:t>
      </w:r>
      <w:r w:rsidRPr="004E6CFC">
        <w:rPr>
          <w:i/>
          <w:iCs/>
          <w:vertAlign w:val="subscript"/>
        </w:rPr>
        <w:t>j,n,l</w:t>
      </w:r>
      <w:r w:rsidRPr="004E6CFC">
        <w:t>:</w:t>
      </w:r>
      <w:r w:rsidRPr="004E6CFC">
        <w:tab/>
        <w:t xml:space="preserve">Porcentaje del costo anual de los activos del OR </w:t>
      </w:r>
      <w:r w:rsidRPr="004E6CFC">
        <w:rPr>
          <w:i/>
        </w:rPr>
        <w:t>j</w:t>
      </w:r>
      <w:r w:rsidRPr="004E6CFC">
        <w:t xml:space="preserve"> en el nivel de tensión </w:t>
      </w:r>
      <w:r w:rsidRPr="004E6CFC">
        <w:rPr>
          <w:i/>
        </w:rPr>
        <w:t>n</w:t>
      </w:r>
      <w:r w:rsidRPr="004E6CFC">
        <w:t xml:space="preserve"> y la categoría de activos </w:t>
      </w:r>
      <w:r w:rsidRPr="004E6CFC">
        <w:rPr>
          <w:i/>
        </w:rPr>
        <w:t>l.</w:t>
      </w:r>
    </w:p>
    <w:p w:rsidR="00EF4850" w:rsidRPr="004E6CFC" w:rsidRDefault="00EF4850" w:rsidP="00EF4850">
      <w:pPr>
        <w:ind w:left="1410" w:hanging="1410"/>
      </w:pPr>
      <w:r w:rsidRPr="004E6CFC">
        <w:rPr>
          <w:i/>
          <w:iCs/>
        </w:rPr>
        <w:t>CRI</w:t>
      </w:r>
      <w:r w:rsidRPr="004E6CFC">
        <w:rPr>
          <w:i/>
          <w:iCs/>
          <w:vertAlign w:val="subscript"/>
        </w:rPr>
        <w:t>j,n,l</w:t>
      </w:r>
      <w:r w:rsidRPr="004E6CFC">
        <w:t>:</w:t>
      </w:r>
      <w:r w:rsidRPr="004E6CFC">
        <w:tab/>
      </w:r>
      <w:r>
        <w:t xml:space="preserve">Valor </w:t>
      </w:r>
      <w:r w:rsidRPr="004E6CFC">
        <w:t xml:space="preserve">de la inversión del OR </w:t>
      </w:r>
      <w:r w:rsidRPr="004E6CFC">
        <w:rPr>
          <w:i/>
        </w:rPr>
        <w:t>j</w:t>
      </w:r>
      <w:r w:rsidRPr="004E6CFC">
        <w:t xml:space="preserve"> en el nivel de tensión </w:t>
      </w:r>
      <w:r w:rsidRPr="004E6CFC">
        <w:rPr>
          <w:i/>
        </w:rPr>
        <w:t xml:space="preserve">n </w:t>
      </w:r>
      <w:r w:rsidRPr="004E6CFC">
        <w:t xml:space="preserve">y la categoría de activos </w:t>
      </w:r>
      <w:r w:rsidRPr="004E6CFC">
        <w:rPr>
          <w:i/>
        </w:rPr>
        <w:t xml:space="preserve">l, </w:t>
      </w:r>
      <w:r w:rsidRPr="004E6CFC">
        <w:t xml:space="preserve">calculado según lo definido en el numeral </w:t>
      </w:r>
      <w:r w:rsidRPr="004E6CFC">
        <w:fldChar w:fldCharType="begin"/>
      </w:r>
      <w:r w:rsidRPr="004E6CFC">
        <w:instrText xml:space="preserve"> REF _Ref460419342 \r \h  \* MERGEFORMAT </w:instrText>
      </w:r>
      <w:r w:rsidRPr="004E6CFC">
        <w:fldChar w:fldCharType="separate"/>
      </w:r>
      <w:r w:rsidR="00737178">
        <w:t>3.1.1.1.1.6</w:t>
      </w:r>
      <w:r w:rsidRPr="004E6CFC">
        <w:fldChar w:fldCharType="end"/>
      </w:r>
      <w:r w:rsidRPr="004E6CFC">
        <w:t>.</w:t>
      </w:r>
    </w:p>
    <w:p w:rsidR="00EF4850" w:rsidRPr="004E6CFC" w:rsidRDefault="00EF4850" w:rsidP="00EF4850">
      <w:pPr>
        <w:ind w:left="1410" w:hanging="1410"/>
      </w:pPr>
      <w:r w:rsidRPr="004E6CFC">
        <w:rPr>
          <w:i/>
          <w:iCs/>
        </w:rPr>
        <w:t>CRINR</w:t>
      </w:r>
      <w:r w:rsidRPr="004E6CFC">
        <w:rPr>
          <w:i/>
          <w:iCs/>
          <w:vertAlign w:val="subscript"/>
        </w:rPr>
        <w:t>j,n,l</w:t>
      </w:r>
      <w:r w:rsidRPr="004E6CFC">
        <w:t>:</w:t>
      </w:r>
      <w:r w:rsidRPr="004E6CFC">
        <w:tab/>
      </w:r>
      <w:r>
        <w:t xml:space="preserve">Valor de </w:t>
      </w:r>
      <w:r w:rsidRPr="004E6CFC">
        <w:t xml:space="preserve">los activos no incluidos en el inventario de activos utilizado para la aplicación de la Resolución CREG 097 de 2008 para el OR </w:t>
      </w:r>
      <w:r w:rsidRPr="004E6CFC">
        <w:rPr>
          <w:i/>
        </w:rPr>
        <w:t>j</w:t>
      </w:r>
      <w:r w:rsidRPr="004E6CFC">
        <w:t xml:space="preserve"> en el nivel de tensión </w:t>
      </w:r>
      <w:r w:rsidRPr="004E6CFC">
        <w:rPr>
          <w:i/>
        </w:rPr>
        <w:t>n</w:t>
      </w:r>
      <w:r w:rsidRPr="004E6CFC">
        <w:t xml:space="preserve"> y la categoría de activos </w:t>
      </w:r>
      <w:r w:rsidRPr="004E6CFC">
        <w:rPr>
          <w:i/>
        </w:rPr>
        <w:t>l</w:t>
      </w:r>
      <w:r w:rsidRPr="004E6CFC">
        <w:t xml:space="preserve"> calculado según lo definido en el numeral </w:t>
      </w:r>
      <w:r w:rsidRPr="004E6CFC">
        <w:fldChar w:fldCharType="begin"/>
      </w:r>
      <w:r w:rsidRPr="004E6CFC">
        <w:instrText xml:space="preserve"> REF _Ref460419076 \r \h  \* MERGEFORMAT </w:instrText>
      </w:r>
      <w:r w:rsidRPr="004E6CFC">
        <w:fldChar w:fldCharType="separate"/>
      </w:r>
      <w:r w:rsidR="00737178">
        <w:t>3.1.1.1.1.7</w:t>
      </w:r>
      <w:r w:rsidRPr="004E6CFC">
        <w:fldChar w:fldCharType="end"/>
      </w:r>
      <w:r w:rsidRPr="004E6CFC">
        <w:t>.</w:t>
      </w:r>
    </w:p>
    <w:p w:rsidR="00EF4850" w:rsidRDefault="00EF4850" w:rsidP="00EF4850">
      <w:pPr>
        <w:ind w:left="1410" w:hanging="1410"/>
      </w:pPr>
      <w:r w:rsidRPr="004E6CFC">
        <w:rPr>
          <w:i/>
          <w:iCs/>
        </w:rPr>
        <w:t>CRIFO</w:t>
      </w:r>
      <w:r w:rsidRPr="004E6CFC">
        <w:rPr>
          <w:i/>
          <w:iCs/>
          <w:vertAlign w:val="subscript"/>
        </w:rPr>
        <w:t>j,n,l</w:t>
      </w:r>
      <w:r w:rsidRPr="004E6CFC">
        <w:t>:</w:t>
      </w:r>
      <w:r w:rsidRPr="004E6CFC">
        <w:tab/>
      </w:r>
      <w:r>
        <w:t xml:space="preserve">Valor de los </w:t>
      </w:r>
      <w:r w:rsidRPr="004E6CFC">
        <w:t xml:space="preserve">activos que salieron de operación en el periodo enero de 2008 a la fecha de corte en el sistema del OR </w:t>
      </w:r>
      <w:r w:rsidRPr="004E6CFC">
        <w:rPr>
          <w:i/>
        </w:rPr>
        <w:t>j</w:t>
      </w:r>
      <w:r w:rsidRPr="004E6CFC">
        <w:t xml:space="preserve"> en el nivel de tensión </w:t>
      </w:r>
      <w:r w:rsidRPr="004E6CFC">
        <w:rPr>
          <w:i/>
        </w:rPr>
        <w:lastRenderedPageBreak/>
        <w:t>n</w:t>
      </w:r>
      <w:r w:rsidRPr="004E6CFC">
        <w:t xml:space="preserve"> y la categoría de activos </w:t>
      </w:r>
      <w:r w:rsidRPr="004E6CFC">
        <w:rPr>
          <w:i/>
        </w:rPr>
        <w:t>l</w:t>
      </w:r>
      <w:r w:rsidRPr="004E6CFC">
        <w:t xml:space="preserve">, calculado según lo definido en el numeral </w:t>
      </w:r>
      <w:r w:rsidRPr="004E6CFC">
        <w:fldChar w:fldCharType="begin"/>
      </w:r>
      <w:r w:rsidRPr="004E6CFC">
        <w:instrText xml:space="preserve"> REF _Ref460419096 \r \h  \* MERGEFORMAT </w:instrText>
      </w:r>
      <w:r w:rsidRPr="004E6CFC">
        <w:fldChar w:fldCharType="separate"/>
      </w:r>
      <w:r w:rsidR="00737178">
        <w:t>3.1.1.1.1.8</w:t>
      </w:r>
      <w:r w:rsidRPr="004E6CFC">
        <w:fldChar w:fldCharType="end"/>
      </w:r>
      <w:r w:rsidRPr="004E6CFC">
        <w:t>.</w:t>
      </w:r>
    </w:p>
    <w:p w:rsidR="00EF4850" w:rsidRPr="004E6CFC" w:rsidRDefault="00EF4850" w:rsidP="00EF4850">
      <w:pPr>
        <w:tabs>
          <w:tab w:val="left" w:pos="1418"/>
        </w:tabs>
        <w:spacing w:before="120"/>
        <w:ind w:left="1418" w:hanging="1418"/>
      </w:pPr>
      <w:r>
        <w:rPr>
          <w:i/>
          <w:iCs/>
        </w:rPr>
        <w:t>l</w:t>
      </w:r>
      <w:r w:rsidRPr="004E6CFC">
        <w:rPr>
          <w:i/>
          <w:iCs/>
        </w:rPr>
        <w:t>:</w:t>
      </w:r>
      <w:r w:rsidRPr="004E6CFC">
        <w:t xml:space="preserve"> </w:t>
      </w:r>
      <w:r w:rsidRPr="004E6CFC">
        <w:tab/>
        <w:t>Ca</w:t>
      </w:r>
      <w:r>
        <w:t xml:space="preserve">tegoría de activos, </w:t>
      </w:r>
      <w:r w:rsidRPr="00CA5A76">
        <w:rPr>
          <w:i/>
        </w:rPr>
        <w:t xml:space="preserve">l </w:t>
      </w:r>
      <w:r w:rsidRPr="00CA5A76">
        <w:t>toma los valores de 11</w:t>
      </w:r>
      <w:r>
        <w:t xml:space="preserve"> o </w:t>
      </w:r>
      <w:r w:rsidRPr="00CA5A76">
        <w:t>12</w:t>
      </w:r>
      <w:r>
        <w:t xml:space="preserve"> para el nivel de tensión 1</w:t>
      </w:r>
      <w:r w:rsidRPr="004E6CFC">
        <w:t>.</w:t>
      </w:r>
    </w:p>
    <w:p w:rsidR="00EF4850" w:rsidRPr="004E6CFC" w:rsidRDefault="00EF4850" w:rsidP="00EF4850">
      <w:pPr>
        <w:tabs>
          <w:tab w:val="left" w:pos="1418"/>
        </w:tabs>
        <w:spacing w:before="120"/>
        <w:ind w:left="1418" w:hanging="1418"/>
      </w:pPr>
      <w:r w:rsidRPr="004E6CFC">
        <w:rPr>
          <w:i/>
          <w:iCs/>
        </w:rPr>
        <w:t>L</w:t>
      </w:r>
      <w:r w:rsidRPr="004E6CFC">
        <w:rPr>
          <w:i/>
          <w:iCs/>
          <w:vertAlign w:val="subscript"/>
        </w:rPr>
        <w:t>n</w:t>
      </w:r>
      <w:r w:rsidRPr="004E6CFC">
        <w:rPr>
          <w:i/>
          <w:iCs/>
        </w:rPr>
        <w:t>:</w:t>
      </w:r>
      <w:r w:rsidRPr="004E6CFC">
        <w:t xml:space="preserve"> </w:t>
      </w:r>
      <w:r w:rsidRPr="004E6CFC">
        <w:tab/>
        <w:t xml:space="preserve">Cantidad de categorías de activos en el nivel de tensión </w:t>
      </w:r>
      <w:r w:rsidRPr="004E6CFC">
        <w:rPr>
          <w:i/>
        </w:rPr>
        <w:t>n</w:t>
      </w:r>
      <w:r>
        <w:rPr>
          <w:i/>
        </w:rPr>
        <w:t xml:space="preserve">. </w:t>
      </w:r>
      <w:r w:rsidRPr="004E6CFC">
        <w:rPr>
          <w:i/>
          <w:iCs/>
        </w:rPr>
        <w:t>L</w:t>
      </w:r>
      <w:r>
        <w:rPr>
          <w:i/>
          <w:iCs/>
          <w:vertAlign w:val="subscript"/>
        </w:rPr>
        <w:t>1</w:t>
      </w:r>
      <w:r w:rsidRPr="00CA5A76">
        <w:rPr>
          <w:i/>
        </w:rPr>
        <w:t xml:space="preserve"> </w:t>
      </w:r>
      <w:r w:rsidRPr="00CA5A76">
        <w:t xml:space="preserve">toma </w:t>
      </w:r>
      <w:r>
        <w:t xml:space="preserve">el </w:t>
      </w:r>
      <w:r w:rsidRPr="00CA5A76">
        <w:t>valo</w:t>
      </w:r>
      <w:r>
        <w:t>r</w:t>
      </w:r>
      <w:r w:rsidRPr="00CA5A76">
        <w:t xml:space="preserve"> de </w:t>
      </w:r>
      <w:r>
        <w:t>1</w:t>
      </w:r>
      <w:r w:rsidRPr="00CA5A76">
        <w:t>2</w:t>
      </w:r>
      <w:r>
        <w:t>.</w:t>
      </w:r>
    </w:p>
    <w:p w:rsidR="00EF4850" w:rsidRPr="004E6CFC" w:rsidRDefault="00EF4850" w:rsidP="00EF4850">
      <w:pPr>
        <w:pStyle w:val="Ttulo6"/>
        <w:ind w:left="2124" w:hanging="2124"/>
      </w:pPr>
      <w:bookmarkStart w:id="150" w:name="_Ref460419342"/>
      <w:bookmarkStart w:id="151" w:name="_Ref439672483"/>
      <w:r w:rsidRPr="004E6CFC">
        <w:t>Costo de reposición de la inversión</w:t>
      </w:r>
      <w:bookmarkEnd w:id="150"/>
      <w:r w:rsidRPr="004E6CFC">
        <w:t xml:space="preserve"> </w:t>
      </w:r>
    </w:p>
    <w:p w:rsidR="00EF4850" w:rsidRPr="004E6CFC" w:rsidRDefault="00EF4850" w:rsidP="009C086B">
      <w:pPr>
        <w:pStyle w:val="Prrafodelista"/>
        <w:numPr>
          <w:ilvl w:val="0"/>
          <w:numId w:val="72"/>
        </w:numPr>
        <w:rPr>
          <w:b/>
        </w:rPr>
      </w:pPr>
      <w:r w:rsidRPr="004E6CFC">
        <w:rPr>
          <w:b/>
        </w:rPr>
        <w:t>Niveles de tensión 2, 3 y 4</w:t>
      </w:r>
    </w:p>
    <w:p w:rsidR="00EF4850" w:rsidRPr="004E6CFC" w:rsidRDefault="00EF4850" w:rsidP="00EF4850">
      <w:r w:rsidRPr="004E6CFC">
        <w:t xml:space="preserve">Para los niveles de tensión 2, 3 y 4 el </w:t>
      </w:r>
      <w:r>
        <w:t xml:space="preserve">Valor </w:t>
      </w:r>
      <w:r w:rsidRPr="004E6CFC">
        <w:t xml:space="preserve">de la inversión para los activos pertenecientes a la categoría </w:t>
      </w:r>
      <w:r w:rsidRPr="004E6CFC">
        <w:rPr>
          <w:i/>
        </w:rPr>
        <w:t>l</w:t>
      </w:r>
      <w:r w:rsidRPr="004E6CFC">
        <w:t xml:space="preserve"> se calcula de la siguiente manera:</w:t>
      </w:r>
    </w:p>
    <w:p w:rsidR="00EF4850" w:rsidRPr="004E6CFC" w:rsidRDefault="00C9592F" w:rsidP="00EF4850">
      <w:pPr>
        <w:pStyle w:val="Prrafodelista"/>
        <w:ind w:left="360"/>
      </w:pPr>
      <m:oMathPara>
        <m:oMath>
          <m:sSub>
            <m:sSubPr>
              <m:ctrlPr>
                <w:rPr>
                  <w:rFonts w:ascii="Cambria Math" w:hAnsi="Cambria Math"/>
                  <w:i/>
                </w:rPr>
              </m:ctrlPr>
            </m:sSubPr>
            <m:e>
              <m:r>
                <w:rPr>
                  <w:rFonts w:ascii="Cambria Math" w:hAnsi="Cambria Math"/>
                </w:rPr>
                <m:t>CRI</m:t>
              </m:r>
            </m:e>
            <m:sub>
              <m:r>
                <w:rPr>
                  <w:rFonts w:ascii="Cambria Math" w:hAnsi="Cambria Math"/>
                </w:rPr>
                <m:t>j</m:t>
              </m:r>
              <m:r>
                <w:rPr>
                  <w:rFonts w:ascii="Cambria Math"/>
                </w:rPr>
                <m:t>,nl</m:t>
              </m:r>
            </m:sub>
          </m:sSub>
          <m:r>
            <w:rPr>
              <w:rFonts w:ascii="Cambria Math"/>
            </w:rPr>
            <m:t>=</m:t>
          </m:r>
          <m:nary>
            <m:naryPr>
              <m:chr m:val="∑"/>
              <m:limLoc m:val="undOvr"/>
              <m:ctrlPr>
                <w:rPr>
                  <w:rFonts w:ascii="Cambria Math" w:hAnsi="Cambria Math"/>
                  <w:i/>
                </w:rPr>
              </m:ctrlPr>
            </m:naryPr>
            <m:sub>
              <m:r>
                <w:rPr>
                  <w:rFonts w:ascii="Cambria Math"/>
                </w:rPr>
                <m:t>i=1</m:t>
              </m:r>
            </m:sub>
            <m:sup>
              <m:sSub>
                <m:sSubPr>
                  <m:ctrlPr>
                    <w:rPr>
                      <w:rFonts w:ascii="Cambria Math" w:hAnsi="Cambria Math"/>
                      <w:i/>
                    </w:rPr>
                  </m:ctrlPr>
                </m:sSubPr>
                <m:e>
                  <m:r>
                    <w:rPr>
                      <w:rFonts w:ascii="Cambria Math"/>
                    </w:rPr>
                    <m:t>R</m:t>
                  </m:r>
                </m:e>
                <m:sub>
                  <m:r>
                    <w:rPr>
                      <w:rFonts w:ascii="Cambria Math"/>
                    </w:rPr>
                    <m:t>j,n,l</m:t>
                  </m:r>
                </m:sub>
              </m:sSub>
            </m:sup>
            <m:e>
              <m:d>
                <m:dPr>
                  <m:ctrlPr>
                    <w:rPr>
                      <w:rFonts w:ascii="Cambria Math" w:hAnsi="Cambria Math"/>
                      <w:i/>
                    </w:rPr>
                  </m:ctrlPr>
                </m:dPr>
                <m:e>
                  <m:sSub>
                    <m:sSubPr>
                      <m:ctrlPr>
                        <w:rPr>
                          <w:rFonts w:ascii="Cambria Math" w:hAnsi="Cambria Math"/>
                          <w:i/>
                        </w:rPr>
                      </m:ctrlPr>
                    </m:sSubPr>
                    <m:e>
                      <m:r>
                        <w:rPr>
                          <w:rFonts w:ascii="Cambria Math"/>
                        </w:rPr>
                        <m:t>CR</m:t>
                      </m:r>
                    </m:e>
                    <m:sub>
                      <m:r>
                        <w:rPr>
                          <w:rFonts w:ascii="Cambria Math"/>
                        </w:rPr>
                        <m:t>i</m:t>
                      </m:r>
                    </m:sub>
                  </m:sSub>
                  <m:r>
                    <w:rPr>
                      <w:rFonts w:ascii="Cambria Math" w:hAnsi="Cambria Math"/>
                    </w:rPr>
                    <m:t>*</m:t>
                  </m:r>
                  <m:sSub>
                    <m:sSubPr>
                      <m:ctrlPr>
                        <w:rPr>
                          <w:rFonts w:ascii="Cambria Math" w:hAnsi="Cambria Math"/>
                          <w:i/>
                        </w:rPr>
                      </m:ctrlPr>
                    </m:sSubPr>
                    <m:e>
                      <m:r>
                        <w:rPr>
                          <w:rFonts w:ascii="Cambria Math"/>
                        </w:rPr>
                        <m:t>PU</m:t>
                      </m:r>
                    </m:e>
                    <m:sub>
                      <m:r>
                        <w:rPr>
                          <w:rFonts w:ascii="Cambria Math"/>
                        </w:rPr>
                        <m:t>j,i</m:t>
                      </m:r>
                    </m:sub>
                  </m:sSub>
                  <m:r>
                    <w:rPr>
                      <w:rFonts w:ascii="Cambria Math" w:hAnsi="Cambria Math"/>
                    </w:rPr>
                    <m:t>*(1-</m:t>
                  </m:r>
                  <m:sSub>
                    <m:sSubPr>
                      <m:ctrlPr>
                        <w:rPr>
                          <w:rFonts w:ascii="Cambria Math" w:hAnsi="Cambria Math"/>
                          <w:i/>
                        </w:rPr>
                      </m:ctrlPr>
                    </m:sSubPr>
                    <m:e>
                      <m:r>
                        <w:rPr>
                          <w:rFonts w:ascii="Cambria Math" w:hAnsi="Cambria Math"/>
                        </w:rPr>
                        <m:t>RPP</m:t>
                      </m:r>
                    </m:e>
                    <m:sub>
                      <m:r>
                        <w:rPr>
                          <w:rFonts w:ascii="Cambria Math" w:hAnsi="Cambria Math"/>
                        </w:rPr>
                        <m:t>i</m:t>
                      </m:r>
                    </m:sub>
                  </m:sSub>
                  <m:r>
                    <w:rPr>
                      <w:rFonts w:ascii="Cambria Math" w:hAnsi="Cambria Math"/>
                    </w:rPr>
                    <m:t>)</m:t>
                  </m:r>
                </m:e>
              </m:d>
            </m:e>
          </m:nary>
          <m:r>
            <w:rPr>
              <w:rFonts w:ascii="Cambria Math"/>
            </w:rPr>
            <m:t>+</m:t>
          </m:r>
          <m:nary>
            <m:naryPr>
              <m:chr m:val="∑"/>
              <m:limLoc m:val="undOvr"/>
              <m:ctrlPr>
                <w:rPr>
                  <w:rFonts w:ascii="Cambria Math" w:hAnsi="Cambria Math"/>
                  <w:i/>
                </w:rPr>
              </m:ctrlPr>
            </m:naryPr>
            <m:sub>
              <m:r>
                <w:rPr>
                  <w:rFonts w:ascii="Cambria Math"/>
                </w:rPr>
                <m:t>i=1</m:t>
              </m:r>
            </m:sub>
            <m:sup>
              <m:sSub>
                <m:sSubPr>
                  <m:ctrlPr>
                    <w:rPr>
                      <w:rFonts w:ascii="Cambria Math" w:hAnsi="Cambria Math"/>
                      <w:i/>
                    </w:rPr>
                  </m:ctrlPr>
                </m:sSubPr>
                <m:e>
                  <m:r>
                    <w:rPr>
                      <w:rFonts w:ascii="Cambria Math"/>
                    </w:rPr>
                    <m:t>RSN</m:t>
                  </m:r>
                </m:e>
                <m:sub>
                  <m:r>
                    <w:rPr>
                      <w:rFonts w:ascii="Cambria Math"/>
                    </w:rPr>
                    <m:t>j,l</m:t>
                  </m:r>
                </m:sub>
              </m:sSub>
            </m:sup>
            <m:e>
              <m:d>
                <m:dPr>
                  <m:ctrlPr>
                    <w:rPr>
                      <w:rFonts w:ascii="Cambria Math" w:hAnsi="Cambria Math"/>
                      <w:i/>
                    </w:rPr>
                  </m:ctrlPr>
                </m:dPr>
                <m:e>
                  <m:sSub>
                    <m:sSubPr>
                      <m:ctrlPr>
                        <w:rPr>
                          <w:rFonts w:ascii="Cambria Math" w:hAnsi="Cambria Math"/>
                          <w:i/>
                        </w:rPr>
                      </m:ctrlPr>
                    </m:sSubPr>
                    <m:e>
                      <m:r>
                        <w:rPr>
                          <w:rFonts w:ascii="Cambria Math"/>
                        </w:rPr>
                        <m:t>CR</m:t>
                      </m:r>
                    </m:e>
                    <m:sub>
                      <m:r>
                        <w:rPr>
                          <w:rFonts w:ascii="Cambria Math"/>
                        </w:rPr>
                        <m:t>i</m:t>
                      </m:r>
                    </m:sub>
                  </m:sSub>
                  <m:r>
                    <w:rPr>
                      <w:rFonts w:ascii="Cambria Math" w:hAnsi="Cambria Math"/>
                    </w:rPr>
                    <m:t>*</m:t>
                  </m:r>
                  <m:sSub>
                    <m:sSubPr>
                      <m:ctrlPr>
                        <w:rPr>
                          <w:rFonts w:ascii="Cambria Math" w:hAnsi="Cambria Math"/>
                          <w:i/>
                        </w:rPr>
                      </m:ctrlPr>
                    </m:sSubPr>
                    <m:e>
                      <m:r>
                        <w:rPr>
                          <w:rFonts w:ascii="Cambria Math"/>
                        </w:rPr>
                        <m:t>PU</m:t>
                      </m:r>
                    </m:e>
                    <m:sub>
                      <m:r>
                        <w:rPr>
                          <w:rFonts w:ascii="Cambria Math"/>
                        </w:rPr>
                        <m:t>j,i</m:t>
                      </m:r>
                    </m:sub>
                  </m:sSub>
                  <m:r>
                    <w:rPr>
                      <w:rFonts w:ascii="Cambria Math" w:hAnsi="Cambria Math"/>
                    </w:rPr>
                    <m:t>*(1-</m:t>
                  </m:r>
                  <m:sSub>
                    <m:sSubPr>
                      <m:ctrlPr>
                        <w:rPr>
                          <w:rFonts w:ascii="Cambria Math" w:hAnsi="Cambria Math"/>
                          <w:i/>
                        </w:rPr>
                      </m:ctrlPr>
                    </m:sSubPr>
                    <m:e>
                      <m:r>
                        <w:rPr>
                          <w:rFonts w:ascii="Cambria Math" w:hAnsi="Cambria Math"/>
                        </w:rPr>
                        <m:t>RPP</m:t>
                      </m:r>
                    </m:e>
                    <m:sub>
                      <m:r>
                        <w:rPr>
                          <w:rFonts w:ascii="Cambria Math" w:hAnsi="Cambria Math"/>
                        </w:rPr>
                        <m:t>i</m:t>
                      </m:r>
                    </m:sub>
                  </m:sSub>
                  <m:r>
                    <w:rPr>
                      <w:rFonts w:ascii="Cambria Math" w:hAnsi="Cambria Math"/>
                    </w:rPr>
                    <m:t>)</m:t>
                  </m:r>
                  <m:r>
                    <w:rPr>
                      <w:rFonts w:ascii="Cambria Math" w:hAnsi="Cambria Math" w:cs="Cambria Math"/>
                    </w:rPr>
                    <m:t>*</m:t>
                  </m:r>
                  <m:sSub>
                    <m:sSubPr>
                      <m:ctrlPr>
                        <w:rPr>
                          <w:rFonts w:ascii="Cambria Math" w:hAnsi="Cambria Math"/>
                          <w:i/>
                        </w:rPr>
                      </m:ctrlPr>
                    </m:sSubPr>
                    <m:e>
                      <m:r>
                        <w:rPr>
                          <w:rFonts w:ascii="Cambria Math" w:hAnsi="Cambria Math"/>
                        </w:rPr>
                        <m:t>Psn</m:t>
                      </m:r>
                    </m:e>
                    <m:sub>
                      <m:r>
                        <w:rPr>
                          <w:rFonts w:ascii="Cambria Math" w:hAnsi="Cambria Math"/>
                        </w:rPr>
                        <m:t>j</m:t>
                      </m:r>
                    </m:sub>
                  </m:sSub>
                </m:e>
              </m:d>
            </m:e>
          </m:nary>
        </m:oMath>
      </m:oMathPara>
    </w:p>
    <w:p w:rsidR="00EF4850" w:rsidRPr="004E6CFC" w:rsidRDefault="00EF4850" w:rsidP="00EF4850">
      <w:pPr>
        <w:rPr>
          <w:i/>
          <w:iCs/>
        </w:rPr>
      </w:pPr>
    </w:p>
    <w:p w:rsidR="00EF4850" w:rsidRPr="004E6CFC" w:rsidRDefault="00EF4850" w:rsidP="00EF4850">
      <w:pPr>
        <w:ind w:left="1469" w:hanging="1469"/>
      </w:pPr>
      <w:r w:rsidRPr="004E6CFC">
        <w:rPr>
          <w:i/>
          <w:iCs/>
        </w:rPr>
        <w:t>CRI</w:t>
      </w:r>
      <w:r w:rsidRPr="004E6CFC">
        <w:rPr>
          <w:i/>
          <w:iCs/>
          <w:vertAlign w:val="subscript"/>
        </w:rPr>
        <w:t>j,n,l</w:t>
      </w:r>
      <w:r w:rsidRPr="004E6CFC">
        <w:t>:</w:t>
      </w:r>
      <w:r w:rsidRPr="004E6CFC">
        <w:tab/>
      </w:r>
      <w:r>
        <w:t xml:space="preserve">Valor de la </w:t>
      </w:r>
      <w:r w:rsidRPr="004E6CFC">
        <w:t xml:space="preserve">inversión en el sistema del OR </w:t>
      </w:r>
      <w:r w:rsidRPr="004E6CFC">
        <w:rPr>
          <w:i/>
        </w:rPr>
        <w:t>j</w:t>
      </w:r>
      <w:r w:rsidRPr="004E6CFC">
        <w:t xml:space="preserve"> por los activos del nivel de tensión </w:t>
      </w:r>
      <w:r w:rsidRPr="004E6CFC">
        <w:rPr>
          <w:i/>
        </w:rPr>
        <w:t xml:space="preserve">n </w:t>
      </w:r>
      <w:r w:rsidRPr="004E6CFC">
        <w:t xml:space="preserve">y la categoría de activos </w:t>
      </w:r>
      <w:r w:rsidRPr="004E6CFC">
        <w:rPr>
          <w:i/>
        </w:rPr>
        <w:t>l.</w:t>
      </w:r>
    </w:p>
    <w:p w:rsidR="00EF4850" w:rsidRPr="004E6CFC" w:rsidRDefault="00EF4850" w:rsidP="00EF4850">
      <w:pPr>
        <w:tabs>
          <w:tab w:val="left" w:pos="1418"/>
        </w:tabs>
        <w:spacing w:before="120"/>
        <w:ind w:left="1418" w:hanging="1418"/>
      </w:pPr>
      <w:r w:rsidRPr="004E6CFC">
        <w:rPr>
          <w:i/>
          <w:iCs/>
        </w:rPr>
        <w:t>R</w:t>
      </w:r>
      <w:r w:rsidRPr="004E6CFC">
        <w:rPr>
          <w:i/>
          <w:iCs/>
          <w:vertAlign w:val="subscript"/>
        </w:rPr>
        <w:t>j,n,l</w:t>
      </w:r>
      <w:r w:rsidRPr="004E6CFC">
        <w:t>:</w:t>
      </w:r>
      <w:r w:rsidRPr="004E6CFC">
        <w:tab/>
        <w:t xml:space="preserve">Número de UC reconocidas en aplicación de la metodología de la Resolución CREG 097 de 2008 al OR </w:t>
      </w:r>
      <w:r w:rsidRPr="004E6CFC">
        <w:rPr>
          <w:i/>
        </w:rPr>
        <w:t>j</w:t>
      </w:r>
      <w:r w:rsidRPr="004E6CFC">
        <w:t xml:space="preserve"> en el nivel de tensión </w:t>
      </w:r>
      <w:r w:rsidRPr="004E6CFC">
        <w:rPr>
          <w:i/>
        </w:rPr>
        <w:t>n</w:t>
      </w:r>
      <w:r w:rsidRPr="004E6CFC">
        <w:t xml:space="preserve"> y la categoría</w:t>
      </w:r>
      <w:r w:rsidRPr="004E6CFC">
        <w:rPr>
          <w:i/>
        </w:rPr>
        <w:t xml:space="preserve"> l</w:t>
      </w:r>
      <w:r w:rsidRPr="004E6CFC">
        <w:t xml:space="preserve">. </w:t>
      </w:r>
    </w:p>
    <w:p w:rsidR="00EF4850" w:rsidRPr="004E6CFC" w:rsidRDefault="00EF4850" w:rsidP="00EF4850">
      <w:pPr>
        <w:tabs>
          <w:tab w:val="left" w:pos="1418"/>
        </w:tabs>
        <w:spacing w:before="120"/>
        <w:rPr>
          <w:b/>
          <w:bCs/>
          <w:i/>
          <w:iCs/>
        </w:rPr>
      </w:pPr>
      <w:r w:rsidRPr="004E6CFC">
        <w:rPr>
          <w:bCs/>
          <w:i/>
          <w:iCs/>
        </w:rPr>
        <w:t>CR</w:t>
      </w:r>
      <w:r w:rsidRPr="004E6CFC">
        <w:rPr>
          <w:bCs/>
          <w:i/>
          <w:iCs/>
          <w:vertAlign w:val="subscript"/>
        </w:rPr>
        <w:t>i</w:t>
      </w:r>
      <w:r w:rsidRPr="004E6CFC">
        <w:rPr>
          <w:bCs/>
          <w:i/>
          <w:iCs/>
        </w:rPr>
        <w:t>:</w:t>
      </w:r>
      <w:r w:rsidRPr="004E6CFC">
        <w:rPr>
          <w:b/>
          <w:bCs/>
          <w:i/>
          <w:iCs/>
        </w:rPr>
        <w:tab/>
      </w:r>
      <w:r w:rsidRPr="004E6CFC">
        <w:t xml:space="preserve">Valor de la UC </w:t>
      </w:r>
      <w:r w:rsidRPr="004E6CFC">
        <w:rPr>
          <w:i/>
        </w:rPr>
        <w:t>i</w:t>
      </w:r>
      <w:r w:rsidRPr="004E6CFC">
        <w:t xml:space="preserve"> definido en el capítulo </w:t>
      </w:r>
      <w:r w:rsidRPr="004E6CFC">
        <w:fldChar w:fldCharType="begin"/>
      </w:r>
      <w:r w:rsidRPr="004E6CFC">
        <w:instrText xml:space="preserve"> REF _Ref476818651 \r \h \t  \* MERGEFORMAT </w:instrText>
      </w:r>
      <w:r w:rsidRPr="004E6CFC">
        <w:fldChar w:fldCharType="separate"/>
      </w:r>
      <w:r w:rsidR="00737178">
        <w:t>15</w:t>
      </w:r>
      <w:r w:rsidRPr="004E6CFC">
        <w:fldChar w:fldCharType="end"/>
      </w:r>
      <w:r w:rsidRPr="004E6CFC">
        <w:t>.</w:t>
      </w:r>
    </w:p>
    <w:p w:rsidR="00EF4850" w:rsidRPr="004E6CFC" w:rsidRDefault="00EF4850" w:rsidP="00EF4850">
      <w:pPr>
        <w:tabs>
          <w:tab w:val="left" w:pos="1418"/>
        </w:tabs>
        <w:spacing w:before="120"/>
        <w:ind w:left="1418" w:hanging="1418"/>
      </w:pPr>
      <w:r w:rsidRPr="004E6CFC">
        <w:rPr>
          <w:i/>
          <w:iCs/>
        </w:rPr>
        <w:t>PU</w:t>
      </w:r>
      <w:r w:rsidRPr="004E6CFC">
        <w:rPr>
          <w:i/>
          <w:iCs/>
          <w:vertAlign w:val="subscript"/>
        </w:rPr>
        <w:t>j,i</w:t>
      </w:r>
      <w:r w:rsidRPr="004E6CFC">
        <w:rPr>
          <w:i/>
          <w:iCs/>
        </w:rPr>
        <w:t>:</w:t>
      </w:r>
      <w:r w:rsidRPr="004E6CFC">
        <w:tab/>
        <w:t xml:space="preserve">Fracción del costo de la UC </w:t>
      </w:r>
      <w:r w:rsidRPr="004E6CFC">
        <w:rPr>
          <w:i/>
          <w:iCs/>
        </w:rPr>
        <w:t>i</w:t>
      </w:r>
      <w:r w:rsidRPr="004E6CFC">
        <w:t xml:space="preserve"> del OR </w:t>
      </w:r>
      <w:r w:rsidRPr="004E6CFC">
        <w:rPr>
          <w:i/>
        </w:rPr>
        <w:t>j</w:t>
      </w:r>
      <w:r w:rsidRPr="004E6CFC">
        <w:t xml:space="preserve"> que es</w:t>
      </w:r>
      <w:r w:rsidRPr="004E6CFC">
        <w:rPr>
          <w:i/>
        </w:rPr>
        <w:t xml:space="preserve"> </w:t>
      </w:r>
      <w:r w:rsidRPr="004E6CFC">
        <w:t>remunerada vía cargos por uso.</w:t>
      </w:r>
    </w:p>
    <w:p w:rsidR="00EF4850" w:rsidRPr="004E6CFC" w:rsidRDefault="00EF4850" w:rsidP="00EF4850">
      <w:pPr>
        <w:tabs>
          <w:tab w:val="left" w:pos="1418"/>
        </w:tabs>
        <w:spacing w:before="120"/>
        <w:ind w:left="1418" w:hanging="1418"/>
      </w:pPr>
      <w:r w:rsidRPr="004E6CFC">
        <w:rPr>
          <w:i/>
          <w:iCs/>
        </w:rPr>
        <w:t>RPP</w:t>
      </w:r>
      <w:r w:rsidRPr="004E6CFC">
        <w:rPr>
          <w:i/>
          <w:iCs/>
          <w:vertAlign w:val="subscript"/>
        </w:rPr>
        <w:t>i</w:t>
      </w:r>
      <w:r w:rsidRPr="004E6CFC">
        <w:rPr>
          <w:i/>
          <w:iCs/>
        </w:rPr>
        <w:t>:</w:t>
      </w:r>
      <w:r w:rsidRPr="004E6CFC">
        <w:tab/>
        <w:t xml:space="preserve">Fracción del costo de la UC </w:t>
      </w:r>
      <w:r w:rsidRPr="004E6CFC">
        <w:rPr>
          <w:i/>
          <w:iCs/>
        </w:rPr>
        <w:t>i</w:t>
      </w:r>
      <w:r w:rsidRPr="004E6CFC">
        <w:t xml:space="preserve"> que es</w:t>
      </w:r>
      <w:r w:rsidRPr="004E6CFC">
        <w:rPr>
          <w:i/>
        </w:rPr>
        <w:t xml:space="preserve"> </w:t>
      </w:r>
      <w:r w:rsidRPr="004E6CFC">
        <w:t>remunerada vía cargos por uso que no se debe incluir en el cálculo de la tarifa.</w:t>
      </w:r>
    </w:p>
    <w:p w:rsidR="00EF4850" w:rsidRPr="004E6CFC" w:rsidRDefault="00EF4850" w:rsidP="00EF4850">
      <w:pPr>
        <w:tabs>
          <w:tab w:val="left" w:pos="1418"/>
        </w:tabs>
        <w:spacing w:before="120"/>
        <w:ind w:left="1418" w:hanging="1418"/>
      </w:pPr>
      <w:r w:rsidRPr="004E6CFC">
        <w:rPr>
          <w:i/>
          <w:iCs/>
        </w:rPr>
        <w:t>RSN</w:t>
      </w:r>
      <w:r w:rsidRPr="004E6CFC">
        <w:rPr>
          <w:i/>
          <w:iCs/>
          <w:vertAlign w:val="subscript"/>
        </w:rPr>
        <w:t>j,l</w:t>
      </w:r>
      <w:r w:rsidRPr="004E6CFC">
        <w:rPr>
          <w:i/>
          <w:iCs/>
        </w:rPr>
        <w:t>:</w:t>
      </w:r>
      <w:r w:rsidRPr="004E6CFC">
        <w:rPr>
          <w:i/>
          <w:iCs/>
        </w:rPr>
        <w:tab/>
      </w:r>
      <w:r w:rsidRPr="004E6CFC">
        <w:t xml:space="preserve">Número de UC </w:t>
      </w:r>
      <w:r w:rsidRPr="004E6CFC">
        <w:rPr>
          <w:iCs/>
        </w:rPr>
        <w:t>no asociadas con un nivel de tensión específico</w:t>
      </w:r>
      <w:r w:rsidRPr="004E6CFC">
        <w:t xml:space="preserve"> reconocidas en aplicación de la metodología de la Resolución CREG 097 de 2008 al OR </w:t>
      </w:r>
      <w:r w:rsidRPr="004E6CFC">
        <w:rPr>
          <w:i/>
        </w:rPr>
        <w:t xml:space="preserve">j </w:t>
      </w:r>
      <w:r w:rsidRPr="004E6CFC">
        <w:rPr>
          <w:iCs/>
        </w:rPr>
        <w:t xml:space="preserve">en </w:t>
      </w:r>
      <w:r w:rsidRPr="004E6CFC">
        <w:t>la categoría</w:t>
      </w:r>
      <w:r w:rsidRPr="004E6CFC">
        <w:rPr>
          <w:i/>
        </w:rPr>
        <w:t xml:space="preserve"> l</w:t>
      </w:r>
      <w:r w:rsidRPr="004E6CFC">
        <w:t xml:space="preserve">. </w:t>
      </w:r>
    </w:p>
    <w:p w:rsidR="00EF4850" w:rsidRPr="004E6CFC" w:rsidRDefault="00EF4850" w:rsidP="00EF4850">
      <w:pPr>
        <w:tabs>
          <w:tab w:val="left" w:pos="1418"/>
        </w:tabs>
        <w:spacing w:before="120"/>
        <w:ind w:left="1418" w:hanging="1418"/>
        <w:rPr>
          <w:iCs/>
        </w:rPr>
      </w:pPr>
      <w:r w:rsidRPr="004E6CFC">
        <w:rPr>
          <w:i/>
          <w:iCs/>
        </w:rPr>
        <w:t>Psn</w:t>
      </w:r>
      <w:r w:rsidRPr="004E6CFC">
        <w:rPr>
          <w:i/>
          <w:iCs/>
          <w:vertAlign w:val="subscript"/>
        </w:rPr>
        <w:t>j</w:t>
      </w:r>
      <w:r w:rsidRPr="004E6CFC">
        <w:rPr>
          <w:i/>
          <w:iCs/>
        </w:rPr>
        <w:t>:</w:t>
      </w:r>
      <w:r w:rsidRPr="004E6CFC">
        <w:rPr>
          <w:i/>
          <w:iCs/>
        </w:rPr>
        <w:tab/>
      </w:r>
      <w:r w:rsidRPr="004E6CFC">
        <w:rPr>
          <w:iCs/>
        </w:rPr>
        <w:t xml:space="preserve">Variable de asignación de las UC sin nivel de tensión. Para OR con cuatro niveles de tensión es igual a 1/3, para OR con tres niveles de tensión es igual a 1/2 y para OR con dos niveles de tensión es igual a 1. </w:t>
      </w:r>
    </w:p>
    <w:p w:rsidR="00EF4850" w:rsidRPr="004E6CFC" w:rsidRDefault="00EF4850" w:rsidP="00EF4850">
      <w:r w:rsidRPr="004E6CFC">
        <w:t>Para las UC de transformadores tridevanados y sus bahías asociadas el OR debe considerar los criterios de clasificación por nivel de tensión establecidas en la Resolución CREG 097 de 2008.</w:t>
      </w:r>
    </w:p>
    <w:p w:rsidR="00EF4850" w:rsidRPr="004E6CFC" w:rsidRDefault="00EF4850" w:rsidP="00EF4850">
      <w:r w:rsidRPr="00483D03">
        <w:t>La Comisión entregará a cada OR el listado de UC reconocidas en la aprobación de cargos de la Resolución CREG 097 de 2008.</w:t>
      </w:r>
      <w:r w:rsidRPr="004E6CFC">
        <w:t xml:space="preserve"> </w:t>
      </w:r>
    </w:p>
    <w:p w:rsidR="00EF4850" w:rsidRPr="004E6CFC" w:rsidRDefault="00EF4850" w:rsidP="004E77B3">
      <w:pPr>
        <w:pStyle w:val="Prrafodelista"/>
        <w:keepNext/>
        <w:numPr>
          <w:ilvl w:val="0"/>
          <w:numId w:val="72"/>
        </w:numPr>
        <w:ind w:left="357" w:hanging="357"/>
        <w:rPr>
          <w:b/>
        </w:rPr>
      </w:pPr>
      <w:bookmarkStart w:id="152" w:name="_Ref460420580"/>
      <w:r w:rsidRPr="004E6CFC">
        <w:rPr>
          <w:b/>
        </w:rPr>
        <w:lastRenderedPageBreak/>
        <w:t>Nivel de tensión 1</w:t>
      </w:r>
      <w:bookmarkEnd w:id="152"/>
    </w:p>
    <w:p w:rsidR="00EF4850" w:rsidRPr="004E6CFC" w:rsidRDefault="00EF4850" w:rsidP="00EF4850">
      <w:r w:rsidRPr="004E6CFC">
        <w:t xml:space="preserve">Para el nivel de tensión 1 el </w:t>
      </w:r>
      <w:r>
        <w:t xml:space="preserve">valor </w:t>
      </w:r>
      <w:r w:rsidRPr="004E6CFC">
        <w:t xml:space="preserve">de los activos pertenecientes a la categoría </w:t>
      </w:r>
      <w:r w:rsidRPr="004E6CFC">
        <w:rPr>
          <w:i/>
        </w:rPr>
        <w:t>l</w:t>
      </w:r>
      <w:r w:rsidRPr="004E6CFC">
        <w:t xml:space="preserve"> se calcula de la siguiente manera:</w:t>
      </w:r>
    </w:p>
    <w:p w:rsidR="00EF4850" w:rsidRPr="004E6CFC" w:rsidRDefault="00C9592F" w:rsidP="00EF4850">
      <w:pPr>
        <w:pStyle w:val="Prrafodelista"/>
        <w:ind w:left="360"/>
      </w:pPr>
      <m:oMathPara>
        <m:oMath>
          <m:sSub>
            <m:sSubPr>
              <m:ctrlPr>
                <w:rPr>
                  <w:rFonts w:ascii="Cambria Math" w:hAnsi="Cambria Math"/>
                  <w:i/>
                </w:rPr>
              </m:ctrlPr>
            </m:sSubPr>
            <m:e>
              <m:r>
                <w:rPr>
                  <w:rFonts w:ascii="Cambria Math" w:hAnsi="Cambria Math"/>
                </w:rPr>
                <m:t>CRI</m:t>
              </m:r>
            </m:e>
            <m:sub>
              <m:r>
                <w:rPr>
                  <w:rFonts w:ascii="Cambria Math" w:hAnsi="Cambria Math"/>
                </w:rPr>
                <m:t>j</m:t>
              </m:r>
              <m:r>
                <w:rPr>
                  <w:rFonts w:ascii="Cambria Math"/>
                </w:rPr>
                <m:t>,1,l</m:t>
              </m:r>
            </m:sub>
          </m:sSub>
          <m:r>
            <w:rPr>
              <w:rFonts w:ascii="Cambria Math"/>
            </w:rPr>
            <m:t>=</m:t>
          </m:r>
          <m:sSub>
            <m:sSubPr>
              <m:ctrlPr>
                <w:rPr>
                  <w:rFonts w:ascii="Cambria Math" w:hAnsi="Cambria Math"/>
                </w:rPr>
              </m:ctrlPr>
            </m:sSubPr>
            <m:e>
              <m:r>
                <w:rPr>
                  <w:rFonts w:ascii="Cambria Math" w:hAnsi="Cambria Math"/>
                </w:rPr>
                <m:t>NT</m:t>
              </m:r>
            </m:e>
            <m:sub>
              <m:r>
                <w:rPr>
                  <w:rFonts w:ascii="Cambria Math" w:hAnsi="Cambria Math"/>
                </w:rPr>
                <m:t>j,1,l</m:t>
              </m:r>
            </m:sub>
          </m:sSub>
          <m:r>
            <w:rPr>
              <w:rFonts w:ascii="Cambria Math" w:hAnsi="Cambria Math"/>
            </w:rPr>
            <m:t>*</m:t>
          </m:r>
          <m:sSub>
            <m:sSubPr>
              <m:ctrlPr>
                <w:rPr>
                  <w:rFonts w:ascii="Cambria Math" w:hAnsi="Cambria Math"/>
                </w:rPr>
              </m:ctrlPr>
            </m:sSubPr>
            <m:e>
              <m:r>
                <w:rPr>
                  <w:rFonts w:ascii="Cambria Math" w:hAnsi="Cambria Math"/>
                </w:rPr>
                <m:t>CMTD</m:t>
              </m:r>
            </m:e>
            <m:sub>
              <m:r>
                <w:rPr>
                  <w:rFonts w:ascii="Cambria Math" w:hAnsi="Cambria Math"/>
                </w:rPr>
                <m:t>j</m:t>
              </m:r>
            </m:sub>
          </m:sSub>
          <m:r>
            <w:rPr>
              <w:rFonts w:ascii="Cambria Math" w:hAnsi="Cambria Math"/>
            </w:rPr>
            <m:t>+</m:t>
          </m:r>
          <m:sSub>
            <m:sSubPr>
              <m:ctrlPr>
                <w:rPr>
                  <w:rFonts w:ascii="Cambria Math" w:hAnsi="Cambria Math"/>
                  <w:i/>
                </w:rPr>
              </m:ctrlPr>
            </m:sSubPr>
            <m:e>
              <m:r>
                <w:rPr>
                  <w:rFonts w:ascii="Cambria Math" w:hAnsi="Cambria Math"/>
                </w:rPr>
                <m:t>NR</m:t>
              </m:r>
            </m:e>
            <m:sub>
              <m:r>
                <w:rPr>
                  <w:rFonts w:ascii="Cambria Math" w:hAnsi="Cambria Math"/>
                </w:rPr>
                <m:t>j,1,l</m:t>
              </m:r>
            </m:sub>
          </m:sSub>
          <m:r>
            <w:rPr>
              <w:rFonts w:ascii="Cambria Math" w:hAnsi="Cambria Math"/>
            </w:rPr>
            <m:t xml:space="preserve"> </m:t>
          </m:r>
          <m:sSub>
            <m:sSubPr>
              <m:ctrlPr>
                <w:rPr>
                  <w:rFonts w:ascii="Cambria Math" w:hAnsi="Cambria Math"/>
                </w:rPr>
              </m:ctrlPr>
            </m:sSubPr>
            <m:e>
              <m:r>
                <w:rPr>
                  <w:rFonts w:ascii="Cambria Math" w:hAnsi="Cambria Math"/>
                </w:rPr>
                <m:t>*CMRD</m:t>
              </m:r>
            </m:e>
            <m:sub>
              <m:r>
                <w:rPr>
                  <w:rFonts w:ascii="Cambria Math" w:hAnsi="Cambria Math"/>
                </w:rPr>
                <m:t>j</m:t>
              </m:r>
            </m:sub>
          </m:sSub>
        </m:oMath>
      </m:oMathPara>
    </w:p>
    <w:p w:rsidR="00EF4850" w:rsidRPr="004E6CFC" w:rsidRDefault="00EF4850" w:rsidP="00EF4850">
      <w:pPr>
        <w:rPr>
          <w:iCs/>
        </w:rPr>
      </w:pPr>
      <w:r w:rsidRPr="004E6CFC">
        <w:rPr>
          <w:iCs/>
        </w:rPr>
        <w:t>Donde:</w:t>
      </w:r>
    </w:p>
    <w:p w:rsidR="00EF4850" w:rsidRPr="004E6CFC" w:rsidRDefault="00EF4850" w:rsidP="00EF4850">
      <w:pPr>
        <w:spacing w:before="120"/>
        <w:ind w:left="1418" w:hanging="1418"/>
      </w:pPr>
      <w:r w:rsidRPr="004E6CFC">
        <w:rPr>
          <w:i/>
          <w:iCs/>
        </w:rPr>
        <w:t>CRI</w:t>
      </w:r>
      <w:r w:rsidRPr="004E6CFC">
        <w:rPr>
          <w:i/>
          <w:iCs/>
          <w:vertAlign w:val="subscript"/>
        </w:rPr>
        <w:t>j,1,l</w:t>
      </w:r>
      <w:r w:rsidRPr="004E6CFC">
        <w:t>:</w:t>
      </w:r>
      <w:r w:rsidRPr="004E6CFC">
        <w:tab/>
      </w:r>
      <w:r>
        <w:t xml:space="preserve">Valor de </w:t>
      </w:r>
      <w:r w:rsidRPr="004E6CFC">
        <w:t xml:space="preserve">la inversión del OR j en el nivel de tensión </w:t>
      </w:r>
      <w:r w:rsidRPr="004E6CFC">
        <w:rPr>
          <w:i/>
        </w:rPr>
        <w:t xml:space="preserve">1 </w:t>
      </w:r>
      <w:r w:rsidRPr="004E6CFC">
        <w:t xml:space="preserve">y la categoría de activos </w:t>
      </w:r>
      <w:r w:rsidRPr="004E6CFC">
        <w:rPr>
          <w:i/>
        </w:rPr>
        <w:t>l</w:t>
      </w:r>
      <w:r w:rsidRPr="004E6CFC">
        <w:t>.</w:t>
      </w:r>
    </w:p>
    <w:p w:rsidR="00EF4850" w:rsidRPr="004E6CFC" w:rsidRDefault="00EF4850" w:rsidP="00EF4850">
      <w:pPr>
        <w:suppressAutoHyphens/>
        <w:spacing w:before="120"/>
        <w:ind w:left="1469" w:hanging="1469"/>
      </w:pPr>
      <w:r w:rsidRPr="004E6CFC">
        <w:rPr>
          <w:i/>
        </w:rPr>
        <w:t>NT</w:t>
      </w:r>
      <w:r w:rsidRPr="004E6CFC">
        <w:rPr>
          <w:i/>
          <w:vertAlign w:val="subscript"/>
        </w:rPr>
        <w:t>j,1,l</w:t>
      </w:r>
      <w:r w:rsidRPr="004E6CFC">
        <w:t>:</w:t>
      </w:r>
      <w:r w:rsidRPr="004E6CFC">
        <w:tab/>
        <w:t xml:space="preserve">Cantidad de transformadores de distribución del OR </w:t>
      </w:r>
      <w:r w:rsidRPr="004E6CFC">
        <w:rPr>
          <w:i/>
        </w:rPr>
        <w:t>j</w:t>
      </w:r>
      <w:r w:rsidRPr="004E6CFC">
        <w:t xml:space="preserve"> en el nivel de tensión </w:t>
      </w:r>
      <w:r w:rsidRPr="004E6CFC">
        <w:rPr>
          <w:i/>
        </w:rPr>
        <w:t xml:space="preserve">1 </w:t>
      </w:r>
      <w:r w:rsidRPr="004E6CFC">
        <w:t>utilizados para</w:t>
      </w:r>
      <w:r w:rsidRPr="004E6CFC">
        <w:rPr>
          <w:i/>
        </w:rPr>
        <w:t xml:space="preserve"> </w:t>
      </w:r>
      <w:r w:rsidRPr="004E6CFC">
        <w:t xml:space="preserve">la aplicación de la Resolución CREG 097 de 2008. Con </w:t>
      </w:r>
      <w:r w:rsidRPr="004E6CFC">
        <w:rPr>
          <w:i/>
        </w:rPr>
        <w:t xml:space="preserve">l </w:t>
      </w:r>
      <w:r w:rsidRPr="004E6CFC">
        <w:t>=</w:t>
      </w:r>
      <w:r w:rsidRPr="004E6CFC">
        <w:rPr>
          <w:i/>
        </w:rPr>
        <w:t>11</w:t>
      </w:r>
      <w:r w:rsidRPr="004E6CFC">
        <w:t>.</w:t>
      </w:r>
    </w:p>
    <w:p w:rsidR="00EF4850" w:rsidRPr="004E6CFC" w:rsidRDefault="00EF4850" w:rsidP="00EF4850">
      <w:pPr>
        <w:suppressAutoHyphens/>
        <w:spacing w:before="120"/>
        <w:rPr>
          <w:i/>
        </w:rPr>
      </w:pPr>
      <w:r w:rsidRPr="004E6CFC">
        <w:rPr>
          <w:i/>
        </w:rPr>
        <w:t>CMTD</w:t>
      </w:r>
      <w:r w:rsidRPr="004E6CFC">
        <w:rPr>
          <w:i/>
          <w:vertAlign w:val="subscript"/>
        </w:rPr>
        <w:t>j</w:t>
      </w:r>
      <w:r w:rsidRPr="004E6CFC">
        <w:rPr>
          <w:i/>
        </w:rPr>
        <w:t>:</w:t>
      </w:r>
      <w:r w:rsidRPr="004E6CFC">
        <w:tab/>
      </w:r>
      <w:r w:rsidRPr="004E6CFC">
        <w:tab/>
      </w:r>
      <w:r w:rsidRPr="004E6CFC">
        <w:tab/>
      </w:r>
      <w:r w:rsidRPr="004E6CFC">
        <w:tab/>
      </w:r>
      <w:r w:rsidRPr="004E6CFC">
        <w:tab/>
      </w:r>
      <w:r w:rsidRPr="004E6CFC">
        <w:tab/>
        <w:t xml:space="preserve">Costo medio de transformadores del OR </w:t>
      </w:r>
      <w:r w:rsidRPr="004E6CFC">
        <w:rPr>
          <w:i/>
        </w:rPr>
        <w:t>j</w:t>
      </w:r>
      <w:r w:rsidRPr="004E6CFC">
        <w:t xml:space="preserve">. </w:t>
      </w:r>
    </w:p>
    <w:p w:rsidR="00EF4850" w:rsidRPr="004E6CFC" w:rsidRDefault="00EF4850" w:rsidP="00EF4850">
      <w:pPr>
        <w:suppressAutoHyphens/>
        <w:spacing w:before="120"/>
        <w:ind w:left="1469" w:hanging="1464"/>
      </w:pPr>
      <w:r w:rsidRPr="004E6CFC">
        <w:rPr>
          <w:i/>
        </w:rPr>
        <w:t>NR</w:t>
      </w:r>
      <w:r w:rsidRPr="004E6CFC">
        <w:rPr>
          <w:i/>
          <w:vertAlign w:val="subscript"/>
        </w:rPr>
        <w:t>j,1,l</w:t>
      </w:r>
      <w:r w:rsidRPr="004E6CFC">
        <w:t>:</w:t>
      </w:r>
      <w:r w:rsidRPr="004E6CFC">
        <w:tab/>
        <w:t xml:space="preserve">Cantidad de redes de distribución del OR </w:t>
      </w:r>
      <w:r w:rsidRPr="004E6CFC">
        <w:rPr>
          <w:i/>
        </w:rPr>
        <w:t>j</w:t>
      </w:r>
      <w:r w:rsidRPr="004E6CFC">
        <w:t xml:space="preserve"> en el nivel de tensión </w:t>
      </w:r>
      <w:r w:rsidRPr="004E6CFC">
        <w:rPr>
          <w:i/>
        </w:rPr>
        <w:t xml:space="preserve">1 </w:t>
      </w:r>
      <w:r w:rsidRPr="004E6CFC">
        <w:t>utilizados para</w:t>
      </w:r>
      <w:r w:rsidRPr="004E6CFC">
        <w:rPr>
          <w:i/>
        </w:rPr>
        <w:t xml:space="preserve"> </w:t>
      </w:r>
      <w:r w:rsidRPr="004E6CFC">
        <w:t xml:space="preserve">la aplicación de la Resolución CREG 097 de 2008. Con </w:t>
      </w:r>
      <w:r w:rsidRPr="004E6CFC">
        <w:rPr>
          <w:i/>
        </w:rPr>
        <w:t xml:space="preserve">l </w:t>
      </w:r>
      <w:r w:rsidRPr="004E6CFC">
        <w:t>=</w:t>
      </w:r>
      <w:r w:rsidRPr="004E6CFC">
        <w:rPr>
          <w:i/>
        </w:rPr>
        <w:t>12</w:t>
      </w:r>
      <w:r w:rsidRPr="004E6CFC">
        <w:t>.</w:t>
      </w:r>
    </w:p>
    <w:p w:rsidR="00EF4850" w:rsidRPr="004E6CFC" w:rsidRDefault="00EF4850" w:rsidP="00EF4850">
      <w:pPr>
        <w:suppressAutoHyphens/>
        <w:spacing w:before="120"/>
        <w:rPr>
          <w:i/>
        </w:rPr>
      </w:pPr>
      <w:r w:rsidRPr="004E6CFC">
        <w:rPr>
          <w:i/>
        </w:rPr>
        <w:t>CMRD</w:t>
      </w:r>
      <w:r w:rsidRPr="004E6CFC">
        <w:rPr>
          <w:i/>
          <w:vertAlign w:val="subscript"/>
        </w:rPr>
        <w:t>j</w:t>
      </w:r>
      <w:r w:rsidRPr="004E6CFC">
        <w:rPr>
          <w:i/>
        </w:rPr>
        <w:t>:</w:t>
      </w:r>
      <w:r w:rsidRPr="004E6CFC">
        <w:tab/>
      </w:r>
      <w:r w:rsidRPr="004E6CFC">
        <w:tab/>
      </w:r>
      <w:r w:rsidRPr="004E6CFC">
        <w:tab/>
      </w:r>
      <w:r w:rsidRPr="004E6CFC">
        <w:tab/>
      </w:r>
      <w:r w:rsidRPr="004E6CFC">
        <w:tab/>
      </w:r>
      <w:r w:rsidRPr="004E6CFC">
        <w:tab/>
        <w:t xml:space="preserve">Costo medio de redes de distribución del OR </w:t>
      </w:r>
      <w:r w:rsidRPr="004E6CFC">
        <w:rPr>
          <w:i/>
        </w:rPr>
        <w:t>j</w:t>
      </w:r>
      <w:r w:rsidRPr="004E6CFC">
        <w:t>.</w:t>
      </w:r>
    </w:p>
    <w:p w:rsidR="00EF4850" w:rsidRPr="004E6CFC" w:rsidRDefault="00EF4850" w:rsidP="00EF4850">
      <w:r w:rsidRPr="004E6CFC">
        <w:t xml:space="preserve">El costo medio de transformadores y redes de distribución corresponde al valor utilizado para definir la variable </w:t>
      </w:r>
      <w:r w:rsidRPr="004E6CFC">
        <w:rPr>
          <w:i/>
        </w:rPr>
        <w:t>CRI</w:t>
      </w:r>
      <w:r w:rsidRPr="004E6CFC">
        <w:rPr>
          <w:i/>
          <w:vertAlign w:val="subscript"/>
        </w:rPr>
        <w:t>j,1</w:t>
      </w:r>
      <w:r w:rsidRPr="004E6CFC">
        <w:t xml:space="preserve"> reconocida en aplicación de la metodología definida en la Resolución CREG 097 de 2008. </w:t>
      </w:r>
    </w:p>
    <w:p w:rsidR="00EF4850" w:rsidRPr="004E6CFC" w:rsidRDefault="00EF4850" w:rsidP="00EF4850">
      <w:r w:rsidRPr="00483D03">
        <w:t xml:space="preserve">La Comisión entregará a cada OR la cantidad de transformadores y redes utilizados para la determinación del costo de reposición de nivel de tensión 1 en aplicación de la Resolución CREG 097 de 2008 y el valor de las variables </w:t>
      </w:r>
      <w:r w:rsidRPr="00483D03">
        <w:rPr>
          <w:i/>
        </w:rPr>
        <w:t>CMTD</w:t>
      </w:r>
      <w:r w:rsidRPr="00483D03">
        <w:rPr>
          <w:i/>
          <w:vertAlign w:val="subscript"/>
        </w:rPr>
        <w:t>j</w:t>
      </w:r>
      <w:r w:rsidRPr="00483D03">
        <w:t xml:space="preserve"> y </w:t>
      </w:r>
      <w:r w:rsidRPr="00483D03">
        <w:rPr>
          <w:i/>
        </w:rPr>
        <w:t>CMRD</w:t>
      </w:r>
      <w:r w:rsidRPr="00483D03">
        <w:rPr>
          <w:i/>
          <w:vertAlign w:val="subscript"/>
        </w:rPr>
        <w:t>j</w:t>
      </w:r>
      <w:r w:rsidRPr="00483D03">
        <w:t>.</w:t>
      </w:r>
    </w:p>
    <w:p w:rsidR="00EF4850" w:rsidRPr="004E6CFC" w:rsidRDefault="00EF4850" w:rsidP="00EF4850">
      <w:r w:rsidRPr="004E6CFC">
        <w:t xml:space="preserve">Para determinar el </w:t>
      </w:r>
      <w:r>
        <w:t xml:space="preserve">valor de la inversión por </w:t>
      </w:r>
      <w:r w:rsidRPr="004E6CFC">
        <w:t xml:space="preserve">categoría de activos el OR debe clasificar los transformadores y redes en las categorías de activos definidas en el numeral </w:t>
      </w:r>
      <w:r w:rsidRPr="004E6CFC">
        <w:fldChar w:fldCharType="begin"/>
      </w:r>
      <w:r w:rsidRPr="004E6CFC">
        <w:instrText xml:space="preserve"> REF _Ref450291254 \r \h  \* MERGEFORMAT </w:instrText>
      </w:r>
      <w:r w:rsidRPr="004E6CFC">
        <w:fldChar w:fldCharType="separate"/>
      </w:r>
      <w:r w:rsidR="00737178">
        <w:t>15.2</w:t>
      </w:r>
      <w:r w:rsidRPr="004E6CFC">
        <w:fldChar w:fldCharType="end"/>
      </w:r>
      <w:r w:rsidRPr="004E6CFC">
        <w:t>.</w:t>
      </w:r>
    </w:p>
    <w:p w:rsidR="00EF4850" w:rsidRPr="004E6CFC" w:rsidRDefault="00EF4850" w:rsidP="00EF4850">
      <w:pPr>
        <w:pStyle w:val="Ttulo6"/>
        <w:ind w:left="2124" w:hanging="2124"/>
      </w:pPr>
      <w:bookmarkStart w:id="153" w:name="_Ref460419076"/>
      <w:r w:rsidRPr="004E6CFC">
        <w:t xml:space="preserve">Valor de los activos en operación no incluido </w:t>
      </w:r>
      <w:bookmarkEnd w:id="153"/>
    </w:p>
    <w:p w:rsidR="00EF4850" w:rsidRPr="004E6CFC" w:rsidRDefault="00EF4850" w:rsidP="009C086B">
      <w:pPr>
        <w:pStyle w:val="Prrafodelista"/>
        <w:numPr>
          <w:ilvl w:val="0"/>
          <w:numId w:val="73"/>
        </w:numPr>
        <w:rPr>
          <w:b/>
        </w:rPr>
      </w:pPr>
      <w:r w:rsidRPr="004E6CFC">
        <w:rPr>
          <w:b/>
        </w:rPr>
        <w:t>Niveles de tensión 2, 3 y 4</w:t>
      </w:r>
    </w:p>
    <w:p w:rsidR="00EF4850" w:rsidRPr="004E6CFC" w:rsidRDefault="00EF4850" w:rsidP="00EF4850">
      <w:r>
        <w:t xml:space="preserve">El valor </w:t>
      </w:r>
      <w:r w:rsidRPr="004E6CFC">
        <w:t xml:space="preserve">de los activos en operación no incluidos en el inventario que pertenecen a la categoría </w:t>
      </w:r>
      <w:r w:rsidRPr="004E6CFC">
        <w:rPr>
          <w:i/>
        </w:rPr>
        <w:t>l</w:t>
      </w:r>
      <w:r w:rsidRPr="004E6CFC">
        <w:t xml:space="preserve"> se calcula de la siguiente manera:</w:t>
      </w:r>
    </w:p>
    <w:p w:rsidR="00EF4850" w:rsidRPr="004E6CFC" w:rsidRDefault="00C9592F" w:rsidP="00EF4850">
      <m:oMathPara>
        <m:oMath>
          <m:sSub>
            <m:sSubPr>
              <m:ctrlPr>
                <w:rPr>
                  <w:rFonts w:ascii="Cambria Math" w:hAnsi="Cambria Math"/>
                  <w:i/>
                </w:rPr>
              </m:ctrlPr>
            </m:sSubPr>
            <m:e>
              <m:r>
                <w:rPr>
                  <w:rFonts w:ascii="Cambria Math" w:hAnsi="Cambria Math"/>
                </w:rPr>
                <m:t>CRINR</m:t>
              </m:r>
            </m:e>
            <m:sub>
              <m:r>
                <w:rPr>
                  <w:rFonts w:ascii="Cambria Math" w:hAnsi="Cambria Math"/>
                </w:rPr>
                <m:t>j</m:t>
              </m:r>
              <m:r>
                <w:rPr>
                  <w:rFonts w:ascii="Cambria Math"/>
                </w:rPr>
                <m:t>,n,l</m:t>
              </m:r>
            </m:sub>
          </m:sSub>
          <m:r>
            <w:rPr>
              <w:rFonts w:ascii="Cambria Math"/>
            </w:rPr>
            <m:t>=</m:t>
          </m:r>
          <m:nary>
            <m:naryPr>
              <m:chr m:val="∑"/>
              <m:limLoc m:val="undOvr"/>
              <m:ctrlPr>
                <w:rPr>
                  <w:rFonts w:ascii="Cambria Math" w:hAnsi="Cambria Math"/>
                  <w:i/>
                </w:rPr>
              </m:ctrlPr>
            </m:naryPr>
            <m:sub>
              <m:r>
                <w:rPr>
                  <w:rFonts w:ascii="Cambria Math" w:hAnsi="Cambria Math"/>
                </w:rPr>
                <m:t>i</m:t>
              </m:r>
              <m:r>
                <w:rPr>
                  <w:rFonts w:ascii="Cambria Math"/>
                </w:rPr>
                <m:t>=1</m:t>
              </m:r>
            </m:sub>
            <m:sup>
              <m:sSub>
                <m:sSubPr>
                  <m:ctrlPr>
                    <w:rPr>
                      <w:rFonts w:ascii="Cambria Math" w:hAnsi="Cambria Math"/>
                      <w:i/>
                    </w:rPr>
                  </m:ctrlPr>
                </m:sSubPr>
                <m:e>
                  <m:r>
                    <w:rPr>
                      <w:rFonts w:ascii="Cambria Math" w:hAnsi="Cambria Math"/>
                    </w:rPr>
                    <m:t>NI</m:t>
                  </m:r>
                </m:e>
                <m:sub>
                  <m:r>
                    <w:rPr>
                      <w:rFonts w:ascii="Cambria Math" w:hAnsi="Cambria Math"/>
                    </w:rPr>
                    <m:t>j</m:t>
                  </m:r>
                  <m:r>
                    <w:rPr>
                      <w:rFonts w:ascii="Cambria Math"/>
                    </w:rPr>
                    <m:t>,</m:t>
                  </m:r>
                  <m:r>
                    <w:rPr>
                      <w:rFonts w:ascii="Cambria Math" w:hAnsi="Cambria Math"/>
                    </w:rPr>
                    <m:t>n,l</m:t>
                  </m:r>
                </m:sub>
              </m:sSub>
            </m:sup>
            <m:e>
              <m:d>
                <m:dPr>
                  <m:ctrlPr>
                    <w:rPr>
                      <w:rFonts w:ascii="Cambria Math" w:hAnsi="Cambria Math"/>
                      <w:i/>
                    </w:rPr>
                  </m:ctrlPr>
                </m:dPr>
                <m:e>
                  <m:sSub>
                    <m:sSubPr>
                      <m:ctrlPr>
                        <w:rPr>
                          <w:rFonts w:ascii="Cambria Math" w:hAnsi="Cambria Math"/>
                          <w:i/>
                        </w:rPr>
                      </m:ctrlPr>
                    </m:sSubPr>
                    <m:e>
                      <m:r>
                        <w:rPr>
                          <w:rFonts w:ascii="Cambria Math" w:hAnsi="Cambria Math"/>
                        </w:rPr>
                        <m:t>CR</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PU</m:t>
                      </m:r>
                    </m:e>
                    <m:sub>
                      <m:r>
                        <w:rPr>
                          <w:rFonts w:ascii="Cambria Math" w:hAnsi="Cambria Math"/>
                        </w:rPr>
                        <m:t>j,i</m:t>
                      </m:r>
                    </m:sub>
                  </m:sSub>
                  <m:r>
                    <w:rPr>
                      <w:rFonts w:ascii="Cambria Math" w:hAnsi="Cambria Math"/>
                    </w:rPr>
                    <m:t>*(1-</m:t>
                  </m:r>
                  <m:sSub>
                    <m:sSubPr>
                      <m:ctrlPr>
                        <w:rPr>
                          <w:rFonts w:ascii="Cambria Math" w:hAnsi="Cambria Math"/>
                          <w:i/>
                        </w:rPr>
                      </m:ctrlPr>
                    </m:sSubPr>
                    <m:e>
                      <m:r>
                        <w:rPr>
                          <w:rFonts w:ascii="Cambria Math" w:hAnsi="Cambria Math"/>
                        </w:rPr>
                        <m:t>RPP</m:t>
                      </m:r>
                    </m:e>
                    <m:sub>
                      <m:r>
                        <w:rPr>
                          <w:rFonts w:ascii="Cambria Math" w:hAnsi="Cambria Math"/>
                        </w:rPr>
                        <m:t>i</m:t>
                      </m:r>
                    </m:sub>
                  </m:sSub>
                  <m:r>
                    <w:rPr>
                      <w:rFonts w:ascii="Cambria Math" w:hAnsi="Cambria Math"/>
                    </w:rPr>
                    <m:t>)</m:t>
                  </m:r>
                </m:e>
              </m:d>
            </m:e>
          </m:nary>
          <m:r>
            <w:rPr>
              <w:rFonts w:ascii="Cambria Math"/>
            </w:rPr>
            <m:t>+</m:t>
          </m:r>
          <m:nary>
            <m:naryPr>
              <m:chr m:val="∑"/>
              <m:limLoc m:val="undOvr"/>
              <m:ctrlPr>
                <w:rPr>
                  <w:rFonts w:ascii="Cambria Math" w:hAnsi="Cambria Math"/>
                  <w:i/>
                </w:rPr>
              </m:ctrlPr>
            </m:naryPr>
            <m:sub>
              <m:r>
                <w:rPr>
                  <w:rFonts w:ascii="Cambria Math"/>
                </w:rPr>
                <m:t>i=1</m:t>
              </m:r>
            </m:sub>
            <m:sup>
              <m:sSub>
                <m:sSubPr>
                  <m:ctrlPr>
                    <w:rPr>
                      <w:rFonts w:ascii="Cambria Math" w:hAnsi="Cambria Math"/>
                      <w:i/>
                    </w:rPr>
                  </m:ctrlPr>
                </m:sSubPr>
                <m:e>
                  <m:r>
                    <w:rPr>
                      <w:rFonts w:ascii="Cambria Math"/>
                    </w:rPr>
                    <m:t>NISN</m:t>
                  </m:r>
                </m:e>
                <m:sub>
                  <m:r>
                    <w:rPr>
                      <w:rFonts w:ascii="Cambria Math"/>
                    </w:rPr>
                    <m:t>j,l</m:t>
                  </m:r>
                </m:sub>
              </m:sSub>
            </m:sup>
            <m:e>
              <m:d>
                <m:dPr>
                  <m:ctrlPr>
                    <w:rPr>
                      <w:rFonts w:ascii="Cambria Math" w:hAnsi="Cambria Math"/>
                      <w:i/>
                    </w:rPr>
                  </m:ctrlPr>
                </m:dPr>
                <m:e>
                  <m:sSub>
                    <m:sSubPr>
                      <m:ctrlPr>
                        <w:rPr>
                          <w:rFonts w:ascii="Cambria Math" w:hAnsi="Cambria Math"/>
                          <w:i/>
                        </w:rPr>
                      </m:ctrlPr>
                    </m:sSubPr>
                    <m:e>
                      <m:r>
                        <w:rPr>
                          <w:rFonts w:ascii="Cambria Math"/>
                        </w:rPr>
                        <m:t>CR</m:t>
                      </m:r>
                    </m:e>
                    <m:sub>
                      <m:r>
                        <w:rPr>
                          <w:rFonts w:ascii="Cambria Math"/>
                        </w:rPr>
                        <m:t>i</m:t>
                      </m:r>
                    </m:sub>
                  </m:sSub>
                  <m:r>
                    <w:rPr>
                      <w:rFonts w:ascii="Cambria Math" w:hAnsi="Cambria Math"/>
                    </w:rPr>
                    <m:t>*</m:t>
                  </m:r>
                  <m:sSub>
                    <m:sSubPr>
                      <m:ctrlPr>
                        <w:rPr>
                          <w:rFonts w:ascii="Cambria Math" w:hAnsi="Cambria Math"/>
                          <w:i/>
                        </w:rPr>
                      </m:ctrlPr>
                    </m:sSubPr>
                    <m:e>
                      <m:r>
                        <w:rPr>
                          <w:rFonts w:ascii="Cambria Math"/>
                        </w:rPr>
                        <m:t>PU</m:t>
                      </m:r>
                    </m:e>
                    <m:sub>
                      <m:r>
                        <w:rPr>
                          <w:rFonts w:ascii="Cambria Math"/>
                        </w:rPr>
                        <m:t>j,i</m:t>
                      </m:r>
                    </m:sub>
                  </m:sSub>
                  <m:r>
                    <w:rPr>
                      <w:rFonts w:ascii="Cambria Math" w:hAnsi="Cambria Math"/>
                    </w:rPr>
                    <m:t>*(1-</m:t>
                  </m:r>
                  <m:sSub>
                    <m:sSubPr>
                      <m:ctrlPr>
                        <w:rPr>
                          <w:rFonts w:ascii="Cambria Math" w:hAnsi="Cambria Math"/>
                          <w:i/>
                        </w:rPr>
                      </m:ctrlPr>
                    </m:sSubPr>
                    <m:e>
                      <m:r>
                        <w:rPr>
                          <w:rFonts w:ascii="Cambria Math" w:hAnsi="Cambria Math"/>
                        </w:rPr>
                        <m:t>RPP</m:t>
                      </m:r>
                    </m:e>
                    <m:sub>
                      <m:r>
                        <w:rPr>
                          <w:rFonts w:ascii="Cambria Math" w:hAnsi="Cambria Math"/>
                        </w:rPr>
                        <m:t>i</m:t>
                      </m:r>
                    </m:sub>
                  </m:sSub>
                  <m:r>
                    <w:rPr>
                      <w:rFonts w:ascii="Cambria Math" w:hAnsi="Cambria Math"/>
                    </w:rPr>
                    <m:t>)</m:t>
                  </m:r>
                  <m:r>
                    <w:rPr>
                      <w:rFonts w:ascii="Cambria Math"/>
                    </w:rPr>
                    <m:t xml:space="preserve"> </m:t>
                  </m:r>
                  <m:r>
                    <w:rPr>
                      <w:rFonts w:ascii="Cambria Math"/>
                    </w:rPr>
                    <m:t>*</m:t>
                  </m:r>
                  <m:sSub>
                    <m:sSubPr>
                      <m:ctrlPr>
                        <w:rPr>
                          <w:rFonts w:ascii="Cambria Math" w:hAnsi="Cambria Math"/>
                          <w:i/>
                        </w:rPr>
                      </m:ctrlPr>
                    </m:sSubPr>
                    <m:e>
                      <m:r>
                        <w:rPr>
                          <w:rFonts w:ascii="Cambria Math" w:hAnsi="Cambria Math"/>
                        </w:rPr>
                        <m:t>Psn</m:t>
                      </m:r>
                    </m:e>
                    <m:sub>
                      <m:r>
                        <w:rPr>
                          <w:rFonts w:ascii="Cambria Math" w:hAnsi="Cambria Math"/>
                        </w:rPr>
                        <m:t>j</m:t>
                      </m:r>
                    </m:sub>
                  </m:sSub>
                </m:e>
              </m:d>
            </m:e>
          </m:nary>
        </m:oMath>
      </m:oMathPara>
    </w:p>
    <w:p w:rsidR="00EF4850" w:rsidRPr="004E6CFC" w:rsidRDefault="00EF4850" w:rsidP="00EF4850">
      <w:pPr>
        <w:ind w:left="702" w:hanging="702"/>
        <w:rPr>
          <w:iCs/>
        </w:rPr>
      </w:pPr>
      <w:r w:rsidRPr="004E6CFC">
        <w:rPr>
          <w:iCs/>
        </w:rPr>
        <w:t>Donde:</w:t>
      </w:r>
    </w:p>
    <w:p w:rsidR="00EF4850" w:rsidRPr="004E6CFC" w:rsidRDefault="00EF4850" w:rsidP="00EF4850">
      <w:pPr>
        <w:spacing w:before="120"/>
        <w:ind w:left="1418" w:hanging="1418"/>
        <w:rPr>
          <w:i/>
          <w:iCs/>
        </w:rPr>
      </w:pPr>
      <w:r w:rsidRPr="004E6CFC">
        <w:rPr>
          <w:i/>
          <w:iCs/>
        </w:rPr>
        <w:t>CRINR</w:t>
      </w:r>
      <w:r w:rsidRPr="004E6CFC">
        <w:rPr>
          <w:i/>
          <w:iCs/>
          <w:vertAlign w:val="subscript"/>
        </w:rPr>
        <w:t>j,n,l</w:t>
      </w:r>
      <w:r w:rsidRPr="004E6CFC">
        <w:t>:</w:t>
      </w:r>
      <w:r w:rsidRPr="004E6CFC">
        <w:tab/>
        <w:t xml:space="preserve">Valor de los activos en operación no incluido para el OR </w:t>
      </w:r>
      <w:r w:rsidRPr="004E6CFC">
        <w:rPr>
          <w:i/>
        </w:rPr>
        <w:t>j</w:t>
      </w:r>
      <w:r w:rsidRPr="004E6CFC">
        <w:t xml:space="preserve"> en el nivel de tensión </w:t>
      </w:r>
      <w:r w:rsidRPr="004E6CFC">
        <w:rPr>
          <w:i/>
        </w:rPr>
        <w:t>n</w:t>
      </w:r>
      <w:r w:rsidRPr="004E6CFC">
        <w:t xml:space="preserve"> y la categoría de activos </w:t>
      </w:r>
      <w:r w:rsidRPr="004E6CFC">
        <w:rPr>
          <w:i/>
        </w:rPr>
        <w:t>l</w:t>
      </w:r>
      <w:r w:rsidRPr="004E6CFC">
        <w:t>.</w:t>
      </w:r>
    </w:p>
    <w:p w:rsidR="00EF4850" w:rsidRPr="004E6CFC" w:rsidRDefault="00EF4850" w:rsidP="00EF4850">
      <w:pPr>
        <w:ind w:left="1410" w:hanging="1410"/>
        <w:rPr>
          <w:i/>
          <w:iCs/>
        </w:rPr>
      </w:pPr>
      <w:r w:rsidRPr="004E6CFC">
        <w:rPr>
          <w:i/>
          <w:iCs/>
        </w:rPr>
        <w:lastRenderedPageBreak/>
        <w:t>NI</w:t>
      </w:r>
      <w:r w:rsidRPr="004E6CFC">
        <w:rPr>
          <w:i/>
          <w:iCs/>
          <w:vertAlign w:val="subscript"/>
        </w:rPr>
        <w:t>j,n,l</w:t>
      </w:r>
      <w:r w:rsidRPr="004E6CFC">
        <w:t>:</w:t>
      </w:r>
      <w:r w:rsidRPr="004E6CFC">
        <w:tab/>
        <w:t xml:space="preserve">Número de UC no incluidas en el sistema del OR </w:t>
      </w:r>
      <w:r w:rsidRPr="004E6CFC">
        <w:rPr>
          <w:i/>
        </w:rPr>
        <w:t>j</w:t>
      </w:r>
      <w:r w:rsidRPr="004E6CFC">
        <w:t xml:space="preserve"> en el nivel de tensión </w:t>
      </w:r>
      <w:r w:rsidRPr="004E6CFC">
        <w:rPr>
          <w:i/>
        </w:rPr>
        <w:t>n</w:t>
      </w:r>
      <w:r w:rsidRPr="004E6CFC">
        <w:t xml:space="preserve"> y la categoría de activos </w:t>
      </w:r>
      <w:r w:rsidRPr="004E6CFC">
        <w:rPr>
          <w:i/>
        </w:rPr>
        <w:t>l</w:t>
      </w:r>
      <w:r w:rsidRPr="004E6CFC">
        <w:t>.</w:t>
      </w:r>
    </w:p>
    <w:p w:rsidR="00EF4850" w:rsidRPr="004E6CFC" w:rsidRDefault="00EF4850" w:rsidP="00EF4850">
      <w:pPr>
        <w:ind w:left="1410" w:hanging="1410"/>
      </w:pPr>
      <w:r w:rsidRPr="004E6CFC">
        <w:rPr>
          <w:i/>
          <w:iCs/>
        </w:rPr>
        <w:t>CR</w:t>
      </w:r>
      <w:r w:rsidRPr="004E6CFC">
        <w:rPr>
          <w:i/>
          <w:iCs/>
          <w:vertAlign w:val="subscript"/>
        </w:rPr>
        <w:t>i</w:t>
      </w:r>
      <w:r w:rsidRPr="004E6CFC">
        <w:t>:</w:t>
      </w:r>
      <w:r w:rsidRPr="004E6CFC">
        <w:tab/>
        <w:t xml:space="preserve">Valor de la UC </w:t>
      </w:r>
      <w:r w:rsidRPr="004E6CFC">
        <w:rPr>
          <w:i/>
          <w:iCs/>
        </w:rPr>
        <w:t>i</w:t>
      </w:r>
      <w:r w:rsidRPr="004E6CFC">
        <w:t xml:space="preserve"> definido en el capítulo </w:t>
      </w:r>
      <w:r w:rsidRPr="004E6CFC">
        <w:fldChar w:fldCharType="begin"/>
      </w:r>
      <w:r w:rsidRPr="004E6CFC">
        <w:instrText xml:space="preserve"> REF _Ref476818651 \r \h \t  \* MERGEFORMAT </w:instrText>
      </w:r>
      <w:r w:rsidRPr="004E6CFC">
        <w:fldChar w:fldCharType="separate"/>
      </w:r>
      <w:r w:rsidR="00737178">
        <w:t>15</w:t>
      </w:r>
      <w:r w:rsidRPr="004E6CFC">
        <w:fldChar w:fldCharType="end"/>
      </w:r>
      <w:r w:rsidRPr="004E6CFC">
        <w:t>.</w:t>
      </w:r>
    </w:p>
    <w:p w:rsidR="00EF4850" w:rsidRPr="004E6CFC" w:rsidRDefault="00EF4850" w:rsidP="00EF4850">
      <w:pPr>
        <w:tabs>
          <w:tab w:val="left" w:pos="1418"/>
        </w:tabs>
        <w:spacing w:before="120"/>
        <w:ind w:left="1418" w:hanging="1418"/>
      </w:pPr>
      <w:r w:rsidRPr="004E6CFC">
        <w:rPr>
          <w:i/>
          <w:iCs/>
        </w:rPr>
        <w:t>PU</w:t>
      </w:r>
      <w:r w:rsidRPr="004E6CFC">
        <w:rPr>
          <w:i/>
          <w:iCs/>
          <w:vertAlign w:val="subscript"/>
        </w:rPr>
        <w:t>j,i</w:t>
      </w:r>
      <w:r w:rsidRPr="004E6CFC">
        <w:rPr>
          <w:i/>
          <w:iCs/>
        </w:rPr>
        <w:t>:</w:t>
      </w:r>
      <w:r w:rsidRPr="004E6CFC">
        <w:tab/>
        <w:t xml:space="preserve">Fracción del costo de la UC </w:t>
      </w:r>
      <w:r w:rsidRPr="004E6CFC">
        <w:rPr>
          <w:i/>
          <w:iCs/>
        </w:rPr>
        <w:t>i</w:t>
      </w:r>
      <w:r w:rsidRPr="004E6CFC">
        <w:t xml:space="preserve"> del OR </w:t>
      </w:r>
      <w:r w:rsidRPr="004E6CFC">
        <w:rPr>
          <w:i/>
        </w:rPr>
        <w:t>j</w:t>
      </w:r>
      <w:r w:rsidRPr="004E6CFC">
        <w:t xml:space="preserve"> que es</w:t>
      </w:r>
      <w:r w:rsidRPr="004E6CFC">
        <w:rPr>
          <w:i/>
        </w:rPr>
        <w:t xml:space="preserve"> </w:t>
      </w:r>
      <w:r w:rsidRPr="004E6CFC">
        <w:t>remunerada vía cargos por uso.</w:t>
      </w:r>
    </w:p>
    <w:p w:rsidR="00EF4850" w:rsidRPr="004E6CFC" w:rsidRDefault="00EF4850" w:rsidP="00EF4850">
      <w:pPr>
        <w:tabs>
          <w:tab w:val="left" w:pos="1418"/>
        </w:tabs>
        <w:spacing w:before="120"/>
        <w:ind w:left="1418" w:hanging="1418"/>
      </w:pPr>
      <w:r w:rsidRPr="004E6CFC">
        <w:rPr>
          <w:i/>
          <w:iCs/>
        </w:rPr>
        <w:t>RPP</w:t>
      </w:r>
      <w:r w:rsidRPr="004E6CFC">
        <w:rPr>
          <w:i/>
          <w:iCs/>
          <w:vertAlign w:val="subscript"/>
        </w:rPr>
        <w:t>i</w:t>
      </w:r>
      <w:r w:rsidRPr="004E6CFC">
        <w:rPr>
          <w:i/>
          <w:iCs/>
        </w:rPr>
        <w:t>:</w:t>
      </w:r>
      <w:r w:rsidRPr="004E6CFC">
        <w:tab/>
        <w:t xml:space="preserve">Fracción del costo de la UC </w:t>
      </w:r>
      <w:r w:rsidRPr="004E6CFC">
        <w:rPr>
          <w:i/>
          <w:iCs/>
        </w:rPr>
        <w:t>i</w:t>
      </w:r>
      <w:r w:rsidRPr="004E6CFC">
        <w:t xml:space="preserve"> que es</w:t>
      </w:r>
      <w:r w:rsidRPr="004E6CFC">
        <w:rPr>
          <w:i/>
        </w:rPr>
        <w:t xml:space="preserve"> </w:t>
      </w:r>
      <w:r w:rsidRPr="004E6CFC">
        <w:t>remunerada vía cargos por uso que no se debe incluir en el cálculo de la tarifa.</w:t>
      </w:r>
    </w:p>
    <w:p w:rsidR="00EF4850" w:rsidRPr="004E6CFC" w:rsidRDefault="00EF4850" w:rsidP="00EF4850">
      <w:pPr>
        <w:tabs>
          <w:tab w:val="left" w:pos="1418"/>
        </w:tabs>
        <w:spacing w:before="120"/>
        <w:ind w:left="1418" w:hanging="1418"/>
      </w:pPr>
      <w:r w:rsidRPr="004E6CFC">
        <w:rPr>
          <w:i/>
          <w:iCs/>
        </w:rPr>
        <w:t>NISN</w:t>
      </w:r>
      <w:r w:rsidRPr="004E6CFC">
        <w:rPr>
          <w:i/>
          <w:iCs/>
          <w:vertAlign w:val="subscript"/>
        </w:rPr>
        <w:t>j,l</w:t>
      </w:r>
      <w:r w:rsidRPr="004E6CFC">
        <w:rPr>
          <w:i/>
          <w:iCs/>
        </w:rPr>
        <w:t>:</w:t>
      </w:r>
      <w:r w:rsidRPr="004E6CFC">
        <w:rPr>
          <w:i/>
          <w:iCs/>
        </w:rPr>
        <w:tab/>
      </w:r>
      <w:r w:rsidRPr="004E6CFC">
        <w:t xml:space="preserve">Número de UC sin nivel de tensión no incluidas en el sistema del OR </w:t>
      </w:r>
      <w:r w:rsidRPr="004E6CFC">
        <w:rPr>
          <w:i/>
        </w:rPr>
        <w:t>j</w:t>
      </w:r>
      <w:r w:rsidRPr="004E6CFC">
        <w:t xml:space="preserve"> en el nivel de tensión </w:t>
      </w:r>
      <w:r w:rsidRPr="004E6CFC">
        <w:rPr>
          <w:i/>
        </w:rPr>
        <w:t>n</w:t>
      </w:r>
      <w:r w:rsidRPr="004E6CFC">
        <w:t xml:space="preserve"> y la categoría de activos </w:t>
      </w:r>
      <w:r w:rsidRPr="004E6CFC">
        <w:rPr>
          <w:i/>
        </w:rPr>
        <w:t>l</w:t>
      </w:r>
      <w:r w:rsidRPr="004E6CFC">
        <w:t xml:space="preserve">. </w:t>
      </w:r>
    </w:p>
    <w:p w:rsidR="00EF4850" w:rsidRPr="004E6CFC" w:rsidRDefault="00EF4850" w:rsidP="00EF4850">
      <w:pPr>
        <w:tabs>
          <w:tab w:val="left" w:pos="1418"/>
        </w:tabs>
        <w:spacing w:before="120"/>
        <w:ind w:left="1418" w:hanging="1418"/>
        <w:rPr>
          <w:iCs/>
        </w:rPr>
      </w:pPr>
      <w:r w:rsidRPr="004E6CFC">
        <w:rPr>
          <w:i/>
          <w:iCs/>
        </w:rPr>
        <w:t>Psn</w:t>
      </w:r>
      <w:r w:rsidRPr="004E6CFC">
        <w:rPr>
          <w:i/>
          <w:iCs/>
          <w:vertAlign w:val="subscript"/>
        </w:rPr>
        <w:t>j</w:t>
      </w:r>
      <w:r w:rsidRPr="004E6CFC">
        <w:rPr>
          <w:i/>
          <w:iCs/>
        </w:rPr>
        <w:t>:</w:t>
      </w:r>
      <w:r w:rsidRPr="004E6CFC">
        <w:rPr>
          <w:i/>
          <w:iCs/>
        </w:rPr>
        <w:tab/>
      </w:r>
      <w:r w:rsidRPr="004E6CFC">
        <w:rPr>
          <w:iCs/>
        </w:rPr>
        <w:t xml:space="preserve">Variable de asignación de las UC sin nivel de tensión. Para OR con cuatro niveles de tensión es igual a 1/3, para OR con tres niveles de tensión es igual a 1/2 y para OR con dos niveles de tensión es igual a 1. </w:t>
      </w:r>
    </w:p>
    <w:p w:rsidR="00EF4850" w:rsidRPr="004E6CFC" w:rsidRDefault="00EF4850" w:rsidP="00EF4850">
      <w:r w:rsidRPr="0011797C">
        <w:t xml:space="preserve">Para determinar el costo de reposición por categorías de activos el OR debe clasificar dichas unidades constructivas en las categorías de activos definidas en el numeral </w:t>
      </w:r>
      <w:r w:rsidRPr="0011797C">
        <w:fldChar w:fldCharType="begin"/>
      </w:r>
      <w:r w:rsidRPr="0011797C">
        <w:instrText xml:space="preserve"> REF _Ref450291254 \r \h  \* MERGEFORMAT </w:instrText>
      </w:r>
      <w:r w:rsidRPr="0011797C">
        <w:fldChar w:fldCharType="separate"/>
      </w:r>
      <w:r w:rsidR="00737178">
        <w:t>15.2</w:t>
      </w:r>
      <w:r w:rsidRPr="0011797C">
        <w:fldChar w:fldCharType="end"/>
      </w:r>
      <w:r w:rsidRPr="0011797C">
        <w:t>.</w:t>
      </w:r>
    </w:p>
    <w:p w:rsidR="00EF4850" w:rsidRPr="004E6CFC" w:rsidRDefault="00EF4850" w:rsidP="00EF4850">
      <w:r w:rsidRPr="004E6CFC">
        <w:t>Para las UC de transformadores tridevanados y sus bahías asociadas el OR debe considerar los criterios de clasificación por nivel de tensión establecidas en la Resolución CREG 097 de 2008.</w:t>
      </w:r>
    </w:p>
    <w:p w:rsidR="00EF4850" w:rsidRPr="004E6CFC" w:rsidRDefault="00EF4850" w:rsidP="00EF4850">
      <w:r w:rsidRPr="004E6CFC">
        <w:t xml:space="preserve">En el caso de unidades constructivas reconocidas con RPP mayor que 0 y que durante el actual periodo tarifario cambiaron la condición definida en el numeral </w:t>
      </w:r>
      <w:r>
        <w:t>87.9</w:t>
      </w:r>
      <w:r w:rsidRPr="004E6CFC">
        <w:t xml:space="preserve"> de la Ley 142 de 1994 modificado por el artículo 99 de la Ley 1450 de 2011, el factor </w:t>
      </w:r>
      <w:r w:rsidRPr="004E6CFC">
        <w:rPr>
          <w:i/>
        </w:rPr>
        <w:t>(1-RPP)</w:t>
      </w:r>
      <w:r w:rsidRPr="004E6CFC">
        <w:t xml:space="preserve"> se reemplaza por la fracción adicional del valor de la UC que debe ser reconocido, en ningún caso la suma del valor </w:t>
      </w:r>
      <w:r w:rsidRPr="004E6CFC">
        <w:rPr>
          <w:i/>
        </w:rPr>
        <w:t>(1-RPP)</w:t>
      </w:r>
      <w:r w:rsidRPr="004E6CFC">
        <w:t xml:space="preserve"> aprobado más la fracción adicional incluida para una UC puede ser mayor que 1. </w:t>
      </w:r>
    </w:p>
    <w:p w:rsidR="00EF4850" w:rsidRPr="004E6CFC" w:rsidRDefault="00EF4850" w:rsidP="00EF4850">
      <w:r w:rsidRPr="004E6CFC">
        <w:t>Para poder incluir el valor de estos activos el OR debe certificar que estos activos se encontraban en operación a diciembre de 2007</w:t>
      </w:r>
      <w:r>
        <w:t>,</w:t>
      </w:r>
      <w:r w:rsidRPr="004E6CFC">
        <w:t xml:space="preserve"> no fueron incluidos en el inventario utilizado para definir los cargos por uso en aplicación de la metodología de la Resolución CREG 097 de 2008</w:t>
      </w:r>
      <w:r>
        <w:t xml:space="preserve"> y se encuentran en operación a la fecha de corte</w:t>
      </w:r>
      <w:r w:rsidRPr="004E6CFC">
        <w:t>.</w:t>
      </w:r>
    </w:p>
    <w:p w:rsidR="00EF4850" w:rsidRPr="004E6CFC" w:rsidRDefault="00EF4850" w:rsidP="00EF4850">
      <w:r w:rsidRPr="004E6CFC">
        <w:t xml:space="preserve">El OR debe entregar para cada una de las UC a incorporar la siguiente información: municipio, subestación, georreferenciación, características técnicas, fecha de entrada en operación, datos de placa, así como el inventario asimilado a las UC definidas en el capítulo </w:t>
      </w:r>
      <w:r w:rsidRPr="004E6CFC">
        <w:fldChar w:fldCharType="begin"/>
      </w:r>
      <w:r w:rsidRPr="004E6CFC">
        <w:instrText xml:space="preserve"> REF _Ref476818651 \r \h \t  \* MERGEFORMAT </w:instrText>
      </w:r>
      <w:r w:rsidRPr="004E6CFC">
        <w:fldChar w:fldCharType="separate"/>
      </w:r>
      <w:r w:rsidR="00737178">
        <w:t>15</w:t>
      </w:r>
      <w:r w:rsidRPr="004E6CFC">
        <w:fldChar w:fldCharType="end"/>
      </w:r>
      <w:r w:rsidRPr="004E6CFC">
        <w:t xml:space="preserve">. </w:t>
      </w:r>
      <w:r>
        <w:t>Las UC para las cuales no se reporte la totalidad de la información requerida no serán incluidas en la base inicial de activos.</w:t>
      </w:r>
    </w:p>
    <w:p w:rsidR="00EF4850" w:rsidRPr="004E6CFC" w:rsidRDefault="00EF4850" w:rsidP="00EF4850">
      <w:r w:rsidRPr="004E6CFC">
        <w:t>La Comisión podrá realizar la verificación de estos activos, en caso de encontrarse diferencias mayores al 5% entre lo reportado y lo verificado y que estas no sean justificadas por el OR, esta variable no se incluirá en la base inicial de activos.</w:t>
      </w:r>
    </w:p>
    <w:p w:rsidR="00EF4850" w:rsidRPr="004E6CFC" w:rsidRDefault="00EF4850" w:rsidP="004E77B3">
      <w:pPr>
        <w:pStyle w:val="Prrafodelista"/>
        <w:keepNext/>
        <w:numPr>
          <w:ilvl w:val="0"/>
          <w:numId w:val="74"/>
        </w:numPr>
        <w:ind w:left="357" w:hanging="357"/>
        <w:rPr>
          <w:b/>
        </w:rPr>
      </w:pPr>
      <w:r w:rsidRPr="004E6CFC">
        <w:rPr>
          <w:b/>
        </w:rPr>
        <w:lastRenderedPageBreak/>
        <w:t>Nivel de tensión 1</w:t>
      </w:r>
    </w:p>
    <w:p w:rsidR="00EF4850" w:rsidRPr="004E6CFC" w:rsidRDefault="00EF4850" w:rsidP="00EF4850">
      <w:r>
        <w:t xml:space="preserve">El valor </w:t>
      </w:r>
      <w:r w:rsidRPr="004E6CFC">
        <w:t xml:space="preserve">de los activos en operación no incluidos en el inventario y que pertenecen a la categoría </w:t>
      </w:r>
      <w:r w:rsidRPr="004E6CFC">
        <w:rPr>
          <w:i/>
        </w:rPr>
        <w:t>l</w:t>
      </w:r>
      <w:r w:rsidRPr="004E6CFC">
        <w:t xml:space="preserve"> se calcula de la siguiente manera:</w:t>
      </w:r>
    </w:p>
    <w:p w:rsidR="00EF4850" w:rsidRPr="004E6CFC" w:rsidRDefault="00C9592F" w:rsidP="00EF4850">
      <m:oMathPara>
        <m:oMath>
          <m:sSub>
            <m:sSubPr>
              <m:ctrlPr>
                <w:rPr>
                  <w:rFonts w:ascii="Cambria Math" w:hAnsi="Cambria Math"/>
                  <w:i/>
                </w:rPr>
              </m:ctrlPr>
            </m:sSubPr>
            <m:e>
              <m:r>
                <w:rPr>
                  <w:rFonts w:ascii="Cambria Math" w:hAnsi="Cambria Math"/>
                </w:rPr>
                <m:t>CRINR</m:t>
              </m:r>
            </m:e>
            <m:sub>
              <m:r>
                <w:rPr>
                  <w:rFonts w:ascii="Cambria Math" w:hAnsi="Cambria Math"/>
                </w:rPr>
                <m:t>j</m:t>
              </m:r>
              <m:r>
                <w:rPr>
                  <w:rFonts w:ascii="Cambria Math"/>
                </w:rPr>
                <m:t>,1,l</m:t>
              </m:r>
            </m:sub>
          </m:sSub>
          <m:r>
            <w:rPr>
              <w:rFonts w:ascii="Cambria Math"/>
            </w:rPr>
            <m:t>=</m:t>
          </m:r>
          <m:sSub>
            <m:sSubPr>
              <m:ctrlPr>
                <w:rPr>
                  <w:rFonts w:ascii="Cambria Math" w:hAnsi="Cambria Math"/>
                </w:rPr>
              </m:ctrlPr>
            </m:sSubPr>
            <m:e>
              <m:r>
                <w:rPr>
                  <w:rFonts w:ascii="Cambria Math" w:hAnsi="Cambria Math"/>
                </w:rPr>
                <m:t>NTNI</m:t>
              </m:r>
            </m:e>
            <m:sub>
              <m:r>
                <w:rPr>
                  <w:rFonts w:ascii="Cambria Math" w:hAnsi="Cambria Math"/>
                </w:rPr>
                <m:t>j,1,l</m:t>
              </m:r>
            </m:sub>
          </m:sSub>
          <m:r>
            <w:rPr>
              <w:rFonts w:ascii="Cambria Math" w:hAnsi="Cambria Math"/>
            </w:rPr>
            <m:t>*</m:t>
          </m:r>
          <m:sSub>
            <m:sSubPr>
              <m:ctrlPr>
                <w:rPr>
                  <w:rFonts w:ascii="Cambria Math" w:hAnsi="Cambria Math"/>
                </w:rPr>
              </m:ctrlPr>
            </m:sSubPr>
            <m:e>
              <m:r>
                <w:rPr>
                  <w:rFonts w:ascii="Cambria Math" w:hAnsi="Cambria Math"/>
                </w:rPr>
                <m:t>CMTD</m:t>
              </m:r>
            </m:e>
            <m:sub>
              <m:r>
                <w:rPr>
                  <w:rFonts w:ascii="Cambria Math" w:hAnsi="Cambria Math"/>
                </w:rPr>
                <m:t>j</m:t>
              </m:r>
            </m:sub>
          </m:sSub>
          <m:r>
            <w:rPr>
              <w:rFonts w:ascii="Cambria Math" w:hAnsi="Cambria Math"/>
            </w:rPr>
            <m:t>+</m:t>
          </m:r>
          <m:sSub>
            <m:sSubPr>
              <m:ctrlPr>
                <w:rPr>
                  <w:rFonts w:ascii="Cambria Math" w:hAnsi="Cambria Math"/>
                  <w:i/>
                </w:rPr>
              </m:ctrlPr>
            </m:sSubPr>
            <m:e>
              <m:r>
                <w:rPr>
                  <w:rFonts w:ascii="Cambria Math" w:hAnsi="Cambria Math"/>
                </w:rPr>
                <m:t>NRNI</m:t>
              </m:r>
            </m:e>
            <m:sub>
              <m:r>
                <w:rPr>
                  <w:rFonts w:ascii="Cambria Math" w:hAnsi="Cambria Math"/>
                </w:rPr>
                <m:t>j,1,l</m:t>
              </m:r>
            </m:sub>
          </m:sSub>
          <m:r>
            <w:rPr>
              <w:rFonts w:ascii="Cambria Math" w:hAnsi="Cambria Math"/>
            </w:rPr>
            <m:t xml:space="preserve"> </m:t>
          </m:r>
          <m:sSub>
            <m:sSubPr>
              <m:ctrlPr>
                <w:rPr>
                  <w:rFonts w:ascii="Cambria Math" w:hAnsi="Cambria Math"/>
                </w:rPr>
              </m:ctrlPr>
            </m:sSubPr>
            <m:e>
              <m:r>
                <w:rPr>
                  <w:rFonts w:ascii="Cambria Math" w:hAnsi="Cambria Math"/>
                </w:rPr>
                <m:t>*CMRD</m:t>
              </m:r>
            </m:e>
            <m:sub>
              <m:r>
                <w:rPr>
                  <w:rFonts w:ascii="Cambria Math" w:hAnsi="Cambria Math"/>
                </w:rPr>
                <m:t>j</m:t>
              </m:r>
            </m:sub>
          </m:sSub>
        </m:oMath>
      </m:oMathPara>
    </w:p>
    <w:p w:rsidR="00EF4850" w:rsidRPr="004E6CFC" w:rsidRDefault="00EF4850" w:rsidP="00EF4850">
      <w:pPr>
        <w:ind w:left="702" w:hanging="702"/>
        <w:rPr>
          <w:iCs/>
        </w:rPr>
      </w:pPr>
      <w:r w:rsidRPr="004E6CFC">
        <w:rPr>
          <w:iCs/>
        </w:rPr>
        <w:t>Donde:</w:t>
      </w:r>
    </w:p>
    <w:p w:rsidR="00EF4850" w:rsidRPr="004E6CFC" w:rsidRDefault="00EF4850" w:rsidP="00EF4850">
      <w:pPr>
        <w:spacing w:before="120"/>
        <w:ind w:left="1418" w:hanging="1418"/>
      </w:pPr>
      <w:r w:rsidRPr="004E6CFC">
        <w:rPr>
          <w:i/>
          <w:iCs/>
        </w:rPr>
        <w:t>CRINR</w:t>
      </w:r>
      <w:r w:rsidRPr="004E6CFC">
        <w:rPr>
          <w:i/>
          <w:iCs/>
          <w:vertAlign w:val="subscript"/>
        </w:rPr>
        <w:t>j,1,l</w:t>
      </w:r>
      <w:r w:rsidRPr="004E6CFC">
        <w:t>:</w:t>
      </w:r>
      <w:r w:rsidRPr="004E6CFC">
        <w:tab/>
        <w:t xml:space="preserve">Valor de los activos en operación no incluido para el OR </w:t>
      </w:r>
      <w:r w:rsidRPr="004E6CFC">
        <w:rPr>
          <w:i/>
        </w:rPr>
        <w:t>j</w:t>
      </w:r>
      <w:r w:rsidRPr="004E6CFC">
        <w:t xml:space="preserve"> en el nivel de tensión</w:t>
      </w:r>
      <w:r w:rsidRPr="004E6CFC" w:rsidDel="00167569">
        <w:t xml:space="preserve"> </w:t>
      </w:r>
      <w:r w:rsidRPr="004E6CFC">
        <w:rPr>
          <w:i/>
        </w:rPr>
        <w:t xml:space="preserve">1 </w:t>
      </w:r>
      <w:r w:rsidRPr="004E6CFC">
        <w:t xml:space="preserve">para la categoría de activos </w:t>
      </w:r>
      <w:r w:rsidRPr="004E6CFC">
        <w:rPr>
          <w:i/>
        </w:rPr>
        <w:t>l</w:t>
      </w:r>
      <w:r w:rsidRPr="004E6CFC">
        <w:t>.</w:t>
      </w:r>
    </w:p>
    <w:p w:rsidR="00EF4850" w:rsidRPr="004E6CFC" w:rsidRDefault="00EF4850" w:rsidP="00EF4850">
      <w:pPr>
        <w:numPr>
          <w:ilvl w:val="12"/>
          <w:numId w:val="0"/>
        </w:numPr>
        <w:suppressAutoHyphens/>
        <w:spacing w:before="120"/>
        <w:ind w:left="1418" w:hanging="1418"/>
      </w:pPr>
      <w:r w:rsidRPr="004E6CFC">
        <w:rPr>
          <w:i/>
        </w:rPr>
        <w:t>NTNI</w:t>
      </w:r>
      <w:r w:rsidRPr="004E6CFC">
        <w:rPr>
          <w:i/>
          <w:vertAlign w:val="subscript"/>
        </w:rPr>
        <w:t>j,1,l</w:t>
      </w:r>
      <w:r w:rsidRPr="004E6CFC">
        <w:t>:</w:t>
      </w:r>
      <w:r w:rsidRPr="004E6CFC">
        <w:tab/>
        <w:t xml:space="preserve">Cantidad de transformadores de distribución del OR </w:t>
      </w:r>
      <w:r w:rsidRPr="004E6CFC">
        <w:rPr>
          <w:i/>
        </w:rPr>
        <w:t>j</w:t>
      </w:r>
      <w:r w:rsidRPr="004E6CFC">
        <w:t xml:space="preserve"> en el nivel de tensión </w:t>
      </w:r>
      <w:r w:rsidRPr="004E6CFC">
        <w:rPr>
          <w:i/>
        </w:rPr>
        <w:t xml:space="preserve">1 </w:t>
      </w:r>
      <w:r w:rsidRPr="004E6CFC">
        <w:t>no incluidos en el</w:t>
      </w:r>
      <w:r w:rsidRPr="004E6CFC">
        <w:rPr>
          <w:i/>
        </w:rPr>
        <w:t xml:space="preserve"> </w:t>
      </w:r>
      <w:r w:rsidRPr="004E6CFC">
        <w:t xml:space="preserve">inventario de transformadores. Con </w:t>
      </w:r>
      <w:r w:rsidRPr="004E6CFC">
        <w:rPr>
          <w:i/>
        </w:rPr>
        <w:t xml:space="preserve">l </w:t>
      </w:r>
      <w:r w:rsidRPr="004E6CFC">
        <w:t>=</w:t>
      </w:r>
      <w:r w:rsidRPr="004E6CFC">
        <w:rPr>
          <w:i/>
        </w:rPr>
        <w:t>11</w:t>
      </w:r>
      <w:r w:rsidRPr="004E6CFC">
        <w:t>.</w:t>
      </w:r>
    </w:p>
    <w:p w:rsidR="00EF4850" w:rsidRPr="004E6CFC" w:rsidRDefault="00EF4850" w:rsidP="00EF4850">
      <w:pPr>
        <w:numPr>
          <w:ilvl w:val="12"/>
          <w:numId w:val="0"/>
        </w:numPr>
        <w:suppressAutoHyphens/>
        <w:spacing w:before="120"/>
        <w:ind w:left="1418" w:hanging="1418"/>
        <w:rPr>
          <w:i/>
        </w:rPr>
      </w:pPr>
      <w:r w:rsidRPr="004E6CFC">
        <w:rPr>
          <w:i/>
        </w:rPr>
        <w:t>CMTD</w:t>
      </w:r>
      <w:r w:rsidRPr="004E6CFC">
        <w:rPr>
          <w:i/>
          <w:vertAlign w:val="subscript"/>
        </w:rPr>
        <w:t>j</w:t>
      </w:r>
      <w:r w:rsidRPr="004E6CFC">
        <w:rPr>
          <w:i/>
        </w:rPr>
        <w:t>:</w:t>
      </w:r>
      <w:r w:rsidRPr="004E6CFC">
        <w:tab/>
        <w:t xml:space="preserve">Costo medio de transformadores del OR </w:t>
      </w:r>
      <w:r w:rsidRPr="004E6CFC">
        <w:rPr>
          <w:i/>
        </w:rPr>
        <w:t>j</w:t>
      </w:r>
      <w:r w:rsidRPr="004E6CFC">
        <w:t xml:space="preserve">,  según lo establecido en el literal </w:t>
      </w:r>
      <w:r w:rsidRPr="004E6CFC">
        <w:fldChar w:fldCharType="begin"/>
      </w:r>
      <w:r w:rsidRPr="004E6CFC">
        <w:instrText xml:space="preserve"> REF _Ref460420580 \r \h  \* MERGEFORMAT </w:instrText>
      </w:r>
      <w:r w:rsidRPr="004E6CFC">
        <w:fldChar w:fldCharType="separate"/>
      </w:r>
      <w:r w:rsidR="00737178">
        <w:t>b</w:t>
      </w:r>
      <w:r w:rsidRPr="004E6CFC">
        <w:fldChar w:fldCharType="end"/>
      </w:r>
      <w:r w:rsidRPr="004E6CFC">
        <w:t xml:space="preserve"> del numeral </w:t>
      </w:r>
      <w:r w:rsidRPr="004E6CFC">
        <w:fldChar w:fldCharType="begin"/>
      </w:r>
      <w:r w:rsidRPr="004E6CFC">
        <w:instrText xml:space="preserve"> REF _Ref460419342 \r \h  \* MERGEFORMAT </w:instrText>
      </w:r>
      <w:r w:rsidRPr="004E6CFC">
        <w:fldChar w:fldCharType="separate"/>
      </w:r>
      <w:r w:rsidR="00737178">
        <w:t>3.1.1.1.1.6</w:t>
      </w:r>
      <w:r w:rsidRPr="004E6CFC">
        <w:fldChar w:fldCharType="end"/>
      </w:r>
      <w:r w:rsidRPr="004E6CFC">
        <w:t>.</w:t>
      </w:r>
    </w:p>
    <w:p w:rsidR="00EF4850" w:rsidRPr="004E6CFC" w:rsidRDefault="00EF4850" w:rsidP="00EF4850">
      <w:pPr>
        <w:numPr>
          <w:ilvl w:val="12"/>
          <w:numId w:val="0"/>
        </w:numPr>
        <w:suppressAutoHyphens/>
        <w:spacing w:before="120"/>
        <w:ind w:left="1418" w:hanging="1418"/>
      </w:pPr>
      <w:r w:rsidRPr="004E6CFC">
        <w:rPr>
          <w:i/>
        </w:rPr>
        <w:t>NRNI</w:t>
      </w:r>
      <w:r w:rsidRPr="004E6CFC">
        <w:rPr>
          <w:i/>
          <w:vertAlign w:val="subscript"/>
        </w:rPr>
        <w:t>,1,l</w:t>
      </w:r>
      <w:r w:rsidRPr="004E6CFC">
        <w:t>:</w:t>
      </w:r>
      <w:r w:rsidRPr="004E6CFC">
        <w:tab/>
        <w:t xml:space="preserve">Cantidad de redes de distribución del OR </w:t>
      </w:r>
      <w:r w:rsidRPr="004E6CFC">
        <w:rPr>
          <w:i/>
        </w:rPr>
        <w:t>j</w:t>
      </w:r>
      <w:r w:rsidRPr="004E6CFC">
        <w:t xml:space="preserve"> en el nivel de tensión </w:t>
      </w:r>
      <w:r w:rsidRPr="004E6CFC">
        <w:rPr>
          <w:i/>
        </w:rPr>
        <w:t xml:space="preserve">1 </w:t>
      </w:r>
      <w:r w:rsidRPr="004E6CFC">
        <w:t>no incluidos en el</w:t>
      </w:r>
      <w:r w:rsidRPr="004E6CFC">
        <w:rPr>
          <w:i/>
        </w:rPr>
        <w:t xml:space="preserve"> </w:t>
      </w:r>
      <w:r w:rsidRPr="004E6CFC">
        <w:t xml:space="preserve">inventario de redes. Con </w:t>
      </w:r>
      <w:r w:rsidRPr="004E6CFC">
        <w:rPr>
          <w:i/>
        </w:rPr>
        <w:t xml:space="preserve">l </w:t>
      </w:r>
      <w:r w:rsidRPr="004E6CFC">
        <w:t>=</w:t>
      </w:r>
      <w:r w:rsidRPr="004E6CFC">
        <w:rPr>
          <w:i/>
        </w:rPr>
        <w:t>12</w:t>
      </w:r>
      <w:r w:rsidRPr="004E6CFC">
        <w:t>.</w:t>
      </w:r>
    </w:p>
    <w:p w:rsidR="00EF4850" w:rsidRPr="004E6CFC" w:rsidRDefault="00EF4850" w:rsidP="00EF4850">
      <w:pPr>
        <w:numPr>
          <w:ilvl w:val="12"/>
          <w:numId w:val="0"/>
        </w:numPr>
        <w:suppressAutoHyphens/>
        <w:spacing w:before="120"/>
        <w:ind w:left="1418" w:hanging="1418"/>
      </w:pPr>
      <w:r w:rsidRPr="004E6CFC">
        <w:rPr>
          <w:i/>
        </w:rPr>
        <w:t>CMRD</w:t>
      </w:r>
      <w:r w:rsidRPr="004E6CFC">
        <w:rPr>
          <w:i/>
          <w:vertAlign w:val="subscript"/>
        </w:rPr>
        <w:t>j</w:t>
      </w:r>
      <w:r w:rsidRPr="004E6CFC">
        <w:rPr>
          <w:i/>
        </w:rPr>
        <w:t>:</w:t>
      </w:r>
      <w:r w:rsidRPr="004E6CFC">
        <w:tab/>
        <w:t xml:space="preserve">Costo medio de redes de distribución del OR </w:t>
      </w:r>
      <w:r w:rsidRPr="004E6CFC">
        <w:rPr>
          <w:i/>
        </w:rPr>
        <w:t>j</w:t>
      </w:r>
      <w:r w:rsidRPr="004E6CFC">
        <w:t xml:space="preserve">, según lo establecido en el literal </w:t>
      </w:r>
      <w:r w:rsidRPr="004E6CFC">
        <w:fldChar w:fldCharType="begin"/>
      </w:r>
      <w:r w:rsidRPr="004E6CFC">
        <w:instrText xml:space="preserve"> REF _Ref460420580 \r \h  \* MERGEFORMAT </w:instrText>
      </w:r>
      <w:r w:rsidRPr="004E6CFC">
        <w:fldChar w:fldCharType="separate"/>
      </w:r>
      <w:r w:rsidR="00737178">
        <w:t>b</w:t>
      </w:r>
      <w:r w:rsidRPr="004E6CFC">
        <w:fldChar w:fldCharType="end"/>
      </w:r>
      <w:r w:rsidRPr="004E6CFC">
        <w:t xml:space="preserve"> del numeral </w:t>
      </w:r>
      <w:r w:rsidRPr="004E6CFC">
        <w:fldChar w:fldCharType="begin"/>
      </w:r>
      <w:r w:rsidRPr="004E6CFC">
        <w:instrText xml:space="preserve"> REF _Ref460419342 \r \h  \* MERGEFORMAT </w:instrText>
      </w:r>
      <w:r w:rsidRPr="004E6CFC">
        <w:fldChar w:fldCharType="separate"/>
      </w:r>
      <w:r w:rsidR="00737178">
        <w:t>3.1.1.1.1.6</w:t>
      </w:r>
      <w:r w:rsidRPr="004E6CFC">
        <w:fldChar w:fldCharType="end"/>
      </w:r>
      <w:r w:rsidRPr="004E6CFC">
        <w:t>.</w:t>
      </w:r>
    </w:p>
    <w:p w:rsidR="00EF4850" w:rsidRPr="004E6CFC" w:rsidRDefault="00EF4850" w:rsidP="00EF4850">
      <w:r w:rsidRPr="004E6CFC">
        <w:t>Para poder incluir el valor de estos activos el OR debe certificar que estos activos se encontraban en operación a diciembre de 2007</w:t>
      </w:r>
      <w:r>
        <w:t>,</w:t>
      </w:r>
      <w:r w:rsidRPr="004E6CFC">
        <w:t xml:space="preserve"> no fueron incluidos en el inventario utilizado para definir los cargos por uso en aplicación de la metodología de la Resolución CREG 097 de 2008</w:t>
      </w:r>
      <w:r>
        <w:t xml:space="preserve"> y se encuentran en operación a la fecha de corte</w:t>
      </w:r>
      <w:r w:rsidRPr="004E6CFC">
        <w:t>.</w:t>
      </w:r>
    </w:p>
    <w:p w:rsidR="00EF4850" w:rsidRPr="004E6CFC" w:rsidRDefault="00EF4850" w:rsidP="00EF4850">
      <w:r w:rsidRPr="004E6CFC">
        <w:t xml:space="preserve">El OR debe entregar para cada uno de los transformadores o redes a incorporar la siguiente información: municipio, georreferenciación, características técnicas, número de usuarios asociados, fecha de entrada en operación, datos de placa. </w:t>
      </w:r>
      <w:r>
        <w:t>Los transformadores o redes para los cuales no se reporte la totalidad de la información requerida no serán incluidos en la base inicial de activos.</w:t>
      </w:r>
    </w:p>
    <w:p w:rsidR="00EF4850" w:rsidRPr="004E6CFC" w:rsidRDefault="00EF4850" w:rsidP="00EF4850">
      <w:r w:rsidRPr="004E6CFC">
        <w:t>La Comisión podrá realizar la verificación de estos activos, en caso de encontrarse diferencias mayores al 5% entre lo reportado y lo verificado y que estas no sean justificadas por el OR, esta variable no se incluirá en la base inicial de activos.</w:t>
      </w:r>
    </w:p>
    <w:p w:rsidR="00EF4850" w:rsidRPr="004E6CFC" w:rsidRDefault="00EF4850" w:rsidP="00EF4850">
      <w:pPr>
        <w:pStyle w:val="Ttulo6"/>
        <w:ind w:left="2124" w:hanging="2124"/>
      </w:pPr>
      <w:bookmarkStart w:id="154" w:name="_Ref460419096"/>
      <w:r w:rsidRPr="004E6CFC">
        <w:t xml:space="preserve">Valor de los activos fuera de operación </w:t>
      </w:r>
      <w:bookmarkEnd w:id="154"/>
    </w:p>
    <w:p w:rsidR="00EF4850" w:rsidRPr="004E6CFC" w:rsidRDefault="00EF4850" w:rsidP="009C086B">
      <w:pPr>
        <w:pStyle w:val="Prrafodelista"/>
        <w:numPr>
          <w:ilvl w:val="0"/>
          <w:numId w:val="75"/>
        </w:numPr>
        <w:rPr>
          <w:b/>
        </w:rPr>
      </w:pPr>
      <w:bookmarkStart w:id="155" w:name="_Ref439665645"/>
      <w:bookmarkEnd w:id="149"/>
      <w:bookmarkEnd w:id="151"/>
      <w:r w:rsidRPr="004E6CFC">
        <w:rPr>
          <w:b/>
        </w:rPr>
        <w:t>Niveles de tensión 2, 3 y 4</w:t>
      </w:r>
    </w:p>
    <w:p w:rsidR="00EF4850" w:rsidRDefault="00EF4850" w:rsidP="00EF4850">
      <w:r>
        <w:t xml:space="preserve">El valor </w:t>
      </w:r>
      <w:r w:rsidRPr="004E6CFC">
        <w:t>de los activos que salieron de operación el periodo enero de 2008 a la fecha de corte se calcula de la siguiente manera:</w:t>
      </w:r>
    </w:p>
    <w:p w:rsidR="00EF4850" w:rsidRPr="004E6CFC" w:rsidRDefault="00C9592F" w:rsidP="00EF4850">
      <m:oMathPara>
        <m:oMath>
          <m:sSub>
            <m:sSubPr>
              <m:ctrlPr>
                <w:rPr>
                  <w:rFonts w:ascii="Cambria Math" w:hAnsi="Cambria Math"/>
                  <w:i/>
                  <w:sz w:val="22"/>
                </w:rPr>
              </m:ctrlPr>
            </m:sSubPr>
            <m:e>
              <m:r>
                <w:rPr>
                  <w:rFonts w:ascii="Cambria Math" w:hAnsi="Cambria Math"/>
                  <w:sz w:val="22"/>
                </w:rPr>
                <m:t>CRIFO</m:t>
              </m:r>
            </m:e>
            <m:sub>
              <m:r>
                <w:rPr>
                  <w:rFonts w:ascii="Cambria Math" w:hAnsi="Cambria Math"/>
                  <w:sz w:val="22"/>
                </w:rPr>
                <m:t>j</m:t>
              </m:r>
              <m:r>
                <w:rPr>
                  <w:rFonts w:ascii="Cambria Math"/>
                  <w:sz w:val="22"/>
                </w:rPr>
                <m:t>,n,l</m:t>
              </m:r>
            </m:sub>
          </m:sSub>
          <m:r>
            <w:rPr>
              <w:rFonts w:ascii="Cambria Math"/>
              <w:sz w:val="22"/>
            </w:rPr>
            <m:t>=</m:t>
          </m:r>
          <m:nary>
            <m:naryPr>
              <m:chr m:val="∑"/>
              <m:limLoc m:val="undOvr"/>
              <m:ctrlPr>
                <w:rPr>
                  <w:rFonts w:ascii="Cambria Math" w:hAnsi="Cambria Math"/>
                  <w:i/>
                  <w:sz w:val="22"/>
                </w:rPr>
              </m:ctrlPr>
            </m:naryPr>
            <m:sub>
              <m:r>
                <w:rPr>
                  <w:rFonts w:ascii="Cambria Math" w:hAnsi="Cambria Math"/>
                  <w:sz w:val="22"/>
                </w:rPr>
                <m:t>i</m:t>
              </m:r>
              <m:r>
                <w:rPr>
                  <w:rFonts w:ascii="Cambria Math"/>
                  <w:sz w:val="22"/>
                </w:rPr>
                <m:t>=1</m:t>
              </m:r>
            </m:sub>
            <m:sup>
              <m:sSub>
                <m:sSubPr>
                  <m:ctrlPr>
                    <w:rPr>
                      <w:rFonts w:ascii="Cambria Math" w:hAnsi="Cambria Math"/>
                      <w:i/>
                      <w:sz w:val="22"/>
                    </w:rPr>
                  </m:ctrlPr>
                </m:sSubPr>
                <m:e>
                  <m:r>
                    <w:rPr>
                      <w:rFonts w:ascii="Cambria Math" w:hAnsi="Cambria Math"/>
                      <w:sz w:val="22"/>
                    </w:rPr>
                    <m:t>FO</m:t>
                  </m:r>
                </m:e>
                <m:sub>
                  <m:r>
                    <w:rPr>
                      <w:rFonts w:ascii="Cambria Math" w:hAnsi="Cambria Math"/>
                      <w:sz w:val="22"/>
                    </w:rPr>
                    <m:t>j</m:t>
                  </m:r>
                  <m:r>
                    <w:rPr>
                      <w:rFonts w:ascii="Cambria Math"/>
                      <w:sz w:val="22"/>
                    </w:rPr>
                    <m:t>,</m:t>
                  </m:r>
                  <m:r>
                    <w:rPr>
                      <w:rFonts w:ascii="Cambria Math" w:hAnsi="Cambria Math"/>
                      <w:sz w:val="22"/>
                    </w:rPr>
                    <m:t>n,l</m:t>
                  </m:r>
                </m:sub>
              </m:sSub>
            </m:sup>
            <m:e>
              <m:d>
                <m:dPr>
                  <m:ctrlPr>
                    <w:rPr>
                      <w:rFonts w:ascii="Cambria Math" w:hAnsi="Cambria Math"/>
                      <w:i/>
                      <w:sz w:val="22"/>
                    </w:rPr>
                  </m:ctrlPr>
                </m:dPr>
                <m:e>
                  <m:sSub>
                    <m:sSubPr>
                      <m:ctrlPr>
                        <w:rPr>
                          <w:rFonts w:ascii="Cambria Math" w:hAnsi="Cambria Math"/>
                          <w:i/>
                          <w:sz w:val="22"/>
                        </w:rPr>
                      </m:ctrlPr>
                    </m:sSubPr>
                    <m:e>
                      <m:r>
                        <w:rPr>
                          <w:rFonts w:ascii="Cambria Math" w:hAnsi="Cambria Math"/>
                          <w:sz w:val="22"/>
                        </w:rPr>
                        <m:t>CR</m:t>
                      </m:r>
                    </m:e>
                    <m:sub>
                      <m:r>
                        <w:rPr>
                          <w:rFonts w:ascii="Cambria Math" w:hAnsi="Cambria Math"/>
                          <w:sz w:val="22"/>
                        </w:rPr>
                        <m:t>i</m:t>
                      </m:r>
                    </m:sub>
                  </m:sSub>
                  <m:r>
                    <w:rPr>
                      <w:rFonts w:ascii="Cambria Math" w:hAnsi="Cambria Math"/>
                      <w:sz w:val="22"/>
                    </w:rPr>
                    <m:t>*</m:t>
                  </m:r>
                  <m:sSub>
                    <m:sSubPr>
                      <m:ctrlPr>
                        <w:rPr>
                          <w:rFonts w:ascii="Cambria Math" w:hAnsi="Cambria Math"/>
                          <w:i/>
                          <w:sz w:val="22"/>
                        </w:rPr>
                      </m:ctrlPr>
                    </m:sSubPr>
                    <m:e>
                      <m:r>
                        <w:rPr>
                          <w:rFonts w:ascii="Cambria Math" w:hAnsi="Cambria Math"/>
                          <w:sz w:val="22"/>
                        </w:rPr>
                        <m:t>PU</m:t>
                      </m:r>
                    </m:e>
                    <m:sub>
                      <m:r>
                        <w:rPr>
                          <w:rFonts w:ascii="Cambria Math" w:hAnsi="Cambria Math"/>
                          <w:sz w:val="22"/>
                        </w:rPr>
                        <m:t>j,i</m:t>
                      </m:r>
                    </m:sub>
                  </m:sSub>
                  <m:r>
                    <w:rPr>
                      <w:rFonts w:ascii="Cambria Math" w:hAnsi="Cambria Math"/>
                      <w:sz w:val="20"/>
                    </w:rPr>
                    <m:t>*</m:t>
                  </m:r>
                  <m:sSub>
                    <m:sSubPr>
                      <m:ctrlPr>
                        <w:rPr>
                          <w:rFonts w:ascii="Cambria Math" w:hAnsi="Cambria Math"/>
                          <w:i/>
                          <w:sz w:val="20"/>
                        </w:rPr>
                      </m:ctrlPr>
                    </m:sSubPr>
                    <m:e>
                      <m:r>
                        <w:rPr>
                          <w:rFonts w:ascii="Cambria Math" w:hAnsi="Cambria Math"/>
                          <w:sz w:val="20"/>
                        </w:rPr>
                        <m:t>FU</m:t>
                      </m:r>
                    </m:e>
                    <m:sub>
                      <m:r>
                        <w:rPr>
                          <w:rFonts w:ascii="Cambria Math" w:hAnsi="Cambria Math"/>
                          <w:sz w:val="20"/>
                        </w:rPr>
                        <m:t>i</m:t>
                      </m:r>
                    </m:sub>
                  </m:sSub>
                  <m:r>
                    <w:rPr>
                      <w:rFonts w:ascii="Cambria Math" w:hAnsi="Cambria Math"/>
                      <w:sz w:val="22"/>
                    </w:rPr>
                    <m:t>*(1-</m:t>
                  </m:r>
                  <m:sSub>
                    <m:sSubPr>
                      <m:ctrlPr>
                        <w:rPr>
                          <w:rFonts w:ascii="Cambria Math" w:hAnsi="Cambria Math"/>
                          <w:i/>
                          <w:sz w:val="22"/>
                        </w:rPr>
                      </m:ctrlPr>
                    </m:sSubPr>
                    <m:e>
                      <m:r>
                        <w:rPr>
                          <w:rFonts w:ascii="Cambria Math" w:hAnsi="Cambria Math"/>
                          <w:sz w:val="22"/>
                        </w:rPr>
                        <m:t>RPP</m:t>
                      </m:r>
                    </m:e>
                    <m:sub>
                      <m:r>
                        <w:rPr>
                          <w:rFonts w:ascii="Cambria Math" w:hAnsi="Cambria Math"/>
                          <w:sz w:val="22"/>
                        </w:rPr>
                        <m:t>i</m:t>
                      </m:r>
                    </m:sub>
                  </m:sSub>
                  <m:r>
                    <w:rPr>
                      <w:rFonts w:ascii="Cambria Math" w:hAnsi="Cambria Math"/>
                      <w:sz w:val="22"/>
                    </w:rPr>
                    <m:t>)</m:t>
                  </m:r>
                </m:e>
              </m:d>
            </m:e>
          </m:nary>
          <m:r>
            <w:rPr>
              <w:rFonts w:ascii="Cambria Math"/>
              <w:sz w:val="22"/>
            </w:rPr>
            <m:t>+</m:t>
          </m:r>
          <m:nary>
            <m:naryPr>
              <m:chr m:val="∑"/>
              <m:limLoc m:val="undOvr"/>
              <m:ctrlPr>
                <w:rPr>
                  <w:rFonts w:ascii="Cambria Math" w:hAnsi="Cambria Math"/>
                  <w:i/>
                  <w:sz w:val="22"/>
                </w:rPr>
              </m:ctrlPr>
            </m:naryPr>
            <m:sub>
              <m:r>
                <w:rPr>
                  <w:rFonts w:ascii="Cambria Math"/>
                  <w:sz w:val="22"/>
                </w:rPr>
                <m:t>i=1</m:t>
              </m:r>
            </m:sub>
            <m:sup>
              <m:sSub>
                <m:sSubPr>
                  <m:ctrlPr>
                    <w:rPr>
                      <w:rFonts w:ascii="Cambria Math" w:hAnsi="Cambria Math"/>
                      <w:i/>
                      <w:sz w:val="22"/>
                    </w:rPr>
                  </m:ctrlPr>
                </m:sSubPr>
                <m:e>
                  <m:r>
                    <w:rPr>
                      <w:rFonts w:ascii="Cambria Math"/>
                      <w:sz w:val="22"/>
                    </w:rPr>
                    <m:t>SNFO</m:t>
                  </m:r>
                </m:e>
                <m:sub>
                  <m:r>
                    <w:rPr>
                      <w:rFonts w:ascii="Cambria Math"/>
                      <w:sz w:val="22"/>
                    </w:rPr>
                    <m:t>j,l</m:t>
                  </m:r>
                </m:sub>
              </m:sSub>
            </m:sup>
            <m:e>
              <m:d>
                <m:dPr>
                  <m:ctrlPr>
                    <w:rPr>
                      <w:rFonts w:ascii="Cambria Math" w:hAnsi="Cambria Math"/>
                      <w:i/>
                      <w:sz w:val="22"/>
                    </w:rPr>
                  </m:ctrlPr>
                </m:dPr>
                <m:e>
                  <m:sSub>
                    <m:sSubPr>
                      <m:ctrlPr>
                        <w:rPr>
                          <w:rFonts w:ascii="Cambria Math" w:hAnsi="Cambria Math"/>
                          <w:i/>
                          <w:sz w:val="22"/>
                        </w:rPr>
                      </m:ctrlPr>
                    </m:sSubPr>
                    <m:e>
                      <m:r>
                        <w:rPr>
                          <w:rFonts w:ascii="Cambria Math"/>
                          <w:sz w:val="22"/>
                        </w:rPr>
                        <m:t>CR</m:t>
                      </m:r>
                    </m:e>
                    <m:sub>
                      <m:r>
                        <w:rPr>
                          <w:rFonts w:ascii="Cambria Math"/>
                          <w:sz w:val="22"/>
                        </w:rPr>
                        <m:t>i</m:t>
                      </m:r>
                    </m:sub>
                  </m:sSub>
                  <m:r>
                    <w:rPr>
                      <w:rFonts w:ascii="Cambria Math" w:hAnsi="Cambria Math"/>
                      <w:sz w:val="22"/>
                    </w:rPr>
                    <m:t>*</m:t>
                  </m:r>
                  <m:sSub>
                    <m:sSubPr>
                      <m:ctrlPr>
                        <w:rPr>
                          <w:rFonts w:ascii="Cambria Math" w:hAnsi="Cambria Math"/>
                          <w:i/>
                          <w:sz w:val="22"/>
                        </w:rPr>
                      </m:ctrlPr>
                    </m:sSubPr>
                    <m:e>
                      <m:r>
                        <w:rPr>
                          <w:rFonts w:ascii="Cambria Math"/>
                          <w:sz w:val="22"/>
                        </w:rPr>
                        <m:t>PU</m:t>
                      </m:r>
                    </m:e>
                    <m:sub>
                      <m:r>
                        <w:rPr>
                          <w:rFonts w:ascii="Cambria Math"/>
                          <w:sz w:val="22"/>
                        </w:rPr>
                        <m:t>j,i</m:t>
                      </m:r>
                    </m:sub>
                  </m:sSub>
                  <m:r>
                    <w:rPr>
                      <w:rFonts w:ascii="Cambria Math" w:hAnsi="Cambria Math"/>
                      <w:sz w:val="20"/>
                    </w:rPr>
                    <m:t>*</m:t>
                  </m:r>
                  <m:sSub>
                    <m:sSubPr>
                      <m:ctrlPr>
                        <w:rPr>
                          <w:rFonts w:ascii="Cambria Math" w:hAnsi="Cambria Math"/>
                          <w:i/>
                          <w:sz w:val="20"/>
                        </w:rPr>
                      </m:ctrlPr>
                    </m:sSubPr>
                    <m:e>
                      <m:r>
                        <w:rPr>
                          <w:rFonts w:ascii="Cambria Math" w:hAnsi="Cambria Math"/>
                          <w:sz w:val="20"/>
                        </w:rPr>
                        <m:t>FU</m:t>
                      </m:r>
                    </m:e>
                    <m:sub>
                      <m:r>
                        <w:rPr>
                          <w:rFonts w:ascii="Cambria Math" w:hAnsi="Cambria Math"/>
                          <w:sz w:val="20"/>
                        </w:rPr>
                        <m:t>i</m:t>
                      </m:r>
                    </m:sub>
                  </m:sSub>
                  <m:r>
                    <w:rPr>
                      <w:rFonts w:ascii="Cambria Math" w:hAnsi="Cambria Math"/>
                      <w:sz w:val="22"/>
                    </w:rPr>
                    <m:t>*(1-</m:t>
                  </m:r>
                  <m:sSub>
                    <m:sSubPr>
                      <m:ctrlPr>
                        <w:rPr>
                          <w:rFonts w:ascii="Cambria Math" w:hAnsi="Cambria Math"/>
                          <w:i/>
                          <w:sz w:val="22"/>
                        </w:rPr>
                      </m:ctrlPr>
                    </m:sSubPr>
                    <m:e>
                      <m:r>
                        <w:rPr>
                          <w:rFonts w:ascii="Cambria Math" w:hAnsi="Cambria Math"/>
                          <w:sz w:val="22"/>
                        </w:rPr>
                        <m:t>RPP</m:t>
                      </m:r>
                    </m:e>
                    <m:sub>
                      <m:r>
                        <w:rPr>
                          <w:rFonts w:ascii="Cambria Math" w:hAnsi="Cambria Math"/>
                          <w:sz w:val="22"/>
                        </w:rPr>
                        <m:t>i</m:t>
                      </m:r>
                    </m:sub>
                  </m:sSub>
                  <m:r>
                    <w:rPr>
                      <w:rFonts w:ascii="Cambria Math" w:hAnsi="Cambria Math"/>
                      <w:sz w:val="22"/>
                    </w:rPr>
                    <m:t>)</m:t>
                  </m:r>
                  <m:r>
                    <w:rPr>
                      <w:rFonts w:ascii="Cambria Math"/>
                      <w:sz w:val="22"/>
                    </w:rPr>
                    <m:t>*</m:t>
                  </m:r>
                  <m:sSub>
                    <m:sSubPr>
                      <m:ctrlPr>
                        <w:rPr>
                          <w:rFonts w:ascii="Cambria Math" w:hAnsi="Cambria Math"/>
                          <w:i/>
                          <w:sz w:val="22"/>
                        </w:rPr>
                      </m:ctrlPr>
                    </m:sSubPr>
                    <m:e>
                      <m:r>
                        <w:rPr>
                          <w:rFonts w:ascii="Cambria Math" w:hAnsi="Cambria Math"/>
                          <w:sz w:val="22"/>
                        </w:rPr>
                        <m:t>Psn</m:t>
                      </m:r>
                    </m:e>
                    <m:sub>
                      <m:r>
                        <w:rPr>
                          <w:rFonts w:ascii="Cambria Math" w:hAnsi="Cambria Math"/>
                          <w:sz w:val="22"/>
                        </w:rPr>
                        <m:t>j</m:t>
                      </m:r>
                    </m:sub>
                  </m:sSub>
                </m:e>
              </m:d>
            </m:e>
          </m:nary>
        </m:oMath>
      </m:oMathPara>
    </w:p>
    <w:p w:rsidR="00EF4850" w:rsidRPr="004E6CFC" w:rsidRDefault="00EF4850" w:rsidP="00F43E69">
      <w:pPr>
        <w:keepNext/>
        <w:ind w:left="703" w:hanging="703"/>
        <w:rPr>
          <w:iCs/>
        </w:rPr>
      </w:pPr>
      <w:r w:rsidRPr="004E6CFC">
        <w:rPr>
          <w:iCs/>
        </w:rPr>
        <w:lastRenderedPageBreak/>
        <w:t>Donde:</w:t>
      </w:r>
    </w:p>
    <w:p w:rsidR="00EF4850" w:rsidRPr="004E6CFC" w:rsidRDefault="00EF4850" w:rsidP="00EF4850">
      <w:pPr>
        <w:spacing w:before="120"/>
        <w:ind w:left="1418" w:hanging="1418"/>
        <w:rPr>
          <w:i/>
          <w:iCs/>
        </w:rPr>
      </w:pPr>
      <w:r w:rsidRPr="004E6CFC">
        <w:rPr>
          <w:i/>
          <w:iCs/>
        </w:rPr>
        <w:t>CRIFO</w:t>
      </w:r>
      <w:r w:rsidRPr="004E6CFC">
        <w:rPr>
          <w:i/>
          <w:iCs/>
          <w:vertAlign w:val="subscript"/>
        </w:rPr>
        <w:t>j,n,l</w:t>
      </w:r>
      <w:r w:rsidRPr="004E6CFC">
        <w:t>:</w:t>
      </w:r>
      <w:r w:rsidRPr="004E6CFC">
        <w:tab/>
      </w:r>
      <w:r>
        <w:t xml:space="preserve">Valor </w:t>
      </w:r>
      <w:r w:rsidRPr="004E6CFC">
        <w:t xml:space="preserve">de los activos fuera de operación del OR </w:t>
      </w:r>
      <w:r w:rsidRPr="004E6CFC">
        <w:rPr>
          <w:i/>
        </w:rPr>
        <w:t>j</w:t>
      </w:r>
      <w:r w:rsidRPr="004E6CFC">
        <w:t xml:space="preserve"> en el nivel de tensión </w:t>
      </w:r>
      <w:r w:rsidRPr="004E6CFC">
        <w:rPr>
          <w:i/>
        </w:rPr>
        <w:t>n</w:t>
      </w:r>
      <w:r w:rsidRPr="004E6CFC">
        <w:t xml:space="preserve"> y la categoría de activos </w:t>
      </w:r>
      <w:r w:rsidRPr="004E6CFC">
        <w:rPr>
          <w:i/>
        </w:rPr>
        <w:t>l</w:t>
      </w:r>
      <w:r w:rsidRPr="004E6CFC">
        <w:t>.</w:t>
      </w:r>
    </w:p>
    <w:p w:rsidR="00EF4850" w:rsidRPr="004E6CFC" w:rsidRDefault="00EF4850" w:rsidP="00EF4850">
      <w:pPr>
        <w:ind w:left="1410" w:hanging="1410"/>
        <w:rPr>
          <w:i/>
          <w:iCs/>
        </w:rPr>
      </w:pPr>
      <w:r w:rsidRPr="004E6CFC">
        <w:rPr>
          <w:i/>
          <w:iCs/>
        </w:rPr>
        <w:t>FO</w:t>
      </w:r>
      <w:r w:rsidRPr="004E6CFC">
        <w:rPr>
          <w:i/>
          <w:iCs/>
          <w:vertAlign w:val="subscript"/>
        </w:rPr>
        <w:t>j,n,l</w:t>
      </w:r>
      <w:r w:rsidRPr="004E6CFC">
        <w:t>:</w:t>
      </w:r>
      <w:r w:rsidRPr="004E6CFC">
        <w:tab/>
        <w:t xml:space="preserve">Número de UC que salieron de operación durante el periodo enero de 2008 a la fecha de corte en el sistema del OR </w:t>
      </w:r>
      <w:r w:rsidRPr="004E6CFC">
        <w:rPr>
          <w:i/>
        </w:rPr>
        <w:t>j</w:t>
      </w:r>
      <w:r w:rsidRPr="004E6CFC">
        <w:t xml:space="preserve"> en el nivel de tensión </w:t>
      </w:r>
      <w:r w:rsidRPr="004E6CFC">
        <w:rPr>
          <w:i/>
        </w:rPr>
        <w:t>n</w:t>
      </w:r>
      <w:r w:rsidRPr="004E6CFC">
        <w:t xml:space="preserve"> y la categoría de activos </w:t>
      </w:r>
      <w:r w:rsidRPr="004E6CFC">
        <w:rPr>
          <w:i/>
        </w:rPr>
        <w:t>l</w:t>
      </w:r>
      <w:r w:rsidRPr="004E6CFC">
        <w:t>.</w:t>
      </w:r>
    </w:p>
    <w:p w:rsidR="00EF4850" w:rsidRPr="004E6CFC" w:rsidRDefault="00EF4850" w:rsidP="00EF4850">
      <w:pPr>
        <w:ind w:left="1410" w:hanging="1410"/>
      </w:pPr>
      <w:r w:rsidRPr="004E6CFC">
        <w:rPr>
          <w:i/>
          <w:iCs/>
        </w:rPr>
        <w:t>CR</w:t>
      </w:r>
      <w:r w:rsidRPr="004E6CFC">
        <w:rPr>
          <w:i/>
          <w:iCs/>
          <w:vertAlign w:val="subscript"/>
        </w:rPr>
        <w:t>i</w:t>
      </w:r>
      <w:r w:rsidRPr="004E6CFC">
        <w:t>:</w:t>
      </w:r>
      <w:r w:rsidRPr="004E6CFC">
        <w:tab/>
        <w:t xml:space="preserve">Valor de la UC </w:t>
      </w:r>
      <w:r w:rsidRPr="004E6CFC">
        <w:rPr>
          <w:i/>
          <w:iCs/>
        </w:rPr>
        <w:t>i</w:t>
      </w:r>
      <w:r w:rsidRPr="004E6CFC">
        <w:t xml:space="preserve"> definido en el capítulo </w:t>
      </w:r>
      <w:r w:rsidRPr="004E6CFC">
        <w:fldChar w:fldCharType="begin"/>
      </w:r>
      <w:r w:rsidRPr="004E6CFC">
        <w:instrText xml:space="preserve"> REF _Ref476818651 \r \h \t  \* MERGEFORMAT </w:instrText>
      </w:r>
      <w:r w:rsidRPr="004E6CFC">
        <w:fldChar w:fldCharType="separate"/>
      </w:r>
      <w:r w:rsidR="00737178">
        <w:t>15</w:t>
      </w:r>
      <w:r w:rsidRPr="004E6CFC">
        <w:fldChar w:fldCharType="end"/>
      </w:r>
      <w:r w:rsidRPr="004E6CFC">
        <w:t>.</w:t>
      </w:r>
    </w:p>
    <w:p w:rsidR="00EF4850" w:rsidRPr="004E6CFC" w:rsidRDefault="00EF4850" w:rsidP="00EF4850">
      <w:pPr>
        <w:tabs>
          <w:tab w:val="left" w:pos="1418"/>
        </w:tabs>
        <w:spacing w:before="120"/>
        <w:ind w:left="1418" w:hanging="1418"/>
        <w:rPr>
          <w:i/>
          <w:iCs/>
        </w:rPr>
      </w:pPr>
      <w:r w:rsidRPr="004E6CFC">
        <w:rPr>
          <w:i/>
          <w:iCs/>
        </w:rPr>
        <w:t>PU</w:t>
      </w:r>
      <w:r w:rsidRPr="004E6CFC">
        <w:rPr>
          <w:i/>
          <w:iCs/>
          <w:vertAlign w:val="subscript"/>
        </w:rPr>
        <w:t>j,i</w:t>
      </w:r>
      <w:r w:rsidRPr="004E6CFC">
        <w:rPr>
          <w:i/>
          <w:iCs/>
        </w:rPr>
        <w:t>:</w:t>
      </w:r>
      <w:r w:rsidRPr="004E6CFC">
        <w:tab/>
        <w:t xml:space="preserve">Fracción del costo de la UC </w:t>
      </w:r>
      <w:r w:rsidRPr="004E6CFC">
        <w:rPr>
          <w:i/>
          <w:iCs/>
        </w:rPr>
        <w:t>i</w:t>
      </w:r>
      <w:r w:rsidRPr="004E6CFC">
        <w:t xml:space="preserve"> del OR </w:t>
      </w:r>
      <w:r w:rsidRPr="004E6CFC">
        <w:rPr>
          <w:i/>
        </w:rPr>
        <w:t>j</w:t>
      </w:r>
      <w:r w:rsidRPr="004E6CFC">
        <w:t xml:space="preserve"> que es</w:t>
      </w:r>
      <w:r w:rsidRPr="004E6CFC">
        <w:rPr>
          <w:i/>
        </w:rPr>
        <w:t xml:space="preserve"> </w:t>
      </w:r>
      <w:r w:rsidRPr="004E6CFC">
        <w:t>remunerada vía cargos por uso.</w:t>
      </w:r>
      <w:r w:rsidRPr="004E6CFC" w:rsidDel="00440C55">
        <w:rPr>
          <w:i/>
          <w:iCs/>
        </w:rPr>
        <w:t xml:space="preserve"> </w:t>
      </w:r>
    </w:p>
    <w:p w:rsidR="00EF4850" w:rsidRDefault="00EF4850" w:rsidP="00EF4850">
      <w:pPr>
        <w:tabs>
          <w:tab w:val="left" w:pos="1418"/>
        </w:tabs>
        <w:spacing w:before="120"/>
        <w:ind w:left="1418" w:hanging="1418"/>
        <w:rPr>
          <w:i/>
          <w:iCs/>
        </w:rPr>
      </w:pPr>
      <w:r w:rsidRPr="004E6CFC">
        <w:rPr>
          <w:i/>
          <w:iCs/>
        </w:rPr>
        <w:t>FU</w:t>
      </w:r>
      <w:r w:rsidRPr="004E6CFC">
        <w:rPr>
          <w:i/>
          <w:iCs/>
          <w:vertAlign w:val="subscript"/>
        </w:rPr>
        <w:t>i</w:t>
      </w:r>
      <w:r w:rsidRPr="004E6CFC">
        <w:rPr>
          <w:i/>
          <w:iCs/>
        </w:rPr>
        <w:t>:</w:t>
      </w:r>
      <w:r w:rsidRPr="004E6CFC">
        <w:rPr>
          <w:i/>
          <w:iCs/>
        </w:rPr>
        <w:tab/>
      </w:r>
      <w:r w:rsidRPr="004E6CFC">
        <w:t xml:space="preserve">Fracción del costo de la UC </w:t>
      </w:r>
      <w:r w:rsidRPr="004E6CFC">
        <w:rPr>
          <w:i/>
          <w:iCs/>
        </w:rPr>
        <w:t>i</w:t>
      </w:r>
      <w:r w:rsidRPr="004E6CFC">
        <w:t xml:space="preserve"> que </w:t>
      </w:r>
      <w:r w:rsidR="009A559F">
        <w:t>salió</w:t>
      </w:r>
      <w:r>
        <w:t xml:space="preserve"> de operación </w:t>
      </w:r>
      <w:r w:rsidRPr="004E6CFC">
        <w:t>por reposiciones parciales de la UC. Este valor se calcula como el peso relativo del valor reconocido del elemento o los elementos reemplazados respecto al valor total de la UC.</w:t>
      </w:r>
      <w:r w:rsidRPr="004E6CFC" w:rsidDel="00440C55">
        <w:rPr>
          <w:i/>
          <w:iCs/>
        </w:rPr>
        <w:t xml:space="preserve"> </w:t>
      </w:r>
      <w:r w:rsidR="00F13040">
        <w:rPr>
          <w:iCs/>
        </w:rPr>
        <w:t>La Comisión publicará en c</w:t>
      </w:r>
      <w:r>
        <w:rPr>
          <w:iCs/>
        </w:rPr>
        <w:t>ircular aparte el peso relativo de cada componente de las UC.</w:t>
      </w:r>
    </w:p>
    <w:p w:rsidR="00EF4850" w:rsidRPr="004E6CFC" w:rsidRDefault="00EF4850" w:rsidP="00EF4850">
      <w:pPr>
        <w:tabs>
          <w:tab w:val="left" w:pos="1418"/>
        </w:tabs>
        <w:spacing w:before="120"/>
        <w:ind w:left="1418" w:hanging="1418"/>
      </w:pPr>
      <w:r w:rsidRPr="004E6CFC">
        <w:rPr>
          <w:i/>
          <w:iCs/>
        </w:rPr>
        <w:t>RPP</w:t>
      </w:r>
      <w:r w:rsidRPr="004E6CFC">
        <w:rPr>
          <w:i/>
          <w:iCs/>
          <w:vertAlign w:val="subscript"/>
        </w:rPr>
        <w:t>i</w:t>
      </w:r>
      <w:r w:rsidRPr="004E6CFC">
        <w:rPr>
          <w:i/>
          <w:iCs/>
        </w:rPr>
        <w:t>:</w:t>
      </w:r>
      <w:r w:rsidRPr="004E6CFC">
        <w:tab/>
        <w:t xml:space="preserve">Fracción del costo de la UC </w:t>
      </w:r>
      <w:r w:rsidRPr="004E6CFC">
        <w:rPr>
          <w:i/>
          <w:iCs/>
        </w:rPr>
        <w:t>i</w:t>
      </w:r>
      <w:r w:rsidRPr="004E6CFC">
        <w:t xml:space="preserve"> que es</w:t>
      </w:r>
      <w:r w:rsidRPr="004E6CFC">
        <w:rPr>
          <w:i/>
        </w:rPr>
        <w:t xml:space="preserve"> </w:t>
      </w:r>
      <w:r w:rsidRPr="004E6CFC">
        <w:t>remunerada vía cargos por uso que no se debe incluir en el cálculo de la tarifa.</w:t>
      </w:r>
    </w:p>
    <w:p w:rsidR="00EF4850" w:rsidRPr="004E6CFC" w:rsidRDefault="00EF4850" w:rsidP="00EF4850">
      <w:pPr>
        <w:tabs>
          <w:tab w:val="left" w:pos="1418"/>
        </w:tabs>
        <w:spacing w:before="120"/>
        <w:ind w:left="1418" w:hanging="1418"/>
      </w:pPr>
      <w:r w:rsidRPr="004E6CFC">
        <w:rPr>
          <w:i/>
          <w:iCs/>
        </w:rPr>
        <w:t>SNFO</w:t>
      </w:r>
      <w:r w:rsidRPr="004E6CFC">
        <w:rPr>
          <w:i/>
          <w:iCs/>
          <w:vertAlign w:val="subscript"/>
        </w:rPr>
        <w:t>j,l</w:t>
      </w:r>
      <w:r w:rsidRPr="004E6CFC">
        <w:rPr>
          <w:i/>
          <w:iCs/>
        </w:rPr>
        <w:t>:</w:t>
      </w:r>
      <w:r w:rsidRPr="004E6CFC">
        <w:rPr>
          <w:i/>
          <w:iCs/>
        </w:rPr>
        <w:tab/>
      </w:r>
      <w:r w:rsidRPr="004E6CFC">
        <w:t xml:space="preserve">Número de UC sin nivel de tensión que salieron de operación en el periodo enero de 2008 a la fecha de corte en el sistema del OR </w:t>
      </w:r>
      <w:r w:rsidRPr="004E6CFC">
        <w:rPr>
          <w:i/>
        </w:rPr>
        <w:t>j</w:t>
      </w:r>
      <w:r w:rsidRPr="004E6CFC">
        <w:t xml:space="preserve"> para y la categoría de activos </w:t>
      </w:r>
      <w:r w:rsidRPr="004E6CFC">
        <w:rPr>
          <w:i/>
        </w:rPr>
        <w:t>l</w:t>
      </w:r>
      <w:r w:rsidRPr="004E6CFC">
        <w:t xml:space="preserve">. </w:t>
      </w:r>
    </w:p>
    <w:p w:rsidR="00EF4850" w:rsidRPr="004E6CFC" w:rsidRDefault="00EF4850" w:rsidP="00EF4850">
      <w:pPr>
        <w:tabs>
          <w:tab w:val="left" w:pos="1418"/>
        </w:tabs>
        <w:spacing w:before="120"/>
        <w:ind w:left="1418" w:hanging="1418"/>
        <w:rPr>
          <w:iCs/>
        </w:rPr>
      </w:pPr>
      <w:r w:rsidRPr="004E6CFC">
        <w:rPr>
          <w:i/>
          <w:iCs/>
        </w:rPr>
        <w:t>Psn</w:t>
      </w:r>
      <w:r w:rsidRPr="004E6CFC">
        <w:rPr>
          <w:i/>
          <w:iCs/>
          <w:vertAlign w:val="subscript"/>
        </w:rPr>
        <w:t>j</w:t>
      </w:r>
      <w:r w:rsidRPr="004E6CFC">
        <w:rPr>
          <w:i/>
          <w:iCs/>
        </w:rPr>
        <w:t>:</w:t>
      </w:r>
      <w:r w:rsidRPr="004E6CFC">
        <w:rPr>
          <w:i/>
          <w:iCs/>
        </w:rPr>
        <w:tab/>
      </w:r>
      <w:r w:rsidRPr="004E6CFC">
        <w:rPr>
          <w:iCs/>
        </w:rPr>
        <w:t xml:space="preserve">Variable de asignación de las UC sin nivel de tensión. Para OR con cuatro niveles de tensión es igual a 1/3, para OR con tres niveles de tensión es igual a 1/2 y para OR con dos niveles de tensión es igual a 1. </w:t>
      </w:r>
    </w:p>
    <w:p w:rsidR="00EF4850" w:rsidRPr="004E6CFC" w:rsidRDefault="00EF4850" w:rsidP="00EF4850">
      <w:r w:rsidRPr="004E6CFC">
        <w:t>Para las UC de transformadores tridevanados y sus bahías asociadas se deben considerar los criterios de clasificación por nivel de tensión establecidas en la Resolución CREG 097 de 2008.</w:t>
      </w:r>
    </w:p>
    <w:p w:rsidR="00EF4850" w:rsidRPr="004E6CFC" w:rsidRDefault="00EF4850" w:rsidP="00EF4850">
      <w:r w:rsidRPr="004E6CFC">
        <w:t xml:space="preserve">El OR debe </w:t>
      </w:r>
      <w:r>
        <w:t>reportarlas UC</w:t>
      </w:r>
      <w:r w:rsidR="009A559F">
        <w:t xml:space="preserve"> </w:t>
      </w:r>
      <w:r w:rsidRPr="004E6CFC">
        <w:t>del listado de UC reconocidas en la aprobación de cargos de la Resolución CREG 097 de 2008</w:t>
      </w:r>
      <w:r>
        <w:t xml:space="preserve"> que salieron de operación</w:t>
      </w:r>
      <w:r w:rsidRPr="004E6CFC">
        <w:t xml:space="preserve">. </w:t>
      </w:r>
    </w:p>
    <w:p w:rsidR="00EF4850" w:rsidRPr="004E6CFC" w:rsidRDefault="00EF4850" w:rsidP="00EF4850">
      <w:r w:rsidRPr="004E6CFC">
        <w:t xml:space="preserve">Para determinar el </w:t>
      </w:r>
      <w:r>
        <w:t xml:space="preserve">valor de la inversión </w:t>
      </w:r>
      <w:r w:rsidRPr="004E6CFC">
        <w:t xml:space="preserve">por categoría de activos se deben clasificar dichas unidades constructivas en las categorías definidas en el numeral </w:t>
      </w:r>
      <w:r w:rsidRPr="004E6CFC">
        <w:fldChar w:fldCharType="begin"/>
      </w:r>
      <w:r w:rsidRPr="004E6CFC">
        <w:instrText xml:space="preserve"> REF _Ref450291254 \r \h  \* MERGEFORMAT </w:instrText>
      </w:r>
      <w:r w:rsidRPr="004E6CFC">
        <w:fldChar w:fldCharType="separate"/>
      </w:r>
      <w:r w:rsidR="00737178">
        <w:t>15.2</w:t>
      </w:r>
      <w:r w:rsidRPr="004E6CFC">
        <w:fldChar w:fldCharType="end"/>
      </w:r>
      <w:r w:rsidRPr="004E6CFC">
        <w:t>.</w:t>
      </w:r>
    </w:p>
    <w:p w:rsidR="00EF4850" w:rsidRPr="004E6CFC" w:rsidRDefault="00EF4850" w:rsidP="009C086B">
      <w:pPr>
        <w:pStyle w:val="Prrafodelista"/>
        <w:numPr>
          <w:ilvl w:val="0"/>
          <w:numId w:val="76"/>
        </w:numPr>
        <w:rPr>
          <w:b/>
        </w:rPr>
      </w:pPr>
      <w:r w:rsidRPr="004E6CFC">
        <w:rPr>
          <w:b/>
        </w:rPr>
        <w:t>Nivel de tensión 1</w:t>
      </w:r>
    </w:p>
    <w:p w:rsidR="00EF4850" w:rsidRPr="004E6CFC" w:rsidRDefault="00EF4850" w:rsidP="00EF4850">
      <w:r>
        <w:t>E</w:t>
      </w:r>
      <w:r w:rsidRPr="004E6CFC">
        <w:t>l valor de los activos que salieron de operación en el periodo enero de 2008 a la fecha de corte se calcula de la siguiente manera:</w:t>
      </w:r>
    </w:p>
    <w:p w:rsidR="00EF4850" w:rsidRPr="004E6CFC" w:rsidRDefault="00C9592F" w:rsidP="00EF4850">
      <m:oMathPara>
        <m:oMath>
          <m:sSub>
            <m:sSubPr>
              <m:ctrlPr>
                <w:rPr>
                  <w:rFonts w:ascii="Cambria Math" w:hAnsi="Cambria Math"/>
                  <w:i/>
                </w:rPr>
              </m:ctrlPr>
            </m:sSubPr>
            <m:e>
              <m:r>
                <w:rPr>
                  <w:rFonts w:ascii="Cambria Math" w:hAnsi="Cambria Math"/>
                </w:rPr>
                <m:t>CRIFO</m:t>
              </m:r>
            </m:e>
            <m:sub>
              <m:r>
                <w:rPr>
                  <w:rFonts w:ascii="Cambria Math" w:hAnsi="Cambria Math"/>
                </w:rPr>
                <m:t>j</m:t>
              </m:r>
              <m:r>
                <w:rPr>
                  <w:rFonts w:ascii="Cambria Math"/>
                </w:rPr>
                <m:t>,1,l</m:t>
              </m:r>
            </m:sub>
          </m:sSub>
          <m:r>
            <w:rPr>
              <w:rFonts w:ascii="Cambria Math"/>
            </w:rPr>
            <m:t>=</m:t>
          </m:r>
          <m:sSub>
            <m:sSubPr>
              <m:ctrlPr>
                <w:rPr>
                  <w:rFonts w:ascii="Cambria Math" w:hAnsi="Cambria Math"/>
                </w:rPr>
              </m:ctrlPr>
            </m:sSubPr>
            <m:e>
              <m:r>
                <w:rPr>
                  <w:rFonts w:ascii="Cambria Math" w:hAnsi="Cambria Math"/>
                </w:rPr>
                <m:t>NTFO</m:t>
              </m:r>
            </m:e>
            <m:sub>
              <m:r>
                <w:rPr>
                  <w:rFonts w:ascii="Cambria Math" w:hAnsi="Cambria Math"/>
                </w:rPr>
                <m:t>j,1,l</m:t>
              </m:r>
            </m:sub>
          </m:sSub>
          <m:r>
            <w:rPr>
              <w:rFonts w:ascii="Cambria Math" w:hAnsi="Cambria Math"/>
            </w:rPr>
            <m:t>*</m:t>
          </m:r>
          <m:sSub>
            <m:sSubPr>
              <m:ctrlPr>
                <w:rPr>
                  <w:rFonts w:ascii="Cambria Math" w:hAnsi="Cambria Math"/>
                </w:rPr>
              </m:ctrlPr>
            </m:sSubPr>
            <m:e>
              <m:r>
                <w:rPr>
                  <w:rFonts w:ascii="Cambria Math" w:hAnsi="Cambria Math"/>
                </w:rPr>
                <m:t>CMTD</m:t>
              </m:r>
            </m:e>
            <m:sub>
              <m:r>
                <w:rPr>
                  <w:rFonts w:ascii="Cambria Math" w:hAnsi="Cambria Math"/>
                </w:rPr>
                <m:t>j</m:t>
              </m:r>
            </m:sub>
          </m:sSub>
          <m:r>
            <w:rPr>
              <w:rFonts w:ascii="Cambria Math" w:hAnsi="Cambria Math"/>
            </w:rPr>
            <m:t>+</m:t>
          </m:r>
          <m:sSub>
            <m:sSubPr>
              <m:ctrlPr>
                <w:rPr>
                  <w:rFonts w:ascii="Cambria Math" w:hAnsi="Cambria Math"/>
                </w:rPr>
              </m:ctrlPr>
            </m:sSubPr>
            <m:e>
              <m:r>
                <w:rPr>
                  <w:rFonts w:ascii="Cambria Math" w:hAnsi="Cambria Math"/>
                </w:rPr>
                <m:t>NRFO</m:t>
              </m:r>
            </m:e>
            <m:sub>
              <m:r>
                <w:rPr>
                  <w:rFonts w:ascii="Cambria Math" w:hAnsi="Cambria Math"/>
                </w:rPr>
                <m:t>j,1,l</m:t>
              </m:r>
            </m:sub>
          </m:sSub>
          <m:r>
            <w:rPr>
              <w:rFonts w:ascii="Cambria Math" w:hAnsi="Cambria Math"/>
            </w:rPr>
            <m:t>*</m:t>
          </m:r>
          <m:sSub>
            <m:sSubPr>
              <m:ctrlPr>
                <w:rPr>
                  <w:rFonts w:ascii="Cambria Math" w:hAnsi="Cambria Math"/>
                </w:rPr>
              </m:ctrlPr>
            </m:sSubPr>
            <m:e>
              <m:r>
                <w:rPr>
                  <w:rFonts w:ascii="Cambria Math" w:hAnsi="Cambria Math"/>
                </w:rPr>
                <m:t>CMRD</m:t>
              </m:r>
            </m:e>
            <m:sub>
              <m:r>
                <w:rPr>
                  <w:rFonts w:ascii="Cambria Math" w:hAnsi="Cambria Math"/>
                </w:rPr>
                <m:t>j</m:t>
              </m:r>
            </m:sub>
          </m:sSub>
        </m:oMath>
      </m:oMathPara>
    </w:p>
    <w:p w:rsidR="00EF4850" w:rsidRPr="004E6CFC" w:rsidRDefault="00EF4850" w:rsidP="00EF4850">
      <w:pPr>
        <w:ind w:left="702" w:hanging="702"/>
        <w:rPr>
          <w:iCs/>
        </w:rPr>
      </w:pPr>
      <w:r w:rsidRPr="004E6CFC">
        <w:rPr>
          <w:iCs/>
        </w:rPr>
        <w:t>Donde:</w:t>
      </w:r>
    </w:p>
    <w:p w:rsidR="00EF4850" w:rsidRPr="004E6CFC" w:rsidRDefault="00EF4850" w:rsidP="00EF4850">
      <w:pPr>
        <w:spacing w:before="120"/>
        <w:ind w:left="1418" w:hanging="1418"/>
        <w:rPr>
          <w:i/>
          <w:iCs/>
        </w:rPr>
      </w:pPr>
      <w:r w:rsidRPr="004E6CFC">
        <w:rPr>
          <w:i/>
          <w:iCs/>
        </w:rPr>
        <w:t>CRIFO</w:t>
      </w:r>
      <w:r w:rsidRPr="004E6CFC">
        <w:rPr>
          <w:i/>
          <w:iCs/>
          <w:vertAlign w:val="subscript"/>
        </w:rPr>
        <w:t>j,1,l</w:t>
      </w:r>
      <w:r w:rsidRPr="004E6CFC">
        <w:t>:</w:t>
      </w:r>
      <w:r w:rsidRPr="004E6CFC">
        <w:tab/>
      </w:r>
      <w:r>
        <w:t xml:space="preserve">Valor </w:t>
      </w:r>
      <w:r w:rsidRPr="004E6CFC">
        <w:t xml:space="preserve">de los activos fuera de operación del OR </w:t>
      </w:r>
      <w:r w:rsidRPr="004E6CFC">
        <w:rPr>
          <w:i/>
        </w:rPr>
        <w:t>j</w:t>
      </w:r>
      <w:r w:rsidRPr="004E6CFC">
        <w:t xml:space="preserve"> en el nivel de tensión </w:t>
      </w:r>
      <w:r w:rsidRPr="004E6CFC">
        <w:rPr>
          <w:i/>
        </w:rPr>
        <w:t>1</w:t>
      </w:r>
      <w:r w:rsidRPr="004E6CFC">
        <w:t xml:space="preserve"> y la categoría de activos </w:t>
      </w:r>
      <w:r w:rsidRPr="004E6CFC">
        <w:rPr>
          <w:i/>
        </w:rPr>
        <w:t>l</w:t>
      </w:r>
      <w:r w:rsidRPr="004E6CFC">
        <w:t>.</w:t>
      </w:r>
    </w:p>
    <w:p w:rsidR="00EF4850" w:rsidRPr="004E6CFC" w:rsidRDefault="00EF4850" w:rsidP="00EF4850">
      <w:pPr>
        <w:numPr>
          <w:ilvl w:val="12"/>
          <w:numId w:val="0"/>
        </w:numPr>
        <w:suppressAutoHyphens/>
        <w:spacing w:before="120"/>
        <w:ind w:left="1418" w:hanging="1418"/>
      </w:pPr>
      <w:r w:rsidRPr="004E6CFC">
        <w:rPr>
          <w:i/>
        </w:rPr>
        <w:lastRenderedPageBreak/>
        <w:t>NTFO</w:t>
      </w:r>
      <w:r w:rsidRPr="004E6CFC">
        <w:rPr>
          <w:i/>
          <w:vertAlign w:val="subscript"/>
        </w:rPr>
        <w:t>j,1,l</w:t>
      </w:r>
      <w:r w:rsidRPr="004E6CFC">
        <w:t>:</w:t>
      </w:r>
      <w:r w:rsidRPr="004E6CFC">
        <w:tab/>
        <w:t xml:space="preserve">Numero de transformadores de distribución fuera de operación en el periodo 2008 a la fecha de corte del OR </w:t>
      </w:r>
      <w:r w:rsidRPr="004E6CFC">
        <w:rPr>
          <w:i/>
        </w:rPr>
        <w:t>j</w:t>
      </w:r>
      <w:r w:rsidRPr="004E6CFC">
        <w:t xml:space="preserve"> en el nivel de tensión </w:t>
      </w:r>
      <w:r w:rsidRPr="004E6CFC">
        <w:rPr>
          <w:i/>
        </w:rPr>
        <w:t>1</w:t>
      </w:r>
      <w:r w:rsidRPr="004E6CFC">
        <w:t xml:space="preserve"> y la categoría </w:t>
      </w:r>
      <w:r w:rsidRPr="004E6CFC">
        <w:rPr>
          <w:i/>
        </w:rPr>
        <w:t>l</w:t>
      </w:r>
      <w:r w:rsidRPr="004E6CFC">
        <w:t xml:space="preserve"> = 11.</w:t>
      </w:r>
    </w:p>
    <w:p w:rsidR="00EF4850" w:rsidRPr="004E6CFC" w:rsidRDefault="00EF4850" w:rsidP="00EF4850">
      <w:pPr>
        <w:numPr>
          <w:ilvl w:val="12"/>
          <w:numId w:val="0"/>
        </w:numPr>
        <w:suppressAutoHyphens/>
        <w:spacing w:before="120"/>
        <w:ind w:left="1418" w:hanging="1418"/>
        <w:rPr>
          <w:i/>
        </w:rPr>
      </w:pPr>
      <w:r w:rsidRPr="004E6CFC">
        <w:rPr>
          <w:i/>
        </w:rPr>
        <w:t>CMTD</w:t>
      </w:r>
      <w:r w:rsidRPr="004E6CFC">
        <w:rPr>
          <w:i/>
          <w:vertAlign w:val="subscript"/>
        </w:rPr>
        <w:t>j</w:t>
      </w:r>
      <w:r w:rsidRPr="004E6CFC">
        <w:rPr>
          <w:i/>
        </w:rPr>
        <w:t>:</w:t>
      </w:r>
      <w:r w:rsidRPr="004E6CFC">
        <w:tab/>
        <w:t xml:space="preserve">Costo medio de transformadores del OR </w:t>
      </w:r>
      <w:r w:rsidRPr="004E6CFC">
        <w:rPr>
          <w:i/>
        </w:rPr>
        <w:t>j</w:t>
      </w:r>
      <w:r w:rsidRPr="004E6CFC">
        <w:t xml:space="preserve">,  según lo establecido en el </w:t>
      </w:r>
      <w:r w:rsidR="005D682B">
        <w:t xml:space="preserve">literal </w:t>
      </w:r>
      <w:r w:rsidR="005D682B">
        <w:fldChar w:fldCharType="begin"/>
      </w:r>
      <w:r w:rsidR="005D682B">
        <w:instrText xml:space="preserve"> REF _Ref460420580 \r \h </w:instrText>
      </w:r>
      <w:r w:rsidR="005D682B">
        <w:fldChar w:fldCharType="separate"/>
      </w:r>
      <w:r w:rsidR="00737178">
        <w:t>b</w:t>
      </w:r>
      <w:r w:rsidR="005D682B">
        <w:fldChar w:fldCharType="end"/>
      </w:r>
      <w:r w:rsidR="005D682B">
        <w:t xml:space="preserve"> del </w:t>
      </w:r>
      <w:r w:rsidRPr="004E6CFC">
        <w:t xml:space="preserve">numeral </w:t>
      </w:r>
      <w:r w:rsidRPr="004E6CFC">
        <w:fldChar w:fldCharType="begin"/>
      </w:r>
      <w:r w:rsidRPr="004E6CFC">
        <w:instrText xml:space="preserve"> REF _Ref460419342 \r \h  \* MERGEFORMAT </w:instrText>
      </w:r>
      <w:r w:rsidRPr="004E6CFC">
        <w:fldChar w:fldCharType="separate"/>
      </w:r>
      <w:r w:rsidR="00737178">
        <w:t>3.1.1.1.1.6</w:t>
      </w:r>
      <w:r w:rsidRPr="004E6CFC">
        <w:fldChar w:fldCharType="end"/>
      </w:r>
      <w:r w:rsidRPr="004E6CFC">
        <w:t>.</w:t>
      </w:r>
    </w:p>
    <w:p w:rsidR="00EF4850" w:rsidRPr="004E6CFC" w:rsidRDefault="00EF4850" w:rsidP="00EF4850">
      <w:pPr>
        <w:numPr>
          <w:ilvl w:val="12"/>
          <w:numId w:val="0"/>
        </w:numPr>
        <w:suppressAutoHyphens/>
        <w:spacing w:before="120"/>
        <w:ind w:left="1418" w:hanging="1418"/>
      </w:pPr>
      <w:r w:rsidRPr="004E6CFC">
        <w:rPr>
          <w:i/>
        </w:rPr>
        <w:t>NRFO</w:t>
      </w:r>
      <w:r w:rsidRPr="004E6CFC">
        <w:rPr>
          <w:i/>
          <w:vertAlign w:val="subscript"/>
        </w:rPr>
        <w:t>j,1,l</w:t>
      </w:r>
      <w:r w:rsidRPr="004E6CFC">
        <w:t>:</w:t>
      </w:r>
      <w:r w:rsidRPr="004E6CFC">
        <w:tab/>
        <w:t xml:space="preserve">Numero de redes de distribución fuera de operación en el periodo 2008 a la fecha de corte del OR </w:t>
      </w:r>
      <w:r w:rsidRPr="004E6CFC">
        <w:rPr>
          <w:i/>
        </w:rPr>
        <w:t>j</w:t>
      </w:r>
      <w:r w:rsidRPr="004E6CFC">
        <w:t xml:space="preserve"> en el nivel de tensión </w:t>
      </w:r>
      <w:r w:rsidRPr="004E6CFC">
        <w:rPr>
          <w:i/>
        </w:rPr>
        <w:t>1</w:t>
      </w:r>
      <w:r w:rsidRPr="004E6CFC">
        <w:t xml:space="preserve"> y la categoría </w:t>
      </w:r>
      <w:r w:rsidRPr="004E6CFC">
        <w:rPr>
          <w:i/>
        </w:rPr>
        <w:t>l</w:t>
      </w:r>
      <w:r w:rsidRPr="004E6CFC">
        <w:t xml:space="preserve"> = 12.</w:t>
      </w:r>
    </w:p>
    <w:p w:rsidR="00EF4850" w:rsidRDefault="00EF4850" w:rsidP="00EF4850">
      <w:pPr>
        <w:numPr>
          <w:ilvl w:val="12"/>
          <w:numId w:val="0"/>
        </w:numPr>
        <w:suppressAutoHyphens/>
        <w:spacing w:before="120"/>
        <w:ind w:left="1418" w:hanging="1418"/>
      </w:pPr>
      <w:r w:rsidRPr="004E6CFC">
        <w:rPr>
          <w:i/>
        </w:rPr>
        <w:t>CMRD</w:t>
      </w:r>
      <w:r w:rsidRPr="004E6CFC">
        <w:rPr>
          <w:i/>
          <w:vertAlign w:val="subscript"/>
        </w:rPr>
        <w:t>j</w:t>
      </w:r>
      <w:r w:rsidRPr="004E6CFC">
        <w:rPr>
          <w:i/>
        </w:rPr>
        <w:t>:</w:t>
      </w:r>
      <w:r w:rsidRPr="004E6CFC">
        <w:tab/>
        <w:t xml:space="preserve">Costo medio de redes de distribución del OR </w:t>
      </w:r>
      <w:r w:rsidRPr="004E6CFC">
        <w:rPr>
          <w:i/>
        </w:rPr>
        <w:t>j</w:t>
      </w:r>
      <w:r w:rsidRPr="004E6CFC">
        <w:t>, según lo establecido en el</w:t>
      </w:r>
      <w:r w:rsidR="005D682B">
        <w:t xml:space="preserve"> literal </w:t>
      </w:r>
      <w:r w:rsidR="005D682B">
        <w:fldChar w:fldCharType="begin"/>
      </w:r>
      <w:r w:rsidR="005D682B">
        <w:instrText xml:space="preserve"> REF _Ref460420580 \r \h </w:instrText>
      </w:r>
      <w:r w:rsidR="005D682B">
        <w:fldChar w:fldCharType="separate"/>
      </w:r>
      <w:r w:rsidR="00737178">
        <w:t>b</w:t>
      </w:r>
      <w:r w:rsidR="005D682B">
        <w:fldChar w:fldCharType="end"/>
      </w:r>
      <w:r w:rsidR="005D682B">
        <w:t xml:space="preserve"> del </w:t>
      </w:r>
      <w:r w:rsidRPr="004E6CFC">
        <w:t xml:space="preserve">numeral </w:t>
      </w:r>
      <w:r w:rsidRPr="004E6CFC">
        <w:fldChar w:fldCharType="begin"/>
      </w:r>
      <w:r w:rsidRPr="004E6CFC">
        <w:instrText xml:space="preserve"> REF _Ref460419342 \r \h  \* MERGEFORMAT </w:instrText>
      </w:r>
      <w:r w:rsidRPr="004E6CFC">
        <w:fldChar w:fldCharType="separate"/>
      </w:r>
      <w:r w:rsidR="00737178">
        <w:t>3.1.1.1.1.6</w:t>
      </w:r>
      <w:r w:rsidRPr="004E6CFC">
        <w:fldChar w:fldCharType="end"/>
      </w:r>
      <w:r w:rsidRPr="004E6CFC">
        <w:t>.</w:t>
      </w:r>
    </w:p>
    <w:p w:rsidR="00EF4850" w:rsidRPr="004E6CFC" w:rsidRDefault="00EF4850" w:rsidP="00EF4850">
      <w:pPr>
        <w:pStyle w:val="Ttulo5"/>
      </w:pPr>
      <w:bookmarkStart w:id="156" w:name="_Ref450641963"/>
      <w:bookmarkStart w:id="157" w:name="_Ref439948508"/>
      <w:r w:rsidRPr="004E6CFC">
        <w:t xml:space="preserve">Rangos de </w:t>
      </w:r>
      <w:r>
        <w:t xml:space="preserve">antigüedad de </w:t>
      </w:r>
      <w:r w:rsidRPr="004E6CFC">
        <w:t>activos</w:t>
      </w:r>
      <w:bookmarkEnd w:id="156"/>
    </w:p>
    <w:p w:rsidR="00EF4850" w:rsidRPr="004E6CFC" w:rsidRDefault="00EF4850" w:rsidP="00EF4850">
      <w:r w:rsidRPr="004E6CFC">
        <w:t xml:space="preserve">Para la definición de la base inicial de activos todas las UC </w:t>
      </w:r>
      <w:r>
        <w:t xml:space="preserve">de los niveles de tensión 2, 3 y 4 </w:t>
      </w:r>
      <w:r w:rsidRPr="004E6CFC">
        <w:t xml:space="preserve">y </w:t>
      </w:r>
      <w:r>
        <w:t xml:space="preserve">los transformadores y redes </w:t>
      </w:r>
      <w:r w:rsidRPr="004E6CFC">
        <w:t>de nivel de tensión 1 se deben clasificar en los rangos de antigüedad definidos en la siguiente tabla:</w:t>
      </w:r>
    </w:p>
    <w:p w:rsidR="00EF4850" w:rsidRPr="004E6CFC" w:rsidRDefault="00EF4850" w:rsidP="00EF4850">
      <w:pPr>
        <w:pStyle w:val="Descripcin"/>
      </w:pPr>
      <w:bookmarkStart w:id="158" w:name="_Ref456098336"/>
      <w:r w:rsidRPr="004E6CFC">
        <w:t xml:space="preserve">Tabla </w:t>
      </w:r>
      <w:r w:rsidRPr="004E6CFC">
        <w:fldChar w:fldCharType="begin"/>
      </w:r>
      <w:r w:rsidRPr="004E6CFC">
        <w:instrText xml:space="preserve"> SEQ Tabla \* ARABIC </w:instrText>
      </w:r>
      <w:r w:rsidRPr="004E6CFC">
        <w:fldChar w:fldCharType="separate"/>
      </w:r>
      <w:r w:rsidR="00737178">
        <w:rPr>
          <w:noProof/>
        </w:rPr>
        <w:t>1</w:t>
      </w:r>
      <w:r w:rsidRPr="004E6CFC">
        <w:fldChar w:fldCharType="end"/>
      </w:r>
      <w:bookmarkEnd w:id="158"/>
      <w:r w:rsidRPr="004E6CFC">
        <w:t xml:space="preserve"> Descripción de rangos de activos</w:t>
      </w:r>
    </w:p>
    <w:tbl>
      <w:tblPr>
        <w:tblW w:w="8642" w:type="dxa"/>
        <w:jc w:val="center"/>
        <w:tblCellMar>
          <w:left w:w="70" w:type="dxa"/>
          <w:right w:w="70" w:type="dxa"/>
        </w:tblCellMar>
        <w:tblLook w:val="04A0" w:firstRow="1" w:lastRow="0" w:firstColumn="1" w:lastColumn="0" w:noHBand="0" w:noVBand="1"/>
      </w:tblPr>
      <w:tblGrid>
        <w:gridCol w:w="1450"/>
        <w:gridCol w:w="4635"/>
        <w:gridCol w:w="2557"/>
      </w:tblGrid>
      <w:tr w:rsidR="00EF4850" w:rsidRPr="004E6CFC" w:rsidTr="00582E01">
        <w:trPr>
          <w:trHeight w:val="300"/>
          <w:tblHeader/>
          <w:jc w:val="center"/>
        </w:trPr>
        <w:tc>
          <w:tcPr>
            <w:tcW w:w="14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4850" w:rsidRPr="004E6CFC" w:rsidRDefault="00EF4850" w:rsidP="00582E01">
            <w:pPr>
              <w:spacing w:before="0" w:after="0"/>
              <w:jc w:val="center"/>
              <w:rPr>
                <w:rFonts w:cs="Arial"/>
                <w:b/>
                <w:color w:val="000000"/>
                <w:sz w:val="20"/>
                <w:szCs w:val="22"/>
                <w:lang w:eastAsia="es-CO"/>
              </w:rPr>
            </w:pPr>
            <w:r w:rsidRPr="004E6CFC">
              <w:rPr>
                <w:rFonts w:cs="Arial"/>
                <w:b/>
                <w:color w:val="000000"/>
                <w:sz w:val="20"/>
                <w:szCs w:val="22"/>
                <w:lang w:eastAsia="es-CO"/>
              </w:rPr>
              <w:t xml:space="preserve">RANGO </w:t>
            </w:r>
            <w:r w:rsidRPr="004E6CFC">
              <w:rPr>
                <w:rFonts w:cs="Arial"/>
                <w:b/>
                <w:i/>
                <w:color w:val="000000"/>
                <w:sz w:val="20"/>
                <w:szCs w:val="22"/>
                <w:lang w:eastAsia="es-CO"/>
              </w:rPr>
              <w:t>k</w:t>
            </w:r>
          </w:p>
        </w:tc>
        <w:tc>
          <w:tcPr>
            <w:tcW w:w="4635" w:type="dxa"/>
            <w:tcBorders>
              <w:top w:val="single" w:sz="4" w:space="0" w:color="auto"/>
              <w:left w:val="nil"/>
              <w:bottom w:val="single" w:sz="4" w:space="0" w:color="auto"/>
              <w:right w:val="single" w:sz="4" w:space="0" w:color="auto"/>
            </w:tcBorders>
            <w:shd w:val="clear" w:color="auto" w:fill="auto"/>
            <w:noWrap/>
            <w:vAlign w:val="center"/>
            <w:hideMark/>
          </w:tcPr>
          <w:p w:rsidR="00EF4850" w:rsidRPr="004E6CFC" w:rsidRDefault="00EF4850" w:rsidP="00582E01">
            <w:pPr>
              <w:spacing w:before="0" w:after="0"/>
              <w:jc w:val="center"/>
              <w:rPr>
                <w:rFonts w:cs="Arial"/>
                <w:b/>
                <w:color w:val="000000"/>
                <w:sz w:val="20"/>
                <w:szCs w:val="22"/>
                <w:lang w:eastAsia="es-CO"/>
              </w:rPr>
            </w:pPr>
            <w:r w:rsidRPr="004E6CFC">
              <w:rPr>
                <w:rFonts w:cs="Arial"/>
                <w:b/>
                <w:color w:val="000000"/>
                <w:sz w:val="20"/>
                <w:szCs w:val="22"/>
                <w:lang w:eastAsia="es-CO"/>
              </w:rPr>
              <w:t>Entrada en operación</w:t>
            </w:r>
          </w:p>
        </w:tc>
        <w:tc>
          <w:tcPr>
            <w:tcW w:w="2557" w:type="dxa"/>
            <w:tcBorders>
              <w:top w:val="single" w:sz="4" w:space="0" w:color="auto"/>
              <w:left w:val="nil"/>
              <w:bottom w:val="single" w:sz="4" w:space="0" w:color="auto"/>
              <w:right w:val="single" w:sz="4" w:space="0" w:color="auto"/>
            </w:tcBorders>
            <w:vAlign w:val="center"/>
          </w:tcPr>
          <w:p w:rsidR="00EF4850" w:rsidRPr="004E6CFC" w:rsidRDefault="00EF4850" w:rsidP="00582E01">
            <w:pPr>
              <w:spacing w:before="0" w:after="0"/>
              <w:jc w:val="center"/>
              <w:rPr>
                <w:rFonts w:cs="Arial"/>
                <w:b/>
                <w:color w:val="000000"/>
                <w:sz w:val="20"/>
                <w:szCs w:val="22"/>
                <w:lang w:eastAsia="es-CO"/>
              </w:rPr>
            </w:pPr>
            <w:r w:rsidRPr="004E6CFC">
              <w:rPr>
                <w:rFonts w:cs="Arial"/>
                <w:b/>
                <w:color w:val="000000"/>
                <w:sz w:val="20"/>
                <w:szCs w:val="22"/>
                <w:lang w:eastAsia="es-CO"/>
              </w:rPr>
              <w:t xml:space="preserve">Antigüedad de referencia - </w:t>
            </w:r>
            <w:r w:rsidRPr="004E6CFC">
              <w:rPr>
                <w:rFonts w:cs="Arial"/>
                <w:b/>
                <w:i/>
                <w:color w:val="000000"/>
                <w:sz w:val="20"/>
                <w:szCs w:val="22"/>
                <w:lang w:eastAsia="es-CO"/>
              </w:rPr>
              <w:t>AR</w:t>
            </w:r>
            <w:r w:rsidRPr="004E6CFC">
              <w:rPr>
                <w:rFonts w:cs="Arial"/>
                <w:b/>
                <w:i/>
                <w:color w:val="000000"/>
                <w:sz w:val="20"/>
                <w:szCs w:val="22"/>
                <w:vertAlign w:val="subscript"/>
                <w:lang w:eastAsia="es-CO"/>
              </w:rPr>
              <w:t>k</w:t>
            </w:r>
            <w:r w:rsidRPr="004E6CFC">
              <w:rPr>
                <w:rFonts w:cs="Arial"/>
                <w:b/>
                <w:color w:val="000000"/>
                <w:sz w:val="20"/>
                <w:szCs w:val="22"/>
                <w:lang w:eastAsia="es-CO"/>
              </w:rPr>
              <w:t xml:space="preserve"> (años)</w:t>
            </w:r>
          </w:p>
        </w:tc>
      </w:tr>
      <w:tr w:rsidR="00EF4850" w:rsidRPr="004E6CFC" w:rsidTr="00582E01">
        <w:trPr>
          <w:trHeight w:val="300"/>
          <w:jc w:val="center"/>
        </w:trPr>
        <w:tc>
          <w:tcPr>
            <w:tcW w:w="14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F4850" w:rsidRPr="004E6CFC" w:rsidRDefault="00EF4850" w:rsidP="00582E01">
            <w:pPr>
              <w:spacing w:before="0" w:after="0"/>
              <w:jc w:val="center"/>
              <w:rPr>
                <w:rFonts w:cs="Arial"/>
                <w:color w:val="000000"/>
                <w:sz w:val="20"/>
                <w:szCs w:val="22"/>
                <w:lang w:eastAsia="es-CO"/>
              </w:rPr>
            </w:pPr>
            <w:r>
              <w:rPr>
                <w:rFonts w:cs="Arial"/>
                <w:color w:val="000000"/>
                <w:sz w:val="20"/>
                <w:szCs w:val="22"/>
                <w:lang w:eastAsia="es-CO"/>
              </w:rPr>
              <w:t>1</w:t>
            </w:r>
          </w:p>
        </w:tc>
        <w:tc>
          <w:tcPr>
            <w:tcW w:w="4635" w:type="dxa"/>
            <w:tcBorders>
              <w:top w:val="single" w:sz="4" w:space="0" w:color="auto"/>
              <w:left w:val="nil"/>
              <w:bottom w:val="single" w:sz="4" w:space="0" w:color="auto"/>
              <w:right w:val="single" w:sz="4" w:space="0" w:color="auto"/>
            </w:tcBorders>
            <w:shd w:val="clear" w:color="auto" w:fill="auto"/>
            <w:noWrap/>
            <w:vAlign w:val="center"/>
            <w:hideMark/>
          </w:tcPr>
          <w:p w:rsidR="00EF4850" w:rsidRPr="004E6CFC" w:rsidRDefault="00EF4850" w:rsidP="00582E01">
            <w:pPr>
              <w:spacing w:before="0" w:after="0"/>
              <w:jc w:val="center"/>
              <w:rPr>
                <w:rFonts w:cs="Arial"/>
                <w:color w:val="000000"/>
                <w:sz w:val="20"/>
                <w:szCs w:val="22"/>
                <w:lang w:eastAsia="es-CO"/>
              </w:rPr>
            </w:pPr>
            <w:r>
              <w:rPr>
                <w:rFonts w:cs="Arial"/>
                <w:color w:val="000000"/>
                <w:sz w:val="20"/>
                <w:szCs w:val="22"/>
                <w:lang w:eastAsia="es-CO"/>
              </w:rPr>
              <w:t>Hasta el 31 de diciembre de 2007</w:t>
            </w:r>
          </w:p>
        </w:tc>
        <w:tc>
          <w:tcPr>
            <w:tcW w:w="2557" w:type="dxa"/>
            <w:tcBorders>
              <w:top w:val="single" w:sz="4" w:space="0" w:color="auto"/>
              <w:left w:val="nil"/>
              <w:bottom w:val="single" w:sz="4" w:space="0" w:color="auto"/>
              <w:right w:val="single" w:sz="4" w:space="0" w:color="auto"/>
            </w:tcBorders>
            <w:vAlign w:val="center"/>
          </w:tcPr>
          <w:p w:rsidR="00EF4850" w:rsidRPr="004E6CFC" w:rsidRDefault="00EF4850" w:rsidP="00582E01">
            <w:pPr>
              <w:spacing w:before="0" w:after="0"/>
              <w:jc w:val="center"/>
              <w:rPr>
                <w:rFonts w:cs="Arial"/>
                <w:color w:val="000000"/>
                <w:sz w:val="20"/>
                <w:szCs w:val="22"/>
                <w:lang w:eastAsia="es-CO"/>
              </w:rPr>
            </w:pPr>
            <w:r>
              <w:rPr>
                <w:rFonts w:cs="Arial"/>
                <w:color w:val="000000"/>
                <w:sz w:val="20"/>
                <w:szCs w:val="22"/>
                <w:lang w:eastAsia="es-CO"/>
              </w:rPr>
              <w:t>10</w:t>
            </w:r>
          </w:p>
        </w:tc>
      </w:tr>
      <w:tr w:rsidR="00EF4850" w:rsidRPr="004E6CFC" w:rsidTr="00582E01">
        <w:trPr>
          <w:trHeight w:val="300"/>
          <w:jc w:val="center"/>
        </w:trPr>
        <w:tc>
          <w:tcPr>
            <w:tcW w:w="14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EF4850" w:rsidRPr="004E6CFC" w:rsidRDefault="00EF4850" w:rsidP="00582E01">
            <w:pPr>
              <w:spacing w:before="0" w:after="0"/>
              <w:jc w:val="center"/>
              <w:rPr>
                <w:rFonts w:cs="Arial"/>
                <w:color w:val="000000"/>
                <w:sz w:val="20"/>
                <w:szCs w:val="22"/>
                <w:lang w:eastAsia="es-CO"/>
              </w:rPr>
            </w:pPr>
            <w:r>
              <w:rPr>
                <w:rFonts w:cs="Arial"/>
                <w:color w:val="000000"/>
                <w:sz w:val="20"/>
                <w:szCs w:val="22"/>
                <w:lang w:eastAsia="es-CO"/>
              </w:rPr>
              <w:t>2</w:t>
            </w:r>
          </w:p>
        </w:tc>
        <w:tc>
          <w:tcPr>
            <w:tcW w:w="4635" w:type="dxa"/>
            <w:tcBorders>
              <w:top w:val="single" w:sz="4" w:space="0" w:color="auto"/>
              <w:left w:val="nil"/>
              <w:bottom w:val="single" w:sz="4" w:space="0" w:color="auto"/>
              <w:right w:val="single" w:sz="4" w:space="0" w:color="auto"/>
            </w:tcBorders>
            <w:shd w:val="clear" w:color="auto" w:fill="auto"/>
            <w:noWrap/>
            <w:vAlign w:val="center"/>
          </w:tcPr>
          <w:p w:rsidR="00EF4850" w:rsidRPr="004E6CFC" w:rsidRDefault="00EF4850" w:rsidP="00582E01">
            <w:pPr>
              <w:spacing w:before="0" w:after="0"/>
              <w:jc w:val="center"/>
              <w:rPr>
                <w:rFonts w:cs="Arial"/>
                <w:color w:val="000000"/>
                <w:sz w:val="20"/>
                <w:szCs w:val="22"/>
                <w:lang w:eastAsia="es-CO"/>
              </w:rPr>
            </w:pPr>
            <w:r>
              <w:rPr>
                <w:rFonts w:cs="Arial"/>
                <w:color w:val="000000"/>
                <w:sz w:val="20"/>
                <w:szCs w:val="22"/>
                <w:lang w:eastAsia="es-CO"/>
              </w:rPr>
              <w:t>A partir del 1 de enero de 2008</w:t>
            </w:r>
          </w:p>
        </w:tc>
        <w:tc>
          <w:tcPr>
            <w:tcW w:w="2557" w:type="dxa"/>
            <w:tcBorders>
              <w:top w:val="single" w:sz="4" w:space="0" w:color="auto"/>
              <w:left w:val="nil"/>
              <w:bottom w:val="single" w:sz="4" w:space="0" w:color="auto"/>
              <w:right w:val="single" w:sz="4" w:space="0" w:color="auto"/>
            </w:tcBorders>
            <w:vAlign w:val="center"/>
          </w:tcPr>
          <w:p w:rsidR="00EF4850" w:rsidRPr="004E6CFC" w:rsidRDefault="00EF4850" w:rsidP="00582E01">
            <w:pPr>
              <w:spacing w:before="0" w:after="0"/>
              <w:jc w:val="center"/>
              <w:rPr>
                <w:rFonts w:cs="Arial"/>
                <w:color w:val="000000"/>
                <w:sz w:val="20"/>
                <w:szCs w:val="22"/>
                <w:lang w:eastAsia="es-CO"/>
              </w:rPr>
            </w:pPr>
            <w:r w:rsidRPr="004E6CFC">
              <w:rPr>
                <w:rFonts w:cs="Arial"/>
                <w:color w:val="000000"/>
                <w:sz w:val="20"/>
                <w:szCs w:val="22"/>
                <w:lang w:eastAsia="es-CO"/>
              </w:rPr>
              <w:t>0</w:t>
            </w:r>
          </w:p>
        </w:tc>
      </w:tr>
    </w:tbl>
    <w:p w:rsidR="00EF4850" w:rsidRPr="004E6CFC" w:rsidRDefault="00EF4850" w:rsidP="00EF4850">
      <w:pPr>
        <w:pStyle w:val="Ttulo5"/>
        <w:ind w:left="1416" w:hanging="1416"/>
      </w:pPr>
      <w:bookmarkStart w:id="159" w:name="_Ref456272755"/>
      <w:r w:rsidRPr="004E6CFC">
        <w:t>Factor de capital remanente de la base inicial</w:t>
      </w:r>
      <w:bookmarkEnd w:id="159"/>
      <w:r w:rsidRPr="004E6CFC">
        <w:t xml:space="preserve"> </w:t>
      </w:r>
      <w:bookmarkEnd w:id="157"/>
    </w:p>
    <w:p w:rsidR="00EF4850" w:rsidRDefault="00EF4850" w:rsidP="00EF4850">
      <w:pPr>
        <w:rPr>
          <w:lang w:val="es-ES_tradnl"/>
        </w:rPr>
      </w:pPr>
      <w:bookmarkStart w:id="160" w:name="_Ref439948632"/>
      <w:bookmarkStart w:id="161" w:name="_Ref465948701"/>
      <w:r w:rsidRPr="004E6CFC">
        <w:rPr>
          <w:lang w:val="es-ES_tradnl"/>
        </w:rPr>
        <w:t>En la</w:t>
      </w:r>
      <w:r>
        <w:rPr>
          <w:lang w:val="es-ES_tradnl"/>
        </w:rPr>
        <w:t xml:space="preserve"> </w:t>
      </w:r>
      <w:r>
        <w:rPr>
          <w:lang w:val="es-ES_tradnl"/>
        </w:rPr>
        <w:fldChar w:fldCharType="begin"/>
      </w:r>
      <w:r>
        <w:rPr>
          <w:lang w:val="es-ES_tradnl"/>
        </w:rPr>
        <w:instrText xml:space="preserve"> REF _Ref439943937 \h </w:instrText>
      </w:r>
      <w:r>
        <w:rPr>
          <w:lang w:val="es-ES_tradnl"/>
        </w:rPr>
      </w:r>
      <w:r>
        <w:rPr>
          <w:lang w:val="es-ES_tradnl"/>
        </w:rPr>
        <w:fldChar w:fldCharType="separate"/>
      </w:r>
      <w:r w:rsidR="00737178" w:rsidRPr="004E6CFC">
        <w:t xml:space="preserve">Tabla </w:t>
      </w:r>
      <w:r w:rsidR="00737178">
        <w:rPr>
          <w:noProof/>
        </w:rPr>
        <w:t>2</w:t>
      </w:r>
      <w:r>
        <w:rPr>
          <w:lang w:val="es-ES_tradnl"/>
        </w:rPr>
        <w:fldChar w:fldCharType="end"/>
      </w:r>
      <w:r>
        <w:rPr>
          <w:lang w:val="es-ES_tradnl"/>
        </w:rPr>
        <w:t xml:space="preserve"> </w:t>
      </w:r>
      <w:r w:rsidRPr="004E6CFC">
        <w:rPr>
          <w:lang w:val="es-ES_tradnl"/>
        </w:rPr>
        <w:t xml:space="preserve">se presenta el valor de la variable factor de capital remanente de los activos, </w:t>
      </w:r>
      <w:r w:rsidRPr="004E6CFC">
        <w:rPr>
          <w:i/>
          <w:lang w:val="es-ES_tradnl"/>
        </w:rPr>
        <w:t>CRA</w:t>
      </w:r>
      <w:r w:rsidRPr="004E6CFC">
        <w:rPr>
          <w:i/>
          <w:vertAlign w:val="subscript"/>
          <w:lang w:val="es-ES_tradnl"/>
        </w:rPr>
        <w:t>n,l</w:t>
      </w:r>
      <w:r w:rsidRPr="004E6CFC">
        <w:rPr>
          <w:lang w:val="es-ES_tradnl"/>
        </w:rPr>
        <w:t>, para cada nivel de tensión</w:t>
      </w:r>
      <w:r>
        <w:rPr>
          <w:lang w:val="es-ES_tradnl"/>
        </w:rPr>
        <w:t xml:space="preserve"> </w:t>
      </w:r>
      <w:r w:rsidRPr="001941F4">
        <w:rPr>
          <w:i/>
          <w:lang w:val="es-ES_tradnl"/>
        </w:rPr>
        <w:t>n</w:t>
      </w:r>
      <w:r>
        <w:rPr>
          <w:lang w:val="es-ES_tradnl"/>
        </w:rPr>
        <w:t xml:space="preserve"> y categoría de activos </w:t>
      </w:r>
      <w:r w:rsidRPr="001941F4">
        <w:rPr>
          <w:i/>
          <w:lang w:val="es-ES_tradnl"/>
        </w:rPr>
        <w:t>l</w:t>
      </w:r>
      <w:r w:rsidRPr="004E6CFC">
        <w:rPr>
          <w:lang w:val="es-ES_tradnl"/>
        </w:rPr>
        <w:t>.</w:t>
      </w:r>
    </w:p>
    <w:p w:rsidR="00EF4850" w:rsidRDefault="00EF4850" w:rsidP="00EF4850">
      <w:pPr>
        <w:pStyle w:val="Descripcin"/>
      </w:pPr>
      <w:bookmarkStart w:id="162" w:name="_Ref439943937"/>
      <w:bookmarkStart w:id="163" w:name="_Ref439949796"/>
      <w:r w:rsidRPr="004E6CFC">
        <w:t xml:space="preserve">Tabla </w:t>
      </w:r>
      <w:r w:rsidRPr="004E6CFC">
        <w:fldChar w:fldCharType="begin"/>
      </w:r>
      <w:r w:rsidRPr="004E6CFC">
        <w:instrText xml:space="preserve"> SEQ Tabla \* ARABIC </w:instrText>
      </w:r>
      <w:r w:rsidRPr="004E6CFC">
        <w:fldChar w:fldCharType="separate"/>
      </w:r>
      <w:r w:rsidR="00737178">
        <w:rPr>
          <w:noProof/>
        </w:rPr>
        <w:t>2</w:t>
      </w:r>
      <w:r w:rsidRPr="004E6CFC">
        <w:fldChar w:fldCharType="end"/>
      </w:r>
      <w:bookmarkEnd w:id="162"/>
      <w:r w:rsidRPr="004E6CFC">
        <w:t xml:space="preserve"> Factor de capital remanente</w:t>
      </w:r>
      <w:bookmarkEnd w:id="163"/>
      <w:r w:rsidRPr="004E6CFC">
        <w:t xml:space="preserve"> </w:t>
      </w:r>
    </w:p>
    <w:tbl>
      <w:tblPr>
        <w:tblW w:w="0" w:type="auto"/>
        <w:tblLayout w:type="fixed"/>
        <w:tblCellMar>
          <w:left w:w="70" w:type="dxa"/>
          <w:right w:w="70" w:type="dxa"/>
        </w:tblCellMar>
        <w:tblLook w:val="04A0" w:firstRow="1" w:lastRow="0" w:firstColumn="1" w:lastColumn="0" w:noHBand="0" w:noVBand="1"/>
      </w:tblPr>
      <w:tblGrid>
        <w:gridCol w:w="1696"/>
        <w:gridCol w:w="3828"/>
        <w:gridCol w:w="964"/>
        <w:gridCol w:w="964"/>
        <w:gridCol w:w="964"/>
        <w:gridCol w:w="964"/>
      </w:tblGrid>
      <w:tr w:rsidR="00EF4850" w:rsidRPr="00B206EA" w:rsidTr="00582E01">
        <w:trPr>
          <w:trHeight w:val="510"/>
        </w:trPr>
        <w:tc>
          <w:tcPr>
            <w:tcW w:w="169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b/>
                <w:bCs/>
                <w:color w:val="000000"/>
                <w:sz w:val="20"/>
                <w:szCs w:val="20"/>
                <w:lang w:val="es-CO" w:eastAsia="es-CO"/>
              </w:rPr>
            </w:pPr>
            <w:r w:rsidRPr="00B206EA">
              <w:rPr>
                <w:rFonts w:cs="Arial"/>
                <w:b/>
                <w:bCs/>
                <w:color w:val="000000"/>
                <w:sz w:val="20"/>
                <w:szCs w:val="20"/>
                <w:lang w:val="es-CO" w:eastAsia="es-CO"/>
              </w:rPr>
              <w:t xml:space="preserve">CATEGORÍA DE ACTIVOS </w:t>
            </w:r>
            <w:r w:rsidRPr="00B206EA">
              <w:rPr>
                <w:rFonts w:cs="Arial"/>
                <w:b/>
                <w:bCs/>
                <w:i/>
                <w:iCs/>
                <w:color w:val="000000"/>
                <w:sz w:val="20"/>
                <w:szCs w:val="20"/>
                <w:lang w:val="es-CO" w:eastAsia="es-CO"/>
              </w:rPr>
              <w:t>l</w:t>
            </w:r>
          </w:p>
        </w:tc>
        <w:tc>
          <w:tcPr>
            <w:tcW w:w="3828" w:type="dxa"/>
            <w:tcBorders>
              <w:top w:val="single" w:sz="4" w:space="0" w:color="auto"/>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b/>
                <w:bCs/>
                <w:color w:val="000000"/>
                <w:sz w:val="20"/>
                <w:szCs w:val="20"/>
                <w:lang w:val="es-CO" w:eastAsia="es-CO"/>
              </w:rPr>
            </w:pPr>
            <w:r w:rsidRPr="00B206EA">
              <w:rPr>
                <w:rFonts w:cs="Arial"/>
                <w:b/>
                <w:bCs/>
                <w:color w:val="000000"/>
                <w:sz w:val="20"/>
                <w:szCs w:val="20"/>
                <w:lang w:val="es-CO" w:eastAsia="es-CO"/>
              </w:rPr>
              <w:t>DESCRIPCIÓN CATEGORÍA DE ACTIVOS</w:t>
            </w:r>
          </w:p>
        </w:tc>
        <w:tc>
          <w:tcPr>
            <w:tcW w:w="964" w:type="dxa"/>
            <w:tcBorders>
              <w:top w:val="single" w:sz="4" w:space="0" w:color="auto"/>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b/>
                <w:bCs/>
                <w:color w:val="000000"/>
                <w:sz w:val="20"/>
                <w:szCs w:val="20"/>
                <w:lang w:val="es-CO" w:eastAsia="es-CO"/>
              </w:rPr>
            </w:pPr>
            <w:r w:rsidRPr="00B206EA">
              <w:rPr>
                <w:rFonts w:cs="Arial"/>
                <w:b/>
                <w:bCs/>
                <w:color w:val="000000"/>
                <w:sz w:val="20"/>
                <w:szCs w:val="20"/>
                <w:lang w:val="es-CO" w:eastAsia="es-CO"/>
              </w:rPr>
              <w:t>CRA</w:t>
            </w:r>
            <w:r w:rsidRPr="00B206EA">
              <w:rPr>
                <w:rFonts w:cs="Arial"/>
                <w:b/>
                <w:bCs/>
                <w:i/>
                <w:iCs/>
                <w:color w:val="000000"/>
                <w:sz w:val="20"/>
                <w:szCs w:val="20"/>
                <w:vertAlign w:val="subscript"/>
                <w:lang w:val="es-CO" w:eastAsia="es-CO"/>
              </w:rPr>
              <w:t>1,l</w:t>
            </w:r>
          </w:p>
        </w:tc>
        <w:tc>
          <w:tcPr>
            <w:tcW w:w="964" w:type="dxa"/>
            <w:tcBorders>
              <w:top w:val="single" w:sz="4" w:space="0" w:color="auto"/>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b/>
                <w:bCs/>
                <w:color w:val="000000"/>
                <w:sz w:val="20"/>
                <w:szCs w:val="20"/>
                <w:lang w:val="es-CO" w:eastAsia="es-CO"/>
              </w:rPr>
            </w:pPr>
            <w:r w:rsidRPr="00B206EA">
              <w:rPr>
                <w:rFonts w:cs="Arial"/>
                <w:b/>
                <w:bCs/>
                <w:color w:val="000000"/>
                <w:sz w:val="20"/>
                <w:szCs w:val="20"/>
                <w:lang w:val="es-CO" w:eastAsia="es-CO"/>
              </w:rPr>
              <w:t>CRA</w:t>
            </w:r>
            <w:r w:rsidRPr="00B206EA">
              <w:rPr>
                <w:rFonts w:cs="Arial"/>
                <w:b/>
                <w:bCs/>
                <w:i/>
                <w:iCs/>
                <w:color w:val="000000"/>
                <w:sz w:val="20"/>
                <w:szCs w:val="20"/>
                <w:vertAlign w:val="subscript"/>
                <w:lang w:val="es-CO" w:eastAsia="es-CO"/>
              </w:rPr>
              <w:t>2,l</w:t>
            </w:r>
          </w:p>
        </w:tc>
        <w:tc>
          <w:tcPr>
            <w:tcW w:w="964" w:type="dxa"/>
            <w:tcBorders>
              <w:top w:val="single" w:sz="4" w:space="0" w:color="auto"/>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b/>
                <w:bCs/>
                <w:color w:val="000000"/>
                <w:sz w:val="20"/>
                <w:szCs w:val="20"/>
                <w:lang w:val="es-CO" w:eastAsia="es-CO"/>
              </w:rPr>
            </w:pPr>
            <w:r w:rsidRPr="00B206EA">
              <w:rPr>
                <w:rFonts w:cs="Arial"/>
                <w:b/>
                <w:bCs/>
                <w:color w:val="000000"/>
                <w:sz w:val="20"/>
                <w:szCs w:val="20"/>
                <w:lang w:val="es-CO" w:eastAsia="es-CO"/>
              </w:rPr>
              <w:t>CRA</w:t>
            </w:r>
            <w:r w:rsidRPr="00B206EA">
              <w:rPr>
                <w:rFonts w:cs="Arial"/>
                <w:b/>
                <w:bCs/>
                <w:i/>
                <w:iCs/>
                <w:color w:val="000000"/>
                <w:sz w:val="20"/>
                <w:szCs w:val="20"/>
                <w:vertAlign w:val="subscript"/>
                <w:lang w:val="es-CO" w:eastAsia="es-CO"/>
              </w:rPr>
              <w:t>3,l</w:t>
            </w:r>
          </w:p>
        </w:tc>
        <w:tc>
          <w:tcPr>
            <w:tcW w:w="964" w:type="dxa"/>
            <w:tcBorders>
              <w:top w:val="single" w:sz="4" w:space="0" w:color="auto"/>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b/>
                <w:bCs/>
                <w:color w:val="000000"/>
                <w:sz w:val="20"/>
                <w:szCs w:val="20"/>
                <w:lang w:val="es-CO" w:eastAsia="es-CO"/>
              </w:rPr>
            </w:pPr>
            <w:r w:rsidRPr="00B206EA">
              <w:rPr>
                <w:rFonts w:cs="Arial"/>
                <w:b/>
                <w:bCs/>
                <w:color w:val="000000"/>
                <w:sz w:val="20"/>
                <w:szCs w:val="20"/>
                <w:lang w:val="es-CO" w:eastAsia="es-CO"/>
              </w:rPr>
              <w:t>CRA</w:t>
            </w:r>
            <w:r w:rsidRPr="00B206EA">
              <w:rPr>
                <w:rFonts w:cs="Arial"/>
                <w:b/>
                <w:bCs/>
                <w:i/>
                <w:iCs/>
                <w:color w:val="000000"/>
                <w:sz w:val="20"/>
                <w:szCs w:val="20"/>
                <w:vertAlign w:val="subscript"/>
                <w:lang w:val="es-CO" w:eastAsia="es-CO"/>
              </w:rPr>
              <w:t>4,l</w:t>
            </w:r>
          </w:p>
        </w:tc>
      </w:tr>
      <w:tr w:rsidR="00EF4850" w:rsidRPr="00B206EA" w:rsidTr="00582E01">
        <w:trPr>
          <w:trHeight w:val="300"/>
        </w:trPr>
        <w:tc>
          <w:tcPr>
            <w:tcW w:w="1696" w:type="dxa"/>
            <w:tcBorders>
              <w:top w:val="nil"/>
              <w:left w:val="single" w:sz="4" w:space="0" w:color="auto"/>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1</w:t>
            </w:r>
          </w:p>
        </w:tc>
        <w:tc>
          <w:tcPr>
            <w:tcW w:w="3828"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left"/>
              <w:rPr>
                <w:rFonts w:cs="Arial"/>
                <w:color w:val="000000"/>
                <w:sz w:val="20"/>
                <w:szCs w:val="20"/>
                <w:lang w:val="es-CO" w:eastAsia="es-CO"/>
              </w:rPr>
            </w:pPr>
            <w:r w:rsidRPr="00B206EA">
              <w:rPr>
                <w:rFonts w:cs="Arial"/>
                <w:color w:val="000000"/>
                <w:sz w:val="20"/>
                <w:szCs w:val="20"/>
                <w:lang w:val="es-CO" w:eastAsia="es-CO"/>
              </w:rPr>
              <w:t>Transformadores de potencia</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 </w:t>
            </w: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0,94</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0,94</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0,94</w:t>
            </w:r>
          </w:p>
        </w:tc>
      </w:tr>
      <w:tr w:rsidR="00EF4850" w:rsidRPr="00B206EA" w:rsidTr="00582E01">
        <w:trPr>
          <w:trHeight w:val="300"/>
        </w:trPr>
        <w:tc>
          <w:tcPr>
            <w:tcW w:w="1696" w:type="dxa"/>
            <w:tcBorders>
              <w:top w:val="nil"/>
              <w:left w:val="single" w:sz="4" w:space="0" w:color="auto"/>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2</w:t>
            </w:r>
          </w:p>
        </w:tc>
        <w:tc>
          <w:tcPr>
            <w:tcW w:w="3828"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left"/>
              <w:rPr>
                <w:rFonts w:cs="Arial"/>
                <w:color w:val="000000"/>
                <w:sz w:val="20"/>
                <w:szCs w:val="20"/>
                <w:lang w:val="es-CO" w:eastAsia="es-CO"/>
              </w:rPr>
            </w:pPr>
            <w:r w:rsidRPr="00B206EA">
              <w:rPr>
                <w:rFonts w:cs="Arial"/>
                <w:color w:val="000000"/>
                <w:sz w:val="20"/>
                <w:szCs w:val="20"/>
                <w:lang w:val="es-CO" w:eastAsia="es-CO"/>
              </w:rPr>
              <w:t>Compensaciones</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 </w:t>
            </w: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0,94</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0,94</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0,94</w:t>
            </w:r>
          </w:p>
        </w:tc>
      </w:tr>
      <w:tr w:rsidR="00EF4850" w:rsidRPr="00B206EA" w:rsidTr="00582E01">
        <w:trPr>
          <w:trHeight w:val="300"/>
        </w:trPr>
        <w:tc>
          <w:tcPr>
            <w:tcW w:w="1696" w:type="dxa"/>
            <w:tcBorders>
              <w:top w:val="nil"/>
              <w:left w:val="single" w:sz="4" w:space="0" w:color="auto"/>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3</w:t>
            </w:r>
          </w:p>
        </w:tc>
        <w:tc>
          <w:tcPr>
            <w:tcW w:w="3828"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left"/>
              <w:rPr>
                <w:rFonts w:cs="Arial"/>
                <w:color w:val="000000"/>
                <w:sz w:val="20"/>
                <w:szCs w:val="20"/>
                <w:lang w:val="es-CO" w:eastAsia="es-CO"/>
              </w:rPr>
            </w:pPr>
            <w:r w:rsidRPr="00B206EA">
              <w:rPr>
                <w:rFonts w:cs="Arial"/>
                <w:color w:val="000000"/>
                <w:sz w:val="20"/>
                <w:szCs w:val="20"/>
                <w:lang w:val="es-CO" w:eastAsia="es-CO"/>
              </w:rPr>
              <w:t>Bahías y celdas</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 </w:t>
            </w: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0,94</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0,94</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0,94</w:t>
            </w:r>
          </w:p>
        </w:tc>
      </w:tr>
      <w:tr w:rsidR="00EF4850" w:rsidRPr="00B206EA" w:rsidTr="00582E01">
        <w:trPr>
          <w:trHeight w:val="300"/>
        </w:trPr>
        <w:tc>
          <w:tcPr>
            <w:tcW w:w="1696" w:type="dxa"/>
            <w:tcBorders>
              <w:top w:val="nil"/>
              <w:left w:val="single" w:sz="4" w:space="0" w:color="auto"/>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4</w:t>
            </w:r>
          </w:p>
        </w:tc>
        <w:tc>
          <w:tcPr>
            <w:tcW w:w="3828"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left"/>
              <w:rPr>
                <w:rFonts w:cs="Arial"/>
                <w:color w:val="000000"/>
                <w:sz w:val="20"/>
                <w:szCs w:val="20"/>
                <w:lang w:val="es-CO" w:eastAsia="es-CO"/>
              </w:rPr>
            </w:pPr>
            <w:r w:rsidRPr="00B206EA">
              <w:rPr>
                <w:rFonts w:cs="Arial"/>
                <w:color w:val="000000"/>
                <w:sz w:val="20"/>
                <w:szCs w:val="20"/>
                <w:lang w:val="es-CO" w:eastAsia="es-CO"/>
              </w:rPr>
              <w:t>Equipos de control y comunicaciones</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 </w:t>
            </w: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0,00</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0,00</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0,00</w:t>
            </w:r>
          </w:p>
        </w:tc>
      </w:tr>
      <w:tr w:rsidR="00EF4850" w:rsidRPr="00B206EA" w:rsidTr="00582E01">
        <w:trPr>
          <w:trHeight w:val="300"/>
        </w:trPr>
        <w:tc>
          <w:tcPr>
            <w:tcW w:w="1696" w:type="dxa"/>
            <w:tcBorders>
              <w:top w:val="nil"/>
              <w:left w:val="single" w:sz="4" w:space="0" w:color="auto"/>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5</w:t>
            </w:r>
          </w:p>
        </w:tc>
        <w:tc>
          <w:tcPr>
            <w:tcW w:w="3828"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left"/>
              <w:rPr>
                <w:rFonts w:cs="Arial"/>
                <w:color w:val="000000"/>
                <w:sz w:val="20"/>
                <w:szCs w:val="20"/>
                <w:lang w:val="es-CO" w:eastAsia="es-CO"/>
              </w:rPr>
            </w:pPr>
            <w:r w:rsidRPr="00B206EA">
              <w:rPr>
                <w:rFonts w:cs="Arial"/>
                <w:color w:val="000000"/>
                <w:sz w:val="20"/>
                <w:szCs w:val="20"/>
                <w:lang w:val="es-CO" w:eastAsia="es-CO"/>
              </w:rPr>
              <w:t>Equipos de subestación</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 </w:t>
            </w: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0,94</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0,94</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0,98</w:t>
            </w:r>
          </w:p>
        </w:tc>
      </w:tr>
      <w:tr w:rsidR="00EF4850" w:rsidRPr="00B206EA" w:rsidTr="00582E01">
        <w:trPr>
          <w:trHeight w:val="300"/>
        </w:trPr>
        <w:tc>
          <w:tcPr>
            <w:tcW w:w="1696" w:type="dxa"/>
            <w:tcBorders>
              <w:top w:val="nil"/>
              <w:left w:val="single" w:sz="4" w:space="0" w:color="auto"/>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6</w:t>
            </w:r>
          </w:p>
        </w:tc>
        <w:tc>
          <w:tcPr>
            <w:tcW w:w="3828"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left"/>
              <w:rPr>
                <w:rFonts w:cs="Arial"/>
                <w:color w:val="000000"/>
                <w:sz w:val="20"/>
                <w:szCs w:val="20"/>
                <w:lang w:val="es-CO" w:eastAsia="es-CO"/>
              </w:rPr>
            </w:pPr>
            <w:r w:rsidRPr="00B206EA">
              <w:rPr>
                <w:rFonts w:cs="Arial"/>
                <w:color w:val="000000"/>
                <w:sz w:val="20"/>
                <w:szCs w:val="20"/>
                <w:lang w:val="es-CO" w:eastAsia="es-CO"/>
              </w:rPr>
              <w:t>Otros activos subestación</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 </w:t>
            </w: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0,94</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0,94</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0,94</w:t>
            </w:r>
          </w:p>
        </w:tc>
      </w:tr>
      <w:tr w:rsidR="00EF4850" w:rsidRPr="00B206EA" w:rsidTr="00582E01">
        <w:trPr>
          <w:trHeight w:val="300"/>
        </w:trPr>
        <w:tc>
          <w:tcPr>
            <w:tcW w:w="1696" w:type="dxa"/>
            <w:tcBorders>
              <w:top w:val="nil"/>
              <w:left w:val="single" w:sz="4" w:space="0" w:color="auto"/>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7</w:t>
            </w:r>
          </w:p>
        </w:tc>
        <w:tc>
          <w:tcPr>
            <w:tcW w:w="3828"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left"/>
              <w:rPr>
                <w:rFonts w:cs="Arial"/>
                <w:color w:val="000000"/>
                <w:sz w:val="20"/>
                <w:szCs w:val="20"/>
                <w:lang w:val="es-CO" w:eastAsia="es-CO"/>
              </w:rPr>
            </w:pPr>
            <w:r w:rsidRPr="00B206EA">
              <w:rPr>
                <w:rFonts w:cs="Arial"/>
                <w:color w:val="000000"/>
                <w:sz w:val="20"/>
                <w:szCs w:val="20"/>
                <w:lang w:val="es-CO" w:eastAsia="es-CO"/>
              </w:rPr>
              <w:t>Líneas aéreas</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 </w:t>
            </w: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0,94</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0,99</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0,98</w:t>
            </w:r>
          </w:p>
        </w:tc>
      </w:tr>
      <w:tr w:rsidR="00EF4850" w:rsidRPr="00B206EA" w:rsidTr="00582E01">
        <w:trPr>
          <w:trHeight w:val="300"/>
        </w:trPr>
        <w:tc>
          <w:tcPr>
            <w:tcW w:w="1696" w:type="dxa"/>
            <w:tcBorders>
              <w:top w:val="nil"/>
              <w:left w:val="single" w:sz="4" w:space="0" w:color="auto"/>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8</w:t>
            </w:r>
          </w:p>
        </w:tc>
        <w:tc>
          <w:tcPr>
            <w:tcW w:w="3828"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left"/>
              <w:rPr>
                <w:rFonts w:cs="Arial"/>
                <w:color w:val="000000"/>
                <w:sz w:val="20"/>
                <w:szCs w:val="20"/>
                <w:lang w:val="es-CO" w:eastAsia="es-CO"/>
              </w:rPr>
            </w:pPr>
            <w:r w:rsidRPr="00B206EA">
              <w:rPr>
                <w:rFonts w:cs="Arial"/>
                <w:color w:val="000000"/>
                <w:sz w:val="20"/>
                <w:szCs w:val="20"/>
                <w:lang w:val="es-CO" w:eastAsia="es-CO"/>
              </w:rPr>
              <w:t>Líneas subterráneas</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 </w:t>
            </w: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0,94</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0,99</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0,98</w:t>
            </w:r>
          </w:p>
        </w:tc>
      </w:tr>
      <w:tr w:rsidR="00EF4850" w:rsidRPr="00B206EA" w:rsidTr="00582E01">
        <w:trPr>
          <w:trHeight w:val="300"/>
        </w:trPr>
        <w:tc>
          <w:tcPr>
            <w:tcW w:w="1696" w:type="dxa"/>
            <w:tcBorders>
              <w:top w:val="nil"/>
              <w:left w:val="single" w:sz="4" w:space="0" w:color="auto"/>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9</w:t>
            </w:r>
          </w:p>
        </w:tc>
        <w:tc>
          <w:tcPr>
            <w:tcW w:w="3828"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left"/>
              <w:rPr>
                <w:rFonts w:cs="Arial"/>
                <w:color w:val="000000"/>
                <w:sz w:val="20"/>
                <w:szCs w:val="20"/>
                <w:lang w:val="es-CO" w:eastAsia="es-CO"/>
              </w:rPr>
            </w:pPr>
            <w:r w:rsidRPr="00B206EA">
              <w:rPr>
                <w:rFonts w:cs="Arial"/>
                <w:color w:val="000000"/>
                <w:sz w:val="20"/>
                <w:szCs w:val="20"/>
                <w:lang w:val="es-CO" w:eastAsia="es-CO"/>
              </w:rPr>
              <w:t>Equipos de línea</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 </w:t>
            </w: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0,94</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0,94</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w:t>
            </w:r>
          </w:p>
        </w:tc>
      </w:tr>
      <w:tr w:rsidR="00EF4850" w:rsidRPr="00B206EA" w:rsidTr="00582E01">
        <w:trPr>
          <w:trHeight w:val="300"/>
        </w:trPr>
        <w:tc>
          <w:tcPr>
            <w:tcW w:w="1696" w:type="dxa"/>
            <w:tcBorders>
              <w:top w:val="nil"/>
              <w:left w:val="single" w:sz="4" w:space="0" w:color="auto"/>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10</w:t>
            </w:r>
          </w:p>
        </w:tc>
        <w:tc>
          <w:tcPr>
            <w:tcW w:w="3828"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left"/>
              <w:rPr>
                <w:rFonts w:cs="Arial"/>
                <w:color w:val="000000"/>
                <w:sz w:val="20"/>
                <w:szCs w:val="20"/>
                <w:lang w:val="es-CO" w:eastAsia="es-CO"/>
              </w:rPr>
            </w:pPr>
            <w:r w:rsidRPr="00B206EA">
              <w:rPr>
                <w:rFonts w:cs="Arial"/>
                <w:color w:val="000000"/>
                <w:sz w:val="20"/>
                <w:szCs w:val="20"/>
                <w:lang w:val="es-CO" w:eastAsia="es-CO"/>
              </w:rPr>
              <w:t>Centro de control</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 </w:t>
            </w: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 0,00</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 0,00</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0,00</w:t>
            </w:r>
          </w:p>
        </w:tc>
      </w:tr>
      <w:tr w:rsidR="00EF4850" w:rsidRPr="00B206EA" w:rsidTr="00582E01">
        <w:trPr>
          <w:trHeight w:val="300"/>
        </w:trPr>
        <w:tc>
          <w:tcPr>
            <w:tcW w:w="1696" w:type="dxa"/>
            <w:tcBorders>
              <w:top w:val="nil"/>
              <w:left w:val="single" w:sz="4" w:space="0" w:color="auto"/>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11</w:t>
            </w:r>
          </w:p>
        </w:tc>
        <w:tc>
          <w:tcPr>
            <w:tcW w:w="3828"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left"/>
              <w:rPr>
                <w:rFonts w:cs="Arial"/>
                <w:color w:val="000000"/>
                <w:sz w:val="20"/>
                <w:szCs w:val="20"/>
                <w:lang w:val="es-CO" w:eastAsia="es-CO"/>
              </w:rPr>
            </w:pPr>
            <w:r w:rsidRPr="00B206EA">
              <w:rPr>
                <w:rFonts w:cs="Arial"/>
                <w:color w:val="000000"/>
                <w:sz w:val="20"/>
                <w:szCs w:val="20"/>
                <w:lang w:val="es-CO" w:eastAsia="es-CO"/>
              </w:rPr>
              <w:t>Transformadores de distribución</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0,79</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w:t>
            </w:r>
            <w:r w:rsidRPr="00B206EA">
              <w:rPr>
                <w:rFonts w:cs="Arial"/>
                <w:color w:val="000000"/>
                <w:sz w:val="20"/>
                <w:szCs w:val="20"/>
                <w:lang w:val="es-CO" w:eastAsia="es-CO"/>
              </w:rPr>
              <w:t> </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w:t>
            </w:r>
            <w:r w:rsidRPr="00B206EA">
              <w:rPr>
                <w:rFonts w:cs="Arial"/>
                <w:color w:val="000000"/>
                <w:sz w:val="20"/>
                <w:szCs w:val="20"/>
                <w:lang w:val="es-CO" w:eastAsia="es-CO"/>
              </w:rPr>
              <w:t> </w:t>
            </w:r>
          </w:p>
        </w:tc>
      </w:tr>
      <w:tr w:rsidR="00EF4850" w:rsidRPr="00B206EA" w:rsidTr="00582E01">
        <w:trPr>
          <w:trHeight w:val="300"/>
        </w:trPr>
        <w:tc>
          <w:tcPr>
            <w:tcW w:w="1696" w:type="dxa"/>
            <w:tcBorders>
              <w:top w:val="nil"/>
              <w:left w:val="single" w:sz="4" w:space="0" w:color="auto"/>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12</w:t>
            </w:r>
          </w:p>
        </w:tc>
        <w:tc>
          <w:tcPr>
            <w:tcW w:w="3828"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left"/>
              <w:rPr>
                <w:rFonts w:cs="Arial"/>
                <w:color w:val="000000"/>
                <w:sz w:val="20"/>
                <w:szCs w:val="20"/>
                <w:lang w:val="es-CO" w:eastAsia="es-CO"/>
              </w:rPr>
            </w:pPr>
            <w:r w:rsidRPr="00B206EA">
              <w:rPr>
                <w:rFonts w:cs="Arial"/>
                <w:color w:val="000000"/>
                <w:sz w:val="20"/>
                <w:szCs w:val="20"/>
                <w:lang w:val="es-CO" w:eastAsia="es-CO"/>
              </w:rPr>
              <w:t>Redes de distribución</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0,94</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w:t>
            </w:r>
            <w:r w:rsidRPr="00B206EA">
              <w:rPr>
                <w:rFonts w:cs="Arial"/>
                <w:color w:val="000000"/>
                <w:sz w:val="20"/>
                <w:szCs w:val="20"/>
                <w:lang w:val="es-CO" w:eastAsia="es-CO"/>
              </w:rPr>
              <w:t> </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w:t>
            </w:r>
          </w:p>
        </w:tc>
      </w:tr>
    </w:tbl>
    <w:p w:rsidR="00EF4850" w:rsidRPr="004E6CFC" w:rsidRDefault="00EF4850" w:rsidP="00EF4850">
      <w:pPr>
        <w:pStyle w:val="Ttulo5"/>
        <w:ind w:left="1416" w:hanging="1416"/>
      </w:pPr>
      <w:bookmarkStart w:id="164" w:name="_Ref504639236"/>
      <w:r>
        <w:t xml:space="preserve">Valor de los </w:t>
      </w:r>
      <w:r w:rsidRPr="004E6CFC">
        <w:t>activos puestos en operación en el periodo 2008 a la fecha de corte</w:t>
      </w:r>
      <w:bookmarkEnd w:id="155"/>
      <w:bookmarkEnd w:id="160"/>
      <w:bookmarkEnd w:id="161"/>
      <w:bookmarkEnd w:id="164"/>
      <w:r w:rsidRPr="004E6CFC">
        <w:t xml:space="preserve"> </w:t>
      </w:r>
    </w:p>
    <w:p w:rsidR="00EF4850" w:rsidRPr="004E6CFC" w:rsidRDefault="00EF4850" w:rsidP="00EF4850">
      <w:pPr>
        <w:rPr>
          <w:lang w:val="es-ES_tradnl"/>
        </w:rPr>
      </w:pPr>
      <w:bookmarkStart w:id="165" w:name="_Ref403577282"/>
      <w:bookmarkStart w:id="166" w:name="_Ref439666237"/>
      <w:bookmarkStart w:id="167" w:name="_Ref398643701"/>
      <w:r w:rsidRPr="004E6CFC">
        <w:rPr>
          <w:lang w:val="es-ES_tradnl"/>
        </w:rPr>
        <w:t xml:space="preserve">El </w:t>
      </w:r>
      <w:r>
        <w:rPr>
          <w:lang w:val="es-ES_tradnl"/>
        </w:rPr>
        <w:t xml:space="preserve">valor </w:t>
      </w:r>
      <w:r w:rsidRPr="004E6CFC">
        <w:rPr>
          <w:lang w:val="es-ES_tradnl"/>
        </w:rPr>
        <w:t>de los activos puestos en operación se calcula de la siguiente manera:</w:t>
      </w:r>
    </w:p>
    <w:p w:rsidR="00EF4850" w:rsidRPr="004E6CFC" w:rsidRDefault="00EF4850" w:rsidP="009C086B">
      <w:pPr>
        <w:pStyle w:val="Prrafodelista"/>
        <w:numPr>
          <w:ilvl w:val="0"/>
          <w:numId w:val="87"/>
        </w:numPr>
      </w:pPr>
      <w:r w:rsidRPr="004E6CFC">
        <w:rPr>
          <w:b/>
        </w:rPr>
        <w:lastRenderedPageBreak/>
        <w:t>Activos de nivel de tensión 2, 3 y 4</w:t>
      </w:r>
    </w:p>
    <w:p w:rsidR="00EF4850" w:rsidRPr="004E6CFC" w:rsidRDefault="00EF4850" w:rsidP="00EF4850">
      <w:r w:rsidRPr="004E6CFC">
        <w:t xml:space="preserve">Para los niveles de tensión 2, 3 y 4 la variable </w:t>
      </w:r>
      <w:r w:rsidRPr="004E6CFC">
        <w:rPr>
          <w:i/>
        </w:rPr>
        <w:t>CRIN</w:t>
      </w:r>
      <w:r w:rsidRPr="004E6CFC">
        <w:rPr>
          <w:i/>
          <w:vertAlign w:val="subscript"/>
        </w:rPr>
        <w:t>j,n,</w:t>
      </w:r>
      <w:r w:rsidR="00C4621D" w:rsidRPr="004E6CFC">
        <w:rPr>
          <w:i/>
          <w:vertAlign w:val="subscript"/>
        </w:rPr>
        <w:t xml:space="preserve">l </w:t>
      </w:r>
      <w:r w:rsidR="00C4621D" w:rsidRPr="004E6CFC">
        <w:t>se</w:t>
      </w:r>
      <w:r w:rsidRPr="004E6CFC">
        <w:t xml:space="preserve"> calcula de la siguiente manera:</w:t>
      </w:r>
    </w:p>
    <w:p w:rsidR="00EF4850" w:rsidRPr="004E6CFC" w:rsidRDefault="00C9592F" w:rsidP="00EF4850">
      <w:pPr>
        <w:pStyle w:val="Prrafodelista"/>
        <w:ind w:left="360"/>
      </w:pPr>
      <m:oMathPara>
        <m:oMath>
          <m:sSub>
            <m:sSubPr>
              <m:ctrlPr>
                <w:rPr>
                  <w:rFonts w:ascii="Cambria Math" w:hAnsi="Cambria Math"/>
                  <w:i/>
                  <w:sz w:val="22"/>
                </w:rPr>
              </m:ctrlPr>
            </m:sSubPr>
            <m:e>
              <m:r>
                <w:rPr>
                  <w:rFonts w:ascii="Cambria Math" w:hAnsi="Cambria Math"/>
                  <w:sz w:val="22"/>
                </w:rPr>
                <m:t>CRIN</m:t>
              </m:r>
            </m:e>
            <m:sub>
              <m:r>
                <w:rPr>
                  <w:rFonts w:ascii="Cambria Math" w:hAnsi="Cambria Math"/>
                  <w:sz w:val="22"/>
                </w:rPr>
                <m:t>j</m:t>
              </m:r>
              <m:r>
                <w:rPr>
                  <w:rFonts w:ascii="Cambria Math"/>
                  <w:sz w:val="22"/>
                </w:rPr>
                <m:t>,n,l</m:t>
              </m:r>
            </m:sub>
          </m:sSub>
          <m:r>
            <w:rPr>
              <w:rFonts w:ascii="Cambria Math"/>
              <w:sz w:val="22"/>
            </w:rPr>
            <m:t>=</m:t>
          </m:r>
          <m:nary>
            <m:naryPr>
              <m:chr m:val="∑"/>
              <m:limLoc m:val="undOvr"/>
              <m:ctrlPr>
                <w:rPr>
                  <w:rFonts w:ascii="Cambria Math" w:hAnsi="Cambria Math"/>
                  <w:i/>
                  <w:sz w:val="22"/>
                </w:rPr>
              </m:ctrlPr>
            </m:naryPr>
            <m:sub>
              <m:r>
                <w:rPr>
                  <w:rFonts w:ascii="Cambria Math" w:hAnsi="Cambria Math"/>
                  <w:sz w:val="22"/>
                </w:rPr>
                <m:t>i</m:t>
              </m:r>
              <m:r>
                <w:rPr>
                  <w:rFonts w:ascii="Cambria Math"/>
                  <w:sz w:val="22"/>
                </w:rPr>
                <m:t>=1</m:t>
              </m:r>
            </m:sub>
            <m:sup>
              <m:sSub>
                <m:sSubPr>
                  <m:ctrlPr>
                    <w:rPr>
                      <w:rFonts w:ascii="Cambria Math" w:hAnsi="Cambria Math"/>
                      <w:i/>
                      <w:sz w:val="22"/>
                    </w:rPr>
                  </m:ctrlPr>
                </m:sSubPr>
                <m:e>
                  <m:r>
                    <w:rPr>
                      <w:rFonts w:ascii="Cambria Math" w:hAnsi="Cambria Math"/>
                      <w:sz w:val="22"/>
                    </w:rPr>
                    <m:t>NO</m:t>
                  </m:r>
                </m:e>
                <m:sub>
                  <m:r>
                    <w:rPr>
                      <w:rFonts w:ascii="Cambria Math" w:hAnsi="Cambria Math"/>
                      <w:sz w:val="22"/>
                    </w:rPr>
                    <m:t>j</m:t>
                  </m:r>
                  <m:r>
                    <w:rPr>
                      <w:rFonts w:ascii="Cambria Math"/>
                      <w:sz w:val="22"/>
                    </w:rPr>
                    <m:t>,</m:t>
                  </m:r>
                  <m:r>
                    <w:rPr>
                      <w:rFonts w:ascii="Cambria Math" w:hAnsi="Cambria Math"/>
                      <w:sz w:val="22"/>
                    </w:rPr>
                    <m:t>n,l</m:t>
                  </m:r>
                </m:sub>
              </m:sSub>
            </m:sup>
            <m:e>
              <m:sSub>
                <m:sSubPr>
                  <m:ctrlPr>
                    <w:rPr>
                      <w:rFonts w:ascii="Cambria Math" w:hAnsi="Cambria Math"/>
                      <w:i/>
                      <w:sz w:val="22"/>
                    </w:rPr>
                  </m:ctrlPr>
                </m:sSubPr>
                <m:e>
                  <m:r>
                    <w:rPr>
                      <w:rFonts w:ascii="Cambria Math" w:hAnsi="Cambria Math"/>
                      <w:sz w:val="22"/>
                    </w:rPr>
                    <m:t>CR</m:t>
                  </m:r>
                </m:e>
                <m:sub>
                  <m:r>
                    <w:rPr>
                      <w:rFonts w:ascii="Cambria Math" w:hAnsi="Cambria Math"/>
                      <w:sz w:val="22"/>
                    </w:rPr>
                    <m:t>i</m:t>
                  </m:r>
                </m:sub>
              </m:sSub>
              <m:r>
                <w:rPr>
                  <w:rFonts w:ascii="Cambria Math" w:hAnsi="Cambria Math"/>
                  <w:sz w:val="22"/>
                </w:rPr>
                <m:t>*</m:t>
              </m:r>
              <m:sSub>
                <m:sSubPr>
                  <m:ctrlPr>
                    <w:rPr>
                      <w:rFonts w:ascii="Cambria Math" w:hAnsi="Cambria Math"/>
                      <w:i/>
                      <w:sz w:val="22"/>
                    </w:rPr>
                  </m:ctrlPr>
                </m:sSubPr>
                <m:e>
                  <m:r>
                    <w:rPr>
                      <w:rFonts w:ascii="Cambria Math" w:hAnsi="Cambria Math"/>
                      <w:sz w:val="22"/>
                    </w:rPr>
                    <m:t>PU</m:t>
                  </m:r>
                </m:e>
                <m:sub>
                  <m:r>
                    <w:rPr>
                      <w:rFonts w:ascii="Cambria Math" w:hAnsi="Cambria Math"/>
                      <w:sz w:val="22"/>
                    </w:rPr>
                    <m:t>j,i</m:t>
                  </m:r>
                </m:sub>
              </m:sSub>
              <m:r>
                <w:rPr>
                  <w:rFonts w:ascii="Cambria Math" w:hAnsi="Cambria Math"/>
                  <w:sz w:val="22"/>
                </w:rPr>
                <m:t>*</m:t>
              </m:r>
              <m:sSub>
                <m:sSubPr>
                  <m:ctrlPr>
                    <w:rPr>
                      <w:rFonts w:ascii="Cambria Math" w:hAnsi="Cambria Math"/>
                      <w:i/>
                      <w:sz w:val="22"/>
                    </w:rPr>
                  </m:ctrlPr>
                </m:sSubPr>
                <m:e>
                  <m:r>
                    <w:rPr>
                      <w:rFonts w:ascii="Cambria Math" w:hAnsi="Cambria Math"/>
                      <w:sz w:val="22"/>
                    </w:rPr>
                    <m:t>FU</m:t>
                  </m:r>
                </m:e>
                <m:sub>
                  <m:r>
                    <w:rPr>
                      <w:rFonts w:ascii="Cambria Math" w:hAnsi="Cambria Math"/>
                      <w:sz w:val="22"/>
                    </w:rPr>
                    <m:t>i</m:t>
                  </m:r>
                </m:sub>
              </m:sSub>
              <m:r>
                <w:rPr>
                  <w:rFonts w:ascii="Cambria Math" w:hAnsi="Cambria Math"/>
                  <w:sz w:val="22"/>
                </w:rPr>
                <m:t>*</m:t>
              </m:r>
              <m:d>
                <m:dPr>
                  <m:ctrlPr>
                    <w:rPr>
                      <w:rFonts w:ascii="Cambria Math" w:hAnsi="Cambria Math"/>
                      <w:i/>
                      <w:sz w:val="22"/>
                    </w:rPr>
                  </m:ctrlPr>
                </m:dPr>
                <m:e>
                  <m:r>
                    <w:rPr>
                      <w:rFonts w:ascii="Cambria Math" w:hAnsi="Cambria Math"/>
                      <w:sz w:val="22"/>
                    </w:rPr>
                    <m:t>1-</m:t>
                  </m:r>
                  <m:sSub>
                    <m:sSubPr>
                      <m:ctrlPr>
                        <w:rPr>
                          <w:rFonts w:ascii="Cambria Math" w:hAnsi="Cambria Math"/>
                          <w:i/>
                          <w:sz w:val="22"/>
                        </w:rPr>
                      </m:ctrlPr>
                    </m:sSubPr>
                    <m:e>
                      <m:r>
                        <w:rPr>
                          <w:rFonts w:ascii="Cambria Math" w:hAnsi="Cambria Math"/>
                          <w:sz w:val="22"/>
                        </w:rPr>
                        <m:t>RPP</m:t>
                      </m:r>
                    </m:e>
                    <m:sub>
                      <m:r>
                        <w:rPr>
                          <w:rFonts w:ascii="Cambria Math" w:hAnsi="Cambria Math"/>
                          <w:sz w:val="22"/>
                        </w:rPr>
                        <m:t>i</m:t>
                      </m:r>
                    </m:sub>
                  </m:sSub>
                </m:e>
              </m:d>
            </m:e>
          </m:nary>
          <m:r>
            <w:rPr>
              <w:rFonts w:ascii="Cambria Math"/>
              <w:sz w:val="22"/>
            </w:rPr>
            <m:t>+</m:t>
          </m:r>
          <m:nary>
            <m:naryPr>
              <m:chr m:val="∑"/>
              <m:limLoc m:val="undOvr"/>
              <m:ctrlPr>
                <w:rPr>
                  <w:rFonts w:ascii="Cambria Math" w:hAnsi="Cambria Math"/>
                  <w:i/>
                  <w:sz w:val="22"/>
                </w:rPr>
              </m:ctrlPr>
            </m:naryPr>
            <m:sub>
              <m:r>
                <w:rPr>
                  <w:rFonts w:ascii="Cambria Math"/>
                  <w:sz w:val="22"/>
                </w:rPr>
                <m:t>i=1</m:t>
              </m:r>
            </m:sub>
            <m:sup>
              <m:sSub>
                <m:sSubPr>
                  <m:ctrlPr>
                    <w:rPr>
                      <w:rFonts w:ascii="Cambria Math" w:hAnsi="Cambria Math"/>
                      <w:i/>
                      <w:sz w:val="22"/>
                    </w:rPr>
                  </m:ctrlPr>
                </m:sSubPr>
                <m:e>
                  <m:r>
                    <w:rPr>
                      <w:rFonts w:ascii="Cambria Math"/>
                      <w:sz w:val="22"/>
                    </w:rPr>
                    <m:t>SNNO</m:t>
                  </m:r>
                </m:e>
                <m:sub>
                  <m:r>
                    <w:rPr>
                      <w:rFonts w:ascii="Cambria Math"/>
                      <w:sz w:val="22"/>
                    </w:rPr>
                    <m:t>j,l</m:t>
                  </m:r>
                </m:sub>
              </m:sSub>
            </m:sup>
            <m:e>
              <m:d>
                <m:dPr>
                  <m:ctrlPr>
                    <w:rPr>
                      <w:rFonts w:ascii="Cambria Math" w:hAnsi="Cambria Math"/>
                      <w:i/>
                      <w:sz w:val="22"/>
                    </w:rPr>
                  </m:ctrlPr>
                </m:dPr>
                <m:e>
                  <m:sSub>
                    <m:sSubPr>
                      <m:ctrlPr>
                        <w:rPr>
                          <w:rFonts w:ascii="Cambria Math" w:hAnsi="Cambria Math"/>
                          <w:i/>
                          <w:sz w:val="22"/>
                        </w:rPr>
                      </m:ctrlPr>
                    </m:sSubPr>
                    <m:e>
                      <m:r>
                        <w:rPr>
                          <w:rFonts w:ascii="Cambria Math"/>
                          <w:sz w:val="22"/>
                        </w:rPr>
                        <m:t>CR</m:t>
                      </m:r>
                    </m:e>
                    <m:sub>
                      <m:r>
                        <w:rPr>
                          <w:rFonts w:ascii="Cambria Math"/>
                          <w:sz w:val="22"/>
                        </w:rPr>
                        <m:t>i</m:t>
                      </m:r>
                    </m:sub>
                  </m:sSub>
                  <m:r>
                    <w:rPr>
                      <w:rFonts w:ascii="Cambria Math" w:hAnsi="Cambria Math"/>
                      <w:sz w:val="22"/>
                    </w:rPr>
                    <m:t>*</m:t>
                  </m:r>
                  <m:sSub>
                    <m:sSubPr>
                      <m:ctrlPr>
                        <w:rPr>
                          <w:rFonts w:ascii="Cambria Math" w:hAnsi="Cambria Math"/>
                          <w:i/>
                          <w:sz w:val="22"/>
                        </w:rPr>
                      </m:ctrlPr>
                    </m:sSubPr>
                    <m:e>
                      <m:r>
                        <w:rPr>
                          <w:rFonts w:ascii="Cambria Math"/>
                          <w:sz w:val="22"/>
                        </w:rPr>
                        <m:t>PU</m:t>
                      </m:r>
                    </m:e>
                    <m:sub>
                      <m:r>
                        <w:rPr>
                          <w:rFonts w:ascii="Cambria Math"/>
                          <w:sz w:val="22"/>
                        </w:rPr>
                        <m:t>j,i</m:t>
                      </m:r>
                    </m:sub>
                  </m:sSub>
                  <m:r>
                    <w:rPr>
                      <w:rFonts w:ascii="Cambria Math" w:hAnsi="Cambria Math"/>
                      <w:sz w:val="22"/>
                    </w:rPr>
                    <m:t>*</m:t>
                  </m:r>
                  <m:sSub>
                    <m:sSubPr>
                      <m:ctrlPr>
                        <w:rPr>
                          <w:rFonts w:ascii="Cambria Math" w:hAnsi="Cambria Math"/>
                          <w:i/>
                          <w:sz w:val="22"/>
                        </w:rPr>
                      </m:ctrlPr>
                    </m:sSubPr>
                    <m:e>
                      <m:r>
                        <w:rPr>
                          <w:rFonts w:ascii="Cambria Math" w:hAnsi="Cambria Math"/>
                          <w:sz w:val="22"/>
                        </w:rPr>
                        <m:t>FU</m:t>
                      </m:r>
                    </m:e>
                    <m:sub>
                      <m:r>
                        <w:rPr>
                          <w:rFonts w:ascii="Cambria Math" w:hAnsi="Cambria Math"/>
                          <w:sz w:val="22"/>
                        </w:rPr>
                        <m:t>i</m:t>
                      </m:r>
                    </m:sub>
                  </m:sSub>
                  <m:r>
                    <w:rPr>
                      <w:rFonts w:ascii="Cambria Math" w:hAnsi="Cambria Math"/>
                      <w:sz w:val="22"/>
                    </w:rPr>
                    <m:t>*(1-</m:t>
                  </m:r>
                  <m:sSub>
                    <m:sSubPr>
                      <m:ctrlPr>
                        <w:rPr>
                          <w:rFonts w:ascii="Cambria Math" w:hAnsi="Cambria Math"/>
                          <w:i/>
                          <w:sz w:val="22"/>
                        </w:rPr>
                      </m:ctrlPr>
                    </m:sSubPr>
                    <m:e>
                      <m:r>
                        <w:rPr>
                          <w:rFonts w:ascii="Cambria Math" w:hAnsi="Cambria Math"/>
                          <w:sz w:val="22"/>
                        </w:rPr>
                        <m:t>RPP</m:t>
                      </m:r>
                    </m:e>
                    <m:sub>
                      <m:r>
                        <w:rPr>
                          <w:rFonts w:ascii="Cambria Math" w:hAnsi="Cambria Math"/>
                          <w:sz w:val="22"/>
                        </w:rPr>
                        <m:t>i</m:t>
                      </m:r>
                    </m:sub>
                  </m:sSub>
                  <m:r>
                    <w:rPr>
                      <w:rFonts w:ascii="Cambria Math" w:hAnsi="Cambria Math"/>
                      <w:sz w:val="22"/>
                    </w:rPr>
                    <m:t>)</m:t>
                  </m:r>
                  <m:r>
                    <w:rPr>
                      <w:rFonts w:ascii="Cambria Math" w:hAnsi="Cambria Math" w:cs="Cambria Math"/>
                      <w:sz w:val="22"/>
                    </w:rPr>
                    <m:t>*</m:t>
                  </m:r>
                  <m:sSub>
                    <m:sSubPr>
                      <m:ctrlPr>
                        <w:rPr>
                          <w:rFonts w:ascii="Cambria Math" w:hAnsi="Cambria Math"/>
                          <w:i/>
                          <w:sz w:val="22"/>
                        </w:rPr>
                      </m:ctrlPr>
                    </m:sSubPr>
                    <m:e>
                      <m:r>
                        <w:rPr>
                          <w:rFonts w:ascii="Cambria Math" w:hAnsi="Cambria Math"/>
                          <w:sz w:val="22"/>
                        </w:rPr>
                        <m:t>Psn</m:t>
                      </m:r>
                    </m:e>
                    <m:sub>
                      <m:r>
                        <w:rPr>
                          <w:rFonts w:ascii="Cambria Math" w:hAnsi="Cambria Math"/>
                          <w:sz w:val="22"/>
                        </w:rPr>
                        <m:t>j</m:t>
                      </m:r>
                    </m:sub>
                  </m:sSub>
                </m:e>
              </m:d>
            </m:e>
          </m:nary>
        </m:oMath>
      </m:oMathPara>
    </w:p>
    <w:p w:rsidR="00EF4850" w:rsidRPr="004E6CFC" w:rsidRDefault="00EF4850" w:rsidP="00EF4850">
      <w:pPr>
        <w:rPr>
          <w:iCs/>
        </w:rPr>
      </w:pPr>
      <w:r w:rsidRPr="004E6CFC">
        <w:rPr>
          <w:iCs/>
        </w:rPr>
        <w:t>Donde:</w:t>
      </w:r>
    </w:p>
    <w:p w:rsidR="00EF4850" w:rsidRPr="004E6CFC" w:rsidRDefault="00EF4850" w:rsidP="00EF4850">
      <w:pPr>
        <w:spacing w:before="120"/>
        <w:ind w:left="1469" w:hanging="1469"/>
        <w:rPr>
          <w:i/>
          <w:iCs/>
        </w:rPr>
      </w:pPr>
      <w:r w:rsidRPr="004E6CFC">
        <w:rPr>
          <w:i/>
          <w:iCs/>
        </w:rPr>
        <w:t>CRIN</w:t>
      </w:r>
      <w:r w:rsidRPr="004E6CFC">
        <w:rPr>
          <w:i/>
          <w:iCs/>
          <w:vertAlign w:val="subscript"/>
        </w:rPr>
        <w:t>j,n,l</w:t>
      </w:r>
      <w:r w:rsidRPr="004E6CFC">
        <w:t>:</w:t>
      </w:r>
      <w:r w:rsidRPr="004E6CFC">
        <w:tab/>
      </w:r>
      <w:r>
        <w:t xml:space="preserve">Valor </w:t>
      </w:r>
      <w:r w:rsidRPr="004E6CFC">
        <w:t xml:space="preserve">de la inversión del OR </w:t>
      </w:r>
      <w:r w:rsidRPr="004E6CFC">
        <w:rPr>
          <w:i/>
        </w:rPr>
        <w:t>j</w:t>
      </w:r>
      <w:r w:rsidRPr="004E6CFC">
        <w:t xml:space="preserve"> en el nivel de tensión </w:t>
      </w:r>
      <w:r w:rsidRPr="004E6CFC">
        <w:rPr>
          <w:i/>
        </w:rPr>
        <w:t>n</w:t>
      </w:r>
      <w:r w:rsidRPr="004E6CFC">
        <w:t xml:space="preserve"> para la categoría de activos </w:t>
      </w:r>
      <w:r w:rsidRPr="004E6CFC">
        <w:rPr>
          <w:i/>
        </w:rPr>
        <w:t>l</w:t>
      </w:r>
      <w:r w:rsidRPr="004E6CFC">
        <w:t xml:space="preserve">, asociado con los activos que fueron puestos en operación en el periodo 2008 a la fecha de corte. </w:t>
      </w:r>
    </w:p>
    <w:p w:rsidR="00EF4850" w:rsidRPr="004E6CFC" w:rsidRDefault="00EF4850" w:rsidP="00EF4850">
      <w:pPr>
        <w:tabs>
          <w:tab w:val="left" w:pos="1418"/>
        </w:tabs>
        <w:spacing w:before="120"/>
        <w:ind w:left="1418" w:hanging="1418"/>
      </w:pPr>
      <w:r w:rsidRPr="004E6CFC">
        <w:rPr>
          <w:i/>
          <w:iCs/>
        </w:rPr>
        <w:t>NO</w:t>
      </w:r>
      <w:r w:rsidRPr="004E6CFC">
        <w:rPr>
          <w:i/>
          <w:iCs/>
          <w:vertAlign w:val="subscript"/>
        </w:rPr>
        <w:t>j,n,l</w:t>
      </w:r>
      <w:r w:rsidRPr="004E6CFC">
        <w:t>:</w:t>
      </w:r>
      <w:r w:rsidRPr="004E6CFC">
        <w:tab/>
        <w:t xml:space="preserve">Número de UC puestas en operación en el periodo 2008 a la fecha de corte por el OR </w:t>
      </w:r>
      <w:r w:rsidRPr="004E6CFC">
        <w:rPr>
          <w:i/>
        </w:rPr>
        <w:t>j</w:t>
      </w:r>
      <w:r w:rsidRPr="004E6CFC">
        <w:t xml:space="preserve"> en el nivel de tensión </w:t>
      </w:r>
      <w:r w:rsidRPr="004E6CFC">
        <w:rPr>
          <w:i/>
        </w:rPr>
        <w:t>n</w:t>
      </w:r>
      <w:r w:rsidRPr="004E6CFC">
        <w:t xml:space="preserve"> pertenecientes a la categoría </w:t>
      </w:r>
      <w:r w:rsidRPr="004E6CFC">
        <w:rPr>
          <w:i/>
        </w:rPr>
        <w:t>l</w:t>
      </w:r>
      <w:r w:rsidRPr="004E6CFC">
        <w:t>, no se incluyen las UC que fueron trasladadas y siguen en operación.</w:t>
      </w:r>
    </w:p>
    <w:p w:rsidR="00EF4850" w:rsidRPr="004E6CFC" w:rsidRDefault="00EF4850" w:rsidP="00EF4850">
      <w:r w:rsidRPr="004E6CFC">
        <w:rPr>
          <w:i/>
          <w:iCs/>
        </w:rPr>
        <w:t>CR</w:t>
      </w:r>
      <w:r w:rsidRPr="004E6CFC">
        <w:rPr>
          <w:i/>
          <w:iCs/>
          <w:vertAlign w:val="subscript"/>
        </w:rPr>
        <w:t>i</w:t>
      </w:r>
      <w:r w:rsidRPr="004E6CFC">
        <w:t>:</w:t>
      </w:r>
      <w:r w:rsidRPr="004E6CFC">
        <w:tab/>
      </w:r>
      <w:r w:rsidRPr="004E6CFC">
        <w:tab/>
      </w:r>
      <w:r w:rsidRPr="004E6CFC">
        <w:tab/>
      </w:r>
      <w:r w:rsidRPr="004E6CFC">
        <w:tab/>
      </w:r>
      <w:r w:rsidRPr="004E6CFC">
        <w:tab/>
      </w:r>
      <w:r w:rsidRPr="004E6CFC">
        <w:tab/>
      </w:r>
      <w:r w:rsidRPr="004E6CFC">
        <w:tab/>
      </w:r>
      <w:r w:rsidRPr="004E6CFC">
        <w:tab/>
        <w:t xml:space="preserve"> Valor de la UC </w:t>
      </w:r>
      <w:r w:rsidRPr="004E6CFC">
        <w:rPr>
          <w:i/>
          <w:iCs/>
        </w:rPr>
        <w:t>i</w:t>
      </w:r>
      <w:r w:rsidRPr="004E6CFC">
        <w:t xml:space="preserve"> definido en el capítulo </w:t>
      </w:r>
      <w:r w:rsidRPr="004E6CFC">
        <w:fldChar w:fldCharType="begin"/>
      </w:r>
      <w:r w:rsidRPr="004E6CFC">
        <w:instrText xml:space="preserve"> REF _Ref476818651 \r \h \t  \* MERGEFORMAT </w:instrText>
      </w:r>
      <w:r w:rsidRPr="004E6CFC">
        <w:fldChar w:fldCharType="separate"/>
      </w:r>
      <w:r w:rsidR="00737178">
        <w:t>15</w:t>
      </w:r>
      <w:r w:rsidRPr="004E6CFC">
        <w:fldChar w:fldCharType="end"/>
      </w:r>
      <w:r w:rsidRPr="004E6CFC">
        <w:t>.</w:t>
      </w:r>
    </w:p>
    <w:p w:rsidR="00EF4850" w:rsidRDefault="00EF4850" w:rsidP="00EF4850">
      <w:pPr>
        <w:tabs>
          <w:tab w:val="left" w:pos="1418"/>
        </w:tabs>
        <w:spacing w:before="120"/>
        <w:ind w:left="1418" w:hanging="1418"/>
      </w:pPr>
      <w:r w:rsidRPr="004E6CFC">
        <w:rPr>
          <w:i/>
          <w:iCs/>
        </w:rPr>
        <w:t>PU</w:t>
      </w:r>
      <w:r w:rsidRPr="004E6CFC">
        <w:rPr>
          <w:i/>
          <w:iCs/>
          <w:vertAlign w:val="subscript"/>
        </w:rPr>
        <w:t>j,i</w:t>
      </w:r>
      <w:r w:rsidRPr="004E6CFC">
        <w:rPr>
          <w:i/>
          <w:iCs/>
        </w:rPr>
        <w:t>:</w:t>
      </w:r>
      <w:r w:rsidRPr="004E6CFC">
        <w:tab/>
        <w:t xml:space="preserve">Fracción del costo de la UC </w:t>
      </w:r>
      <w:r w:rsidRPr="004E6CFC">
        <w:rPr>
          <w:i/>
          <w:iCs/>
        </w:rPr>
        <w:t>i</w:t>
      </w:r>
      <w:r w:rsidRPr="004E6CFC">
        <w:t xml:space="preserve"> del OR </w:t>
      </w:r>
      <w:r w:rsidRPr="004E6CFC">
        <w:rPr>
          <w:i/>
        </w:rPr>
        <w:t>j</w:t>
      </w:r>
      <w:r w:rsidRPr="004E6CFC">
        <w:t xml:space="preserve"> que es</w:t>
      </w:r>
      <w:r w:rsidRPr="004E6CFC">
        <w:rPr>
          <w:i/>
        </w:rPr>
        <w:t xml:space="preserve"> </w:t>
      </w:r>
      <w:r w:rsidRPr="004E6CFC">
        <w:t>remunerada vía cargos por uso.</w:t>
      </w:r>
    </w:p>
    <w:p w:rsidR="00EF4850" w:rsidRPr="008D1CC2" w:rsidRDefault="00EF4850" w:rsidP="00EF4850">
      <w:pPr>
        <w:tabs>
          <w:tab w:val="left" w:pos="1418"/>
        </w:tabs>
        <w:spacing w:before="120"/>
        <w:ind w:left="1418" w:hanging="1418"/>
        <w:rPr>
          <w:iCs/>
        </w:rPr>
      </w:pPr>
      <w:r w:rsidRPr="004E6CFC">
        <w:rPr>
          <w:i/>
          <w:iCs/>
        </w:rPr>
        <w:t>FU</w:t>
      </w:r>
      <w:r w:rsidRPr="004E6CFC">
        <w:rPr>
          <w:i/>
          <w:iCs/>
          <w:vertAlign w:val="subscript"/>
        </w:rPr>
        <w:t>i</w:t>
      </w:r>
      <w:r w:rsidRPr="004E6CFC">
        <w:rPr>
          <w:i/>
          <w:iCs/>
        </w:rPr>
        <w:t>:</w:t>
      </w:r>
      <w:r w:rsidRPr="004E6CFC">
        <w:rPr>
          <w:i/>
          <w:iCs/>
        </w:rPr>
        <w:tab/>
      </w:r>
      <w:r w:rsidRPr="004E6CFC">
        <w:t xml:space="preserve">Fracción del costo de la UC </w:t>
      </w:r>
      <w:r w:rsidRPr="004E6CFC">
        <w:rPr>
          <w:i/>
          <w:iCs/>
        </w:rPr>
        <w:t>i</w:t>
      </w:r>
      <w:r w:rsidRPr="004E6CFC">
        <w:t xml:space="preserve"> que es reconocida por reposiciones parciales de la UC. Este valor se calcula como el peso relativo del valor reconocido del elemento o los elementos reemplazados respecto al valor total de la UC.</w:t>
      </w:r>
      <w:r w:rsidRPr="004E6CFC" w:rsidDel="00440C55">
        <w:rPr>
          <w:i/>
          <w:iCs/>
        </w:rPr>
        <w:t xml:space="preserve"> </w:t>
      </w:r>
      <w:r w:rsidR="00F13040">
        <w:rPr>
          <w:iCs/>
        </w:rPr>
        <w:t>La Comisión publicará en c</w:t>
      </w:r>
      <w:r>
        <w:rPr>
          <w:iCs/>
        </w:rPr>
        <w:t xml:space="preserve">ircular aparte el peso relativo de cada componente de las UC. </w:t>
      </w:r>
    </w:p>
    <w:p w:rsidR="00EF4850" w:rsidRPr="004E6CFC" w:rsidRDefault="00EF4850" w:rsidP="00EF4850">
      <w:pPr>
        <w:tabs>
          <w:tab w:val="left" w:pos="1418"/>
        </w:tabs>
        <w:spacing w:before="120"/>
        <w:ind w:left="1418" w:hanging="1418"/>
      </w:pPr>
      <w:r w:rsidRPr="004E6CFC">
        <w:rPr>
          <w:i/>
          <w:iCs/>
        </w:rPr>
        <w:t>RPP</w:t>
      </w:r>
      <w:r w:rsidRPr="004E6CFC">
        <w:rPr>
          <w:i/>
          <w:iCs/>
          <w:vertAlign w:val="subscript"/>
        </w:rPr>
        <w:t>i</w:t>
      </w:r>
      <w:r w:rsidRPr="004E6CFC">
        <w:rPr>
          <w:i/>
          <w:iCs/>
        </w:rPr>
        <w:t>:</w:t>
      </w:r>
      <w:r w:rsidRPr="004E6CFC">
        <w:tab/>
        <w:t xml:space="preserve">Fracción del costo de la UC </w:t>
      </w:r>
      <w:r w:rsidRPr="004E6CFC">
        <w:rPr>
          <w:i/>
          <w:iCs/>
        </w:rPr>
        <w:t>i</w:t>
      </w:r>
      <w:r w:rsidRPr="004E6CFC">
        <w:t xml:space="preserve"> que es</w:t>
      </w:r>
      <w:r w:rsidRPr="004E6CFC">
        <w:rPr>
          <w:i/>
        </w:rPr>
        <w:t xml:space="preserve"> </w:t>
      </w:r>
      <w:r w:rsidRPr="004E6CFC">
        <w:t>remunerada vía cargos por uso que no se debe incluir en el cálculo de la tarifa.</w:t>
      </w:r>
    </w:p>
    <w:p w:rsidR="00EF4850" w:rsidRPr="004E6CFC" w:rsidRDefault="00EF4850" w:rsidP="00EF4850">
      <w:pPr>
        <w:tabs>
          <w:tab w:val="left" w:pos="1418"/>
        </w:tabs>
        <w:spacing w:before="120"/>
        <w:ind w:left="1418" w:hanging="1418"/>
      </w:pPr>
      <w:r w:rsidRPr="004E6CFC">
        <w:rPr>
          <w:i/>
          <w:iCs/>
        </w:rPr>
        <w:t>SN</w:t>
      </w:r>
      <w:r>
        <w:rPr>
          <w:i/>
          <w:iCs/>
        </w:rPr>
        <w:t>N</w:t>
      </w:r>
      <w:r w:rsidRPr="004E6CFC">
        <w:rPr>
          <w:i/>
          <w:iCs/>
        </w:rPr>
        <w:t>O</w:t>
      </w:r>
      <w:r w:rsidRPr="004E6CFC">
        <w:rPr>
          <w:i/>
          <w:iCs/>
          <w:vertAlign w:val="subscript"/>
        </w:rPr>
        <w:t>j,l</w:t>
      </w:r>
      <w:r w:rsidRPr="004E6CFC">
        <w:rPr>
          <w:i/>
          <w:iCs/>
        </w:rPr>
        <w:t>:</w:t>
      </w:r>
      <w:r w:rsidRPr="004E6CFC">
        <w:rPr>
          <w:i/>
          <w:iCs/>
        </w:rPr>
        <w:tab/>
      </w:r>
      <w:r w:rsidRPr="004E6CFC">
        <w:t xml:space="preserve">Número de UC sin nivel de tensión puestas en operación en el periodo enero de 2008 a la fecha de corte en el sistema del OR </w:t>
      </w:r>
      <w:r w:rsidRPr="004E6CFC">
        <w:rPr>
          <w:i/>
        </w:rPr>
        <w:t>j</w:t>
      </w:r>
      <w:r w:rsidRPr="004E6CFC">
        <w:t xml:space="preserve"> para  la categoría de activos </w:t>
      </w:r>
      <w:r w:rsidRPr="004E6CFC">
        <w:rPr>
          <w:i/>
        </w:rPr>
        <w:t>l</w:t>
      </w:r>
      <w:r w:rsidRPr="004E6CFC">
        <w:t xml:space="preserve">. </w:t>
      </w:r>
    </w:p>
    <w:p w:rsidR="00EF4850" w:rsidRPr="004E6CFC" w:rsidRDefault="00EF4850" w:rsidP="00EF4850">
      <w:pPr>
        <w:tabs>
          <w:tab w:val="left" w:pos="1418"/>
        </w:tabs>
        <w:spacing w:before="120"/>
        <w:ind w:left="1418" w:hanging="1418"/>
        <w:rPr>
          <w:iCs/>
        </w:rPr>
      </w:pPr>
      <w:r w:rsidRPr="004E6CFC">
        <w:rPr>
          <w:i/>
          <w:iCs/>
        </w:rPr>
        <w:t>Psn</w:t>
      </w:r>
      <w:r w:rsidRPr="004E6CFC">
        <w:rPr>
          <w:i/>
          <w:iCs/>
          <w:vertAlign w:val="subscript"/>
        </w:rPr>
        <w:t>j</w:t>
      </w:r>
      <w:r w:rsidRPr="004E6CFC">
        <w:rPr>
          <w:i/>
          <w:iCs/>
        </w:rPr>
        <w:t>:</w:t>
      </w:r>
      <w:r w:rsidRPr="004E6CFC">
        <w:rPr>
          <w:i/>
          <w:iCs/>
        </w:rPr>
        <w:tab/>
      </w:r>
      <w:r w:rsidRPr="004E6CFC">
        <w:rPr>
          <w:iCs/>
        </w:rPr>
        <w:t xml:space="preserve">Variable de asignación de las UC sin nivel de tensión. Para OR con cuatro niveles de tensión es igual a 1/3, para OR con tres niveles de tensión es igual a 1/2 y para OR con dos niveles de tensión es igual a 1. </w:t>
      </w:r>
    </w:p>
    <w:p w:rsidR="00EF4850" w:rsidRDefault="00EF4850" w:rsidP="00EF4850">
      <w:r w:rsidRPr="004E6CFC">
        <w:t xml:space="preserve">Para determinar el costo de reposición categorías de activos se deben clasificar dichas unidades constructivas en las categorías de activos definidas en el numeral </w:t>
      </w:r>
      <w:r w:rsidRPr="004E6CFC">
        <w:fldChar w:fldCharType="begin"/>
      </w:r>
      <w:r w:rsidRPr="004E6CFC">
        <w:instrText xml:space="preserve"> REF _Ref450291254 \r \h  \* MERGEFORMAT </w:instrText>
      </w:r>
      <w:r w:rsidRPr="004E6CFC">
        <w:fldChar w:fldCharType="separate"/>
      </w:r>
      <w:r w:rsidR="00737178">
        <w:t>15.2</w:t>
      </w:r>
      <w:r w:rsidRPr="004E6CFC">
        <w:fldChar w:fldCharType="end"/>
      </w:r>
      <w:r w:rsidRPr="004E6CFC">
        <w:t>.</w:t>
      </w:r>
    </w:p>
    <w:p w:rsidR="00EF4850" w:rsidRDefault="00EF4850" w:rsidP="00EF4850">
      <w:r w:rsidRPr="004E6CFC">
        <w:t xml:space="preserve">Para poder incluir el valor de estos activos el OR debe entregar para cada una de las UC a incorporar la siguiente información: municipio, subestación, georreferenciación, características técnicas, fecha de entrada en operación, datos de placa, así como el inventario asimilado a las UC definidas en el capítulo </w:t>
      </w:r>
      <w:r w:rsidRPr="004E6CFC">
        <w:fldChar w:fldCharType="begin"/>
      </w:r>
      <w:r w:rsidRPr="004E6CFC">
        <w:instrText xml:space="preserve"> REF _Ref476818651 \r \h \t  \* MERGEFORMAT </w:instrText>
      </w:r>
      <w:r w:rsidRPr="004E6CFC">
        <w:fldChar w:fldCharType="separate"/>
      </w:r>
      <w:r w:rsidR="00737178">
        <w:t>15</w:t>
      </w:r>
      <w:r w:rsidRPr="004E6CFC">
        <w:fldChar w:fldCharType="end"/>
      </w:r>
      <w:r w:rsidRPr="004E6CFC">
        <w:t xml:space="preserve">. </w:t>
      </w:r>
      <w:r>
        <w:t>Las UC para las cuales no se reporte la totalidad de la información requerida no serán incluidas en la base inicial de activos.</w:t>
      </w:r>
    </w:p>
    <w:p w:rsidR="00EF4850" w:rsidRDefault="00EF4850" w:rsidP="00EF4850">
      <w:pPr>
        <w:rPr>
          <w:lang w:val="es-ES_tradnl"/>
        </w:rPr>
      </w:pPr>
      <w:r>
        <w:rPr>
          <w:lang w:val="es-ES_tradnl"/>
        </w:rPr>
        <w:lastRenderedPageBreak/>
        <w:t xml:space="preserve">El OR debe clasificar cada UC en los tipos de </w:t>
      </w:r>
      <w:r w:rsidR="009A559F">
        <w:rPr>
          <w:lang w:val="es-ES_tradnl"/>
        </w:rPr>
        <w:t>inversión</w:t>
      </w:r>
      <w:r>
        <w:rPr>
          <w:lang w:val="es-ES_tradnl"/>
        </w:rPr>
        <w:t xml:space="preserve"> establecidos en el capítulo </w:t>
      </w:r>
      <w:r>
        <w:rPr>
          <w:lang w:val="es-ES_tradnl"/>
        </w:rPr>
        <w:fldChar w:fldCharType="begin"/>
      </w:r>
      <w:r>
        <w:rPr>
          <w:lang w:val="es-ES_tradnl"/>
        </w:rPr>
        <w:instrText xml:space="preserve"> REF _Ref406575088 \r \h\t </w:instrText>
      </w:r>
      <w:r>
        <w:rPr>
          <w:lang w:val="es-ES_tradnl"/>
        </w:rPr>
      </w:r>
      <w:r>
        <w:rPr>
          <w:lang w:val="es-ES_tradnl"/>
        </w:rPr>
        <w:fldChar w:fldCharType="separate"/>
      </w:r>
      <w:r w:rsidR="00737178">
        <w:rPr>
          <w:lang w:val="es-ES_tradnl"/>
        </w:rPr>
        <w:t>6</w:t>
      </w:r>
      <w:r>
        <w:rPr>
          <w:lang w:val="es-ES_tradnl"/>
        </w:rPr>
        <w:fldChar w:fldCharType="end"/>
      </w:r>
      <w:r>
        <w:rPr>
          <w:lang w:val="es-ES_tradnl"/>
        </w:rPr>
        <w:t xml:space="preserve"> y para los tipos I y III se debe reportar las UC que fueron reemplazadas. </w:t>
      </w:r>
    </w:p>
    <w:p w:rsidR="00EF4850" w:rsidRDefault="00EF4850" w:rsidP="00EF4850">
      <w:pPr>
        <w:rPr>
          <w:lang w:val="es-ES_tradnl"/>
        </w:rPr>
      </w:pPr>
      <w:r>
        <w:rPr>
          <w:lang w:val="es-ES_tradnl"/>
        </w:rPr>
        <w:t xml:space="preserve">El reporte de la </w:t>
      </w:r>
      <w:r w:rsidR="009A559F">
        <w:rPr>
          <w:lang w:val="es-ES_tradnl"/>
        </w:rPr>
        <w:t>información</w:t>
      </w:r>
      <w:r>
        <w:rPr>
          <w:lang w:val="es-ES_tradnl"/>
        </w:rPr>
        <w:t xml:space="preserve"> se realizara de acuerdo con lo establecido en el </w:t>
      </w:r>
      <w:r>
        <w:rPr>
          <w:lang w:val="es-ES_tradnl"/>
        </w:rPr>
        <w:fldChar w:fldCharType="begin"/>
      </w:r>
      <w:r>
        <w:rPr>
          <w:lang w:val="es-ES_tradnl"/>
        </w:rPr>
        <w:instrText xml:space="preserve"> REF _Ref476757639 \w \h </w:instrText>
      </w:r>
      <w:r>
        <w:rPr>
          <w:lang w:val="es-ES_tradnl"/>
        </w:rPr>
      </w:r>
      <w:r>
        <w:rPr>
          <w:lang w:val="es-ES_tradnl"/>
        </w:rPr>
        <w:fldChar w:fldCharType="separate"/>
      </w:r>
      <w:r w:rsidR="00737178">
        <w:rPr>
          <w:lang w:val="es-ES_tradnl"/>
        </w:rPr>
        <w:t>Artículo 5</w:t>
      </w:r>
      <w:r>
        <w:rPr>
          <w:lang w:val="es-ES_tradnl"/>
        </w:rPr>
        <w:fldChar w:fldCharType="end"/>
      </w:r>
      <w:r>
        <w:rPr>
          <w:lang w:val="es-ES_tradnl"/>
        </w:rPr>
        <w:t xml:space="preserve"> de la presente resolución.</w:t>
      </w:r>
    </w:p>
    <w:p w:rsidR="00EF4850" w:rsidRPr="004E6CFC" w:rsidRDefault="00EF4850" w:rsidP="00EF4850">
      <w:r w:rsidRPr="004E6CFC">
        <w:t>La Comisión podrá realizar la verificación de estos activos, en caso de encontrarse diferencias mayores al 5% entre lo reportado y lo verificado y que estas no sean justificadas por el OR, esta variable no se incluirá en la base inicial de activos.</w:t>
      </w:r>
    </w:p>
    <w:p w:rsidR="00EF4850" w:rsidRPr="004E6CFC" w:rsidRDefault="00EF4850" w:rsidP="009C086B">
      <w:pPr>
        <w:pStyle w:val="Prrafodelista"/>
        <w:numPr>
          <w:ilvl w:val="0"/>
          <w:numId w:val="87"/>
        </w:numPr>
        <w:rPr>
          <w:lang w:val="es-ES_tradnl"/>
        </w:rPr>
      </w:pPr>
      <w:r w:rsidRPr="004E6CFC">
        <w:rPr>
          <w:b/>
        </w:rPr>
        <w:t>Activos</w:t>
      </w:r>
      <w:r w:rsidRPr="004E6CFC">
        <w:rPr>
          <w:b/>
          <w:lang w:val="es-ES_tradnl"/>
        </w:rPr>
        <w:t xml:space="preserve"> de nivel de tensión 1</w:t>
      </w:r>
    </w:p>
    <w:p w:rsidR="00EF4850" w:rsidRPr="004E6CFC" w:rsidRDefault="00EF4850" w:rsidP="00EF4850">
      <w:r w:rsidRPr="004E6CFC">
        <w:rPr>
          <w:iCs/>
        </w:rPr>
        <w:t xml:space="preserve">Para el nivel de tensión 1 la variable </w:t>
      </w:r>
      <w:r w:rsidRPr="004E6CFC">
        <w:rPr>
          <w:i/>
          <w:iCs/>
        </w:rPr>
        <w:t>CRIN</w:t>
      </w:r>
      <w:r w:rsidRPr="004E6CFC">
        <w:rPr>
          <w:i/>
          <w:iCs/>
          <w:vertAlign w:val="subscript"/>
        </w:rPr>
        <w:t xml:space="preserve">j,1,l </w:t>
      </w:r>
      <w:r w:rsidRPr="004E6CFC">
        <w:t xml:space="preserve"> se calcula de la siguiente manera:</w:t>
      </w:r>
    </w:p>
    <w:p w:rsidR="00EF4850" w:rsidRPr="004E6CFC" w:rsidRDefault="00C9592F" w:rsidP="00EF4850">
      <w:pPr>
        <w:numPr>
          <w:ilvl w:val="12"/>
          <w:numId w:val="0"/>
        </w:numPr>
        <w:suppressAutoHyphens/>
      </w:pPr>
      <m:oMathPara>
        <m:oMath>
          <m:sSub>
            <m:sSubPr>
              <m:ctrlPr>
                <w:rPr>
                  <w:rFonts w:ascii="Cambria Math" w:hAnsi="Cambria Math"/>
                </w:rPr>
              </m:ctrlPr>
            </m:sSubPr>
            <m:e>
              <m:r>
                <w:rPr>
                  <w:rFonts w:ascii="Cambria Math" w:hAnsi="Cambria Math"/>
                </w:rPr>
                <m:t>CRIN</m:t>
              </m:r>
            </m:e>
            <m:sub>
              <m:r>
                <w:rPr>
                  <w:rFonts w:ascii="Cambria Math" w:hAnsi="Cambria Math"/>
                </w:rPr>
                <m:t>j,1,l</m:t>
              </m:r>
            </m:sub>
          </m:sSub>
          <m:r>
            <w:rPr>
              <w:rFonts w:ascii="Cambria Math"/>
            </w:rPr>
            <m:t>=</m:t>
          </m:r>
          <m:sSub>
            <m:sSubPr>
              <m:ctrlPr>
                <w:rPr>
                  <w:rFonts w:ascii="Cambria Math" w:hAnsi="Cambria Math"/>
                </w:rPr>
              </m:ctrlPr>
            </m:sSubPr>
            <m:e>
              <m:r>
                <w:rPr>
                  <w:rFonts w:ascii="Cambria Math" w:hAnsi="Cambria Math"/>
                </w:rPr>
                <m:t>NTN</m:t>
              </m:r>
            </m:e>
            <m:sub>
              <m:r>
                <w:rPr>
                  <w:rFonts w:ascii="Cambria Math" w:hAnsi="Cambria Math"/>
                </w:rPr>
                <m:t>j,l</m:t>
              </m:r>
            </m:sub>
          </m:sSub>
          <m:r>
            <w:rPr>
              <w:rFonts w:ascii="Cambria Math" w:hAnsi="Cambria Math"/>
            </w:rPr>
            <m:t>*</m:t>
          </m:r>
          <m:sSub>
            <m:sSubPr>
              <m:ctrlPr>
                <w:rPr>
                  <w:rFonts w:ascii="Cambria Math" w:hAnsi="Cambria Math"/>
                </w:rPr>
              </m:ctrlPr>
            </m:sSubPr>
            <m:e>
              <m:r>
                <w:rPr>
                  <w:rFonts w:ascii="Cambria Math" w:hAnsi="Cambria Math"/>
                </w:rPr>
                <m:t>CMTD</m:t>
              </m:r>
            </m:e>
            <m:sub>
              <m:r>
                <w:rPr>
                  <w:rFonts w:ascii="Cambria Math" w:hAnsi="Cambria Math"/>
                </w:rPr>
                <m:t>j</m:t>
              </m:r>
            </m:sub>
          </m:sSub>
          <m:r>
            <w:rPr>
              <w:rFonts w:ascii="Cambria Math" w:hAnsi="Cambria Math"/>
            </w:rPr>
            <m:t>+</m:t>
          </m:r>
          <m:sSub>
            <m:sSubPr>
              <m:ctrlPr>
                <w:rPr>
                  <w:rFonts w:ascii="Cambria Math" w:hAnsi="Cambria Math"/>
                </w:rPr>
              </m:ctrlPr>
            </m:sSubPr>
            <m:e>
              <m:r>
                <w:rPr>
                  <w:rFonts w:ascii="Cambria Math" w:hAnsi="Cambria Math"/>
                </w:rPr>
                <m:t>NRN</m:t>
              </m:r>
            </m:e>
            <m:sub>
              <m:r>
                <w:rPr>
                  <w:rFonts w:ascii="Cambria Math" w:hAnsi="Cambria Math"/>
                </w:rPr>
                <m:t>j,l</m:t>
              </m:r>
            </m:sub>
          </m:sSub>
          <m:sSub>
            <m:sSubPr>
              <m:ctrlPr>
                <w:rPr>
                  <w:rFonts w:ascii="Cambria Math" w:hAnsi="Cambria Math"/>
                </w:rPr>
              </m:ctrlPr>
            </m:sSubPr>
            <m:e>
              <m:r>
                <w:rPr>
                  <w:rFonts w:ascii="Cambria Math" w:hAnsi="Cambria Math"/>
                </w:rPr>
                <m:t>*CMRD</m:t>
              </m:r>
            </m:e>
            <m:sub>
              <m:r>
                <w:rPr>
                  <w:rFonts w:ascii="Cambria Math" w:hAnsi="Cambria Math"/>
                </w:rPr>
                <m:t>j</m:t>
              </m:r>
            </m:sub>
          </m:sSub>
        </m:oMath>
      </m:oMathPara>
    </w:p>
    <w:p w:rsidR="00EF4850" w:rsidRPr="004E6CFC" w:rsidRDefault="00EF4850" w:rsidP="00EF4850">
      <w:pPr>
        <w:ind w:left="702" w:hanging="702"/>
        <w:rPr>
          <w:iCs/>
        </w:rPr>
      </w:pPr>
      <w:r w:rsidRPr="004E6CFC">
        <w:rPr>
          <w:iCs/>
        </w:rPr>
        <w:t>Donde:</w:t>
      </w:r>
    </w:p>
    <w:p w:rsidR="00EF4850" w:rsidRPr="004E6CFC" w:rsidRDefault="00EF4850" w:rsidP="00EF4850">
      <w:pPr>
        <w:numPr>
          <w:ilvl w:val="12"/>
          <w:numId w:val="0"/>
        </w:numPr>
        <w:suppressAutoHyphens/>
        <w:spacing w:before="120"/>
        <w:ind w:left="1418" w:hanging="1418"/>
      </w:pPr>
      <w:r w:rsidRPr="004E6CFC">
        <w:rPr>
          <w:i/>
        </w:rPr>
        <w:t>NTN</w:t>
      </w:r>
      <w:r w:rsidRPr="004E6CFC">
        <w:rPr>
          <w:i/>
          <w:vertAlign w:val="subscript"/>
        </w:rPr>
        <w:t>j</w:t>
      </w:r>
      <w:r w:rsidRPr="004E6CFC">
        <w:t>:</w:t>
      </w:r>
      <w:r w:rsidRPr="004E6CFC">
        <w:tab/>
        <w:t xml:space="preserve">Número de transformadores de distribución puestos en operación en el periodo 2008 a la fecha de corte y reportados al SUI por el OR </w:t>
      </w:r>
      <w:r w:rsidRPr="004E6CFC">
        <w:rPr>
          <w:i/>
        </w:rPr>
        <w:t>j</w:t>
      </w:r>
      <w:r w:rsidRPr="004E6CFC">
        <w:t xml:space="preserve"> en el nivel de tensión 1, con </w:t>
      </w:r>
      <w:r w:rsidRPr="004E6CFC">
        <w:rPr>
          <w:i/>
        </w:rPr>
        <w:t xml:space="preserve">l </w:t>
      </w:r>
      <w:r w:rsidRPr="004E6CFC">
        <w:t>=</w:t>
      </w:r>
      <w:r w:rsidRPr="004E6CFC">
        <w:rPr>
          <w:i/>
        </w:rPr>
        <w:t>11</w:t>
      </w:r>
      <w:r w:rsidRPr="004E6CFC">
        <w:t>.</w:t>
      </w:r>
    </w:p>
    <w:p w:rsidR="00EF4850" w:rsidRPr="004E6CFC" w:rsidRDefault="00EF4850" w:rsidP="00EF4850">
      <w:pPr>
        <w:numPr>
          <w:ilvl w:val="12"/>
          <w:numId w:val="0"/>
        </w:numPr>
        <w:suppressAutoHyphens/>
        <w:spacing w:before="120"/>
        <w:ind w:left="1418" w:hanging="2"/>
        <w:rPr>
          <w:i/>
        </w:rPr>
      </w:pPr>
      <w:r w:rsidRPr="004E6CFC">
        <w:t>Se deben excluir los siguientes transformadores: i) transformadores construidos con recursos públicos, ii) transformadores de conexión que atiendan a un usuario, iii) transformadores exclusivos de alumbrado público</w:t>
      </w:r>
      <w:r>
        <w:t xml:space="preserve"> y</w:t>
      </w:r>
      <w:r w:rsidRPr="004E6CFC">
        <w:t xml:space="preserve"> iv) transformadores reubicados.</w:t>
      </w:r>
    </w:p>
    <w:p w:rsidR="00EF4850" w:rsidRPr="004E6CFC" w:rsidRDefault="00EF4850" w:rsidP="00EF4850">
      <w:pPr>
        <w:numPr>
          <w:ilvl w:val="12"/>
          <w:numId w:val="0"/>
        </w:numPr>
        <w:suppressAutoHyphens/>
        <w:spacing w:before="120"/>
        <w:ind w:left="1418" w:hanging="1418"/>
        <w:rPr>
          <w:i/>
        </w:rPr>
      </w:pPr>
      <w:r w:rsidRPr="004E6CFC">
        <w:rPr>
          <w:i/>
        </w:rPr>
        <w:t>CMTD</w:t>
      </w:r>
      <w:r w:rsidRPr="004E6CFC">
        <w:rPr>
          <w:i/>
          <w:vertAlign w:val="subscript"/>
        </w:rPr>
        <w:t>j</w:t>
      </w:r>
      <w:r w:rsidRPr="004E6CFC">
        <w:rPr>
          <w:i/>
        </w:rPr>
        <w:t>:</w:t>
      </w:r>
      <w:r w:rsidRPr="004E6CFC">
        <w:tab/>
        <w:t xml:space="preserve">Costo medio de transformadores del OR </w:t>
      </w:r>
      <w:r w:rsidRPr="004E6CFC">
        <w:rPr>
          <w:i/>
        </w:rPr>
        <w:t>j</w:t>
      </w:r>
      <w:r w:rsidRPr="004E6CFC">
        <w:t xml:space="preserve">, calculado según lo establecido en el literal </w:t>
      </w:r>
      <w:r w:rsidRPr="004E6CFC">
        <w:fldChar w:fldCharType="begin"/>
      </w:r>
      <w:r w:rsidRPr="004E6CFC">
        <w:instrText xml:space="preserve"> REF _Ref460420580 \r \h  \* MERGEFORMAT </w:instrText>
      </w:r>
      <w:r w:rsidRPr="004E6CFC">
        <w:fldChar w:fldCharType="separate"/>
      </w:r>
      <w:r w:rsidR="00737178">
        <w:t>b</w:t>
      </w:r>
      <w:r w:rsidRPr="004E6CFC">
        <w:fldChar w:fldCharType="end"/>
      </w:r>
      <w:r w:rsidRPr="004E6CFC">
        <w:t xml:space="preserve"> del numeral </w:t>
      </w:r>
      <w:r w:rsidRPr="004E6CFC">
        <w:fldChar w:fldCharType="begin"/>
      </w:r>
      <w:r w:rsidRPr="004E6CFC">
        <w:instrText xml:space="preserve"> REF _Ref460419342 \r \h  \* MERGEFORMAT </w:instrText>
      </w:r>
      <w:r w:rsidRPr="004E6CFC">
        <w:fldChar w:fldCharType="separate"/>
      </w:r>
      <w:r w:rsidR="00737178">
        <w:t>3.1.1.1.1.6</w:t>
      </w:r>
      <w:r w:rsidRPr="004E6CFC">
        <w:fldChar w:fldCharType="end"/>
      </w:r>
      <w:r w:rsidRPr="004E6CFC">
        <w:t>.</w:t>
      </w:r>
    </w:p>
    <w:p w:rsidR="00EF4850" w:rsidRPr="004E6CFC" w:rsidRDefault="00EF4850" w:rsidP="00EF4850">
      <w:pPr>
        <w:numPr>
          <w:ilvl w:val="12"/>
          <w:numId w:val="0"/>
        </w:numPr>
        <w:suppressAutoHyphens/>
        <w:spacing w:before="120"/>
        <w:ind w:left="1418" w:hanging="1418"/>
      </w:pPr>
      <w:r w:rsidRPr="004E6CFC">
        <w:rPr>
          <w:i/>
        </w:rPr>
        <w:t>NRN</w:t>
      </w:r>
      <w:r w:rsidRPr="004E6CFC">
        <w:rPr>
          <w:i/>
          <w:vertAlign w:val="subscript"/>
        </w:rPr>
        <w:t>j</w:t>
      </w:r>
      <w:r w:rsidRPr="004E6CFC">
        <w:t>:</w:t>
      </w:r>
      <w:r w:rsidRPr="004E6CFC">
        <w:tab/>
        <w:t xml:space="preserve">Número de redes de distribución puestos en operación en el periodo 2008 a la fecha de corte y reportados al SUI por el OR </w:t>
      </w:r>
      <w:r w:rsidRPr="004E6CFC">
        <w:rPr>
          <w:i/>
        </w:rPr>
        <w:t>j</w:t>
      </w:r>
      <w:r w:rsidRPr="004E6CFC">
        <w:t xml:space="preserve"> en el nivel de tensión 1, con </w:t>
      </w:r>
      <w:r w:rsidRPr="004E6CFC">
        <w:rPr>
          <w:i/>
        </w:rPr>
        <w:t xml:space="preserve">l </w:t>
      </w:r>
      <w:r w:rsidRPr="004E6CFC">
        <w:t>=</w:t>
      </w:r>
      <w:r w:rsidRPr="004E6CFC">
        <w:rPr>
          <w:i/>
        </w:rPr>
        <w:t>12</w:t>
      </w:r>
      <w:r w:rsidRPr="004E6CFC">
        <w:t>.</w:t>
      </w:r>
    </w:p>
    <w:p w:rsidR="00EF4850" w:rsidRPr="004E6CFC" w:rsidRDefault="00EF4850" w:rsidP="00EF4850">
      <w:pPr>
        <w:numPr>
          <w:ilvl w:val="12"/>
          <w:numId w:val="0"/>
        </w:numPr>
        <w:suppressAutoHyphens/>
        <w:spacing w:before="120"/>
        <w:ind w:left="1418" w:hanging="2"/>
        <w:rPr>
          <w:i/>
        </w:rPr>
      </w:pPr>
      <w:r w:rsidRPr="004E6CFC">
        <w:t xml:space="preserve">Se deben excluir las siguientes redes de distribución: i) redes construidas con recursos públicos, ii) redes </w:t>
      </w:r>
      <w:r w:rsidRPr="00572683">
        <w:t>de conexión que atiendan a un usuario, iii) redes exclusivas de alumbrado público, iv) redes existentes con cambio de topología o v) redes incluidas en la base de activos a diciembre de 2007.</w:t>
      </w:r>
    </w:p>
    <w:p w:rsidR="00EF4850" w:rsidRPr="004E6CFC" w:rsidRDefault="00EF4850" w:rsidP="00EF4850">
      <w:pPr>
        <w:numPr>
          <w:ilvl w:val="12"/>
          <w:numId w:val="0"/>
        </w:numPr>
        <w:suppressAutoHyphens/>
        <w:spacing w:before="120"/>
        <w:ind w:left="1418" w:hanging="1418"/>
      </w:pPr>
      <w:r w:rsidRPr="004E6CFC">
        <w:rPr>
          <w:i/>
        </w:rPr>
        <w:t>CMRD</w:t>
      </w:r>
      <w:r w:rsidRPr="004E6CFC">
        <w:rPr>
          <w:i/>
          <w:vertAlign w:val="subscript"/>
        </w:rPr>
        <w:t>j</w:t>
      </w:r>
      <w:r w:rsidRPr="004E6CFC">
        <w:rPr>
          <w:i/>
        </w:rPr>
        <w:t>:</w:t>
      </w:r>
      <w:r w:rsidRPr="004E6CFC">
        <w:tab/>
        <w:t xml:space="preserve">Costo medio de redes de distribución del OR </w:t>
      </w:r>
      <w:r w:rsidRPr="004E6CFC">
        <w:rPr>
          <w:i/>
        </w:rPr>
        <w:t>j</w:t>
      </w:r>
      <w:r w:rsidRPr="004E6CFC">
        <w:t xml:space="preserve">, calculado según lo establecido en el literal </w:t>
      </w:r>
      <w:r w:rsidRPr="004E6CFC">
        <w:fldChar w:fldCharType="begin"/>
      </w:r>
      <w:r w:rsidRPr="004E6CFC">
        <w:instrText xml:space="preserve"> REF _Ref460420580 \r \h  \* MERGEFORMAT </w:instrText>
      </w:r>
      <w:r w:rsidRPr="004E6CFC">
        <w:fldChar w:fldCharType="separate"/>
      </w:r>
      <w:r w:rsidR="00737178">
        <w:t>b</w:t>
      </w:r>
      <w:r w:rsidRPr="004E6CFC">
        <w:fldChar w:fldCharType="end"/>
      </w:r>
      <w:r w:rsidRPr="004E6CFC">
        <w:t xml:space="preserve"> del numeral </w:t>
      </w:r>
      <w:r w:rsidRPr="004E6CFC">
        <w:fldChar w:fldCharType="begin"/>
      </w:r>
      <w:r w:rsidRPr="004E6CFC">
        <w:instrText xml:space="preserve"> REF _Ref460419342 \r \h  \* MERGEFORMAT </w:instrText>
      </w:r>
      <w:r w:rsidRPr="004E6CFC">
        <w:fldChar w:fldCharType="separate"/>
      </w:r>
      <w:r w:rsidR="00737178">
        <w:t>3.1.1.1.1.6</w:t>
      </w:r>
      <w:r w:rsidRPr="004E6CFC">
        <w:fldChar w:fldCharType="end"/>
      </w:r>
      <w:r w:rsidRPr="004E6CFC">
        <w:t>.</w:t>
      </w:r>
    </w:p>
    <w:p w:rsidR="00EF4850" w:rsidRDefault="00EF4850" w:rsidP="00EF4850">
      <w:r w:rsidRPr="004E6CFC">
        <w:t xml:space="preserve">Para determinar el costo de reposición por categoría de activos se deben utilizar las categorías establecidas en el numeral </w:t>
      </w:r>
      <w:r w:rsidRPr="004E6CFC">
        <w:fldChar w:fldCharType="begin"/>
      </w:r>
      <w:r w:rsidRPr="004E6CFC">
        <w:instrText xml:space="preserve"> REF _Ref210529042 \r \h  \* MERGEFORMAT </w:instrText>
      </w:r>
      <w:r w:rsidRPr="004E6CFC">
        <w:fldChar w:fldCharType="separate"/>
      </w:r>
      <w:r w:rsidR="00737178">
        <w:t>15.2</w:t>
      </w:r>
      <w:r w:rsidRPr="004E6CFC">
        <w:fldChar w:fldCharType="end"/>
      </w:r>
      <w:r w:rsidRPr="004E6CFC">
        <w:t>.</w:t>
      </w:r>
    </w:p>
    <w:p w:rsidR="00EF4850" w:rsidRPr="004E6CFC" w:rsidRDefault="00EF4850" w:rsidP="00EF4850">
      <w:r w:rsidRPr="004E6CFC">
        <w:t xml:space="preserve">Para poder incluir el valor de estos activos </w:t>
      </w:r>
      <w:r>
        <w:t>e</w:t>
      </w:r>
      <w:r w:rsidRPr="004E6CFC">
        <w:t>l OR debe entregar para cada uno de los transformadores o redes a incorporar la siguiente información: municipio, georreferenciación, características técnicas, número de usuarios asociados, fecha de entrada en operación</w:t>
      </w:r>
      <w:r>
        <w:t xml:space="preserve"> y</w:t>
      </w:r>
      <w:r w:rsidRPr="004E6CFC">
        <w:t xml:space="preserve"> datos de placa. </w:t>
      </w:r>
      <w:r>
        <w:t>Los transformadores o redes para los cuales no se reporte la totalidad de la información requerida no serán incluidos en la base inicial de activos.</w:t>
      </w:r>
    </w:p>
    <w:p w:rsidR="00EF4850" w:rsidRDefault="00EF4850" w:rsidP="00EF4850">
      <w:pPr>
        <w:rPr>
          <w:lang w:val="es-ES_tradnl"/>
        </w:rPr>
      </w:pPr>
      <w:r>
        <w:rPr>
          <w:lang w:val="es-ES_tradnl"/>
        </w:rPr>
        <w:lastRenderedPageBreak/>
        <w:t xml:space="preserve">El OR debe clasificar cada UC en los tipos de </w:t>
      </w:r>
      <w:r w:rsidR="007B2CBB">
        <w:rPr>
          <w:lang w:val="es-ES_tradnl"/>
        </w:rPr>
        <w:t>inversión</w:t>
      </w:r>
      <w:r>
        <w:rPr>
          <w:lang w:val="es-ES_tradnl"/>
        </w:rPr>
        <w:t xml:space="preserve"> establecidos en el capítulo </w:t>
      </w:r>
      <w:r>
        <w:rPr>
          <w:lang w:val="es-ES_tradnl"/>
        </w:rPr>
        <w:fldChar w:fldCharType="begin"/>
      </w:r>
      <w:r>
        <w:rPr>
          <w:lang w:val="es-ES_tradnl"/>
        </w:rPr>
        <w:instrText xml:space="preserve"> REF _Ref406575088 \r \h\t </w:instrText>
      </w:r>
      <w:r>
        <w:rPr>
          <w:lang w:val="es-ES_tradnl"/>
        </w:rPr>
      </w:r>
      <w:r>
        <w:rPr>
          <w:lang w:val="es-ES_tradnl"/>
        </w:rPr>
        <w:fldChar w:fldCharType="separate"/>
      </w:r>
      <w:r w:rsidR="00737178">
        <w:rPr>
          <w:lang w:val="es-ES_tradnl"/>
        </w:rPr>
        <w:t>6</w:t>
      </w:r>
      <w:r>
        <w:rPr>
          <w:lang w:val="es-ES_tradnl"/>
        </w:rPr>
        <w:fldChar w:fldCharType="end"/>
      </w:r>
      <w:r>
        <w:rPr>
          <w:lang w:val="es-ES_tradnl"/>
        </w:rPr>
        <w:t xml:space="preserve"> y para los tipos I y III se debe reportar las UC que fueron remplazadas. </w:t>
      </w:r>
    </w:p>
    <w:p w:rsidR="00EF4850" w:rsidRDefault="00EF4850" w:rsidP="00EF4850">
      <w:pPr>
        <w:rPr>
          <w:lang w:val="es-ES_tradnl"/>
        </w:rPr>
      </w:pPr>
      <w:r>
        <w:rPr>
          <w:lang w:val="es-ES_tradnl"/>
        </w:rPr>
        <w:t xml:space="preserve">El reporte de la </w:t>
      </w:r>
      <w:r w:rsidR="007B2CBB">
        <w:rPr>
          <w:lang w:val="es-ES_tradnl"/>
        </w:rPr>
        <w:t>información</w:t>
      </w:r>
      <w:r>
        <w:rPr>
          <w:lang w:val="es-ES_tradnl"/>
        </w:rPr>
        <w:t xml:space="preserve"> se realizará de acuerdo con lo establecido en el </w:t>
      </w:r>
      <w:r>
        <w:rPr>
          <w:lang w:val="es-ES_tradnl"/>
        </w:rPr>
        <w:fldChar w:fldCharType="begin"/>
      </w:r>
      <w:r>
        <w:rPr>
          <w:lang w:val="es-ES_tradnl"/>
        </w:rPr>
        <w:instrText xml:space="preserve"> REF _Ref476757639 \w \h </w:instrText>
      </w:r>
      <w:r>
        <w:rPr>
          <w:lang w:val="es-ES_tradnl"/>
        </w:rPr>
      </w:r>
      <w:r>
        <w:rPr>
          <w:lang w:val="es-ES_tradnl"/>
        </w:rPr>
        <w:fldChar w:fldCharType="separate"/>
      </w:r>
      <w:r w:rsidR="00737178">
        <w:rPr>
          <w:lang w:val="es-ES_tradnl"/>
        </w:rPr>
        <w:t>Artículo 5</w:t>
      </w:r>
      <w:r>
        <w:rPr>
          <w:lang w:val="es-ES_tradnl"/>
        </w:rPr>
        <w:fldChar w:fldCharType="end"/>
      </w:r>
      <w:r>
        <w:rPr>
          <w:lang w:val="es-ES_tradnl"/>
        </w:rPr>
        <w:t xml:space="preserve"> de la presente resolución.</w:t>
      </w:r>
    </w:p>
    <w:p w:rsidR="00EF4850" w:rsidRDefault="00EF4850" w:rsidP="00EF4850">
      <w:r w:rsidRPr="004E6CFC">
        <w:t>La Comisión podrá realizar la verificación de estos activos, en caso de encontrarse diferencias mayores al 5% entre lo reportado y lo verificado y que estas no sean justificadas por el OR, esta variable no se incluirá en la base inicial de activos</w:t>
      </w:r>
      <w:r>
        <w:t>.</w:t>
      </w:r>
    </w:p>
    <w:p w:rsidR="00EF4850" w:rsidRPr="004E6CFC" w:rsidRDefault="00EF4850" w:rsidP="00EF4850">
      <w:pPr>
        <w:pStyle w:val="Ttulo4"/>
        <w:ind w:left="1416" w:hanging="1416"/>
      </w:pPr>
      <w:bookmarkStart w:id="168" w:name="_Ref445134276"/>
      <w:bookmarkStart w:id="169" w:name="_Ref404081390"/>
      <w:bookmarkStart w:id="170" w:name="_Ref405897809"/>
      <w:bookmarkStart w:id="171" w:name="_Ref443656271"/>
      <w:bookmarkEnd w:id="165"/>
      <w:bookmarkEnd w:id="166"/>
      <w:r w:rsidRPr="004E6CFC">
        <w:t>Base regulatoria de activos eléctricos nuevos</w:t>
      </w:r>
      <w:bookmarkEnd w:id="168"/>
      <w:r w:rsidRPr="004E6CFC">
        <w:t xml:space="preserve"> </w:t>
      </w:r>
      <w:bookmarkEnd w:id="167"/>
      <w:bookmarkEnd w:id="169"/>
      <w:bookmarkEnd w:id="170"/>
      <w:bookmarkEnd w:id="171"/>
    </w:p>
    <w:p w:rsidR="00EF4850" w:rsidRPr="004E6CFC" w:rsidRDefault="00EF4850" w:rsidP="00EF4850">
      <w:pPr>
        <w:rPr>
          <w:lang w:val="es-ES_tradnl"/>
        </w:rPr>
      </w:pPr>
      <w:r w:rsidRPr="004E6CFC">
        <w:rPr>
          <w:lang w:val="es-ES_tradnl"/>
        </w:rPr>
        <w:t>La base regulatoria de activos nuevos se calcula de la siguiente manera:</w:t>
      </w:r>
    </w:p>
    <w:p w:rsidR="00EF4850" w:rsidRPr="004E6CFC" w:rsidRDefault="00C9592F" w:rsidP="00EF4850">
      <m:oMathPara>
        <m:oMath>
          <m:sSub>
            <m:sSubPr>
              <m:ctrlPr>
                <w:rPr>
                  <w:rFonts w:ascii="Cambria Math" w:hAnsi="Cambria Math"/>
                  <w:i/>
                </w:rPr>
              </m:ctrlPr>
            </m:sSubPr>
            <m:e>
              <m:r>
                <w:rPr>
                  <w:rFonts w:ascii="Cambria Math" w:hAnsi="Cambria Math"/>
                </w:rPr>
                <m:t>BRAEN</m:t>
              </m:r>
            </m:e>
            <m:sub>
              <m:r>
                <w:rPr>
                  <w:rFonts w:ascii="Cambria Math" w:hAnsi="Cambria Math"/>
                </w:rPr>
                <m:t>j</m:t>
              </m:r>
              <m:r>
                <w:rPr>
                  <w:rFonts w:ascii="Cambria Math"/>
                </w:rPr>
                <m:t>,</m:t>
              </m:r>
              <m:r>
                <w:rPr>
                  <w:rFonts w:ascii="Cambria Math" w:hAnsi="Cambria Math"/>
                </w:rPr>
                <m:t>n,t</m:t>
              </m:r>
            </m:sub>
          </m:sSub>
          <m:r>
            <w:rPr>
              <w:rFonts w:ascii="Cambria Math"/>
            </w:rPr>
            <m:t>=</m:t>
          </m:r>
          <m:sSub>
            <m:sSubPr>
              <m:ctrlPr>
                <w:rPr>
                  <w:rFonts w:ascii="Cambria Math" w:hAnsi="Cambria Math"/>
                  <w:i/>
                </w:rPr>
              </m:ctrlPr>
            </m:sSubPr>
            <m:e>
              <m:r>
                <w:rPr>
                  <w:rFonts w:ascii="Cambria Math"/>
                </w:rPr>
                <m:t>IAPA</m:t>
              </m:r>
            </m:e>
            <m:sub>
              <m:r>
                <w:rPr>
                  <w:rFonts w:ascii="Cambria Math"/>
                </w:rPr>
                <m:t>j,n,t</m:t>
              </m:r>
            </m:sub>
          </m:sSub>
          <m:r>
            <w:rPr>
              <w:rFonts w:ascii="Cambria Math"/>
            </w:rPr>
            <m:t>*</m:t>
          </m:r>
          <m:nary>
            <m:naryPr>
              <m:chr m:val="∑"/>
              <m:limLoc m:val="undOvr"/>
              <m:ctrlPr>
                <w:rPr>
                  <w:rFonts w:ascii="Cambria Math" w:hAnsi="Cambria Math"/>
                  <w:i/>
                </w:rPr>
              </m:ctrlPr>
            </m:naryPr>
            <m:sub>
              <m:r>
                <w:rPr>
                  <w:rFonts w:ascii="Cambria Math" w:hAnsi="Cambria Math"/>
                </w:rPr>
                <m:t>l=1</m:t>
              </m:r>
            </m:sub>
            <m:sup>
              <m:sSub>
                <m:sSubPr>
                  <m:ctrlPr>
                    <w:rPr>
                      <w:rFonts w:ascii="Cambria Math" w:hAnsi="Cambria Math"/>
                      <w:i/>
                    </w:rPr>
                  </m:ctrlPr>
                </m:sSubPr>
                <m:e>
                  <m:r>
                    <w:rPr>
                      <w:rFonts w:ascii="Cambria Math" w:hAnsi="Cambria Math"/>
                    </w:rPr>
                    <m:t>L</m:t>
                  </m:r>
                </m:e>
                <m:sub>
                  <m:r>
                    <w:rPr>
                      <w:rFonts w:ascii="Cambria Math" w:hAnsi="Cambria Math"/>
                    </w:rPr>
                    <m:t>n</m:t>
                  </m:r>
                </m:sub>
              </m:sSub>
            </m:sup>
            <m:e>
              <m:sSub>
                <m:sSubPr>
                  <m:ctrlPr>
                    <w:rPr>
                      <w:rFonts w:ascii="Cambria Math" w:hAnsi="Cambria Math"/>
                      <w:i/>
                    </w:rPr>
                  </m:ctrlPr>
                </m:sSubPr>
                <m:e>
                  <m:r>
                    <w:rPr>
                      <w:rFonts w:ascii="Cambria Math"/>
                    </w:rPr>
                    <m:t>INVA</m:t>
                  </m:r>
                </m:e>
                <m:sub>
                  <m:r>
                    <w:rPr>
                      <w:rFonts w:ascii="Cambria Math"/>
                    </w:rPr>
                    <m:t>j,n,l,t</m:t>
                  </m:r>
                </m:sub>
              </m:sSub>
            </m:e>
          </m:nary>
          <m:r>
            <w:rPr>
              <w:rFonts w:ascii="Cambria Math"/>
            </w:rPr>
            <m:t xml:space="preserve">+ </m:t>
          </m:r>
          <m:nary>
            <m:naryPr>
              <m:chr m:val="∑"/>
              <m:limLoc m:val="undOvr"/>
              <m:ctrlPr>
                <w:rPr>
                  <w:rFonts w:ascii="Cambria Math" w:hAnsi="Cambria Math"/>
                  <w:i/>
                </w:rPr>
              </m:ctrlPr>
            </m:naryPr>
            <m:sub>
              <m:r>
                <w:rPr>
                  <w:rFonts w:ascii="Cambria Math" w:hAnsi="Cambria Math"/>
                </w:rPr>
                <m:t>l=1</m:t>
              </m:r>
            </m:sub>
            <m:sup>
              <m:sSub>
                <m:sSubPr>
                  <m:ctrlPr>
                    <w:rPr>
                      <w:rFonts w:ascii="Cambria Math" w:hAnsi="Cambria Math"/>
                      <w:i/>
                    </w:rPr>
                  </m:ctrlPr>
                </m:sSubPr>
                <m:e>
                  <m:r>
                    <w:rPr>
                      <w:rFonts w:ascii="Cambria Math" w:hAnsi="Cambria Math"/>
                    </w:rPr>
                    <m:t>L</m:t>
                  </m:r>
                </m:e>
                <m:sub>
                  <m:r>
                    <w:rPr>
                      <w:rFonts w:ascii="Cambria Math" w:hAnsi="Cambria Math"/>
                    </w:rPr>
                    <m:t>n</m:t>
                  </m:r>
                </m:sub>
              </m:sSub>
            </m:sup>
            <m:e>
              <m:sSub>
                <m:sSubPr>
                  <m:ctrlPr>
                    <w:rPr>
                      <w:rFonts w:ascii="Cambria Math" w:hAnsi="Cambria Math"/>
                      <w:i/>
                    </w:rPr>
                  </m:ctrlPr>
                </m:sSubPr>
                <m:e>
                  <m:r>
                    <w:rPr>
                      <w:rFonts w:ascii="Cambria Math"/>
                    </w:rPr>
                    <m:t>INVR</m:t>
                  </m:r>
                </m:e>
                <m:sub>
                  <m:r>
                    <w:rPr>
                      <w:rFonts w:ascii="Cambria Math"/>
                    </w:rPr>
                    <m:t>j,n,l,t</m:t>
                  </m:r>
                  <m:r>
                    <w:rPr>
                      <w:rFonts w:ascii="Cambria Math"/>
                    </w:rPr>
                    <m:t>-</m:t>
                  </m:r>
                  <m:r>
                    <w:rPr>
                      <w:rFonts w:ascii="Cambria Math"/>
                    </w:rPr>
                    <m:t>1</m:t>
                  </m:r>
                </m:sub>
              </m:sSub>
              <m:r>
                <w:rPr>
                  <w:rFonts w:ascii="Cambria Math" w:hAnsi="Cambria Math"/>
                </w:rPr>
                <m:t>-</m:t>
              </m:r>
              <m:sSub>
                <m:sSubPr>
                  <m:ctrlPr>
                    <w:rPr>
                      <w:rFonts w:ascii="Cambria Math" w:hAnsi="Cambria Math"/>
                      <w:i/>
                    </w:rPr>
                  </m:ctrlPr>
                </m:sSubPr>
                <m:e>
                  <m:r>
                    <w:rPr>
                      <w:rFonts w:ascii="Cambria Math"/>
                    </w:rPr>
                    <m:t>IAPA</m:t>
                  </m:r>
                </m:e>
                <m:sub>
                  <m:r>
                    <w:rPr>
                      <w:rFonts w:ascii="Cambria Math"/>
                    </w:rPr>
                    <m:t>j,n,t</m:t>
                  </m:r>
                  <m:r>
                    <w:rPr>
                      <w:rFonts w:ascii="Cambria Math"/>
                    </w:rPr>
                    <m:t>-</m:t>
                  </m:r>
                  <m:r>
                    <w:rPr>
                      <w:rFonts w:ascii="Cambria Math"/>
                    </w:rPr>
                    <m:t>1</m:t>
                  </m:r>
                </m:sub>
              </m:sSub>
              <m:nary>
                <m:naryPr>
                  <m:chr m:val="∑"/>
                  <m:limLoc m:val="undOvr"/>
                  <m:ctrlPr>
                    <w:rPr>
                      <w:rFonts w:ascii="Cambria Math" w:hAnsi="Cambria Math"/>
                      <w:i/>
                    </w:rPr>
                  </m:ctrlPr>
                </m:naryPr>
                <m:sub>
                  <m:r>
                    <w:rPr>
                      <w:rFonts w:ascii="Cambria Math" w:hAnsi="Cambria Math"/>
                    </w:rPr>
                    <m:t>l=1</m:t>
                  </m:r>
                </m:sub>
                <m:sup>
                  <m:r>
                    <w:rPr>
                      <w:rFonts w:ascii="Cambria Math" w:hAnsi="Cambria Math"/>
                    </w:rPr>
                    <m:t>Ln</m:t>
                  </m:r>
                </m:sup>
                <m:e>
                  <m:sSub>
                    <m:sSubPr>
                      <m:ctrlPr>
                        <w:rPr>
                          <w:rFonts w:ascii="Cambria Math" w:hAnsi="Cambria Math"/>
                          <w:i/>
                        </w:rPr>
                      </m:ctrlPr>
                    </m:sSubPr>
                    <m:e>
                      <m:r>
                        <w:rPr>
                          <w:rFonts w:ascii="Cambria Math"/>
                        </w:rPr>
                        <m:t>INVA</m:t>
                      </m:r>
                    </m:e>
                    <m:sub>
                      <m:r>
                        <w:rPr>
                          <w:rFonts w:ascii="Cambria Math"/>
                        </w:rPr>
                        <m:t>j,n,l,t</m:t>
                      </m:r>
                      <m:r>
                        <w:rPr>
                          <w:rFonts w:ascii="Cambria Math"/>
                        </w:rPr>
                        <m:t>-</m:t>
                      </m:r>
                      <m:r>
                        <w:rPr>
                          <w:rFonts w:ascii="Cambria Math"/>
                        </w:rPr>
                        <m:t>1</m:t>
                      </m:r>
                    </m:sub>
                  </m:sSub>
                </m:e>
              </m:nary>
            </m:e>
          </m:nary>
        </m:oMath>
      </m:oMathPara>
    </w:p>
    <w:p w:rsidR="00EF4850" w:rsidRPr="004E6CFC" w:rsidRDefault="00EF4850" w:rsidP="00EF4850">
      <w:r w:rsidRPr="004E6CFC">
        <w:t xml:space="preserve">Donde: </w:t>
      </w:r>
    </w:p>
    <w:p w:rsidR="00EF4850" w:rsidRPr="004E6CFC" w:rsidRDefault="00EF4850" w:rsidP="00EF4850">
      <w:pPr>
        <w:ind w:left="1418" w:hanging="1418"/>
        <w:rPr>
          <w:iCs/>
        </w:rPr>
      </w:pPr>
      <w:r w:rsidRPr="004E6CFC">
        <w:rPr>
          <w:i/>
          <w:iCs/>
        </w:rPr>
        <w:t>BRAEN</w:t>
      </w:r>
      <w:r w:rsidRPr="004E6CFC">
        <w:rPr>
          <w:i/>
          <w:iCs/>
          <w:vertAlign w:val="subscript"/>
        </w:rPr>
        <w:t>j,n,t</w:t>
      </w:r>
      <w:r w:rsidRPr="004E6CFC">
        <w:rPr>
          <w:iCs/>
        </w:rPr>
        <w:t>:</w:t>
      </w:r>
      <w:r w:rsidRPr="004E6CFC">
        <w:rPr>
          <w:iCs/>
        </w:rPr>
        <w:tab/>
        <w:t xml:space="preserve">Base regulatoria de activos eléctricos nuevos del OR </w:t>
      </w:r>
      <w:r w:rsidRPr="004E6CFC">
        <w:rPr>
          <w:i/>
          <w:iCs/>
        </w:rPr>
        <w:t>j</w:t>
      </w:r>
      <w:r w:rsidRPr="004E6CFC">
        <w:rPr>
          <w:iCs/>
        </w:rPr>
        <w:t xml:space="preserve"> en el nivel de tensión </w:t>
      </w:r>
      <w:r w:rsidRPr="004E6CFC">
        <w:rPr>
          <w:i/>
          <w:iCs/>
        </w:rPr>
        <w:t>n</w:t>
      </w:r>
      <w:r w:rsidRPr="004E6CFC">
        <w:rPr>
          <w:iCs/>
        </w:rPr>
        <w:t xml:space="preserve"> para el año </w:t>
      </w:r>
      <w:r w:rsidRPr="004E6CFC">
        <w:rPr>
          <w:i/>
          <w:iCs/>
        </w:rPr>
        <w:t>t</w:t>
      </w:r>
      <w:r w:rsidRPr="004E6CFC">
        <w:rPr>
          <w:iCs/>
        </w:rPr>
        <w:t>.</w:t>
      </w:r>
    </w:p>
    <w:p w:rsidR="00EF4850" w:rsidRPr="004E6CFC" w:rsidRDefault="00EF4850" w:rsidP="00EF4850">
      <w:pPr>
        <w:ind w:left="1418" w:hanging="1418"/>
        <w:rPr>
          <w:iCs/>
        </w:rPr>
      </w:pPr>
      <w:r w:rsidRPr="004E6CFC">
        <w:rPr>
          <w:i/>
          <w:iCs/>
        </w:rPr>
        <w:t>IAPA</w:t>
      </w:r>
      <w:r w:rsidRPr="004E6CFC">
        <w:rPr>
          <w:i/>
          <w:iCs/>
          <w:vertAlign w:val="subscript"/>
        </w:rPr>
        <w:t>j,n,t</w:t>
      </w:r>
      <w:r w:rsidRPr="004E6CFC">
        <w:rPr>
          <w:iCs/>
        </w:rPr>
        <w:t>:</w:t>
      </w:r>
      <w:r w:rsidRPr="004E6CFC">
        <w:rPr>
          <w:iCs/>
        </w:rPr>
        <w:tab/>
        <w:t xml:space="preserve">Índice de ajuste por ejecución del plan de inversiones del OR </w:t>
      </w:r>
      <w:r w:rsidRPr="004E6CFC">
        <w:rPr>
          <w:i/>
          <w:iCs/>
        </w:rPr>
        <w:t>j</w:t>
      </w:r>
      <w:r w:rsidRPr="004E6CFC">
        <w:rPr>
          <w:iCs/>
        </w:rPr>
        <w:t xml:space="preserve"> en el nivel de tensión </w:t>
      </w:r>
      <w:r w:rsidRPr="004E6CFC">
        <w:rPr>
          <w:i/>
          <w:iCs/>
        </w:rPr>
        <w:t>n</w:t>
      </w:r>
      <w:r w:rsidRPr="004E6CFC">
        <w:rPr>
          <w:iCs/>
        </w:rPr>
        <w:t xml:space="preserve"> para el año </w:t>
      </w:r>
      <w:r w:rsidRPr="004E6CFC">
        <w:rPr>
          <w:i/>
          <w:iCs/>
        </w:rPr>
        <w:t>t</w:t>
      </w:r>
      <w:r w:rsidRPr="004E6CFC">
        <w:rPr>
          <w:iCs/>
        </w:rPr>
        <w:t xml:space="preserve">. Según lo establecido en el numeral  </w:t>
      </w:r>
      <w:r w:rsidRPr="004E6CFC">
        <w:rPr>
          <w:iCs/>
        </w:rPr>
        <w:fldChar w:fldCharType="begin"/>
      </w:r>
      <w:r w:rsidRPr="004E6CFC">
        <w:rPr>
          <w:iCs/>
        </w:rPr>
        <w:instrText xml:space="preserve"> REF _Ref460836472 \r \h  \* MERGEFORMAT </w:instrText>
      </w:r>
      <w:r w:rsidRPr="004E6CFC">
        <w:rPr>
          <w:iCs/>
        </w:rPr>
      </w:r>
      <w:r w:rsidRPr="004E6CFC">
        <w:rPr>
          <w:iCs/>
        </w:rPr>
        <w:fldChar w:fldCharType="separate"/>
      </w:r>
      <w:r w:rsidR="00737178">
        <w:rPr>
          <w:iCs/>
        </w:rPr>
        <w:t>3.1.1.2.4</w:t>
      </w:r>
      <w:r w:rsidRPr="004E6CFC">
        <w:rPr>
          <w:iCs/>
        </w:rPr>
        <w:fldChar w:fldCharType="end"/>
      </w:r>
    </w:p>
    <w:p w:rsidR="00EF4850" w:rsidRPr="004E6CFC" w:rsidRDefault="00EF4850" w:rsidP="00EF4850">
      <w:pPr>
        <w:spacing w:before="120"/>
        <w:ind w:left="1418" w:hanging="1418"/>
      </w:pPr>
      <w:r w:rsidRPr="004E6CFC">
        <w:rPr>
          <w:i/>
          <w:iCs/>
        </w:rPr>
        <w:t>INVA</w:t>
      </w:r>
      <w:r w:rsidRPr="004E6CFC">
        <w:rPr>
          <w:i/>
          <w:iCs/>
          <w:vertAlign w:val="subscript"/>
        </w:rPr>
        <w:t>j,n,l,t</w:t>
      </w:r>
      <w:r w:rsidRPr="004E6CFC">
        <w:t>:</w:t>
      </w:r>
      <w:r w:rsidRPr="004E6CFC">
        <w:tab/>
      </w:r>
      <w:r w:rsidRPr="004E6CFC">
        <w:rPr>
          <w:iCs/>
        </w:rPr>
        <w:t xml:space="preserve">Inversión aprobada en el plan de inversiones del OR </w:t>
      </w:r>
      <w:r w:rsidRPr="004E6CFC">
        <w:rPr>
          <w:i/>
          <w:iCs/>
        </w:rPr>
        <w:t>j</w:t>
      </w:r>
      <w:r w:rsidRPr="004E6CFC">
        <w:rPr>
          <w:iCs/>
        </w:rPr>
        <w:t xml:space="preserve"> en el nivel de tensión </w:t>
      </w:r>
      <w:r w:rsidRPr="004E6CFC">
        <w:rPr>
          <w:i/>
          <w:iCs/>
        </w:rPr>
        <w:t>n</w:t>
      </w:r>
      <w:r w:rsidRPr="004E6CFC">
        <w:rPr>
          <w:iCs/>
        </w:rPr>
        <w:t xml:space="preserve"> en la categoría de activos </w:t>
      </w:r>
      <w:r w:rsidRPr="004E6CFC">
        <w:rPr>
          <w:i/>
          <w:iCs/>
        </w:rPr>
        <w:t>l</w:t>
      </w:r>
      <w:r w:rsidRPr="004E6CFC">
        <w:rPr>
          <w:iCs/>
        </w:rPr>
        <w:t xml:space="preserve"> para el año </w:t>
      </w:r>
      <w:r w:rsidRPr="004E6CFC">
        <w:rPr>
          <w:i/>
          <w:iCs/>
        </w:rPr>
        <w:t>t</w:t>
      </w:r>
      <w:r w:rsidRPr="004E6CFC">
        <w:rPr>
          <w:iCs/>
        </w:rPr>
        <w:t xml:space="preserve">. </w:t>
      </w:r>
      <w:r w:rsidRPr="004E6CFC">
        <w:t>corresponde al valor de los activos incluidos en el plan de inversiones aprobado.</w:t>
      </w:r>
    </w:p>
    <w:p w:rsidR="00EF4850" w:rsidRPr="004E6CFC" w:rsidRDefault="00EF4850" w:rsidP="00EF4850">
      <w:pPr>
        <w:ind w:left="1418"/>
        <w:rPr>
          <w:i/>
          <w:iCs/>
        </w:rPr>
      </w:pPr>
      <w:r w:rsidRPr="004E6CFC">
        <w:t xml:space="preserve">Para la valoración se utilizan los valores de las UC definidas en el capítulo </w:t>
      </w:r>
      <w:r w:rsidRPr="004E6CFC">
        <w:fldChar w:fldCharType="begin"/>
      </w:r>
      <w:r w:rsidRPr="004E6CFC">
        <w:instrText xml:space="preserve"> REF _Ref465976561 \r \h \t  \* MERGEFORMAT </w:instrText>
      </w:r>
      <w:r w:rsidRPr="004E6CFC">
        <w:fldChar w:fldCharType="separate"/>
      </w:r>
      <w:r w:rsidR="00737178">
        <w:t>14</w:t>
      </w:r>
      <w:r w:rsidRPr="004E6CFC">
        <w:fldChar w:fldCharType="end"/>
      </w:r>
      <w:r w:rsidRPr="004E6CFC">
        <w:t>.</w:t>
      </w:r>
    </w:p>
    <w:p w:rsidR="00EF4850" w:rsidRPr="004E6CFC" w:rsidRDefault="00EF4850" w:rsidP="00EF4850">
      <w:pPr>
        <w:spacing w:before="120"/>
        <w:ind w:left="1418" w:hanging="1418"/>
      </w:pPr>
      <w:r w:rsidRPr="004E6CFC">
        <w:rPr>
          <w:i/>
          <w:iCs/>
        </w:rPr>
        <w:t>INVR</w:t>
      </w:r>
      <w:r w:rsidRPr="004E6CFC">
        <w:rPr>
          <w:i/>
          <w:iCs/>
          <w:vertAlign w:val="subscript"/>
        </w:rPr>
        <w:t>j,n,l,t</w:t>
      </w:r>
      <w:r w:rsidRPr="004E6CFC">
        <w:t>:</w:t>
      </w:r>
      <w:r w:rsidRPr="004E6CFC">
        <w:tab/>
        <w:t xml:space="preserve">Inversiones en activos puestos en operación en el sistema del OR </w:t>
      </w:r>
      <w:r w:rsidRPr="004E6CFC">
        <w:rPr>
          <w:i/>
        </w:rPr>
        <w:t xml:space="preserve">j </w:t>
      </w:r>
      <w:r w:rsidRPr="004E6CFC">
        <w:t xml:space="preserve">en el nivel de tensión </w:t>
      </w:r>
      <w:r w:rsidRPr="004E6CFC">
        <w:rPr>
          <w:i/>
          <w:iCs/>
        </w:rPr>
        <w:t xml:space="preserve">n </w:t>
      </w:r>
      <w:r w:rsidRPr="004E6CFC">
        <w:rPr>
          <w:iCs/>
        </w:rPr>
        <w:t xml:space="preserve">en la categoría de activos </w:t>
      </w:r>
      <w:r w:rsidRPr="004E6CFC">
        <w:rPr>
          <w:i/>
          <w:iCs/>
        </w:rPr>
        <w:t>l</w:t>
      </w:r>
      <w:r w:rsidRPr="004E6CFC">
        <w:rPr>
          <w:iCs/>
        </w:rPr>
        <w:t xml:space="preserve"> </w:t>
      </w:r>
      <w:r w:rsidRPr="004E6CFC">
        <w:t xml:space="preserve">durante el año </w:t>
      </w:r>
      <w:r w:rsidRPr="004E6CFC">
        <w:rPr>
          <w:i/>
        </w:rPr>
        <w:t>t</w:t>
      </w:r>
      <w:r w:rsidRPr="004E6CFC">
        <w:t xml:space="preserve">, corresponde al valor de los activos puestos en operación y valorados con las UC definidas en el capítulo </w:t>
      </w:r>
      <w:r w:rsidRPr="004E6CFC">
        <w:fldChar w:fldCharType="begin"/>
      </w:r>
      <w:r w:rsidRPr="004E6CFC">
        <w:instrText xml:space="preserve"> REF _Ref465976561 \r \h \t  \* MERGEFORMAT </w:instrText>
      </w:r>
      <w:r w:rsidRPr="004E6CFC">
        <w:fldChar w:fldCharType="separate"/>
      </w:r>
      <w:r w:rsidR="00737178">
        <w:t>14</w:t>
      </w:r>
      <w:r w:rsidRPr="004E6CFC">
        <w:fldChar w:fldCharType="end"/>
      </w:r>
      <w:r w:rsidRPr="004E6CFC">
        <w:t xml:space="preserve">. </w:t>
      </w:r>
    </w:p>
    <w:p w:rsidR="00EF4850" w:rsidRDefault="00EF4850" w:rsidP="00EF4850">
      <w:pPr>
        <w:spacing w:before="120"/>
        <w:ind w:left="1418"/>
        <w:rPr>
          <w:vertAlign w:val="subscript"/>
        </w:rPr>
      </w:pPr>
      <w:r w:rsidRPr="004E6CFC">
        <w:rPr>
          <w:iCs/>
        </w:rPr>
        <w:t xml:space="preserve">Para los niveles de tensión 1, 2 y 3 el valor máximo de esta variable para el año t es </w:t>
      </w:r>
      <w:r w:rsidRPr="004E6CFC">
        <w:t>1,</w:t>
      </w:r>
      <w:r>
        <w:t>1</w:t>
      </w:r>
      <w:r w:rsidRPr="004E6CFC">
        <w:t xml:space="preserve"> veces la variable </w:t>
      </w:r>
      <w:r w:rsidRPr="004E6CFC">
        <w:rPr>
          <w:i/>
        </w:rPr>
        <w:t>INVA</w:t>
      </w:r>
      <w:r w:rsidRPr="004E6CFC">
        <w:rPr>
          <w:i/>
          <w:vertAlign w:val="subscript"/>
        </w:rPr>
        <w:t>j,n,l,t</w:t>
      </w:r>
      <w:r w:rsidRPr="004E6CFC">
        <w:t xml:space="preserve">. En caso de superarse este valor, la diferencia se puede incorporar en el </w:t>
      </w:r>
      <w:r w:rsidRPr="004E6CFC">
        <w:rPr>
          <w:i/>
        </w:rPr>
        <w:t>INVR</w:t>
      </w:r>
      <w:r w:rsidRPr="004E6CFC">
        <w:rPr>
          <w:i/>
          <w:vertAlign w:val="subscript"/>
        </w:rPr>
        <w:t>j,n,l</w:t>
      </w:r>
      <w:r w:rsidRPr="004E6CFC">
        <w:t xml:space="preserve"> del siguiente año</w:t>
      </w:r>
      <w:r w:rsidRPr="004E6CFC">
        <w:rPr>
          <w:vertAlign w:val="subscript"/>
        </w:rPr>
        <w:t>.</w:t>
      </w:r>
    </w:p>
    <w:p w:rsidR="00EF4850" w:rsidRPr="004E6CFC" w:rsidRDefault="00EF4850" w:rsidP="00EF4850">
      <w:pPr>
        <w:tabs>
          <w:tab w:val="left" w:pos="1418"/>
        </w:tabs>
        <w:spacing w:before="120"/>
        <w:ind w:left="1418" w:hanging="1418"/>
      </w:pPr>
      <w:r>
        <w:rPr>
          <w:i/>
          <w:iCs/>
        </w:rPr>
        <w:t>l</w:t>
      </w:r>
      <w:r w:rsidRPr="004E6CFC">
        <w:rPr>
          <w:i/>
          <w:iCs/>
        </w:rPr>
        <w:t>:</w:t>
      </w:r>
      <w:r w:rsidRPr="004E6CFC">
        <w:t xml:space="preserve"> </w:t>
      </w:r>
      <w:r w:rsidRPr="004E6CFC">
        <w:tab/>
        <w:t>Ca</w:t>
      </w:r>
      <w:r>
        <w:t xml:space="preserve">tegoría de activos, </w:t>
      </w:r>
      <w:r w:rsidRPr="00CA5A76">
        <w:rPr>
          <w:i/>
        </w:rPr>
        <w:t xml:space="preserve">l </w:t>
      </w:r>
      <w:r w:rsidRPr="00CA5A76">
        <w:t>toma los valores de 11</w:t>
      </w:r>
      <w:r>
        <w:t xml:space="preserve"> o </w:t>
      </w:r>
      <w:r w:rsidRPr="00CA5A76">
        <w:t>12</w:t>
      </w:r>
      <w:r>
        <w:t xml:space="preserve"> para el nivel de tensión 1</w:t>
      </w:r>
      <w:r w:rsidRPr="004E6CFC">
        <w:t>.</w:t>
      </w:r>
    </w:p>
    <w:p w:rsidR="00EF4850" w:rsidRPr="004E6CFC" w:rsidRDefault="00EF4850" w:rsidP="00EF4850">
      <w:pPr>
        <w:tabs>
          <w:tab w:val="left" w:pos="1418"/>
        </w:tabs>
        <w:spacing w:before="120"/>
        <w:ind w:left="1418" w:hanging="1418"/>
      </w:pPr>
      <w:r w:rsidRPr="004E6CFC">
        <w:rPr>
          <w:i/>
          <w:iCs/>
        </w:rPr>
        <w:t>L</w:t>
      </w:r>
      <w:r w:rsidRPr="004E6CFC">
        <w:rPr>
          <w:i/>
          <w:iCs/>
          <w:vertAlign w:val="subscript"/>
        </w:rPr>
        <w:t>n</w:t>
      </w:r>
      <w:r w:rsidRPr="004E6CFC">
        <w:rPr>
          <w:i/>
          <w:iCs/>
        </w:rPr>
        <w:t>:</w:t>
      </w:r>
      <w:r w:rsidRPr="004E6CFC">
        <w:t xml:space="preserve"> </w:t>
      </w:r>
      <w:r w:rsidRPr="004E6CFC">
        <w:tab/>
        <w:t xml:space="preserve">Cantidad de categorías de activos en el nivel de tensión </w:t>
      </w:r>
      <w:r w:rsidRPr="004E6CFC">
        <w:rPr>
          <w:i/>
        </w:rPr>
        <w:t>n</w:t>
      </w:r>
      <w:r>
        <w:rPr>
          <w:i/>
        </w:rPr>
        <w:t xml:space="preserve">. </w:t>
      </w:r>
      <w:r w:rsidRPr="004E6CFC">
        <w:rPr>
          <w:i/>
          <w:iCs/>
        </w:rPr>
        <w:t>L</w:t>
      </w:r>
      <w:r>
        <w:rPr>
          <w:i/>
          <w:iCs/>
          <w:vertAlign w:val="subscript"/>
        </w:rPr>
        <w:t>1</w:t>
      </w:r>
      <w:r w:rsidRPr="00CA5A76">
        <w:rPr>
          <w:i/>
        </w:rPr>
        <w:t xml:space="preserve"> </w:t>
      </w:r>
      <w:r w:rsidRPr="00CA5A76">
        <w:t xml:space="preserve">toma </w:t>
      </w:r>
      <w:r>
        <w:t xml:space="preserve">el </w:t>
      </w:r>
      <w:r w:rsidRPr="00CA5A76">
        <w:t>valo</w:t>
      </w:r>
      <w:r>
        <w:t>r</w:t>
      </w:r>
      <w:r w:rsidRPr="00CA5A76">
        <w:t xml:space="preserve"> de </w:t>
      </w:r>
      <w:r>
        <w:t>1</w:t>
      </w:r>
      <w:r w:rsidRPr="00CA5A76">
        <w:t>2</w:t>
      </w:r>
      <w:r>
        <w:t>.</w:t>
      </w:r>
    </w:p>
    <w:p w:rsidR="00EF4850" w:rsidRPr="004E6CFC" w:rsidRDefault="00EF4850" w:rsidP="00EF4850">
      <w:pPr>
        <w:pStyle w:val="Ttulo5"/>
      </w:pPr>
      <w:bookmarkStart w:id="172" w:name="_Ref443918940"/>
      <w:r w:rsidRPr="004E6CFC">
        <w:t>Inversiones para empresas con plan de inversiones aprobado</w:t>
      </w:r>
      <w:bookmarkEnd w:id="172"/>
    </w:p>
    <w:p w:rsidR="00EF4850" w:rsidRPr="004E6CFC" w:rsidRDefault="00EF4850" w:rsidP="00EF4850">
      <w:r w:rsidRPr="004E6CFC">
        <w:t>Las inversiones del plan de inversiones se calculan de la siguiente forma:</w:t>
      </w:r>
    </w:p>
    <w:p w:rsidR="00EF4850" w:rsidRPr="001D4FFF" w:rsidRDefault="00C9592F" w:rsidP="00EF4850">
      <w:pPr>
        <w:rPr>
          <w:sz w:val="19"/>
          <w:szCs w:val="19"/>
        </w:rPr>
      </w:pPr>
      <m:oMathPara>
        <m:oMath>
          <m:sSub>
            <m:sSubPr>
              <m:ctrlPr>
                <w:rPr>
                  <w:rFonts w:ascii="Cambria Math" w:hAnsi="Cambria Math"/>
                  <w:i/>
                  <w:sz w:val="19"/>
                  <w:szCs w:val="19"/>
                </w:rPr>
              </m:ctrlPr>
            </m:sSubPr>
            <m:e>
              <m:r>
                <w:rPr>
                  <w:rFonts w:ascii="Cambria Math" w:hAnsi="Cambria Math"/>
                  <w:sz w:val="19"/>
                  <w:szCs w:val="19"/>
                </w:rPr>
                <m:t>INVA</m:t>
              </m:r>
            </m:e>
            <m:sub>
              <m:r>
                <w:rPr>
                  <w:rFonts w:ascii="Cambria Math" w:hAnsi="Cambria Math"/>
                  <w:sz w:val="19"/>
                  <w:szCs w:val="19"/>
                </w:rPr>
                <m:t>j</m:t>
              </m:r>
              <m:r>
                <w:rPr>
                  <w:rFonts w:ascii="Cambria Math"/>
                  <w:sz w:val="19"/>
                  <w:szCs w:val="19"/>
                </w:rPr>
                <m:t>,n,l,t</m:t>
              </m:r>
            </m:sub>
          </m:sSub>
          <m:r>
            <w:rPr>
              <w:rFonts w:ascii="Cambria Math"/>
              <w:sz w:val="19"/>
              <w:szCs w:val="19"/>
            </w:rPr>
            <m:t>=</m:t>
          </m:r>
          <m:sSub>
            <m:sSubPr>
              <m:ctrlPr>
                <w:rPr>
                  <w:rFonts w:ascii="Cambria Math" w:hAnsi="Cambria Math"/>
                  <w:i/>
                  <w:sz w:val="19"/>
                  <w:szCs w:val="19"/>
                </w:rPr>
              </m:ctrlPr>
            </m:sSubPr>
            <m:e>
              <m:r>
                <w:rPr>
                  <w:rFonts w:ascii="Cambria Math" w:hAnsi="Cambria Math"/>
                  <w:sz w:val="19"/>
                  <w:szCs w:val="19"/>
                </w:rPr>
                <m:t>IAEC</m:t>
              </m:r>
            </m:e>
            <m:sub>
              <m:r>
                <w:rPr>
                  <w:rFonts w:ascii="Cambria Math" w:hAnsi="Cambria Math"/>
                  <w:sz w:val="19"/>
                  <w:szCs w:val="19"/>
                </w:rPr>
                <m:t>j,n,l,t</m:t>
              </m:r>
            </m:sub>
          </m:sSub>
          <m:r>
            <w:rPr>
              <w:rFonts w:ascii="Cambria Math" w:hAnsi="Cambria Math"/>
              <w:sz w:val="19"/>
              <w:szCs w:val="19"/>
            </w:rPr>
            <m:t>+</m:t>
          </m:r>
          <m:nary>
            <m:naryPr>
              <m:chr m:val="∑"/>
              <m:limLoc m:val="undOvr"/>
              <m:ctrlPr>
                <w:rPr>
                  <w:rFonts w:ascii="Cambria Math" w:hAnsi="Cambria Math"/>
                  <w:i/>
                  <w:sz w:val="19"/>
                  <w:szCs w:val="19"/>
                </w:rPr>
              </m:ctrlPr>
            </m:naryPr>
            <m:sub>
              <m:r>
                <w:rPr>
                  <w:rFonts w:ascii="Cambria Math" w:hAnsi="Cambria Math"/>
                  <w:sz w:val="19"/>
                  <w:szCs w:val="19"/>
                </w:rPr>
                <m:t>i</m:t>
              </m:r>
              <m:r>
                <w:rPr>
                  <w:rFonts w:ascii="Cambria Math"/>
                  <w:sz w:val="19"/>
                  <w:szCs w:val="19"/>
                </w:rPr>
                <m:t>=1</m:t>
              </m:r>
            </m:sub>
            <m:sup>
              <m:sSub>
                <m:sSubPr>
                  <m:ctrlPr>
                    <w:rPr>
                      <w:rFonts w:ascii="Cambria Math" w:hAnsi="Cambria Math"/>
                      <w:i/>
                      <w:sz w:val="19"/>
                      <w:szCs w:val="19"/>
                    </w:rPr>
                  </m:ctrlPr>
                </m:sSubPr>
                <m:e>
                  <m:r>
                    <w:rPr>
                      <w:rFonts w:ascii="Cambria Math" w:hAnsi="Cambria Math"/>
                      <w:sz w:val="19"/>
                      <w:szCs w:val="19"/>
                    </w:rPr>
                    <m:t>UCP</m:t>
                  </m:r>
                </m:e>
                <m:sub>
                  <m:r>
                    <w:rPr>
                      <w:rFonts w:ascii="Cambria Math" w:hAnsi="Cambria Math"/>
                      <w:sz w:val="19"/>
                      <w:szCs w:val="19"/>
                    </w:rPr>
                    <m:t>j</m:t>
                  </m:r>
                  <m:r>
                    <w:rPr>
                      <w:rFonts w:ascii="Cambria Math"/>
                      <w:sz w:val="19"/>
                      <w:szCs w:val="19"/>
                    </w:rPr>
                    <m:t>,</m:t>
                  </m:r>
                  <m:r>
                    <w:rPr>
                      <w:rFonts w:ascii="Cambria Math" w:hAnsi="Cambria Math"/>
                      <w:sz w:val="19"/>
                      <w:szCs w:val="19"/>
                    </w:rPr>
                    <m:t>n,l,t</m:t>
                  </m:r>
                </m:sub>
              </m:sSub>
            </m:sup>
            <m:e>
              <m:sSub>
                <m:sSubPr>
                  <m:ctrlPr>
                    <w:rPr>
                      <w:rFonts w:ascii="Cambria Math" w:hAnsi="Cambria Math"/>
                      <w:i/>
                      <w:sz w:val="19"/>
                      <w:szCs w:val="19"/>
                    </w:rPr>
                  </m:ctrlPr>
                </m:sSubPr>
                <m:e>
                  <m:r>
                    <w:rPr>
                      <w:rFonts w:ascii="Cambria Math" w:hAnsi="Cambria Math"/>
                      <w:sz w:val="19"/>
                      <w:szCs w:val="19"/>
                    </w:rPr>
                    <m:t>CR</m:t>
                  </m:r>
                </m:e>
                <m:sub>
                  <m:r>
                    <w:rPr>
                      <w:rFonts w:ascii="Cambria Math" w:hAnsi="Cambria Math"/>
                      <w:sz w:val="19"/>
                      <w:szCs w:val="19"/>
                    </w:rPr>
                    <m:t>i</m:t>
                  </m:r>
                </m:sub>
              </m:sSub>
              <m:r>
                <w:rPr>
                  <w:rFonts w:ascii="Cambria Math" w:hAnsi="Cambria Math"/>
                  <w:sz w:val="19"/>
                  <w:szCs w:val="19"/>
                </w:rPr>
                <m:t>*</m:t>
              </m:r>
              <m:sSub>
                <m:sSubPr>
                  <m:ctrlPr>
                    <w:rPr>
                      <w:rFonts w:ascii="Cambria Math" w:hAnsi="Cambria Math"/>
                      <w:i/>
                      <w:sz w:val="19"/>
                      <w:szCs w:val="19"/>
                    </w:rPr>
                  </m:ctrlPr>
                </m:sSubPr>
                <m:e>
                  <m:r>
                    <w:rPr>
                      <w:rFonts w:ascii="Cambria Math" w:hAnsi="Cambria Math"/>
                      <w:sz w:val="19"/>
                      <w:szCs w:val="19"/>
                    </w:rPr>
                    <m:t>PU</m:t>
                  </m:r>
                </m:e>
                <m:sub>
                  <m:r>
                    <w:rPr>
                      <w:rFonts w:ascii="Cambria Math" w:hAnsi="Cambria Math"/>
                      <w:sz w:val="19"/>
                      <w:szCs w:val="19"/>
                    </w:rPr>
                    <m:t>i</m:t>
                  </m:r>
                </m:sub>
              </m:sSub>
              <m:r>
                <w:rPr>
                  <w:rFonts w:ascii="Cambria Math" w:hAnsi="Cambria Math"/>
                  <w:sz w:val="19"/>
                  <w:szCs w:val="19"/>
                </w:rPr>
                <m:t>*</m:t>
              </m:r>
              <m:sSub>
                <m:sSubPr>
                  <m:ctrlPr>
                    <w:rPr>
                      <w:rFonts w:ascii="Cambria Math" w:hAnsi="Cambria Math"/>
                      <w:i/>
                      <w:sz w:val="19"/>
                      <w:szCs w:val="19"/>
                    </w:rPr>
                  </m:ctrlPr>
                </m:sSubPr>
                <m:e>
                  <m:r>
                    <w:rPr>
                      <w:rFonts w:ascii="Cambria Math" w:hAnsi="Cambria Math"/>
                      <w:sz w:val="19"/>
                      <w:szCs w:val="19"/>
                    </w:rPr>
                    <m:t>FU</m:t>
                  </m:r>
                </m:e>
                <m:sub>
                  <m:r>
                    <w:rPr>
                      <w:rFonts w:ascii="Cambria Math" w:hAnsi="Cambria Math"/>
                      <w:sz w:val="19"/>
                      <w:szCs w:val="19"/>
                    </w:rPr>
                    <m:t>i</m:t>
                  </m:r>
                </m:sub>
              </m:sSub>
              <m:r>
                <w:rPr>
                  <w:rFonts w:ascii="Cambria Math" w:hAnsi="Cambria Math"/>
                  <w:sz w:val="19"/>
                  <w:szCs w:val="19"/>
                </w:rPr>
                <m:t>*</m:t>
              </m:r>
              <m:d>
                <m:dPr>
                  <m:ctrlPr>
                    <w:rPr>
                      <w:rFonts w:ascii="Cambria Math" w:hAnsi="Cambria Math"/>
                      <w:i/>
                      <w:sz w:val="19"/>
                      <w:szCs w:val="19"/>
                    </w:rPr>
                  </m:ctrlPr>
                </m:dPr>
                <m:e>
                  <m:r>
                    <w:rPr>
                      <w:rFonts w:ascii="Cambria Math" w:hAnsi="Cambria Math"/>
                      <w:sz w:val="19"/>
                      <w:szCs w:val="19"/>
                    </w:rPr>
                    <m:t>1-</m:t>
                  </m:r>
                  <m:sSub>
                    <m:sSubPr>
                      <m:ctrlPr>
                        <w:rPr>
                          <w:rFonts w:ascii="Cambria Math" w:hAnsi="Cambria Math"/>
                          <w:i/>
                          <w:sz w:val="19"/>
                          <w:szCs w:val="19"/>
                        </w:rPr>
                      </m:ctrlPr>
                    </m:sSubPr>
                    <m:e>
                      <m:r>
                        <w:rPr>
                          <w:rFonts w:ascii="Cambria Math" w:hAnsi="Cambria Math"/>
                          <w:sz w:val="19"/>
                          <w:szCs w:val="19"/>
                        </w:rPr>
                        <m:t>RPP</m:t>
                      </m:r>
                    </m:e>
                    <m:sub>
                      <m:r>
                        <w:rPr>
                          <w:rFonts w:ascii="Cambria Math" w:hAnsi="Cambria Math"/>
                          <w:sz w:val="19"/>
                          <w:szCs w:val="19"/>
                        </w:rPr>
                        <m:t>i</m:t>
                      </m:r>
                    </m:sub>
                  </m:sSub>
                </m:e>
              </m:d>
            </m:e>
          </m:nary>
          <m:r>
            <w:rPr>
              <w:rFonts w:ascii="Cambria Math" w:hAnsi="Cambria Math"/>
              <w:sz w:val="19"/>
              <w:szCs w:val="19"/>
            </w:rPr>
            <m:t>+</m:t>
          </m:r>
          <m:nary>
            <m:naryPr>
              <m:chr m:val="∑"/>
              <m:limLoc m:val="undOvr"/>
              <m:ctrlPr>
                <w:rPr>
                  <w:rFonts w:ascii="Cambria Math" w:hAnsi="Cambria Math"/>
                  <w:i/>
                  <w:sz w:val="19"/>
                  <w:szCs w:val="19"/>
                </w:rPr>
              </m:ctrlPr>
            </m:naryPr>
            <m:sub>
              <m:r>
                <w:rPr>
                  <w:rFonts w:ascii="Cambria Math"/>
                  <w:sz w:val="19"/>
                  <w:szCs w:val="19"/>
                </w:rPr>
                <m:t>i=1</m:t>
              </m:r>
            </m:sub>
            <m:sup>
              <m:sSub>
                <m:sSubPr>
                  <m:ctrlPr>
                    <w:rPr>
                      <w:rFonts w:ascii="Cambria Math" w:hAnsi="Cambria Math"/>
                      <w:i/>
                      <w:sz w:val="19"/>
                      <w:szCs w:val="19"/>
                    </w:rPr>
                  </m:ctrlPr>
                </m:sSubPr>
                <m:e>
                  <m:r>
                    <w:rPr>
                      <w:rFonts w:ascii="Cambria Math" w:hAnsi="Cambria Math"/>
                      <w:sz w:val="19"/>
                      <w:szCs w:val="19"/>
                    </w:rPr>
                    <m:t>SNUCP</m:t>
                  </m:r>
                </m:e>
                <m:sub>
                  <m:r>
                    <w:rPr>
                      <w:rFonts w:ascii="Cambria Math" w:hAnsi="Cambria Math"/>
                      <w:sz w:val="19"/>
                      <w:szCs w:val="19"/>
                    </w:rPr>
                    <m:t>j,l,t</m:t>
                  </m:r>
                </m:sub>
              </m:sSub>
            </m:sup>
            <m:e>
              <m:d>
                <m:dPr>
                  <m:ctrlPr>
                    <w:rPr>
                      <w:rFonts w:ascii="Cambria Math" w:hAnsi="Cambria Math"/>
                      <w:i/>
                      <w:sz w:val="19"/>
                      <w:szCs w:val="19"/>
                    </w:rPr>
                  </m:ctrlPr>
                </m:dPr>
                <m:e>
                  <m:sSub>
                    <m:sSubPr>
                      <m:ctrlPr>
                        <w:rPr>
                          <w:rFonts w:ascii="Cambria Math" w:hAnsi="Cambria Math"/>
                          <w:i/>
                          <w:sz w:val="19"/>
                          <w:szCs w:val="19"/>
                        </w:rPr>
                      </m:ctrlPr>
                    </m:sSubPr>
                    <m:e>
                      <m:r>
                        <w:rPr>
                          <w:rFonts w:ascii="Cambria Math"/>
                          <w:sz w:val="19"/>
                          <w:szCs w:val="19"/>
                        </w:rPr>
                        <m:t>CR</m:t>
                      </m:r>
                    </m:e>
                    <m:sub>
                      <m:r>
                        <w:rPr>
                          <w:rFonts w:ascii="Cambria Math"/>
                          <w:sz w:val="19"/>
                          <w:szCs w:val="19"/>
                        </w:rPr>
                        <m:t>i</m:t>
                      </m:r>
                    </m:sub>
                  </m:sSub>
                  <m:r>
                    <w:rPr>
                      <w:rFonts w:ascii="Cambria Math" w:hAnsi="Cambria Math"/>
                      <w:sz w:val="19"/>
                      <w:szCs w:val="19"/>
                    </w:rPr>
                    <m:t>*</m:t>
                  </m:r>
                  <m:sSub>
                    <m:sSubPr>
                      <m:ctrlPr>
                        <w:rPr>
                          <w:rFonts w:ascii="Cambria Math" w:hAnsi="Cambria Math"/>
                          <w:i/>
                          <w:sz w:val="19"/>
                          <w:szCs w:val="19"/>
                        </w:rPr>
                      </m:ctrlPr>
                    </m:sSubPr>
                    <m:e>
                      <m:r>
                        <w:rPr>
                          <w:rFonts w:ascii="Cambria Math"/>
                          <w:sz w:val="19"/>
                          <w:szCs w:val="19"/>
                        </w:rPr>
                        <m:t>PU</m:t>
                      </m:r>
                    </m:e>
                    <m:sub>
                      <m:r>
                        <w:rPr>
                          <w:rFonts w:ascii="Cambria Math"/>
                          <w:sz w:val="19"/>
                          <w:szCs w:val="19"/>
                        </w:rPr>
                        <m:t>j,i</m:t>
                      </m:r>
                    </m:sub>
                  </m:sSub>
                  <m:r>
                    <w:rPr>
                      <w:rFonts w:ascii="Cambria Math" w:hAnsi="Cambria Math"/>
                      <w:sz w:val="19"/>
                      <w:szCs w:val="19"/>
                    </w:rPr>
                    <m:t>*</m:t>
                  </m:r>
                  <m:sSub>
                    <m:sSubPr>
                      <m:ctrlPr>
                        <w:rPr>
                          <w:rFonts w:ascii="Cambria Math" w:hAnsi="Cambria Math"/>
                          <w:i/>
                          <w:sz w:val="19"/>
                          <w:szCs w:val="19"/>
                        </w:rPr>
                      </m:ctrlPr>
                    </m:sSubPr>
                    <m:e>
                      <m:r>
                        <w:rPr>
                          <w:rFonts w:ascii="Cambria Math" w:hAnsi="Cambria Math"/>
                          <w:sz w:val="19"/>
                          <w:szCs w:val="19"/>
                        </w:rPr>
                        <m:t>FU</m:t>
                      </m:r>
                    </m:e>
                    <m:sub>
                      <m:r>
                        <w:rPr>
                          <w:rFonts w:ascii="Cambria Math" w:hAnsi="Cambria Math"/>
                          <w:sz w:val="19"/>
                          <w:szCs w:val="19"/>
                        </w:rPr>
                        <m:t>i</m:t>
                      </m:r>
                    </m:sub>
                  </m:sSub>
                  <m:r>
                    <w:rPr>
                      <w:rFonts w:ascii="Cambria Math" w:hAnsi="Cambria Math"/>
                      <w:sz w:val="19"/>
                      <w:szCs w:val="19"/>
                    </w:rPr>
                    <m:t>*(1-</m:t>
                  </m:r>
                  <m:sSub>
                    <m:sSubPr>
                      <m:ctrlPr>
                        <w:rPr>
                          <w:rFonts w:ascii="Cambria Math" w:hAnsi="Cambria Math"/>
                          <w:i/>
                          <w:sz w:val="19"/>
                          <w:szCs w:val="19"/>
                        </w:rPr>
                      </m:ctrlPr>
                    </m:sSubPr>
                    <m:e>
                      <m:r>
                        <w:rPr>
                          <w:rFonts w:ascii="Cambria Math" w:hAnsi="Cambria Math"/>
                          <w:sz w:val="19"/>
                          <w:szCs w:val="19"/>
                        </w:rPr>
                        <m:t>RPP</m:t>
                      </m:r>
                    </m:e>
                    <m:sub>
                      <m:r>
                        <w:rPr>
                          <w:rFonts w:ascii="Cambria Math" w:hAnsi="Cambria Math"/>
                          <w:sz w:val="19"/>
                          <w:szCs w:val="19"/>
                        </w:rPr>
                        <m:t>i</m:t>
                      </m:r>
                    </m:sub>
                  </m:sSub>
                  <m:r>
                    <w:rPr>
                      <w:rFonts w:ascii="Cambria Math" w:hAnsi="Cambria Math"/>
                      <w:sz w:val="19"/>
                      <w:szCs w:val="19"/>
                    </w:rPr>
                    <m:t>)</m:t>
                  </m:r>
                  <m:r>
                    <w:rPr>
                      <w:rFonts w:ascii="Cambria Math" w:hAnsi="Cambria Math" w:cs="Cambria Math"/>
                      <w:sz w:val="19"/>
                      <w:szCs w:val="19"/>
                    </w:rPr>
                    <m:t>*</m:t>
                  </m:r>
                  <m:sSub>
                    <m:sSubPr>
                      <m:ctrlPr>
                        <w:rPr>
                          <w:rFonts w:ascii="Cambria Math" w:hAnsi="Cambria Math"/>
                          <w:i/>
                          <w:sz w:val="19"/>
                          <w:szCs w:val="19"/>
                        </w:rPr>
                      </m:ctrlPr>
                    </m:sSubPr>
                    <m:e>
                      <m:r>
                        <w:rPr>
                          <w:rFonts w:ascii="Cambria Math" w:hAnsi="Cambria Math"/>
                          <w:sz w:val="19"/>
                          <w:szCs w:val="19"/>
                        </w:rPr>
                        <m:t>Psn</m:t>
                      </m:r>
                    </m:e>
                    <m:sub>
                      <m:r>
                        <w:rPr>
                          <w:rFonts w:ascii="Cambria Math" w:hAnsi="Cambria Math"/>
                          <w:sz w:val="19"/>
                          <w:szCs w:val="19"/>
                        </w:rPr>
                        <m:t>j</m:t>
                      </m:r>
                    </m:sub>
                  </m:sSub>
                </m:e>
              </m:d>
            </m:e>
          </m:nary>
        </m:oMath>
      </m:oMathPara>
    </w:p>
    <w:p w:rsidR="00EF4850" w:rsidRPr="004E6CFC" w:rsidRDefault="00EF4850" w:rsidP="00EF4850">
      <w:pPr>
        <w:spacing w:before="280" w:after="280"/>
      </w:pPr>
      <w:r w:rsidRPr="004E6CFC">
        <w:t>Donde:</w:t>
      </w:r>
    </w:p>
    <w:p w:rsidR="00EF4850" w:rsidRPr="004E6CFC" w:rsidRDefault="00EF4850" w:rsidP="00EF4850">
      <w:pPr>
        <w:spacing w:before="280" w:after="280"/>
        <w:ind w:left="1418" w:hanging="1418"/>
        <w:rPr>
          <w:i/>
          <w:iCs/>
        </w:rPr>
      </w:pPr>
      <w:r w:rsidRPr="004E6CFC">
        <w:rPr>
          <w:i/>
          <w:iCs/>
        </w:rPr>
        <w:t>INVA</w:t>
      </w:r>
      <w:r w:rsidRPr="004E6CFC">
        <w:rPr>
          <w:i/>
          <w:iCs/>
          <w:vertAlign w:val="subscript"/>
        </w:rPr>
        <w:t>j,n,l,t</w:t>
      </w:r>
      <w:r w:rsidRPr="004E6CFC">
        <w:t>:</w:t>
      </w:r>
      <w:r w:rsidRPr="004E6CFC">
        <w:tab/>
      </w:r>
      <w:r w:rsidRPr="004E6CFC">
        <w:rPr>
          <w:iCs/>
        </w:rPr>
        <w:t xml:space="preserve">Inversión aprobada en el plan de inversiones del OR </w:t>
      </w:r>
      <w:r w:rsidRPr="004E6CFC">
        <w:rPr>
          <w:i/>
          <w:iCs/>
        </w:rPr>
        <w:t>j</w:t>
      </w:r>
      <w:r w:rsidRPr="004E6CFC">
        <w:rPr>
          <w:iCs/>
        </w:rPr>
        <w:t xml:space="preserve"> en el nivel de tensión </w:t>
      </w:r>
      <w:r w:rsidRPr="004E6CFC">
        <w:rPr>
          <w:i/>
          <w:iCs/>
        </w:rPr>
        <w:t>n</w:t>
      </w:r>
      <w:r w:rsidRPr="004E6CFC">
        <w:rPr>
          <w:iCs/>
        </w:rPr>
        <w:t xml:space="preserve"> en la categoría de activos </w:t>
      </w:r>
      <w:r w:rsidRPr="004E6CFC">
        <w:rPr>
          <w:i/>
          <w:iCs/>
        </w:rPr>
        <w:t>l</w:t>
      </w:r>
      <w:r w:rsidRPr="004E6CFC">
        <w:rPr>
          <w:iCs/>
        </w:rPr>
        <w:t xml:space="preserve"> para el año </w:t>
      </w:r>
      <w:r w:rsidRPr="004E6CFC">
        <w:rPr>
          <w:i/>
          <w:iCs/>
        </w:rPr>
        <w:t>t</w:t>
      </w:r>
      <w:r w:rsidRPr="004E6CFC">
        <w:rPr>
          <w:iCs/>
        </w:rPr>
        <w:t xml:space="preserve">. </w:t>
      </w:r>
    </w:p>
    <w:p w:rsidR="00EF4850" w:rsidRPr="004E6CFC" w:rsidRDefault="00EF4850" w:rsidP="00EF4850">
      <w:pPr>
        <w:spacing w:before="280" w:after="280"/>
        <w:ind w:left="1418" w:hanging="1418"/>
        <w:rPr>
          <w:iCs/>
        </w:rPr>
      </w:pPr>
      <w:r w:rsidRPr="004E6CFC">
        <w:rPr>
          <w:i/>
          <w:iCs/>
        </w:rPr>
        <w:t>IAEC</w:t>
      </w:r>
      <w:r w:rsidRPr="004E6CFC">
        <w:rPr>
          <w:i/>
          <w:iCs/>
          <w:vertAlign w:val="subscript"/>
        </w:rPr>
        <w:t>j,n,l,t</w:t>
      </w:r>
      <w:r w:rsidRPr="004E6CFC">
        <w:t>:</w:t>
      </w:r>
      <w:r w:rsidRPr="004E6CFC">
        <w:tab/>
      </w:r>
      <w:r w:rsidRPr="004E6CFC">
        <w:rPr>
          <w:iCs/>
        </w:rPr>
        <w:t xml:space="preserve">Inversión aprobada en proyectos de expansión de cobertura del OR </w:t>
      </w:r>
      <w:r w:rsidRPr="004E6CFC">
        <w:rPr>
          <w:i/>
          <w:iCs/>
        </w:rPr>
        <w:t>j</w:t>
      </w:r>
      <w:r w:rsidRPr="004E6CFC">
        <w:rPr>
          <w:iCs/>
        </w:rPr>
        <w:t xml:space="preserve"> en el nivel de tensión </w:t>
      </w:r>
      <w:r w:rsidRPr="004E6CFC">
        <w:rPr>
          <w:i/>
          <w:iCs/>
        </w:rPr>
        <w:t>n</w:t>
      </w:r>
      <w:r w:rsidRPr="004E6CFC">
        <w:rPr>
          <w:iCs/>
        </w:rPr>
        <w:t xml:space="preserve"> en la categoría de activos </w:t>
      </w:r>
      <w:r w:rsidRPr="004E6CFC">
        <w:rPr>
          <w:i/>
          <w:iCs/>
        </w:rPr>
        <w:t>l</w:t>
      </w:r>
      <w:r w:rsidRPr="004E6CFC">
        <w:rPr>
          <w:iCs/>
        </w:rPr>
        <w:t xml:space="preserve"> para el año </w:t>
      </w:r>
      <w:r w:rsidRPr="004E6CFC">
        <w:rPr>
          <w:i/>
          <w:iCs/>
        </w:rPr>
        <w:t xml:space="preserve">t </w:t>
      </w:r>
      <w:r w:rsidRPr="004E6CFC">
        <w:rPr>
          <w:iCs/>
        </w:rPr>
        <w:t xml:space="preserve">de acuerdo con lo establecido en el capítulo </w:t>
      </w:r>
      <w:r w:rsidRPr="004E6CFC">
        <w:rPr>
          <w:iCs/>
        </w:rPr>
        <w:fldChar w:fldCharType="begin"/>
      </w:r>
      <w:r w:rsidRPr="004E6CFC">
        <w:rPr>
          <w:iCs/>
        </w:rPr>
        <w:instrText xml:space="preserve"> REF _Ref440028500 \r \h\t  \* MERGEFORMAT </w:instrText>
      </w:r>
      <w:r w:rsidRPr="004E6CFC">
        <w:rPr>
          <w:iCs/>
        </w:rPr>
      </w:r>
      <w:r w:rsidRPr="004E6CFC">
        <w:rPr>
          <w:iCs/>
        </w:rPr>
        <w:fldChar w:fldCharType="separate"/>
      </w:r>
      <w:r w:rsidR="00737178">
        <w:rPr>
          <w:iCs/>
        </w:rPr>
        <w:t>13</w:t>
      </w:r>
      <w:r w:rsidRPr="004E6CFC">
        <w:rPr>
          <w:iCs/>
        </w:rPr>
        <w:fldChar w:fldCharType="end"/>
      </w:r>
      <w:r w:rsidRPr="004E6CFC">
        <w:t>.</w:t>
      </w:r>
    </w:p>
    <w:p w:rsidR="00EF4850" w:rsidRPr="004E6CFC" w:rsidRDefault="00EF4850" w:rsidP="00EF4850">
      <w:pPr>
        <w:tabs>
          <w:tab w:val="left" w:pos="1418"/>
        </w:tabs>
        <w:spacing w:before="280" w:after="280"/>
        <w:ind w:left="1418" w:hanging="1418"/>
      </w:pPr>
      <w:r w:rsidRPr="004E6CFC">
        <w:rPr>
          <w:i/>
          <w:iCs/>
        </w:rPr>
        <w:t>UCP</w:t>
      </w:r>
      <w:r w:rsidRPr="004E6CFC">
        <w:rPr>
          <w:i/>
          <w:iCs/>
          <w:vertAlign w:val="subscript"/>
        </w:rPr>
        <w:t>j,n,l,t</w:t>
      </w:r>
      <w:r w:rsidRPr="004E6CFC">
        <w:t>:</w:t>
      </w:r>
      <w:r w:rsidRPr="004E6CFC">
        <w:tab/>
        <w:t xml:space="preserve">Número de UC nuevas incluidas en el plan de inversiones aprobado al OR </w:t>
      </w:r>
      <w:r w:rsidRPr="004E6CFC">
        <w:rPr>
          <w:i/>
        </w:rPr>
        <w:t xml:space="preserve">j </w:t>
      </w:r>
      <w:r w:rsidRPr="004E6CFC">
        <w:t xml:space="preserve">en el nivel de tensión </w:t>
      </w:r>
      <w:r w:rsidRPr="004E6CFC">
        <w:rPr>
          <w:i/>
        </w:rPr>
        <w:t>n</w:t>
      </w:r>
      <w:r w:rsidRPr="004E6CFC">
        <w:t xml:space="preserve"> </w:t>
      </w:r>
      <w:r w:rsidRPr="004E6CFC">
        <w:rPr>
          <w:iCs/>
        </w:rPr>
        <w:t xml:space="preserve">en la categoría de activos </w:t>
      </w:r>
      <w:r w:rsidRPr="004E6CFC">
        <w:rPr>
          <w:i/>
          <w:iCs/>
        </w:rPr>
        <w:t>l</w:t>
      </w:r>
      <w:r w:rsidRPr="004E6CFC">
        <w:rPr>
          <w:iCs/>
        </w:rPr>
        <w:t xml:space="preserve"> para </w:t>
      </w:r>
      <w:r w:rsidRPr="004E6CFC">
        <w:t xml:space="preserve">el año </w:t>
      </w:r>
      <w:r w:rsidRPr="004E6CFC">
        <w:rPr>
          <w:i/>
        </w:rPr>
        <w:t>t</w:t>
      </w:r>
      <w:r w:rsidRPr="004E6CFC">
        <w:t xml:space="preserve">. </w:t>
      </w:r>
    </w:p>
    <w:p w:rsidR="00EF4850" w:rsidRPr="004E6CFC" w:rsidRDefault="00EF4850" w:rsidP="00EF4850">
      <w:pPr>
        <w:spacing w:before="280" w:after="280"/>
        <w:ind w:left="1410" w:hanging="1410"/>
      </w:pPr>
      <w:r w:rsidRPr="004E6CFC">
        <w:rPr>
          <w:i/>
          <w:iCs/>
        </w:rPr>
        <w:t>CR</w:t>
      </w:r>
      <w:r w:rsidRPr="004E6CFC">
        <w:rPr>
          <w:i/>
          <w:iCs/>
          <w:vertAlign w:val="subscript"/>
        </w:rPr>
        <w:t>i</w:t>
      </w:r>
      <w:r w:rsidRPr="004E6CFC">
        <w:t>:</w:t>
      </w:r>
      <w:r w:rsidRPr="004E6CFC">
        <w:tab/>
        <w:t>Valor de la UC</w:t>
      </w:r>
      <w:r>
        <w:t xml:space="preserve"> </w:t>
      </w:r>
      <w:r w:rsidRPr="004E6CFC">
        <w:rPr>
          <w:i/>
          <w:iCs/>
        </w:rPr>
        <w:t>i</w:t>
      </w:r>
      <w:r w:rsidRPr="004E6CFC">
        <w:t xml:space="preserve"> definido en el capítulo </w:t>
      </w:r>
      <w:r w:rsidRPr="004E6CFC">
        <w:fldChar w:fldCharType="begin"/>
      </w:r>
      <w:r w:rsidRPr="004E6CFC">
        <w:instrText xml:space="preserve"> REF _Ref465976561 \r \h \t  \* MERGEFORMAT </w:instrText>
      </w:r>
      <w:r w:rsidRPr="004E6CFC">
        <w:fldChar w:fldCharType="separate"/>
      </w:r>
      <w:r w:rsidR="00737178">
        <w:t>14</w:t>
      </w:r>
      <w:r w:rsidRPr="004E6CFC">
        <w:fldChar w:fldCharType="end"/>
      </w:r>
      <w:r w:rsidRPr="004E6CFC">
        <w:t>.</w:t>
      </w:r>
    </w:p>
    <w:p w:rsidR="00EF4850" w:rsidRPr="004E6CFC" w:rsidRDefault="00EF4850" w:rsidP="00EF4850">
      <w:pPr>
        <w:tabs>
          <w:tab w:val="left" w:pos="1418"/>
        </w:tabs>
        <w:spacing w:before="280" w:after="280"/>
        <w:ind w:left="1418" w:hanging="1418"/>
      </w:pPr>
      <w:r w:rsidRPr="004E6CFC">
        <w:rPr>
          <w:i/>
          <w:iCs/>
        </w:rPr>
        <w:t>PU</w:t>
      </w:r>
      <w:r w:rsidRPr="004E6CFC">
        <w:rPr>
          <w:i/>
          <w:iCs/>
          <w:vertAlign w:val="subscript"/>
        </w:rPr>
        <w:t>i</w:t>
      </w:r>
      <w:r w:rsidRPr="004E6CFC">
        <w:rPr>
          <w:i/>
          <w:iCs/>
        </w:rPr>
        <w:t>:</w:t>
      </w:r>
      <w:r w:rsidRPr="004E6CFC">
        <w:tab/>
        <w:t xml:space="preserve">Fracción del costo de la UC </w:t>
      </w:r>
      <w:r w:rsidRPr="004E6CFC">
        <w:rPr>
          <w:i/>
          <w:iCs/>
        </w:rPr>
        <w:t>i</w:t>
      </w:r>
      <w:r w:rsidRPr="004E6CFC">
        <w:t xml:space="preserve"> que es reconocida mediante cargos por uso.</w:t>
      </w:r>
      <w:r>
        <w:t xml:space="preserve"> </w:t>
      </w:r>
    </w:p>
    <w:p w:rsidR="00EF4850" w:rsidRPr="004E6CFC" w:rsidRDefault="00EF4850" w:rsidP="00EF4850">
      <w:pPr>
        <w:spacing w:before="280" w:after="280"/>
        <w:ind w:left="1410" w:hanging="1410"/>
      </w:pPr>
      <w:r w:rsidRPr="004E6CFC">
        <w:rPr>
          <w:i/>
          <w:iCs/>
        </w:rPr>
        <w:t>FU</w:t>
      </w:r>
      <w:r w:rsidRPr="004E6CFC">
        <w:rPr>
          <w:i/>
          <w:iCs/>
          <w:vertAlign w:val="subscript"/>
        </w:rPr>
        <w:t>i</w:t>
      </w:r>
      <w:r w:rsidRPr="004E6CFC">
        <w:rPr>
          <w:i/>
          <w:iCs/>
        </w:rPr>
        <w:t>:</w:t>
      </w:r>
      <w:r w:rsidRPr="004E6CFC">
        <w:rPr>
          <w:i/>
          <w:iCs/>
        </w:rPr>
        <w:tab/>
      </w:r>
      <w:r w:rsidRPr="004E6CFC">
        <w:t xml:space="preserve">Fracción del costo de la UC </w:t>
      </w:r>
      <w:r w:rsidRPr="004E6CFC">
        <w:rPr>
          <w:i/>
          <w:iCs/>
        </w:rPr>
        <w:t>i</w:t>
      </w:r>
      <w:r w:rsidRPr="004E6CFC">
        <w:t xml:space="preserve"> que es reconocida por reposiciones parciales de </w:t>
      </w:r>
      <w:r>
        <w:t xml:space="preserve">otras </w:t>
      </w:r>
      <w:r w:rsidRPr="004E6CFC">
        <w:t>UC. Este valor se calcula como el peso relativo del valor reconocido del elemento o los elementos reemplazados respecto al valor total de la UC.</w:t>
      </w:r>
      <w:r>
        <w:t xml:space="preserve"> </w:t>
      </w:r>
      <w:r w:rsidR="00F13040">
        <w:rPr>
          <w:iCs/>
        </w:rPr>
        <w:t>La Comisión publicará en c</w:t>
      </w:r>
      <w:r>
        <w:rPr>
          <w:iCs/>
        </w:rPr>
        <w:t>ircular aparte el peso relativo de cada componente de las UC.</w:t>
      </w:r>
    </w:p>
    <w:p w:rsidR="00EF4850" w:rsidRDefault="00EF4850" w:rsidP="00EF4850">
      <w:pPr>
        <w:spacing w:before="280" w:after="280"/>
        <w:ind w:left="1410" w:hanging="1410"/>
      </w:pPr>
      <w:r w:rsidRPr="004E6CFC">
        <w:rPr>
          <w:i/>
          <w:iCs/>
        </w:rPr>
        <w:t>RPP</w:t>
      </w:r>
      <w:r w:rsidRPr="004E6CFC">
        <w:rPr>
          <w:i/>
          <w:iCs/>
          <w:vertAlign w:val="subscript"/>
        </w:rPr>
        <w:t>i</w:t>
      </w:r>
      <w:r w:rsidRPr="004E6CFC">
        <w:rPr>
          <w:i/>
          <w:iCs/>
        </w:rPr>
        <w:t>:</w:t>
      </w:r>
      <w:r w:rsidRPr="004E6CFC">
        <w:tab/>
        <w:t xml:space="preserve">Fracción del costo de la UC </w:t>
      </w:r>
      <w:r w:rsidRPr="004E6CFC">
        <w:rPr>
          <w:i/>
          <w:iCs/>
        </w:rPr>
        <w:t>i</w:t>
      </w:r>
      <w:r w:rsidRPr="004E6CFC">
        <w:t xml:space="preserve"> que es</w:t>
      </w:r>
      <w:r w:rsidRPr="004E6CFC">
        <w:rPr>
          <w:i/>
        </w:rPr>
        <w:t xml:space="preserve"> </w:t>
      </w:r>
      <w:r w:rsidRPr="004E6CFC">
        <w:t>remunerada vía cargos por uso que no se debe incluir en el cálculo de la tarifa.</w:t>
      </w:r>
    </w:p>
    <w:p w:rsidR="00EF4850" w:rsidRPr="00577D56" w:rsidRDefault="00EF4850" w:rsidP="00EF4850">
      <w:pPr>
        <w:tabs>
          <w:tab w:val="left" w:pos="1418"/>
        </w:tabs>
        <w:spacing w:before="120"/>
        <w:ind w:left="1418" w:hanging="1415"/>
      </w:pPr>
      <w:r w:rsidRPr="00577D56">
        <w:rPr>
          <w:i/>
          <w:iCs/>
        </w:rPr>
        <w:t>SNUC</w:t>
      </w:r>
      <w:r>
        <w:rPr>
          <w:i/>
          <w:iCs/>
        </w:rPr>
        <w:t>P</w:t>
      </w:r>
      <w:r w:rsidRPr="00577D56">
        <w:rPr>
          <w:i/>
          <w:iCs/>
          <w:vertAlign w:val="subscript"/>
        </w:rPr>
        <w:t>j,l,t</w:t>
      </w:r>
      <w:r w:rsidRPr="00577D56">
        <w:t>:</w:t>
      </w:r>
      <w:r w:rsidRPr="00577D56">
        <w:tab/>
        <w:t xml:space="preserve">UC incluidas en el plan de inversiones solicitado por el OR </w:t>
      </w:r>
      <w:r w:rsidRPr="00577D56">
        <w:rPr>
          <w:i/>
        </w:rPr>
        <w:t xml:space="preserve">j </w:t>
      </w:r>
      <w:r w:rsidR="007B2CBB">
        <w:t>sin nivel de tensió</w:t>
      </w:r>
      <w:r w:rsidRPr="00577D56">
        <w:t>n</w:t>
      </w:r>
      <w:r w:rsidRPr="00577D56">
        <w:rPr>
          <w:i/>
        </w:rPr>
        <w:t xml:space="preserve">, </w:t>
      </w:r>
      <w:r w:rsidRPr="00577D56">
        <w:rPr>
          <w:iCs/>
        </w:rPr>
        <w:t xml:space="preserve">en la categoría de activos </w:t>
      </w:r>
      <w:r w:rsidRPr="00577D56">
        <w:rPr>
          <w:i/>
          <w:iCs/>
        </w:rPr>
        <w:t>l</w:t>
      </w:r>
      <w:r w:rsidRPr="00577D56">
        <w:rPr>
          <w:iCs/>
        </w:rPr>
        <w:t xml:space="preserve"> para </w:t>
      </w:r>
      <w:r w:rsidRPr="00577D56">
        <w:t xml:space="preserve">el año </w:t>
      </w:r>
      <w:r w:rsidRPr="00577D56">
        <w:rPr>
          <w:i/>
        </w:rPr>
        <w:t>t</w:t>
      </w:r>
      <w:r w:rsidRPr="00577D56">
        <w:t xml:space="preserve">. </w:t>
      </w:r>
    </w:p>
    <w:p w:rsidR="00EF4850" w:rsidRPr="00577D56" w:rsidRDefault="00EF4850" w:rsidP="00EF4850">
      <w:pPr>
        <w:ind w:left="1418" w:hanging="1418"/>
        <w:rPr>
          <w:iCs/>
        </w:rPr>
      </w:pPr>
      <w:r w:rsidRPr="00577D56">
        <w:rPr>
          <w:i/>
          <w:iCs/>
        </w:rPr>
        <w:t>Psn</w:t>
      </w:r>
      <w:r w:rsidRPr="00577D56">
        <w:rPr>
          <w:i/>
          <w:iCs/>
          <w:vertAlign w:val="subscript"/>
        </w:rPr>
        <w:t>j</w:t>
      </w:r>
      <w:r>
        <w:rPr>
          <w:i/>
          <w:iCs/>
        </w:rPr>
        <w:t>:</w:t>
      </w:r>
      <w:r>
        <w:rPr>
          <w:i/>
          <w:iCs/>
        </w:rPr>
        <w:tab/>
      </w:r>
      <w:r w:rsidRPr="00577D56">
        <w:rPr>
          <w:iCs/>
        </w:rPr>
        <w:t>Variable de asignación de las UC sin nivel de tensión. Para OR con cuatro niveles de tensión es igual a 1/3, para OR con tres niveles de tensión es igual a 1/2 y para OR con dos niveles de tensión es igual a 1.</w:t>
      </w:r>
    </w:p>
    <w:p w:rsidR="00EF4850" w:rsidRPr="004E6CFC" w:rsidRDefault="00EF4850" w:rsidP="00EF4850">
      <w:pPr>
        <w:pStyle w:val="Ttulo5"/>
      </w:pPr>
      <w:bookmarkStart w:id="173" w:name="_Ref443918943"/>
      <w:r w:rsidRPr="004E6CFC">
        <w:t>Inversiones para empresas sin plan de inversiones aprobado</w:t>
      </w:r>
      <w:bookmarkEnd w:id="173"/>
    </w:p>
    <w:p w:rsidR="00EF4850" w:rsidRPr="004E6CFC" w:rsidRDefault="00EF4850" w:rsidP="00EF4850">
      <w:r w:rsidRPr="004E6CFC">
        <w:rPr>
          <w:lang w:val="es-ES_tradnl"/>
        </w:rPr>
        <w:t>Las inversiones para las empresas a las que no se les aprueba el plan de inversiones o que no lo presenten en la fecha indicada se calculan de la siguiente manera:</w:t>
      </w:r>
    </w:p>
    <w:p w:rsidR="00EF4850" w:rsidRPr="004E6CFC" w:rsidRDefault="00C9592F" w:rsidP="00EF4850">
      <m:oMathPara>
        <m:oMath>
          <m:sSub>
            <m:sSubPr>
              <m:ctrlPr>
                <w:rPr>
                  <w:rFonts w:ascii="Cambria Math" w:hAnsi="Cambria Math"/>
                  <w:i/>
                </w:rPr>
              </m:ctrlPr>
            </m:sSubPr>
            <m:e>
              <m:r>
                <w:rPr>
                  <w:rFonts w:ascii="Cambria Math" w:hAnsi="Cambria Math"/>
                </w:rPr>
                <m:t>INVA</m:t>
              </m:r>
            </m:e>
            <m:sub>
              <m:r>
                <w:rPr>
                  <w:rFonts w:ascii="Cambria Math" w:hAnsi="Cambria Math"/>
                </w:rPr>
                <m:t>j</m:t>
              </m:r>
              <m:r>
                <w:rPr>
                  <w:rFonts w:ascii="Cambria Math"/>
                </w:rPr>
                <m:t>,n,l,t</m:t>
              </m:r>
            </m:sub>
          </m:sSub>
          <m:r>
            <w:rPr>
              <w:rFonts w:ascii="Cambria Math"/>
            </w:rPr>
            <m:t>=</m:t>
          </m:r>
          <m:sSub>
            <m:sSubPr>
              <m:ctrlPr>
                <w:rPr>
                  <w:rFonts w:ascii="Cambria Math" w:hAnsi="Cambria Math"/>
                  <w:i/>
                </w:rPr>
              </m:ctrlPr>
            </m:sSubPr>
            <m:e>
              <m:r>
                <w:rPr>
                  <w:rFonts w:ascii="Cambria Math"/>
                </w:rPr>
                <m:t>BRAE</m:t>
              </m:r>
            </m:e>
            <m:sub>
              <m:r>
                <w:rPr>
                  <w:rFonts w:ascii="Cambria Math"/>
                </w:rPr>
                <m:t>j,n,l,0</m:t>
              </m:r>
            </m:sub>
          </m:sSub>
          <m:r>
            <w:rPr>
              <w:rFonts w:ascii="Cambria Math" w:hAnsi="Cambria Math" w:cs="Cambria Math"/>
            </w:rPr>
            <m:t>*</m:t>
          </m:r>
          <m:sSub>
            <m:sSubPr>
              <m:ctrlPr>
                <w:rPr>
                  <w:rFonts w:ascii="Cambria Math" w:hAnsi="Cambria Math"/>
                  <w:i/>
                </w:rPr>
              </m:ctrlPr>
            </m:sSubPr>
            <m:e>
              <m:r>
                <w:rPr>
                  <w:rFonts w:ascii="Cambria Math"/>
                </w:rPr>
                <m:t>PIH</m:t>
              </m:r>
            </m:e>
            <m:sub>
              <m:r>
                <w:rPr>
                  <w:rFonts w:ascii="Cambria Math"/>
                </w:rPr>
                <m:t>j,n</m:t>
              </m:r>
            </m:sub>
          </m:sSub>
        </m:oMath>
      </m:oMathPara>
    </w:p>
    <w:p w:rsidR="00EF4850" w:rsidRPr="004E6CFC" w:rsidRDefault="00EF4850" w:rsidP="00EF4850">
      <w:pPr>
        <w:ind w:left="1418" w:hanging="1418"/>
        <w:rPr>
          <w:iCs/>
        </w:rPr>
      </w:pPr>
      <w:r w:rsidRPr="004E6CFC">
        <w:rPr>
          <w:iCs/>
        </w:rPr>
        <w:t>Donde:</w:t>
      </w:r>
    </w:p>
    <w:p w:rsidR="00EF4850" w:rsidRPr="004E6CFC" w:rsidRDefault="00EF4850" w:rsidP="00EF4850">
      <w:pPr>
        <w:ind w:left="1418" w:hanging="1418"/>
        <w:rPr>
          <w:iCs/>
        </w:rPr>
      </w:pPr>
      <w:r w:rsidRPr="004E6CFC">
        <w:rPr>
          <w:i/>
          <w:iCs/>
        </w:rPr>
        <w:t>INVA</w:t>
      </w:r>
      <w:r w:rsidRPr="004E6CFC">
        <w:rPr>
          <w:i/>
          <w:iCs/>
          <w:vertAlign w:val="subscript"/>
        </w:rPr>
        <w:t>j,n,l,t</w:t>
      </w:r>
      <w:r w:rsidRPr="004E6CFC">
        <w:t>:</w:t>
      </w:r>
      <w:r w:rsidRPr="004E6CFC">
        <w:tab/>
      </w:r>
      <w:r w:rsidRPr="004E6CFC">
        <w:rPr>
          <w:iCs/>
        </w:rPr>
        <w:t xml:space="preserve">Inversión aprobada en el plan de inversiones del OR </w:t>
      </w:r>
      <w:r w:rsidRPr="004E6CFC">
        <w:rPr>
          <w:i/>
          <w:iCs/>
        </w:rPr>
        <w:t>j</w:t>
      </w:r>
      <w:r w:rsidRPr="004E6CFC">
        <w:rPr>
          <w:iCs/>
        </w:rPr>
        <w:t xml:space="preserve"> en el nivel de tensión </w:t>
      </w:r>
      <w:r w:rsidRPr="004E6CFC">
        <w:rPr>
          <w:i/>
          <w:iCs/>
        </w:rPr>
        <w:t>n</w:t>
      </w:r>
      <w:r w:rsidRPr="004E6CFC">
        <w:rPr>
          <w:iCs/>
        </w:rPr>
        <w:t xml:space="preserve"> en la categoría de activos </w:t>
      </w:r>
      <w:r w:rsidRPr="004E6CFC">
        <w:rPr>
          <w:i/>
          <w:iCs/>
        </w:rPr>
        <w:t>l</w:t>
      </w:r>
      <w:r w:rsidRPr="004E6CFC">
        <w:rPr>
          <w:iCs/>
        </w:rPr>
        <w:t xml:space="preserve"> para el año </w:t>
      </w:r>
      <w:r w:rsidRPr="004E6CFC">
        <w:rPr>
          <w:i/>
          <w:iCs/>
        </w:rPr>
        <w:t>t</w:t>
      </w:r>
      <w:r w:rsidRPr="004E6CFC">
        <w:rPr>
          <w:iCs/>
        </w:rPr>
        <w:t xml:space="preserve">. </w:t>
      </w:r>
    </w:p>
    <w:p w:rsidR="00EF4850" w:rsidRPr="004E6CFC" w:rsidRDefault="00EF4850" w:rsidP="00EF4850">
      <w:pPr>
        <w:ind w:left="1418" w:hanging="1418"/>
      </w:pPr>
      <w:r w:rsidRPr="004E6CFC">
        <w:rPr>
          <w:i/>
          <w:iCs/>
        </w:rPr>
        <w:t>BRAE</w:t>
      </w:r>
      <w:r w:rsidRPr="004E6CFC">
        <w:rPr>
          <w:i/>
          <w:iCs/>
          <w:vertAlign w:val="subscript"/>
        </w:rPr>
        <w:t>j,n,l,0</w:t>
      </w:r>
      <w:r w:rsidRPr="004E6CFC">
        <w:t>:</w:t>
      </w:r>
      <w:r w:rsidRPr="004E6CFC">
        <w:tab/>
        <w:t xml:space="preserve">Base regulatoria inicial de activos eléctricos del OR </w:t>
      </w:r>
      <w:r w:rsidRPr="004E6CFC">
        <w:rPr>
          <w:i/>
        </w:rPr>
        <w:t xml:space="preserve">j </w:t>
      </w:r>
      <w:r w:rsidRPr="004E6CFC">
        <w:t xml:space="preserve">en el nivel de tensión </w:t>
      </w:r>
      <w:r w:rsidRPr="004E6CFC">
        <w:rPr>
          <w:i/>
          <w:iCs/>
        </w:rPr>
        <w:t xml:space="preserve">n </w:t>
      </w:r>
      <w:r w:rsidRPr="004E6CFC">
        <w:rPr>
          <w:iCs/>
        </w:rPr>
        <w:t xml:space="preserve">en la categoría de activos </w:t>
      </w:r>
      <w:r w:rsidRPr="004E6CFC">
        <w:rPr>
          <w:i/>
          <w:iCs/>
        </w:rPr>
        <w:t>l</w:t>
      </w:r>
      <w:r w:rsidRPr="004E6CFC">
        <w:t>.</w:t>
      </w:r>
    </w:p>
    <w:p w:rsidR="00EF4850" w:rsidRDefault="00EF4850" w:rsidP="00EF4850">
      <w:pPr>
        <w:spacing w:before="320" w:after="320"/>
        <w:ind w:left="1418" w:hanging="1418"/>
        <w:rPr>
          <w:iCs/>
        </w:rPr>
      </w:pPr>
      <w:r w:rsidRPr="004E6CFC">
        <w:rPr>
          <w:i/>
          <w:iCs/>
        </w:rPr>
        <w:lastRenderedPageBreak/>
        <w:t>PIH</w:t>
      </w:r>
      <w:r w:rsidRPr="004E6CFC">
        <w:rPr>
          <w:i/>
          <w:iCs/>
          <w:vertAlign w:val="subscript"/>
        </w:rPr>
        <w:t>j,n</w:t>
      </w:r>
      <w:r w:rsidRPr="004E6CFC">
        <w:t>:</w:t>
      </w:r>
      <w:r w:rsidRPr="004E6CFC">
        <w:tab/>
        <w:t xml:space="preserve">Porcentaje de inversiones de referencia del OR </w:t>
      </w:r>
      <w:r w:rsidRPr="004E6CFC">
        <w:rPr>
          <w:i/>
        </w:rPr>
        <w:t xml:space="preserve">j </w:t>
      </w:r>
      <w:r w:rsidRPr="004E6CFC">
        <w:t xml:space="preserve">en el nivel de tensión </w:t>
      </w:r>
      <w:r w:rsidRPr="004E6CFC">
        <w:rPr>
          <w:i/>
          <w:iCs/>
        </w:rPr>
        <w:t>n</w:t>
      </w:r>
      <w:r w:rsidRPr="004E6CFC">
        <w:t>.</w:t>
      </w:r>
      <w:r>
        <w:t xml:space="preserve"> </w:t>
      </w:r>
      <w:r w:rsidRPr="004E6CFC">
        <w:rPr>
          <w:i/>
          <w:iCs/>
        </w:rPr>
        <w:tab/>
      </w:r>
      <w:r w:rsidRPr="00527328">
        <w:rPr>
          <w:iCs/>
        </w:rPr>
        <w:t>C</w:t>
      </w:r>
      <w:r w:rsidRPr="004E6CFC">
        <w:rPr>
          <w:iCs/>
        </w:rPr>
        <w:t>orresponde al mínimo entre 1 % y el porcentaje promedio de inversiones realizadas</w:t>
      </w:r>
      <w:r>
        <w:rPr>
          <w:iCs/>
        </w:rPr>
        <w:t xml:space="preserve">, </w:t>
      </w:r>
      <w:r w:rsidRPr="00D6586E">
        <w:rPr>
          <w:i/>
          <w:iCs/>
        </w:rPr>
        <w:t>PPI</w:t>
      </w:r>
      <w:r w:rsidRPr="00D6586E">
        <w:rPr>
          <w:i/>
          <w:iCs/>
          <w:vertAlign w:val="subscript"/>
        </w:rPr>
        <w:t>j,n</w:t>
      </w:r>
      <w:r>
        <w:t>.</w:t>
      </w:r>
      <w:r w:rsidRPr="004E6CFC">
        <w:t xml:space="preserve"> </w:t>
      </w:r>
      <w:r>
        <w:t xml:space="preserve">La variable </w:t>
      </w:r>
      <w:r w:rsidRPr="00D6586E">
        <w:rPr>
          <w:i/>
          <w:iCs/>
        </w:rPr>
        <w:t>PPI</w:t>
      </w:r>
      <w:r w:rsidRPr="00D6586E">
        <w:rPr>
          <w:i/>
          <w:iCs/>
          <w:vertAlign w:val="subscript"/>
        </w:rPr>
        <w:t>j,n</w:t>
      </w:r>
      <w:r>
        <w:t xml:space="preserve"> es </w:t>
      </w:r>
      <w:r w:rsidRPr="004E6CFC">
        <w:t>calculada de la siguiente manera:</w:t>
      </w:r>
    </w:p>
    <w:p w:rsidR="00EF4850" w:rsidRDefault="00C9592F" w:rsidP="00EF4850">
      <w:pPr>
        <w:spacing w:before="320" w:after="320"/>
        <w:ind w:left="1418" w:hanging="2"/>
        <w:rPr>
          <w:iCs/>
        </w:rPr>
      </w:pPr>
      <m:oMathPara>
        <m:oMath>
          <m:sSub>
            <m:sSubPr>
              <m:ctrlPr>
                <w:rPr>
                  <w:rFonts w:ascii="Cambria Math" w:hAnsi="Cambria Math"/>
                  <w:i/>
                </w:rPr>
              </m:ctrlPr>
            </m:sSubPr>
            <m:e>
              <m:r>
                <w:rPr>
                  <w:rFonts w:ascii="Cambria Math" w:hAnsi="Cambria Math"/>
                </w:rPr>
                <m:t>PPI</m:t>
              </m:r>
            </m:e>
            <m:sub>
              <m:r>
                <w:rPr>
                  <w:rFonts w:ascii="Cambria Math" w:hAnsi="Cambria Math"/>
                </w:rPr>
                <m:t>j</m:t>
              </m:r>
              <m:r>
                <w:rPr>
                  <w:rFonts w:ascii="Cambria Math"/>
                </w:rPr>
                <m:t>,n</m:t>
              </m:r>
            </m:sub>
          </m:sSub>
          <m:r>
            <w:rPr>
              <w:rFonts w:ascii="Cambria Math"/>
            </w:rPr>
            <m:t>=</m:t>
          </m:r>
          <m:f>
            <m:fPr>
              <m:ctrlPr>
                <w:rPr>
                  <w:rFonts w:ascii="Cambria Math" w:hAnsi="Cambria Math"/>
                  <w:i/>
                </w:rPr>
              </m:ctrlPr>
            </m:fPr>
            <m:num>
              <m:nary>
                <m:naryPr>
                  <m:chr m:val="∑"/>
                  <m:limLoc m:val="undOvr"/>
                  <m:ctrlPr>
                    <w:rPr>
                      <w:rFonts w:ascii="Cambria Math" w:hAnsi="Cambria Math"/>
                      <w:i/>
                    </w:rPr>
                  </m:ctrlPr>
                </m:naryPr>
                <m:sub>
                  <m:r>
                    <w:rPr>
                      <w:rFonts w:ascii="Cambria Math" w:hAnsi="Cambria Math"/>
                    </w:rPr>
                    <m:t>l=1</m:t>
                  </m:r>
                </m:sub>
                <m:sup>
                  <m:sSub>
                    <m:sSubPr>
                      <m:ctrlPr>
                        <w:rPr>
                          <w:rFonts w:ascii="Cambria Math" w:hAnsi="Cambria Math"/>
                          <w:i/>
                        </w:rPr>
                      </m:ctrlPr>
                    </m:sSubPr>
                    <m:e>
                      <m:r>
                        <w:rPr>
                          <w:rFonts w:ascii="Cambria Math" w:hAnsi="Cambria Math"/>
                        </w:rPr>
                        <m:t>L</m:t>
                      </m:r>
                    </m:e>
                    <m:sub>
                      <m:r>
                        <w:rPr>
                          <w:rFonts w:ascii="Cambria Math" w:hAnsi="Cambria Math"/>
                        </w:rPr>
                        <m:t>n</m:t>
                      </m:r>
                    </m:sub>
                  </m:sSub>
                </m:sup>
                <m:e>
                  <m:r>
                    <w:rPr>
                      <w:rFonts w:ascii="Cambria Math" w:hAnsi="Cambria Math"/>
                    </w:rPr>
                    <m:t xml:space="preserve"> </m:t>
                  </m:r>
                  <m:sSub>
                    <m:sSubPr>
                      <m:ctrlPr>
                        <w:rPr>
                          <w:rFonts w:ascii="Cambria Math" w:hAnsi="Cambria Math"/>
                          <w:i/>
                        </w:rPr>
                      </m:ctrlPr>
                    </m:sSubPr>
                    <m:e>
                      <m:r>
                        <w:rPr>
                          <w:rFonts w:ascii="Cambria Math" w:hAnsi="Cambria Math"/>
                        </w:rPr>
                        <m:t>CRIN</m:t>
                      </m:r>
                    </m:e>
                    <m:sub>
                      <m:r>
                        <w:rPr>
                          <w:rFonts w:ascii="Cambria Math" w:hAnsi="Cambria Math"/>
                        </w:rPr>
                        <m:t>j,n,l</m:t>
                      </m:r>
                    </m:sub>
                  </m:sSub>
                </m:e>
              </m:nary>
            </m:num>
            <m:den>
              <m:nary>
                <m:naryPr>
                  <m:chr m:val="∑"/>
                  <m:limLoc m:val="undOvr"/>
                  <m:ctrlPr>
                    <w:rPr>
                      <w:rFonts w:ascii="Cambria Math" w:hAnsi="Cambria Math"/>
                      <w:i/>
                    </w:rPr>
                  </m:ctrlPr>
                </m:naryPr>
                <m:sub>
                  <m:r>
                    <w:rPr>
                      <w:rFonts w:ascii="Cambria Math" w:hAnsi="Cambria Math"/>
                    </w:rPr>
                    <m:t>l=1</m:t>
                  </m:r>
                </m:sub>
                <m:sup>
                  <m:sSub>
                    <m:sSubPr>
                      <m:ctrlPr>
                        <w:rPr>
                          <w:rFonts w:ascii="Cambria Math" w:hAnsi="Cambria Math"/>
                          <w:i/>
                        </w:rPr>
                      </m:ctrlPr>
                    </m:sSubPr>
                    <m:e>
                      <m:r>
                        <w:rPr>
                          <w:rFonts w:ascii="Cambria Math" w:hAnsi="Cambria Math"/>
                        </w:rPr>
                        <m:t>L</m:t>
                      </m:r>
                    </m:e>
                    <m:sub>
                      <m:r>
                        <w:rPr>
                          <w:rFonts w:ascii="Cambria Math" w:hAnsi="Cambria Math"/>
                        </w:rPr>
                        <m:t>n</m:t>
                      </m:r>
                    </m:sub>
                  </m:sSub>
                </m:sup>
                <m:e>
                  <m:r>
                    <w:rPr>
                      <w:rFonts w:ascii="Cambria Math" w:hAnsi="Cambria Math"/>
                    </w:rPr>
                    <m:t xml:space="preserve"> </m:t>
                  </m:r>
                  <m:sSub>
                    <m:sSubPr>
                      <m:ctrlPr>
                        <w:rPr>
                          <w:rFonts w:ascii="Cambria Math" w:hAnsi="Cambria Math"/>
                          <w:i/>
                        </w:rPr>
                      </m:ctrlPr>
                    </m:sSubPr>
                    <m:e>
                      <m:r>
                        <w:rPr>
                          <w:rFonts w:ascii="Cambria Math" w:hAnsi="Cambria Math"/>
                        </w:rPr>
                        <m:t xml:space="preserve"> CRII</m:t>
                      </m:r>
                    </m:e>
                    <m:sub>
                      <m:r>
                        <w:rPr>
                          <w:rFonts w:ascii="Cambria Math" w:hAnsi="Cambria Math"/>
                        </w:rPr>
                        <m:t>j,n,l</m:t>
                      </m:r>
                    </m:sub>
                  </m:sSub>
                </m:e>
              </m:nary>
            </m:den>
          </m:f>
          <m:r>
            <w:rPr>
              <w:rFonts w:ascii="Cambria Math"/>
            </w:rPr>
            <m:t>*</m:t>
          </m:r>
          <m:r>
            <w:rPr>
              <w:rFonts w:ascii="Cambria Math"/>
            </w:rPr>
            <m:t>0,1</m:t>
          </m:r>
          <m:r>
            <w:rPr>
              <w:rFonts w:ascii="Cambria Math" w:hAnsi="Cambria Math"/>
            </w:rPr>
            <m:t xml:space="preserve"> </m:t>
          </m:r>
        </m:oMath>
      </m:oMathPara>
    </w:p>
    <w:p w:rsidR="00EF4850" w:rsidRPr="00D6586E" w:rsidRDefault="00EF4850" w:rsidP="00EF4850">
      <w:pPr>
        <w:spacing w:before="320" w:after="320"/>
        <w:ind w:left="1418" w:hanging="2"/>
        <w:rPr>
          <w:iCs/>
        </w:rPr>
      </w:pPr>
      <w:r w:rsidRPr="00D6586E">
        <w:rPr>
          <w:iCs/>
        </w:rPr>
        <w:t>Donde:</w:t>
      </w:r>
    </w:p>
    <w:p w:rsidR="00EF4850" w:rsidRDefault="00EF4850" w:rsidP="00EF4850">
      <w:pPr>
        <w:spacing w:before="320" w:after="320"/>
        <w:ind w:left="2486" w:hanging="1070"/>
        <w:rPr>
          <w:iCs/>
        </w:rPr>
      </w:pPr>
      <w:r w:rsidRPr="004E6CFC">
        <w:rPr>
          <w:i/>
          <w:iCs/>
        </w:rPr>
        <w:t>P</w:t>
      </w:r>
      <w:r>
        <w:rPr>
          <w:i/>
          <w:iCs/>
        </w:rPr>
        <w:t xml:space="preserve">PI </w:t>
      </w:r>
      <w:r w:rsidRPr="004E6CFC">
        <w:rPr>
          <w:i/>
          <w:iCs/>
          <w:vertAlign w:val="subscript"/>
        </w:rPr>
        <w:t>j,n</w:t>
      </w:r>
      <w:r w:rsidRPr="004E6CFC">
        <w:t>:</w:t>
      </w:r>
      <w:r w:rsidRPr="004E6CFC">
        <w:tab/>
      </w:r>
      <w:r>
        <w:t>P</w:t>
      </w:r>
      <w:r w:rsidRPr="004E6CFC">
        <w:rPr>
          <w:iCs/>
        </w:rPr>
        <w:t>orcentaje promedio de inversiones realizadas por la empresa durante el periodo 2008</w:t>
      </w:r>
      <w:r w:rsidRPr="004E6CFC">
        <w:rPr>
          <w:iCs/>
        </w:rPr>
        <w:noBreakHyphen/>
        <w:t>201</w:t>
      </w:r>
      <w:r>
        <w:rPr>
          <w:iCs/>
        </w:rPr>
        <w:t>7.</w:t>
      </w:r>
    </w:p>
    <w:p w:rsidR="00EF4850" w:rsidRDefault="00EF4850" w:rsidP="00EF4850">
      <w:pPr>
        <w:spacing w:before="320" w:after="320"/>
        <w:ind w:left="2486" w:hanging="1070"/>
        <w:rPr>
          <w:iCs/>
        </w:rPr>
      </w:pPr>
      <w:r w:rsidRPr="004E6CFC">
        <w:rPr>
          <w:i/>
          <w:iCs/>
        </w:rPr>
        <w:t>CRIN</w:t>
      </w:r>
      <w:r w:rsidRPr="004E6CFC">
        <w:rPr>
          <w:i/>
          <w:iCs/>
          <w:vertAlign w:val="subscript"/>
        </w:rPr>
        <w:t>j,n,l</w:t>
      </w:r>
      <w:r w:rsidRPr="004E6CFC">
        <w:t>:</w:t>
      </w:r>
      <w:r w:rsidRPr="004E6CFC">
        <w:tab/>
      </w:r>
      <w:r>
        <w:t xml:space="preserve">Valor de </w:t>
      </w:r>
      <w:r w:rsidRPr="004E6CFC">
        <w:t xml:space="preserve">la inversión del OR </w:t>
      </w:r>
      <w:r w:rsidRPr="004E6CFC">
        <w:rPr>
          <w:i/>
        </w:rPr>
        <w:t>j</w:t>
      </w:r>
      <w:r w:rsidRPr="004E6CFC">
        <w:t xml:space="preserve"> en el nivel de tensión </w:t>
      </w:r>
      <w:r w:rsidRPr="004E6CFC">
        <w:rPr>
          <w:i/>
        </w:rPr>
        <w:t>n</w:t>
      </w:r>
      <w:r w:rsidRPr="004E6CFC">
        <w:t xml:space="preserve"> para la categoría de activos </w:t>
      </w:r>
      <w:r w:rsidRPr="004E6CFC">
        <w:rPr>
          <w:i/>
        </w:rPr>
        <w:t>l</w:t>
      </w:r>
      <w:r w:rsidRPr="004E6CFC">
        <w:t xml:space="preserve">, asociado con los activos que fueron puestos en operación en el periodo 2008 a la fecha de corte, calculado de acuerdo con lo establecido en el numeral </w:t>
      </w:r>
      <w:r>
        <w:fldChar w:fldCharType="begin"/>
      </w:r>
      <w:r>
        <w:instrText xml:space="preserve"> REF _Ref504639236 \r \h </w:instrText>
      </w:r>
      <w:r>
        <w:fldChar w:fldCharType="separate"/>
      </w:r>
      <w:r w:rsidR="00737178">
        <w:t>3.1.1.1.4</w:t>
      </w:r>
      <w:r>
        <w:fldChar w:fldCharType="end"/>
      </w:r>
      <w:r>
        <w:t>.</w:t>
      </w:r>
    </w:p>
    <w:p w:rsidR="00EF4850" w:rsidRDefault="00EF4850" w:rsidP="00EF4850">
      <w:pPr>
        <w:spacing w:before="120"/>
        <w:ind w:left="2486" w:hanging="1070"/>
      </w:pPr>
      <w:r w:rsidRPr="004E6CFC">
        <w:rPr>
          <w:i/>
          <w:iCs/>
        </w:rPr>
        <w:t>CRII</w:t>
      </w:r>
      <w:r w:rsidRPr="004E6CFC">
        <w:rPr>
          <w:i/>
          <w:iCs/>
          <w:vertAlign w:val="subscript"/>
        </w:rPr>
        <w:t>j,n,l</w:t>
      </w:r>
      <w:r w:rsidRPr="004E6CFC">
        <w:t>:</w:t>
      </w:r>
      <w:r w:rsidRPr="004E6CFC">
        <w:tab/>
        <w:t xml:space="preserve">Valor implícito de los activos del OR </w:t>
      </w:r>
      <w:r w:rsidRPr="004E6CFC">
        <w:rPr>
          <w:i/>
        </w:rPr>
        <w:t>j</w:t>
      </w:r>
      <w:r w:rsidRPr="004E6CFC">
        <w:t xml:space="preserve"> en el nivel de tensión </w:t>
      </w:r>
      <w:r w:rsidRPr="004E6CFC">
        <w:rPr>
          <w:i/>
        </w:rPr>
        <w:t>n</w:t>
      </w:r>
      <w:r w:rsidRPr="004E6CFC">
        <w:t xml:space="preserve"> para la categoría de activos </w:t>
      </w:r>
      <w:r w:rsidRPr="004E6CFC">
        <w:rPr>
          <w:i/>
        </w:rPr>
        <w:t>l</w:t>
      </w:r>
      <w:r w:rsidRPr="004E6CFC">
        <w:t xml:space="preserve">, calculado de acuerdo con lo establecido en el numeral </w:t>
      </w:r>
      <w:r w:rsidRPr="004E6CFC">
        <w:fldChar w:fldCharType="begin"/>
      </w:r>
      <w:r w:rsidRPr="004E6CFC">
        <w:instrText xml:space="preserve"> REF _Ref439666783 \r \h  \* MERGEFORMAT </w:instrText>
      </w:r>
      <w:r w:rsidRPr="004E6CFC">
        <w:fldChar w:fldCharType="separate"/>
      </w:r>
      <w:r w:rsidR="00737178">
        <w:t>3.1.1.1.1</w:t>
      </w:r>
      <w:r w:rsidRPr="004E6CFC">
        <w:fldChar w:fldCharType="end"/>
      </w:r>
      <w:r w:rsidRPr="004E6CFC">
        <w:t>.</w:t>
      </w:r>
    </w:p>
    <w:p w:rsidR="00EF4850" w:rsidRPr="004E6CFC" w:rsidRDefault="00EF4850" w:rsidP="00EF4850">
      <w:pPr>
        <w:tabs>
          <w:tab w:val="left" w:pos="1418"/>
        </w:tabs>
        <w:spacing w:before="120"/>
        <w:ind w:left="1469" w:hanging="1469"/>
      </w:pPr>
      <w:r>
        <w:rPr>
          <w:i/>
          <w:iCs/>
        </w:rPr>
        <w:tab/>
      </w:r>
      <w:r>
        <w:rPr>
          <w:i/>
          <w:iCs/>
        </w:rPr>
        <w:tab/>
        <w:t>l</w:t>
      </w:r>
      <w:r w:rsidRPr="004E6CFC">
        <w:rPr>
          <w:i/>
          <w:iCs/>
        </w:rPr>
        <w:t>:</w:t>
      </w:r>
      <w:r w:rsidRPr="004E6CFC">
        <w:t xml:space="preserve"> </w:t>
      </w:r>
      <w:r>
        <w:tab/>
      </w:r>
      <w:r>
        <w:tab/>
      </w:r>
      <w:r>
        <w:tab/>
      </w:r>
      <w:r>
        <w:tab/>
      </w:r>
      <w:r>
        <w:tab/>
      </w:r>
      <w:r>
        <w:tab/>
      </w:r>
      <w:r>
        <w:tab/>
      </w:r>
      <w:r>
        <w:tab/>
      </w:r>
      <w:r w:rsidRPr="004E6CFC">
        <w:t>Ca</w:t>
      </w:r>
      <w:r>
        <w:t xml:space="preserve">tegoría de activos, </w:t>
      </w:r>
      <w:r w:rsidRPr="00CA5A76">
        <w:rPr>
          <w:i/>
        </w:rPr>
        <w:t xml:space="preserve">l </w:t>
      </w:r>
      <w:r w:rsidRPr="00CA5A76">
        <w:t>toma los valores de 11</w:t>
      </w:r>
      <w:r>
        <w:t xml:space="preserve"> o </w:t>
      </w:r>
      <w:r w:rsidRPr="00CA5A76">
        <w:t>12</w:t>
      </w:r>
      <w:r>
        <w:t xml:space="preserve"> para el </w:t>
      </w:r>
      <w:r>
        <w:tab/>
      </w:r>
      <w:r>
        <w:tab/>
      </w:r>
      <w:r>
        <w:tab/>
      </w:r>
      <w:r>
        <w:tab/>
      </w:r>
      <w:r>
        <w:tab/>
      </w:r>
      <w:r>
        <w:tab/>
      </w:r>
      <w:r>
        <w:tab/>
      </w:r>
      <w:r>
        <w:tab/>
      </w:r>
      <w:r>
        <w:tab/>
      </w:r>
      <w:r>
        <w:tab/>
        <w:t>nivel de tensión 1</w:t>
      </w:r>
      <w:r w:rsidRPr="004E6CFC">
        <w:t>.</w:t>
      </w:r>
    </w:p>
    <w:p w:rsidR="00EF4850" w:rsidRPr="004E6CFC" w:rsidRDefault="00EF4850" w:rsidP="00EF4850">
      <w:pPr>
        <w:tabs>
          <w:tab w:val="left" w:pos="1418"/>
        </w:tabs>
        <w:spacing w:before="120"/>
        <w:ind w:left="2486" w:hanging="2486"/>
      </w:pPr>
      <w:r>
        <w:rPr>
          <w:i/>
          <w:iCs/>
        </w:rPr>
        <w:tab/>
      </w:r>
      <w:r w:rsidRPr="004E6CFC">
        <w:rPr>
          <w:i/>
          <w:iCs/>
        </w:rPr>
        <w:t>L</w:t>
      </w:r>
      <w:r w:rsidRPr="004E6CFC">
        <w:rPr>
          <w:i/>
          <w:iCs/>
          <w:vertAlign w:val="subscript"/>
        </w:rPr>
        <w:t>n</w:t>
      </w:r>
      <w:r w:rsidRPr="004E6CFC">
        <w:rPr>
          <w:i/>
          <w:iCs/>
        </w:rPr>
        <w:t>:</w:t>
      </w:r>
      <w:r w:rsidRPr="004E6CFC">
        <w:t xml:space="preserve"> </w:t>
      </w:r>
      <w:r w:rsidRPr="004E6CFC">
        <w:tab/>
        <w:t xml:space="preserve">Cantidad de categorías de activos en el nivel de tensión </w:t>
      </w:r>
      <w:r w:rsidRPr="004E6CFC">
        <w:rPr>
          <w:i/>
        </w:rPr>
        <w:t>n</w:t>
      </w:r>
      <w:r>
        <w:rPr>
          <w:i/>
        </w:rPr>
        <w:t xml:space="preserve">. </w:t>
      </w:r>
      <w:r w:rsidRPr="004E6CFC">
        <w:rPr>
          <w:i/>
          <w:iCs/>
        </w:rPr>
        <w:t>L</w:t>
      </w:r>
      <w:r>
        <w:rPr>
          <w:i/>
          <w:iCs/>
          <w:vertAlign w:val="subscript"/>
        </w:rPr>
        <w:t>1</w:t>
      </w:r>
      <w:r w:rsidRPr="00CA5A76">
        <w:rPr>
          <w:i/>
        </w:rPr>
        <w:t xml:space="preserve"> </w:t>
      </w:r>
      <w:r w:rsidRPr="00CA5A76">
        <w:t xml:space="preserve">toma </w:t>
      </w:r>
      <w:r>
        <w:t xml:space="preserve">el </w:t>
      </w:r>
      <w:r w:rsidRPr="00CA5A76">
        <w:t>valo</w:t>
      </w:r>
      <w:r>
        <w:t>r</w:t>
      </w:r>
      <w:r w:rsidRPr="00CA5A76">
        <w:t xml:space="preserve"> de </w:t>
      </w:r>
      <w:r>
        <w:t>1</w:t>
      </w:r>
      <w:r w:rsidRPr="00CA5A76">
        <w:t>2</w:t>
      </w:r>
      <w:r>
        <w:t>.</w:t>
      </w:r>
    </w:p>
    <w:p w:rsidR="00EF4850" w:rsidRPr="004E6CFC" w:rsidRDefault="00EF4850" w:rsidP="00EF4850">
      <w:pPr>
        <w:pStyle w:val="Ttulo5"/>
      </w:pPr>
      <w:bookmarkStart w:id="174" w:name="_Ref443918667"/>
      <w:r w:rsidRPr="004E6CFC">
        <w:t>Inversiones en activos puestos en operación</w:t>
      </w:r>
      <w:bookmarkEnd w:id="174"/>
    </w:p>
    <w:p w:rsidR="00EF4850" w:rsidRPr="004E6CFC" w:rsidRDefault="00EF4850" w:rsidP="00EF4850">
      <w:pPr>
        <w:spacing w:before="320" w:after="320"/>
      </w:pPr>
      <w:r w:rsidRPr="004E6CFC">
        <w:t>Las inversiones en activos puestos en operación se calculan de la siguiente manera:</w:t>
      </w:r>
    </w:p>
    <w:p w:rsidR="00EF4850" w:rsidRPr="004E6CFC" w:rsidRDefault="00C9592F" w:rsidP="00EF4850">
      <w:pPr>
        <w:spacing w:before="320" w:after="320"/>
      </w:pPr>
      <m:oMathPara>
        <m:oMath>
          <m:sSub>
            <m:sSubPr>
              <m:ctrlPr>
                <w:rPr>
                  <w:rFonts w:ascii="Cambria Math" w:hAnsi="Cambria Math"/>
                  <w:i/>
                  <w:sz w:val="20"/>
                </w:rPr>
              </m:ctrlPr>
            </m:sSubPr>
            <m:e>
              <m:r>
                <w:rPr>
                  <w:rFonts w:ascii="Cambria Math" w:hAnsi="Cambria Math"/>
                  <w:sz w:val="20"/>
                </w:rPr>
                <m:t>INVR</m:t>
              </m:r>
            </m:e>
            <m:sub>
              <m:r>
                <w:rPr>
                  <w:rFonts w:ascii="Cambria Math" w:hAnsi="Cambria Math"/>
                  <w:sz w:val="20"/>
                </w:rPr>
                <m:t>j</m:t>
              </m:r>
              <m:r>
                <w:rPr>
                  <w:rFonts w:ascii="Cambria Math"/>
                  <w:sz w:val="20"/>
                </w:rPr>
                <m:t>,n,l,t</m:t>
              </m:r>
            </m:sub>
          </m:sSub>
          <m:r>
            <w:rPr>
              <w:rFonts w:ascii="Cambria Math"/>
              <w:sz w:val="20"/>
            </w:rPr>
            <m:t>=</m:t>
          </m:r>
          <m:sSub>
            <m:sSubPr>
              <m:ctrlPr>
                <w:rPr>
                  <w:rFonts w:ascii="Cambria Math" w:hAnsi="Cambria Math"/>
                  <w:i/>
                  <w:sz w:val="20"/>
                </w:rPr>
              </m:ctrlPr>
            </m:sSubPr>
            <m:e>
              <m:r>
                <w:rPr>
                  <w:rFonts w:ascii="Cambria Math" w:hAnsi="Cambria Math"/>
                  <w:sz w:val="20"/>
                </w:rPr>
                <m:t>IREC</m:t>
              </m:r>
            </m:e>
            <m:sub>
              <m:r>
                <w:rPr>
                  <w:rFonts w:ascii="Cambria Math" w:hAnsi="Cambria Math"/>
                  <w:sz w:val="20"/>
                </w:rPr>
                <m:t>j,n,l,t</m:t>
              </m:r>
            </m:sub>
          </m:sSub>
          <m:r>
            <w:rPr>
              <w:rFonts w:ascii="Cambria Math" w:hAnsi="Cambria Math"/>
              <w:sz w:val="20"/>
            </w:rPr>
            <m:t>+</m:t>
          </m:r>
          <m:nary>
            <m:naryPr>
              <m:chr m:val="∑"/>
              <m:limLoc m:val="undOvr"/>
              <m:ctrlPr>
                <w:rPr>
                  <w:rFonts w:ascii="Cambria Math" w:hAnsi="Cambria Math"/>
                  <w:i/>
                  <w:sz w:val="20"/>
                </w:rPr>
              </m:ctrlPr>
            </m:naryPr>
            <m:sub>
              <m:r>
                <w:rPr>
                  <w:rFonts w:ascii="Cambria Math" w:hAnsi="Cambria Math"/>
                  <w:sz w:val="20"/>
                </w:rPr>
                <m:t>i</m:t>
              </m:r>
              <m:r>
                <w:rPr>
                  <w:rFonts w:ascii="Cambria Math"/>
                  <w:sz w:val="20"/>
                </w:rPr>
                <m:t>=1</m:t>
              </m:r>
            </m:sub>
            <m:sup>
              <m:sSub>
                <m:sSubPr>
                  <m:ctrlPr>
                    <w:rPr>
                      <w:rFonts w:ascii="Cambria Math" w:hAnsi="Cambria Math"/>
                      <w:i/>
                      <w:sz w:val="20"/>
                    </w:rPr>
                  </m:ctrlPr>
                </m:sSubPr>
                <m:e>
                  <m:r>
                    <w:rPr>
                      <w:rFonts w:ascii="Cambria Math" w:hAnsi="Cambria Math"/>
                      <w:sz w:val="20"/>
                    </w:rPr>
                    <m:t>UCO</m:t>
                  </m:r>
                </m:e>
                <m:sub>
                  <m:r>
                    <w:rPr>
                      <w:rFonts w:ascii="Cambria Math" w:hAnsi="Cambria Math"/>
                      <w:sz w:val="20"/>
                    </w:rPr>
                    <m:t>j</m:t>
                  </m:r>
                  <m:r>
                    <w:rPr>
                      <w:rFonts w:ascii="Cambria Math"/>
                      <w:sz w:val="20"/>
                    </w:rPr>
                    <m:t>,</m:t>
                  </m:r>
                  <m:r>
                    <w:rPr>
                      <w:rFonts w:ascii="Cambria Math" w:hAnsi="Cambria Math"/>
                      <w:sz w:val="20"/>
                    </w:rPr>
                    <m:t>n,l,t</m:t>
                  </m:r>
                </m:sub>
              </m:sSub>
            </m:sup>
            <m:e>
              <m:sSub>
                <m:sSubPr>
                  <m:ctrlPr>
                    <w:rPr>
                      <w:rFonts w:ascii="Cambria Math" w:hAnsi="Cambria Math"/>
                      <w:i/>
                      <w:sz w:val="20"/>
                    </w:rPr>
                  </m:ctrlPr>
                </m:sSubPr>
                <m:e>
                  <m:r>
                    <w:rPr>
                      <w:rFonts w:ascii="Cambria Math" w:hAnsi="Cambria Math"/>
                      <w:sz w:val="20"/>
                    </w:rPr>
                    <m:t>CR</m:t>
                  </m:r>
                </m:e>
                <m:sub>
                  <m:r>
                    <w:rPr>
                      <w:rFonts w:ascii="Cambria Math" w:hAnsi="Cambria Math"/>
                      <w:sz w:val="20"/>
                    </w:rPr>
                    <m:t>i</m:t>
                  </m:r>
                </m:sub>
              </m:sSub>
              <m:r>
                <w:rPr>
                  <w:rFonts w:ascii="Cambria Math" w:hAnsi="Cambria Math"/>
                  <w:sz w:val="20"/>
                </w:rPr>
                <m:t>*</m:t>
              </m:r>
              <m:sSub>
                <m:sSubPr>
                  <m:ctrlPr>
                    <w:rPr>
                      <w:rFonts w:ascii="Cambria Math" w:hAnsi="Cambria Math"/>
                      <w:i/>
                      <w:sz w:val="20"/>
                    </w:rPr>
                  </m:ctrlPr>
                </m:sSubPr>
                <m:e>
                  <m:r>
                    <w:rPr>
                      <w:rFonts w:ascii="Cambria Math" w:hAnsi="Cambria Math"/>
                      <w:sz w:val="20"/>
                    </w:rPr>
                    <m:t>PU</m:t>
                  </m:r>
                </m:e>
                <m:sub>
                  <m:r>
                    <w:rPr>
                      <w:rFonts w:ascii="Cambria Math" w:hAnsi="Cambria Math"/>
                      <w:sz w:val="20"/>
                    </w:rPr>
                    <m:t>i</m:t>
                  </m:r>
                </m:sub>
              </m:sSub>
              <m:r>
                <w:rPr>
                  <w:rFonts w:ascii="Cambria Math" w:hAnsi="Cambria Math"/>
                  <w:sz w:val="20"/>
                </w:rPr>
                <m:t>*</m:t>
              </m:r>
              <m:sSub>
                <m:sSubPr>
                  <m:ctrlPr>
                    <w:rPr>
                      <w:rFonts w:ascii="Cambria Math" w:hAnsi="Cambria Math"/>
                      <w:i/>
                      <w:sz w:val="20"/>
                    </w:rPr>
                  </m:ctrlPr>
                </m:sSubPr>
                <m:e>
                  <m:r>
                    <w:rPr>
                      <w:rFonts w:ascii="Cambria Math" w:hAnsi="Cambria Math"/>
                      <w:sz w:val="20"/>
                    </w:rPr>
                    <m:t>FU</m:t>
                  </m:r>
                </m:e>
                <m:sub>
                  <m:r>
                    <w:rPr>
                      <w:rFonts w:ascii="Cambria Math" w:hAnsi="Cambria Math"/>
                      <w:sz w:val="20"/>
                    </w:rPr>
                    <m:t>i</m:t>
                  </m:r>
                </m:sub>
              </m:sSub>
              <m:r>
                <w:rPr>
                  <w:rFonts w:ascii="Cambria Math" w:hAnsi="Cambria Math"/>
                  <w:sz w:val="20"/>
                </w:rPr>
                <m:t>*</m:t>
              </m:r>
              <m:d>
                <m:dPr>
                  <m:ctrlPr>
                    <w:rPr>
                      <w:rFonts w:ascii="Cambria Math" w:hAnsi="Cambria Math"/>
                      <w:i/>
                      <w:sz w:val="20"/>
                    </w:rPr>
                  </m:ctrlPr>
                </m:dPr>
                <m:e>
                  <m:r>
                    <w:rPr>
                      <w:rFonts w:ascii="Cambria Math" w:hAnsi="Cambria Math"/>
                      <w:sz w:val="20"/>
                    </w:rPr>
                    <m:t>1-</m:t>
                  </m:r>
                  <m:sSub>
                    <m:sSubPr>
                      <m:ctrlPr>
                        <w:rPr>
                          <w:rFonts w:ascii="Cambria Math" w:hAnsi="Cambria Math"/>
                          <w:i/>
                          <w:sz w:val="20"/>
                        </w:rPr>
                      </m:ctrlPr>
                    </m:sSubPr>
                    <m:e>
                      <m:r>
                        <w:rPr>
                          <w:rFonts w:ascii="Cambria Math" w:hAnsi="Cambria Math"/>
                          <w:sz w:val="20"/>
                        </w:rPr>
                        <m:t>RPP</m:t>
                      </m:r>
                    </m:e>
                    <m:sub>
                      <m:r>
                        <w:rPr>
                          <w:rFonts w:ascii="Cambria Math" w:hAnsi="Cambria Math"/>
                          <w:sz w:val="20"/>
                        </w:rPr>
                        <m:t>i</m:t>
                      </m:r>
                    </m:sub>
                  </m:sSub>
                </m:e>
              </m:d>
            </m:e>
          </m:nary>
          <m:r>
            <w:rPr>
              <w:rFonts w:ascii="Cambria Math" w:hAnsi="Cambria Math"/>
              <w:sz w:val="20"/>
            </w:rPr>
            <m:t>+</m:t>
          </m:r>
          <m:nary>
            <m:naryPr>
              <m:chr m:val="∑"/>
              <m:limLoc m:val="undOvr"/>
              <m:ctrlPr>
                <w:rPr>
                  <w:rFonts w:ascii="Cambria Math" w:hAnsi="Cambria Math"/>
                  <w:i/>
                  <w:sz w:val="16"/>
                  <w:szCs w:val="19"/>
                </w:rPr>
              </m:ctrlPr>
            </m:naryPr>
            <m:sub>
              <m:r>
                <w:rPr>
                  <w:rFonts w:ascii="Cambria Math"/>
                  <w:sz w:val="16"/>
                  <w:szCs w:val="19"/>
                </w:rPr>
                <m:t>i=1</m:t>
              </m:r>
            </m:sub>
            <m:sup>
              <m:sSub>
                <m:sSubPr>
                  <m:ctrlPr>
                    <w:rPr>
                      <w:rFonts w:ascii="Cambria Math" w:hAnsi="Cambria Math"/>
                      <w:i/>
                      <w:sz w:val="16"/>
                      <w:szCs w:val="19"/>
                    </w:rPr>
                  </m:ctrlPr>
                </m:sSubPr>
                <m:e>
                  <m:r>
                    <w:rPr>
                      <w:rFonts w:ascii="Cambria Math" w:hAnsi="Cambria Math"/>
                      <w:sz w:val="16"/>
                      <w:szCs w:val="19"/>
                    </w:rPr>
                    <m:t>SNUCO</m:t>
                  </m:r>
                </m:e>
                <m:sub>
                  <m:r>
                    <w:rPr>
                      <w:rFonts w:ascii="Cambria Math" w:hAnsi="Cambria Math"/>
                      <w:sz w:val="16"/>
                      <w:szCs w:val="19"/>
                    </w:rPr>
                    <m:t>j,l,t</m:t>
                  </m:r>
                </m:sub>
              </m:sSub>
            </m:sup>
            <m:e>
              <m:d>
                <m:dPr>
                  <m:ctrlPr>
                    <w:rPr>
                      <w:rFonts w:ascii="Cambria Math" w:hAnsi="Cambria Math"/>
                      <w:i/>
                      <w:sz w:val="16"/>
                      <w:szCs w:val="19"/>
                    </w:rPr>
                  </m:ctrlPr>
                </m:dPr>
                <m:e>
                  <m:sSub>
                    <m:sSubPr>
                      <m:ctrlPr>
                        <w:rPr>
                          <w:rFonts w:ascii="Cambria Math" w:hAnsi="Cambria Math"/>
                          <w:i/>
                          <w:sz w:val="16"/>
                          <w:szCs w:val="19"/>
                        </w:rPr>
                      </m:ctrlPr>
                    </m:sSubPr>
                    <m:e>
                      <m:r>
                        <w:rPr>
                          <w:rFonts w:ascii="Cambria Math"/>
                          <w:sz w:val="16"/>
                          <w:szCs w:val="19"/>
                        </w:rPr>
                        <m:t>CR</m:t>
                      </m:r>
                    </m:e>
                    <m:sub>
                      <m:r>
                        <w:rPr>
                          <w:rFonts w:ascii="Cambria Math"/>
                          <w:sz w:val="16"/>
                          <w:szCs w:val="19"/>
                        </w:rPr>
                        <m:t>i</m:t>
                      </m:r>
                    </m:sub>
                  </m:sSub>
                  <m:r>
                    <w:rPr>
                      <w:rFonts w:ascii="Cambria Math" w:hAnsi="Cambria Math"/>
                      <w:sz w:val="16"/>
                      <w:szCs w:val="19"/>
                    </w:rPr>
                    <m:t>*</m:t>
                  </m:r>
                  <m:sSub>
                    <m:sSubPr>
                      <m:ctrlPr>
                        <w:rPr>
                          <w:rFonts w:ascii="Cambria Math" w:hAnsi="Cambria Math"/>
                          <w:i/>
                          <w:sz w:val="16"/>
                          <w:szCs w:val="19"/>
                        </w:rPr>
                      </m:ctrlPr>
                    </m:sSubPr>
                    <m:e>
                      <m:r>
                        <w:rPr>
                          <w:rFonts w:ascii="Cambria Math"/>
                          <w:sz w:val="16"/>
                          <w:szCs w:val="19"/>
                        </w:rPr>
                        <m:t>PU</m:t>
                      </m:r>
                    </m:e>
                    <m:sub>
                      <m:r>
                        <w:rPr>
                          <w:rFonts w:ascii="Cambria Math"/>
                          <w:sz w:val="16"/>
                          <w:szCs w:val="19"/>
                        </w:rPr>
                        <m:t>j,i</m:t>
                      </m:r>
                    </m:sub>
                  </m:sSub>
                  <m:r>
                    <w:rPr>
                      <w:rFonts w:ascii="Cambria Math" w:hAnsi="Cambria Math"/>
                      <w:sz w:val="16"/>
                      <w:szCs w:val="19"/>
                    </w:rPr>
                    <m:t>*</m:t>
                  </m:r>
                  <m:sSub>
                    <m:sSubPr>
                      <m:ctrlPr>
                        <w:rPr>
                          <w:rFonts w:ascii="Cambria Math" w:hAnsi="Cambria Math"/>
                          <w:i/>
                          <w:sz w:val="16"/>
                          <w:szCs w:val="19"/>
                        </w:rPr>
                      </m:ctrlPr>
                    </m:sSubPr>
                    <m:e>
                      <m:r>
                        <w:rPr>
                          <w:rFonts w:ascii="Cambria Math" w:hAnsi="Cambria Math"/>
                          <w:sz w:val="16"/>
                          <w:szCs w:val="19"/>
                        </w:rPr>
                        <m:t>FU</m:t>
                      </m:r>
                    </m:e>
                    <m:sub>
                      <m:r>
                        <w:rPr>
                          <w:rFonts w:ascii="Cambria Math" w:hAnsi="Cambria Math"/>
                          <w:sz w:val="16"/>
                          <w:szCs w:val="19"/>
                        </w:rPr>
                        <m:t>i</m:t>
                      </m:r>
                    </m:sub>
                  </m:sSub>
                  <m:r>
                    <w:rPr>
                      <w:rFonts w:ascii="Cambria Math" w:hAnsi="Cambria Math"/>
                      <w:sz w:val="16"/>
                      <w:szCs w:val="19"/>
                    </w:rPr>
                    <m:t>*(1-</m:t>
                  </m:r>
                  <m:sSub>
                    <m:sSubPr>
                      <m:ctrlPr>
                        <w:rPr>
                          <w:rFonts w:ascii="Cambria Math" w:hAnsi="Cambria Math"/>
                          <w:i/>
                          <w:sz w:val="16"/>
                          <w:szCs w:val="19"/>
                        </w:rPr>
                      </m:ctrlPr>
                    </m:sSubPr>
                    <m:e>
                      <m:r>
                        <w:rPr>
                          <w:rFonts w:ascii="Cambria Math" w:hAnsi="Cambria Math"/>
                          <w:sz w:val="16"/>
                          <w:szCs w:val="19"/>
                        </w:rPr>
                        <m:t>RPP</m:t>
                      </m:r>
                    </m:e>
                    <m:sub>
                      <m:r>
                        <w:rPr>
                          <w:rFonts w:ascii="Cambria Math" w:hAnsi="Cambria Math"/>
                          <w:sz w:val="16"/>
                          <w:szCs w:val="19"/>
                        </w:rPr>
                        <m:t>i</m:t>
                      </m:r>
                    </m:sub>
                  </m:sSub>
                  <m:r>
                    <w:rPr>
                      <w:rFonts w:ascii="Cambria Math" w:hAnsi="Cambria Math"/>
                      <w:sz w:val="16"/>
                      <w:szCs w:val="19"/>
                    </w:rPr>
                    <m:t>)</m:t>
                  </m:r>
                  <m:r>
                    <w:rPr>
                      <w:rFonts w:ascii="Cambria Math" w:hAnsi="Cambria Math" w:cs="Cambria Math"/>
                      <w:sz w:val="16"/>
                      <w:szCs w:val="19"/>
                    </w:rPr>
                    <m:t>*</m:t>
                  </m:r>
                  <m:sSub>
                    <m:sSubPr>
                      <m:ctrlPr>
                        <w:rPr>
                          <w:rFonts w:ascii="Cambria Math" w:hAnsi="Cambria Math"/>
                          <w:i/>
                          <w:sz w:val="16"/>
                          <w:szCs w:val="19"/>
                        </w:rPr>
                      </m:ctrlPr>
                    </m:sSubPr>
                    <m:e>
                      <m:r>
                        <w:rPr>
                          <w:rFonts w:ascii="Cambria Math" w:hAnsi="Cambria Math"/>
                          <w:sz w:val="16"/>
                          <w:szCs w:val="19"/>
                        </w:rPr>
                        <m:t>Psn</m:t>
                      </m:r>
                    </m:e>
                    <m:sub>
                      <m:r>
                        <w:rPr>
                          <w:rFonts w:ascii="Cambria Math" w:hAnsi="Cambria Math"/>
                          <w:sz w:val="16"/>
                          <w:szCs w:val="19"/>
                        </w:rPr>
                        <m:t>j</m:t>
                      </m:r>
                    </m:sub>
                  </m:sSub>
                </m:e>
              </m:d>
            </m:e>
          </m:nary>
        </m:oMath>
      </m:oMathPara>
    </w:p>
    <w:p w:rsidR="00EF4850" w:rsidRPr="004E6CFC" w:rsidRDefault="00EF4850" w:rsidP="00EF4850">
      <w:pPr>
        <w:spacing w:before="320" w:after="320"/>
        <w:ind w:left="1418" w:hanging="1418"/>
        <w:rPr>
          <w:i/>
          <w:iCs/>
        </w:rPr>
      </w:pPr>
      <w:r w:rsidRPr="004E6CFC">
        <w:rPr>
          <w:i/>
          <w:iCs/>
        </w:rPr>
        <w:t>INVR</w:t>
      </w:r>
      <w:r w:rsidRPr="004E6CFC">
        <w:rPr>
          <w:i/>
          <w:iCs/>
          <w:vertAlign w:val="subscript"/>
        </w:rPr>
        <w:t>j,n,l,t</w:t>
      </w:r>
      <w:r w:rsidRPr="004E6CFC">
        <w:t>:</w:t>
      </w:r>
      <w:r w:rsidRPr="004E6CFC">
        <w:tab/>
        <w:t xml:space="preserve">Inversiones en activos puestos en operación en el sistema del OR </w:t>
      </w:r>
      <w:r w:rsidRPr="004E6CFC">
        <w:rPr>
          <w:i/>
        </w:rPr>
        <w:t xml:space="preserve">j </w:t>
      </w:r>
      <w:r w:rsidRPr="004E6CFC">
        <w:t xml:space="preserve">en el nivel de tensión </w:t>
      </w:r>
      <w:r w:rsidRPr="004E6CFC">
        <w:rPr>
          <w:i/>
          <w:iCs/>
        </w:rPr>
        <w:t xml:space="preserve">n </w:t>
      </w:r>
      <w:r w:rsidRPr="004E6CFC">
        <w:rPr>
          <w:iCs/>
        </w:rPr>
        <w:t xml:space="preserve">en la categoría de activos </w:t>
      </w:r>
      <w:r w:rsidRPr="004E6CFC">
        <w:rPr>
          <w:i/>
          <w:iCs/>
        </w:rPr>
        <w:t>l</w:t>
      </w:r>
      <w:r w:rsidRPr="004E6CFC">
        <w:rPr>
          <w:iCs/>
        </w:rPr>
        <w:t xml:space="preserve"> </w:t>
      </w:r>
      <w:r w:rsidRPr="004E6CFC">
        <w:t xml:space="preserve">durante el año </w:t>
      </w:r>
      <w:r w:rsidRPr="004E6CFC">
        <w:rPr>
          <w:i/>
        </w:rPr>
        <w:t>t</w:t>
      </w:r>
      <w:r w:rsidRPr="004E6CFC">
        <w:t xml:space="preserve">, corresponde al valor de los activos puestos en operación y valorados con las UC definida en el capítulo </w:t>
      </w:r>
      <w:r w:rsidRPr="004E6CFC">
        <w:fldChar w:fldCharType="begin"/>
      </w:r>
      <w:r w:rsidRPr="004E6CFC">
        <w:instrText xml:space="preserve"> REF _Ref465976561 \r \h \t  \* MERGEFORMAT </w:instrText>
      </w:r>
      <w:r w:rsidRPr="004E6CFC">
        <w:fldChar w:fldCharType="separate"/>
      </w:r>
      <w:r w:rsidR="00737178">
        <w:t>14</w:t>
      </w:r>
      <w:r w:rsidRPr="004E6CFC">
        <w:fldChar w:fldCharType="end"/>
      </w:r>
      <w:r w:rsidRPr="004E6CFC">
        <w:t xml:space="preserve">. </w:t>
      </w:r>
    </w:p>
    <w:p w:rsidR="00EF4850" w:rsidRPr="004E6CFC" w:rsidRDefault="00EF4850" w:rsidP="00EF4850">
      <w:pPr>
        <w:tabs>
          <w:tab w:val="left" w:pos="1418"/>
        </w:tabs>
        <w:spacing w:before="320" w:after="320"/>
        <w:ind w:left="1418" w:hanging="1418"/>
        <w:rPr>
          <w:i/>
          <w:iCs/>
        </w:rPr>
      </w:pPr>
      <w:r w:rsidRPr="004E6CFC">
        <w:rPr>
          <w:i/>
          <w:iCs/>
        </w:rPr>
        <w:t>IREC</w:t>
      </w:r>
      <w:r w:rsidRPr="004E6CFC">
        <w:rPr>
          <w:i/>
          <w:iCs/>
          <w:vertAlign w:val="subscript"/>
        </w:rPr>
        <w:t>j,n,l,t</w:t>
      </w:r>
      <w:r w:rsidRPr="004E6CFC">
        <w:t>:</w:t>
      </w:r>
      <w:r w:rsidRPr="004E6CFC">
        <w:tab/>
      </w:r>
      <w:r w:rsidRPr="004E6CFC">
        <w:rPr>
          <w:iCs/>
        </w:rPr>
        <w:t xml:space="preserve">Inversión en activos puestos en operación de proyectos de expansión de cobertura del OR </w:t>
      </w:r>
      <w:r w:rsidRPr="004E6CFC">
        <w:rPr>
          <w:i/>
          <w:iCs/>
        </w:rPr>
        <w:t>j</w:t>
      </w:r>
      <w:r w:rsidRPr="004E6CFC">
        <w:rPr>
          <w:iCs/>
        </w:rPr>
        <w:t xml:space="preserve"> en el nivel de tensión </w:t>
      </w:r>
      <w:r w:rsidRPr="004E6CFC">
        <w:rPr>
          <w:i/>
          <w:iCs/>
        </w:rPr>
        <w:t>n</w:t>
      </w:r>
      <w:r w:rsidRPr="004E6CFC">
        <w:rPr>
          <w:iCs/>
        </w:rPr>
        <w:t xml:space="preserve"> en la categoría de activos </w:t>
      </w:r>
      <w:r w:rsidRPr="004E6CFC">
        <w:rPr>
          <w:i/>
          <w:iCs/>
        </w:rPr>
        <w:t>l</w:t>
      </w:r>
      <w:r w:rsidRPr="004E6CFC">
        <w:rPr>
          <w:iCs/>
        </w:rPr>
        <w:t xml:space="preserve"> para el año </w:t>
      </w:r>
      <w:r w:rsidRPr="004E6CFC">
        <w:rPr>
          <w:i/>
          <w:iCs/>
        </w:rPr>
        <w:t>t</w:t>
      </w:r>
      <w:r w:rsidRPr="004E6CFC">
        <w:rPr>
          <w:iCs/>
        </w:rPr>
        <w:t>,</w:t>
      </w:r>
      <w:r w:rsidRPr="004E6CFC">
        <w:rPr>
          <w:i/>
          <w:iCs/>
        </w:rPr>
        <w:t xml:space="preserve"> </w:t>
      </w:r>
      <w:r w:rsidRPr="004E6CFC">
        <w:rPr>
          <w:iCs/>
        </w:rPr>
        <w:t>según</w:t>
      </w:r>
      <w:r w:rsidRPr="004E6CFC">
        <w:rPr>
          <w:i/>
          <w:iCs/>
        </w:rPr>
        <w:t xml:space="preserve"> </w:t>
      </w:r>
      <w:r w:rsidRPr="004E6CFC">
        <w:rPr>
          <w:iCs/>
        </w:rPr>
        <w:t xml:space="preserve">lo establecido en el capítulo </w:t>
      </w:r>
      <w:r w:rsidRPr="004E6CFC">
        <w:rPr>
          <w:iCs/>
        </w:rPr>
        <w:fldChar w:fldCharType="begin"/>
      </w:r>
      <w:r w:rsidRPr="004E6CFC">
        <w:rPr>
          <w:iCs/>
        </w:rPr>
        <w:instrText xml:space="preserve"> REF _Ref440028500 \r \h\t  \* MERGEFORMAT </w:instrText>
      </w:r>
      <w:r w:rsidRPr="004E6CFC">
        <w:rPr>
          <w:iCs/>
        </w:rPr>
      </w:r>
      <w:r w:rsidRPr="004E6CFC">
        <w:rPr>
          <w:iCs/>
        </w:rPr>
        <w:fldChar w:fldCharType="separate"/>
      </w:r>
      <w:r w:rsidR="00737178">
        <w:rPr>
          <w:iCs/>
        </w:rPr>
        <w:t>13</w:t>
      </w:r>
      <w:r w:rsidRPr="004E6CFC">
        <w:rPr>
          <w:iCs/>
        </w:rPr>
        <w:fldChar w:fldCharType="end"/>
      </w:r>
      <w:r w:rsidRPr="004E6CFC">
        <w:t>.</w:t>
      </w:r>
    </w:p>
    <w:p w:rsidR="00EF4850" w:rsidRPr="004E6CFC" w:rsidRDefault="00EF4850" w:rsidP="00EF4850">
      <w:pPr>
        <w:tabs>
          <w:tab w:val="left" w:pos="1418"/>
        </w:tabs>
        <w:spacing w:before="320" w:after="320"/>
        <w:ind w:left="1418" w:hanging="1418"/>
      </w:pPr>
      <w:r w:rsidRPr="004E6CFC">
        <w:rPr>
          <w:i/>
          <w:iCs/>
        </w:rPr>
        <w:t>UCO</w:t>
      </w:r>
      <w:r w:rsidRPr="004E6CFC">
        <w:rPr>
          <w:i/>
          <w:iCs/>
          <w:vertAlign w:val="subscript"/>
        </w:rPr>
        <w:t>j,n,l,t</w:t>
      </w:r>
      <w:r w:rsidRPr="004E6CFC">
        <w:t>:</w:t>
      </w:r>
      <w:r w:rsidRPr="004E6CFC">
        <w:tab/>
        <w:t xml:space="preserve">Número de UC nuevas puestas en operación en el sistema del OR </w:t>
      </w:r>
      <w:r w:rsidRPr="004E6CFC">
        <w:rPr>
          <w:i/>
        </w:rPr>
        <w:t xml:space="preserve">j </w:t>
      </w:r>
      <w:r w:rsidRPr="004E6CFC">
        <w:t xml:space="preserve">en el nivel de tensión </w:t>
      </w:r>
      <w:r w:rsidRPr="004E6CFC">
        <w:rPr>
          <w:i/>
        </w:rPr>
        <w:t>n</w:t>
      </w:r>
      <w:r w:rsidRPr="004E6CFC">
        <w:t xml:space="preserve"> </w:t>
      </w:r>
      <w:r w:rsidRPr="004E6CFC">
        <w:rPr>
          <w:iCs/>
        </w:rPr>
        <w:t xml:space="preserve">en la categoría de activos </w:t>
      </w:r>
      <w:r w:rsidRPr="004E6CFC">
        <w:rPr>
          <w:i/>
          <w:iCs/>
        </w:rPr>
        <w:t>l</w:t>
      </w:r>
      <w:r w:rsidRPr="004E6CFC">
        <w:rPr>
          <w:iCs/>
        </w:rPr>
        <w:t xml:space="preserve"> </w:t>
      </w:r>
      <w:r w:rsidRPr="004E6CFC">
        <w:t xml:space="preserve">durante el año </w:t>
      </w:r>
      <w:r w:rsidRPr="004E6CFC">
        <w:rPr>
          <w:i/>
        </w:rPr>
        <w:t>t</w:t>
      </w:r>
      <w:r w:rsidRPr="004E6CFC">
        <w:t xml:space="preserve">. </w:t>
      </w:r>
    </w:p>
    <w:p w:rsidR="00EF4850" w:rsidRPr="004E6CFC" w:rsidRDefault="00EF4850" w:rsidP="00EF4850">
      <w:pPr>
        <w:spacing w:before="320" w:after="320"/>
        <w:ind w:left="1410" w:hanging="1410"/>
      </w:pPr>
      <w:r w:rsidRPr="004E6CFC">
        <w:rPr>
          <w:i/>
          <w:iCs/>
        </w:rPr>
        <w:t>CR</w:t>
      </w:r>
      <w:r w:rsidRPr="004E6CFC">
        <w:rPr>
          <w:i/>
          <w:iCs/>
          <w:vertAlign w:val="subscript"/>
        </w:rPr>
        <w:t>i</w:t>
      </w:r>
      <w:r w:rsidRPr="004E6CFC">
        <w:t>:</w:t>
      </w:r>
      <w:r w:rsidRPr="004E6CFC">
        <w:tab/>
      </w:r>
      <w:r w:rsidRPr="004E6CFC">
        <w:tab/>
        <w:t xml:space="preserve">Valor de la UC </w:t>
      </w:r>
      <w:r w:rsidRPr="004E6CFC">
        <w:rPr>
          <w:i/>
          <w:iCs/>
        </w:rPr>
        <w:t xml:space="preserve">i </w:t>
      </w:r>
      <w:r w:rsidRPr="004E6CFC">
        <w:rPr>
          <w:iCs/>
        </w:rPr>
        <w:t xml:space="preserve">definido </w:t>
      </w:r>
      <w:r w:rsidRPr="004E6CFC">
        <w:t xml:space="preserve">en el capítulo </w:t>
      </w:r>
      <w:r w:rsidRPr="004E6CFC">
        <w:fldChar w:fldCharType="begin"/>
      </w:r>
      <w:r w:rsidRPr="004E6CFC">
        <w:instrText xml:space="preserve"> REF _Ref465976561 \r \h \t  \* MERGEFORMAT </w:instrText>
      </w:r>
      <w:r w:rsidRPr="004E6CFC">
        <w:fldChar w:fldCharType="separate"/>
      </w:r>
      <w:r w:rsidR="00737178">
        <w:t>14</w:t>
      </w:r>
      <w:r w:rsidRPr="004E6CFC">
        <w:fldChar w:fldCharType="end"/>
      </w:r>
      <w:r w:rsidRPr="004E6CFC">
        <w:t>.</w:t>
      </w:r>
    </w:p>
    <w:p w:rsidR="00EF4850" w:rsidRPr="004E6CFC" w:rsidRDefault="00EF4850" w:rsidP="00EF4850">
      <w:pPr>
        <w:tabs>
          <w:tab w:val="left" w:pos="1418"/>
        </w:tabs>
        <w:spacing w:before="320" w:after="320"/>
        <w:ind w:left="1418" w:hanging="1418"/>
      </w:pPr>
      <w:r w:rsidRPr="004E6CFC">
        <w:rPr>
          <w:i/>
          <w:iCs/>
        </w:rPr>
        <w:lastRenderedPageBreak/>
        <w:t>PU</w:t>
      </w:r>
      <w:r w:rsidRPr="004E6CFC">
        <w:rPr>
          <w:i/>
          <w:iCs/>
          <w:vertAlign w:val="subscript"/>
        </w:rPr>
        <w:t>i</w:t>
      </w:r>
      <w:r w:rsidRPr="004E6CFC">
        <w:rPr>
          <w:i/>
          <w:iCs/>
        </w:rPr>
        <w:t>:</w:t>
      </w:r>
      <w:r w:rsidRPr="004E6CFC">
        <w:tab/>
        <w:t xml:space="preserve">Fracción del costo de la UC </w:t>
      </w:r>
      <w:r w:rsidRPr="004E6CFC">
        <w:rPr>
          <w:i/>
          <w:iCs/>
        </w:rPr>
        <w:t>i</w:t>
      </w:r>
      <w:r w:rsidRPr="004E6CFC">
        <w:t xml:space="preserve"> que es reconocida mediante cargos por uso.</w:t>
      </w:r>
    </w:p>
    <w:p w:rsidR="00EF4850" w:rsidRPr="004E6CFC" w:rsidRDefault="00EF4850" w:rsidP="00EF4850">
      <w:pPr>
        <w:spacing w:before="320" w:after="320"/>
        <w:ind w:left="1410" w:hanging="1410"/>
      </w:pPr>
      <w:r w:rsidRPr="004E6CFC">
        <w:rPr>
          <w:i/>
          <w:iCs/>
        </w:rPr>
        <w:t>FU</w:t>
      </w:r>
      <w:r w:rsidRPr="004E6CFC">
        <w:rPr>
          <w:i/>
          <w:iCs/>
          <w:vertAlign w:val="subscript"/>
        </w:rPr>
        <w:t>i</w:t>
      </w:r>
      <w:r w:rsidRPr="004E6CFC">
        <w:rPr>
          <w:i/>
          <w:iCs/>
        </w:rPr>
        <w:t>:</w:t>
      </w:r>
      <w:r w:rsidRPr="004E6CFC">
        <w:rPr>
          <w:i/>
          <w:iCs/>
        </w:rPr>
        <w:tab/>
      </w:r>
      <w:r w:rsidRPr="004E6CFC">
        <w:t xml:space="preserve">Fracción del costo de la UC </w:t>
      </w:r>
      <w:r w:rsidRPr="004E6CFC">
        <w:rPr>
          <w:i/>
          <w:iCs/>
        </w:rPr>
        <w:t>i</w:t>
      </w:r>
      <w:r w:rsidRPr="004E6CFC">
        <w:t xml:space="preserve"> que es reconocida por reposiciones parciales de la UC. Este valor se calcula como el peso relativo del valor reconocido del elemento o los elementos reemplazados respecto al valor total de la UC.</w:t>
      </w:r>
      <w:r>
        <w:t xml:space="preserve"> </w:t>
      </w:r>
      <w:r w:rsidR="00F13040">
        <w:rPr>
          <w:iCs/>
        </w:rPr>
        <w:t>La Comisión publicará en c</w:t>
      </w:r>
      <w:r>
        <w:rPr>
          <w:iCs/>
        </w:rPr>
        <w:t>ircular aparte el peso relativo de cada componente de las UC.</w:t>
      </w:r>
    </w:p>
    <w:p w:rsidR="00EF4850" w:rsidRDefault="00EF4850" w:rsidP="00EF4850">
      <w:pPr>
        <w:spacing w:before="320" w:after="320"/>
        <w:ind w:left="1410" w:hanging="1410"/>
      </w:pPr>
      <w:r w:rsidRPr="004E6CFC">
        <w:rPr>
          <w:i/>
          <w:iCs/>
        </w:rPr>
        <w:t>RPP</w:t>
      </w:r>
      <w:r w:rsidRPr="004E6CFC">
        <w:rPr>
          <w:i/>
          <w:iCs/>
          <w:vertAlign w:val="subscript"/>
        </w:rPr>
        <w:t>i</w:t>
      </w:r>
      <w:r w:rsidRPr="004E6CFC">
        <w:rPr>
          <w:i/>
          <w:iCs/>
        </w:rPr>
        <w:t>:</w:t>
      </w:r>
      <w:r w:rsidRPr="004E6CFC">
        <w:tab/>
        <w:t xml:space="preserve">Fracción del costo de la UC </w:t>
      </w:r>
      <w:r w:rsidRPr="004E6CFC">
        <w:rPr>
          <w:i/>
          <w:iCs/>
        </w:rPr>
        <w:t>i</w:t>
      </w:r>
      <w:r w:rsidRPr="004E6CFC">
        <w:t xml:space="preserve"> que es</w:t>
      </w:r>
      <w:r w:rsidRPr="004E6CFC">
        <w:rPr>
          <w:i/>
        </w:rPr>
        <w:t xml:space="preserve"> </w:t>
      </w:r>
      <w:r w:rsidRPr="004E6CFC">
        <w:t>remunerada vía cargos por uso que no se debe incluir en el cálculo de la tarifa.</w:t>
      </w:r>
    </w:p>
    <w:p w:rsidR="00EF4850" w:rsidRPr="00577D56" w:rsidRDefault="00EF4850" w:rsidP="00EF4850">
      <w:pPr>
        <w:tabs>
          <w:tab w:val="left" w:pos="1418"/>
        </w:tabs>
        <w:spacing w:before="120"/>
        <w:ind w:left="1418" w:hanging="1415"/>
      </w:pPr>
      <w:r w:rsidRPr="00577D56">
        <w:rPr>
          <w:i/>
          <w:iCs/>
        </w:rPr>
        <w:t>SNUC</w:t>
      </w:r>
      <w:r>
        <w:rPr>
          <w:i/>
          <w:iCs/>
        </w:rPr>
        <w:t>O</w:t>
      </w:r>
      <w:r w:rsidRPr="00577D56">
        <w:rPr>
          <w:i/>
          <w:iCs/>
          <w:vertAlign w:val="subscript"/>
        </w:rPr>
        <w:t>j,l,t</w:t>
      </w:r>
      <w:r w:rsidRPr="00577D56">
        <w:t>:</w:t>
      </w:r>
      <w:r w:rsidRPr="00577D56">
        <w:tab/>
        <w:t xml:space="preserve">UC incluidas en el plan de inversiones solicitado por el OR </w:t>
      </w:r>
      <w:r w:rsidRPr="00577D56">
        <w:rPr>
          <w:i/>
        </w:rPr>
        <w:t xml:space="preserve">j </w:t>
      </w:r>
      <w:r w:rsidRPr="00577D56">
        <w:t xml:space="preserve">sin nivel de </w:t>
      </w:r>
      <w:r w:rsidR="007B2CBB" w:rsidRPr="00577D56">
        <w:t>tensión</w:t>
      </w:r>
      <w:r w:rsidRPr="00577D56">
        <w:rPr>
          <w:i/>
        </w:rPr>
        <w:t xml:space="preserve">, </w:t>
      </w:r>
      <w:r w:rsidRPr="00577D56">
        <w:rPr>
          <w:iCs/>
        </w:rPr>
        <w:t xml:space="preserve">en la categoría de activos </w:t>
      </w:r>
      <w:r w:rsidRPr="00577D56">
        <w:rPr>
          <w:i/>
          <w:iCs/>
        </w:rPr>
        <w:t>l</w:t>
      </w:r>
      <w:r w:rsidRPr="00577D56">
        <w:rPr>
          <w:iCs/>
        </w:rPr>
        <w:t xml:space="preserve"> para </w:t>
      </w:r>
      <w:r w:rsidRPr="00577D56">
        <w:t xml:space="preserve">el año </w:t>
      </w:r>
      <w:r w:rsidRPr="00577D56">
        <w:rPr>
          <w:i/>
        </w:rPr>
        <w:t>t</w:t>
      </w:r>
      <w:r w:rsidRPr="00577D56">
        <w:t xml:space="preserve">. </w:t>
      </w:r>
    </w:p>
    <w:p w:rsidR="00EF4850" w:rsidRDefault="00EF4850" w:rsidP="00EF4850">
      <w:pPr>
        <w:ind w:left="1418" w:hanging="1418"/>
        <w:rPr>
          <w:iCs/>
        </w:rPr>
      </w:pPr>
      <w:r w:rsidRPr="00577D56">
        <w:rPr>
          <w:i/>
          <w:iCs/>
        </w:rPr>
        <w:t>Psn</w:t>
      </w:r>
      <w:r w:rsidRPr="00577D56">
        <w:rPr>
          <w:i/>
          <w:iCs/>
          <w:vertAlign w:val="subscript"/>
        </w:rPr>
        <w:t>j</w:t>
      </w:r>
      <w:r>
        <w:rPr>
          <w:i/>
          <w:iCs/>
        </w:rPr>
        <w:t>:</w:t>
      </w:r>
      <w:r>
        <w:rPr>
          <w:i/>
          <w:iCs/>
        </w:rPr>
        <w:tab/>
      </w:r>
      <w:r w:rsidRPr="00577D56">
        <w:rPr>
          <w:iCs/>
        </w:rPr>
        <w:t>Variable de asignación de las UC sin nivel de tensión. Para OR con cuatro niveles de tensión es igual a 1/3, para OR con tres niveles de tensión es igual a 1/2 y para OR con dos niveles de tensión es igual a 1.</w:t>
      </w:r>
    </w:p>
    <w:p w:rsidR="00EF4850" w:rsidRPr="0017490B" w:rsidRDefault="00EF4850" w:rsidP="00EF4850">
      <w:r>
        <w:t xml:space="preserve">Las variaciones en la ejecución del plan de </w:t>
      </w:r>
      <w:r w:rsidR="007B2CBB">
        <w:t>inversión</w:t>
      </w:r>
      <w:r>
        <w:t xml:space="preserve"> aprobado ocasionadas por la planeación operativa (de corto plazo) deberán seguir los criterios y li</w:t>
      </w:r>
      <w:r w:rsidR="007B2CBB">
        <w:t>ne</w:t>
      </w:r>
      <w:r>
        <w:t xml:space="preserve">amientos establecidos para la formulación del plan de </w:t>
      </w:r>
      <w:r w:rsidR="007B2CBB">
        <w:t>inversión</w:t>
      </w:r>
      <w:r>
        <w:t xml:space="preserve"> establecidos en el </w:t>
      </w:r>
      <w:r w:rsidR="007B2CBB">
        <w:t>capítulo</w:t>
      </w:r>
      <w:r>
        <w:t xml:space="preserve"> </w:t>
      </w:r>
      <w:r>
        <w:fldChar w:fldCharType="begin"/>
      </w:r>
      <w:r>
        <w:instrText xml:space="preserve"> REF _Ref406575088 \n \h \t</w:instrText>
      </w:r>
      <w:r>
        <w:fldChar w:fldCharType="separate"/>
      </w:r>
      <w:r w:rsidR="00737178">
        <w:t>6</w:t>
      </w:r>
      <w:r>
        <w:fldChar w:fldCharType="end"/>
      </w:r>
      <w:r>
        <w:t>.</w:t>
      </w:r>
    </w:p>
    <w:p w:rsidR="00EF4850" w:rsidRPr="004E6CFC" w:rsidRDefault="00EF4850" w:rsidP="00EF4850">
      <w:pPr>
        <w:pStyle w:val="Ttulo5"/>
      </w:pPr>
      <w:bookmarkStart w:id="175" w:name="_Ref460836472"/>
      <w:r w:rsidRPr="004E6CFC">
        <w:t>Índice de ajuste por ejecución del plan</w:t>
      </w:r>
      <w:bookmarkEnd w:id="175"/>
    </w:p>
    <w:p w:rsidR="00EF4850" w:rsidRPr="004E6CFC" w:rsidRDefault="00EF4850" w:rsidP="00EF4850">
      <w:r w:rsidRPr="004E6CFC">
        <w:t xml:space="preserve">Para los dos primeros años del periodo tarifario, </w:t>
      </w:r>
      <w:r w:rsidRPr="004E6CFC">
        <w:rPr>
          <w:i/>
        </w:rPr>
        <w:t>t=1 y t=2</w:t>
      </w:r>
      <w:r w:rsidRPr="004E6CFC">
        <w:t xml:space="preserve">, el valor de la variable </w:t>
      </w:r>
      <w:r w:rsidRPr="004E6CFC">
        <w:rPr>
          <w:i/>
          <w:iCs/>
        </w:rPr>
        <w:t>IAPA</w:t>
      </w:r>
      <w:r w:rsidRPr="004E6CFC">
        <w:rPr>
          <w:i/>
          <w:iCs/>
          <w:vertAlign w:val="subscript"/>
        </w:rPr>
        <w:t>j,n,t</w:t>
      </w:r>
      <w:r w:rsidRPr="004E6CFC">
        <w:t xml:space="preserve"> es igual a 1, a partir del tercer año del periodo tarifario el índice de ajuste por ejecución del plan de inversiones se calcula de la siguiente manera:</w:t>
      </w:r>
    </w:p>
    <w:p w:rsidR="00EF4850" w:rsidRPr="004E6CFC" w:rsidRDefault="00EF4850" w:rsidP="00EF4850">
      <w:pPr>
        <w:spacing w:before="280" w:after="280"/>
        <w:jc w:val="center"/>
      </w:pPr>
      <w:r w:rsidRPr="004E6CFC">
        <w:rPr>
          <w:i/>
          <w:iCs/>
        </w:rPr>
        <w:t>IAPA</w:t>
      </w:r>
      <w:r w:rsidRPr="004E6CFC">
        <w:rPr>
          <w:i/>
          <w:iCs/>
          <w:vertAlign w:val="subscript"/>
        </w:rPr>
        <w:t>j,n,t</w:t>
      </w:r>
      <w:r w:rsidRPr="004E6CFC">
        <w:t xml:space="preserve"> = 1, si </w:t>
      </w:r>
      <w:r w:rsidRPr="004E6CFC">
        <w:rPr>
          <w:i/>
        </w:rPr>
        <w:t>INVE</w:t>
      </w:r>
      <w:r w:rsidRPr="004E6CFC">
        <w:rPr>
          <w:i/>
          <w:vertAlign w:val="subscript"/>
        </w:rPr>
        <w:t>j,n,t</w:t>
      </w:r>
      <w:r w:rsidRPr="004E6CFC">
        <w:t xml:space="preserve"> es mayor o igual que 0,8.</w:t>
      </w:r>
    </w:p>
    <w:p w:rsidR="00EF4850" w:rsidRPr="004E6CFC" w:rsidRDefault="00EF4850" w:rsidP="00EF4850">
      <w:pPr>
        <w:spacing w:before="280" w:after="280"/>
        <w:jc w:val="center"/>
      </w:pPr>
      <w:r w:rsidRPr="004E6CFC">
        <w:rPr>
          <w:i/>
          <w:iCs/>
        </w:rPr>
        <w:t>IAPA</w:t>
      </w:r>
      <w:r w:rsidRPr="004E6CFC">
        <w:rPr>
          <w:i/>
          <w:iCs/>
          <w:vertAlign w:val="subscript"/>
        </w:rPr>
        <w:t>j,n,t</w:t>
      </w:r>
      <w:r w:rsidRPr="004E6CFC">
        <w:t xml:space="preserve"> = </w:t>
      </w:r>
      <w:r w:rsidRPr="004E6CFC">
        <w:rPr>
          <w:i/>
        </w:rPr>
        <w:t>INVE</w:t>
      </w:r>
      <w:r w:rsidRPr="004E6CFC">
        <w:rPr>
          <w:i/>
          <w:vertAlign w:val="subscript"/>
        </w:rPr>
        <w:t>j,n,t</w:t>
      </w:r>
      <w:r w:rsidRPr="004E6CFC">
        <w:t xml:space="preserve">, si </w:t>
      </w:r>
      <w:r w:rsidRPr="004E6CFC">
        <w:rPr>
          <w:i/>
        </w:rPr>
        <w:t>INVE</w:t>
      </w:r>
      <w:r w:rsidRPr="004E6CFC">
        <w:rPr>
          <w:i/>
          <w:vertAlign w:val="subscript"/>
        </w:rPr>
        <w:t>j,n,t</w:t>
      </w:r>
      <w:r w:rsidRPr="004E6CFC">
        <w:t xml:space="preserve"> es menor que 0,8.</w:t>
      </w:r>
    </w:p>
    <w:p w:rsidR="00EF4850" w:rsidRPr="004E6CFC" w:rsidRDefault="00EF4850" w:rsidP="00EF4850">
      <w:pPr>
        <w:spacing w:before="280" w:after="280"/>
      </w:pPr>
      <w:r w:rsidRPr="004E6CFC">
        <w:t xml:space="preserve">La ejecución promedio del plan de inversiones, </w:t>
      </w:r>
      <w:r w:rsidRPr="004E6CFC">
        <w:rPr>
          <w:i/>
          <w:iCs/>
        </w:rPr>
        <w:t>INVE</w:t>
      </w:r>
      <w:r w:rsidRPr="004E6CFC">
        <w:rPr>
          <w:i/>
          <w:iCs/>
          <w:vertAlign w:val="subscript"/>
        </w:rPr>
        <w:t>j,n,t</w:t>
      </w:r>
      <w:r w:rsidRPr="004E6CFC">
        <w:t xml:space="preserve">, se calcula de la siguiente manera: </w:t>
      </w:r>
    </w:p>
    <w:p w:rsidR="00EF4850" w:rsidRPr="004E6CFC" w:rsidRDefault="00C9592F" w:rsidP="00EF4850">
      <w:pPr>
        <w:spacing w:before="280" w:after="280"/>
      </w:pPr>
      <m:oMathPara>
        <m:oMath>
          <m:sSub>
            <m:sSubPr>
              <m:ctrlPr>
                <w:rPr>
                  <w:rFonts w:ascii="Cambria Math" w:hAnsi="Cambria Math"/>
                  <w:i/>
                </w:rPr>
              </m:ctrlPr>
            </m:sSubPr>
            <m:e>
              <m:r>
                <w:rPr>
                  <w:rFonts w:ascii="Cambria Math" w:hAnsi="Cambria Math"/>
                </w:rPr>
                <m:t>INVE</m:t>
              </m:r>
            </m:e>
            <m:sub>
              <m:r>
                <w:rPr>
                  <w:rFonts w:ascii="Cambria Math" w:hAnsi="Cambria Math"/>
                </w:rPr>
                <m:t>j</m:t>
              </m:r>
              <m:r>
                <w:rPr>
                  <w:rFonts w:ascii="Cambria Math"/>
                </w:rPr>
                <m:t>,</m:t>
              </m:r>
              <m:r>
                <w:rPr>
                  <w:rFonts w:ascii="Cambria Math" w:hAnsi="Cambria Math"/>
                </w:rPr>
                <m:t>n,t</m:t>
              </m:r>
            </m:sub>
          </m:sSub>
          <m:r>
            <w:rPr>
              <w:rFonts w:ascii="Cambria Math"/>
            </w:rPr>
            <m:t>=0,5</m:t>
          </m:r>
          <m:r>
            <w:rPr>
              <w:rFonts w:ascii="Cambria Math"/>
            </w:rPr>
            <m:t>*</m:t>
          </m:r>
          <m:nary>
            <m:naryPr>
              <m:chr m:val="∑"/>
              <m:limLoc m:val="undOvr"/>
              <m:ctrlPr>
                <w:rPr>
                  <w:rFonts w:ascii="Cambria Math" w:hAnsi="Cambria Math"/>
                  <w:i/>
                </w:rPr>
              </m:ctrlPr>
            </m:naryPr>
            <m:sub>
              <m:r>
                <w:rPr>
                  <w:rFonts w:ascii="Cambria Math" w:hAnsi="Cambria Math"/>
                </w:rPr>
                <m:t>t=t-2</m:t>
              </m:r>
            </m:sub>
            <m:sup>
              <m:r>
                <w:rPr>
                  <w:rFonts w:ascii="Cambria Math" w:hAnsi="Cambria Math"/>
                </w:rPr>
                <m:t>t-1</m:t>
              </m:r>
            </m:sup>
            <m:e>
              <m:f>
                <m:fPr>
                  <m:ctrlPr>
                    <w:rPr>
                      <w:rFonts w:ascii="Cambria Math" w:hAnsi="Cambria Math"/>
                      <w:i/>
                    </w:rPr>
                  </m:ctrlPr>
                </m:fPr>
                <m:num>
                  <m:r>
                    <w:rPr>
                      <w:rFonts w:ascii="Cambria Math"/>
                    </w:rPr>
                    <m:t xml:space="preserve"> </m:t>
                  </m:r>
                  <m:nary>
                    <m:naryPr>
                      <m:chr m:val="∑"/>
                      <m:limLoc m:val="undOvr"/>
                      <m:ctrlPr>
                        <w:rPr>
                          <w:rFonts w:ascii="Cambria Math" w:hAnsi="Cambria Math"/>
                          <w:i/>
                        </w:rPr>
                      </m:ctrlPr>
                    </m:naryPr>
                    <m:sub>
                      <m:r>
                        <w:rPr>
                          <w:rFonts w:ascii="Cambria Math" w:hAnsi="Cambria Math"/>
                        </w:rPr>
                        <m:t>l=1</m:t>
                      </m:r>
                    </m:sub>
                    <m:sup>
                      <m:sSub>
                        <m:sSubPr>
                          <m:ctrlPr>
                            <w:rPr>
                              <w:rFonts w:ascii="Cambria Math" w:hAnsi="Cambria Math"/>
                              <w:i/>
                            </w:rPr>
                          </m:ctrlPr>
                        </m:sSubPr>
                        <m:e>
                          <m:r>
                            <w:rPr>
                              <w:rFonts w:ascii="Cambria Math" w:hAnsi="Cambria Math"/>
                            </w:rPr>
                            <m:t>L</m:t>
                          </m:r>
                        </m:e>
                        <m:sub>
                          <m:r>
                            <w:rPr>
                              <w:rFonts w:ascii="Cambria Math" w:hAnsi="Cambria Math"/>
                            </w:rPr>
                            <m:t>n</m:t>
                          </m:r>
                        </m:sub>
                      </m:sSub>
                    </m:sup>
                    <m:e>
                      <m:sSub>
                        <m:sSubPr>
                          <m:ctrlPr>
                            <w:rPr>
                              <w:rFonts w:ascii="Cambria Math" w:hAnsi="Cambria Math"/>
                              <w:i/>
                            </w:rPr>
                          </m:ctrlPr>
                        </m:sSubPr>
                        <m:e>
                          <m:r>
                            <w:rPr>
                              <w:rFonts w:ascii="Cambria Math"/>
                            </w:rPr>
                            <m:t>INVR</m:t>
                          </m:r>
                        </m:e>
                        <m:sub>
                          <m:r>
                            <w:rPr>
                              <w:rFonts w:ascii="Cambria Math"/>
                            </w:rPr>
                            <m:t>j,n,l,t</m:t>
                          </m:r>
                        </m:sub>
                      </m:sSub>
                    </m:e>
                  </m:nary>
                </m:num>
                <m:den>
                  <m:nary>
                    <m:naryPr>
                      <m:chr m:val="∑"/>
                      <m:limLoc m:val="undOvr"/>
                      <m:ctrlPr>
                        <w:rPr>
                          <w:rFonts w:ascii="Cambria Math" w:hAnsi="Cambria Math"/>
                          <w:i/>
                        </w:rPr>
                      </m:ctrlPr>
                    </m:naryPr>
                    <m:sub>
                      <m:r>
                        <w:rPr>
                          <w:rFonts w:ascii="Cambria Math" w:hAnsi="Cambria Math"/>
                        </w:rPr>
                        <m:t>l=1</m:t>
                      </m:r>
                    </m:sub>
                    <m:sup>
                      <m:sSub>
                        <m:sSubPr>
                          <m:ctrlPr>
                            <w:rPr>
                              <w:rFonts w:ascii="Cambria Math" w:hAnsi="Cambria Math"/>
                              <w:i/>
                            </w:rPr>
                          </m:ctrlPr>
                        </m:sSubPr>
                        <m:e>
                          <m:r>
                            <w:rPr>
                              <w:rFonts w:ascii="Cambria Math" w:hAnsi="Cambria Math"/>
                            </w:rPr>
                            <m:t>L</m:t>
                          </m:r>
                        </m:e>
                        <m:sub>
                          <m:r>
                            <w:rPr>
                              <w:rFonts w:ascii="Cambria Math" w:hAnsi="Cambria Math"/>
                            </w:rPr>
                            <m:t>n</m:t>
                          </m:r>
                        </m:sub>
                      </m:sSub>
                    </m:sup>
                    <m:e>
                      <m:sSub>
                        <m:sSubPr>
                          <m:ctrlPr>
                            <w:rPr>
                              <w:rFonts w:ascii="Cambria Math" w:hAnsi="Cambria Math"/>
                              <w:i/>
                            </w:rPr>
                          </m:ctrlPr>
                        </m:sSubPr>
                        <m:e>
                          <m:r>
                            <w:rPr>
                              <w:rFonts w:ascii="Cambria Math"/>
                            </w:rPr>
                            <m:t>INVA</m:t>
                          </m:r>
                        </m:e>
                        <m:sub>
                          <m:r>
                            <w:rPr>
                              <w:rFonts w:ascii="Cambria Math"/>
                            </w:rPr>
                            <m:t>j,n,l,t</m:t>
                          </m:r>
                        </m:sub>
                      </m:sSub>
                    </m:e>
                  </m:nary>
                </m:den>
              </m:f>
            </m:e>
          </m:nary>
          <m:r>
            <w:rPr>
              <w:rFonts w:ascii="Cambria Math"/>
            </w:rPr>
            <m:t xml:space="preserve"> </m:t>
          </m:r>
        </m:oMath>
      </m:oMathPara>
    </w:p>
    <w:p w:rsidR="00EF4850" w:rsidRPr="004E6CFC" w:rsidRDefault="00EF4850" w:rsidP="00EF4850">
      <w:pPr>
        <w:tabs>
          <w:tab w:val="left" w:pos="1418"/>
        </w:tabs>
        <w:spacing w:before="280" w:after="280"/>
        <w:ind w:left="1418" w:hanging="1418"/>
        <w:rPr>
          <w:iCs/>
        </w:rPr>
      </w:pPr>
      <w:r w:rsidRPr="004E6CFC">
        <w:rPr>
          <w:iCs/>
        </w:rPr>
        <w:t>Donde:</w:t>
      </w:r>
    </w:p>
    <w:p w:rsidR="00EF4850" w:rsidRPr="004E6CFC" w:rsidRDefault="00EF4850" w:rsidP="00EF4850">
      <w:pPr>
        <w:tabs>
          <w:tab w:val="left" w:pos="1843"/>
        </w:tabs>
        <w:spacing w:before="280" w:after="280"/>
        <w:ind w:left="1843" w:hanging="1843"/>
      </w:pPr>
      <w:r w:rsidRPr="004E6CFC">
        <w:rPr>
          <w:i/>
          <w:iCs/>
        </w:rPr>
        <w:t>INVE</w:t>
      </w:r>
      <w:r w:rsidRPr="004E6CFC">
        <w:rPr>
          <w:i/>
          <w:iCs/>
          <w:vertAlign w:val="subscript"/>
        </w:rPr>
        <w:t>j,n,t</w:t>
      </w:r>
      <w:r w:rsidRPr="004E6CFC">
        <w:t>:</w:t>
      </w:r>
      <w:r w:rsidRPr="004E6CFC">
        <w:tab/>
        <w:t xml:space="preserve">Ejecución promedio del plan de inversiones del OR </w:t>
      </w:r>
      <w:r w:rsidRPr="004E6CFC">
        <w:rPr>
          <w:i/>
        </w:rPr>
        <w:t xml:space="preserve">j </w:t>
      </w:r>
      <w:r w:rsidRPr="004E6CFC">
        <w:t xml:space="preserve">en el nivel de tensión </w:t>
      </w:r>
      <w:r w:rsidRPr="004E6CFC">
        <w:rPr>
          <w:i/>
        </w:rPr>
        <w:t>n</w:t>
      </w:r>
      <w:r w:rsidRPr="004E6CFC">
        <w:t xml:space="preserve"> para el año </w:t>
      </w:r>
      <w:r w:rsidRPr="004E6CFC">
        <w:rPr>
          <w:i/>
        </w:rPr>
        <w:t>t</w:t>
      </w:r>
      <w:r w:rsidRPr="004E6CFC">
        <w:t xml:space="preserve">. </w:t>
      </w:r>
    </w:p>
    <w:p w:rsidR="00EF4850" w:rsidRPr="004E6CFC" w:rsidRDefault="00EF4850" w:rsidP="00EF4850">
      <w:pPr>
        <w:tabs>
          <w:tab w:val="left" w:pos="1843"/>
        </w:tabs>
        <w:spacing w:before="280" w:after="280"/>
        <w:ind w:left="1843" w:hanging="1843"/>
        <w:rPr>
          <w:i/>
          <w:iCs/>
        </w:rPr>
      </w:pPr>
      <w:r w:rsidRPr="004E6CFC">
        <w:rPr>
          <w:i/>
          <w:iCs/>
        </w:rPr>
        <w:t>INVR</w:t>
      </w:r>
      <w:r w:rsidRPr="004E6CFC">
        <w:rPr>
          <w:i/>
          <w:iCs/>
          <w:vertAlign w:val="subscript"/>
        </w:rPr>
        <w:t>j,n,l,t</w:t>
      </w:r>
      <w:r w:rsidRPr="004E6CFC">
        <w:t>:</w:t>
      </w:r>
      <w:r w:rsidRPr="004E6CFC">
        <w:tab/>
        <w:t xml:space="preserve">Inversiones en activos puestos en operación en el sistema del OR </w:t>
      </w:r>
      <w:r w:rsidRPr="004E6CFC">
        <w:rPr>
          <w:i/>
        </w:rPr>
        <w:t xml:space="preserve">j </w:t>
      </w:r>
      <w:r w:rsidRPr="004E6CFC">
        <w:t xml:space="preserve">en el nivel de tensión </w:t>
      </w:r>
      <w:r w:rsidRPr="004E6CFC">
        <w:rPr>
          <w:i/>
          <w:iCs/>
        </w:rPr>
        <w:t xml:space="preserve">n </w:t>
      </w:r>
      <w:r w:rsidRPr="004E6CFC">
        <w:rPr>
          <w:iCs/>
        </w:rPr>
        <w:t xml:space="preserve">en la categoría de activos </w:t>
      </w:r>
      <w:r w:rsidRPr="004E6CFC">
        <w:rPr>
          <w:i/>
          <w:iCs/>
        </w:rPr>
        <w:t>l</w:t>
      </w:r>
      <w:r w:rsidRPr="004E6CFC">
        <w:rPr>
          <w:iCs/>
        </w:rPr>
        <w:t xml:space="preserve"> </w:t>
      </w:r>
      <w:r w:rsidRPr="004E6CFC">
        <w:t xml:space="preserve">durante el año </w:t>
      </w:r>
      <w:r w:rsidRPr="004E6CFC">
        <w:rPr>
          <w:i/>
        </w:rPr>
        <w:t>t</w:t>
      </w:r>
      <w:r w:rsidRPr="004E6CFC">
        <w:t xml:space="preserve">, calculado según lo establecido en el numeral </w:t>
      </w:r>
      <w:r w:rsidRPr="004E6CFC">
        <w:fldChar w:fldCharType="begin"/>
      </w:r>
      <w:r w:rsidRPr="004E6CFC">
        <w:instrText xml:space="preserve"> REF _Ref443918667 \r \h  \* MERGEFORMAT </w:instrText>
      </w:r>
      <w:r w:rsidRPr="004E6CFC">
        <w:fldChar w:fldCharType="separate"/>
      </w:r>
      <w:r w:rsidR="00737178">
        <w:t>3.1.1.2.3</w:t>
      </w:r>
      <w:r w:rsidRPr="004E6CFC">
        <w:fldChar w:fldCharType="end"/>
      </w:r>
      <w:r w:rsidRPr="004E6CFC">
        <w:t>.</w:t>
      </w:r>
    </w:p>
    <w:p w:rsidR="00EF4850" w:rsidRPr="004E6CFC" w:rsidRDefault="00EF4850" w:rsidP="00EF4850">
      <w:pPr>
        <w:tabs>
          <w:tab w:val="left" w:pos="1843"/>
        </w:tabs>
        <w:spacing w:before="280" w:after="280"/>
        <w:ind w:left="1843" w:hanging="1843"/>
      </w:pPr>
      <w:r w:rsidRPr="004E6CFC">
        <w:rPr>
          <w:i/>
          <w:iCs/>
        </w:rPr>
        <w:lastRenderedPageBreak/>
        <w:t>INVA</w:t>
      </w:r>
      <w:r w:rsidRPr="004E6CFC">
        <w:rPr>
          <w:i/>
          <w:iCs/>
          <w:vertAlign w:val="subscript"/>
        </w:rPr>
        <w:t>j,n,l,t</w:t>
      </w:r>
      <w:r w:rsidRPr="004E6CFC">
        <w:t>:</w:t>
      </w:r>
      <w:r w:rsidRPr="004E6CFC">
        <w:tab/>
      </w:r>
      <w:r w:rsidRPr="004E6CFC">
        <w:rPr>
          <w:iCs/>
        </w:rPr>
        <w:t xml:space="preserve">Inversión aprobada en el plan de inversiones del OR </w:t>
      </w:r>
      <w:r w:rsidRPr="004E6CFC">
        <w:rPr>
          <w:i/>
          <w:iCs/>
        </w:rPr>
        <w:t>j</w:t>
      </w:r>
      <w:r w:rsidRPr="004E6CFC">
        <w:rPr>
          <w:iCs/>
        </w:rPr>
        <w:t xml:space="preserve"> en el nivel de tensión </w:t>
      </w:r>
      <w:r w:rsidRPr="004E6CFC">
        <w:rPr>
          <w:i/>
          <w:iCs/>
        </w:rPr>
        <w:t>n</w:t>
      </w:r>
      <w:r w:rsidRPr="004E6CFC">
        <w:rPr>
          <w:iCs/>
        </w:rPr>
        <w:t xml:space="preserve"> en la categoría de activos </w:t>
      </w:r>
      <w:r w:rsidRPr="004E6CFC">
        <w:rPr>
          <w:i/>
          <w:iCs/>
        </w:rPr>
        <w:t>l</w:t>
      </w:r>
      <w:r w:rsidRPr="004E6CFC">
        <w:rPr>
          <w:iCs/>
        </w:rPr>
        <w:t xml:space="preserve"> para el año </w:t>
      </w:r>
      <w:r w:rsidRPr="004E6CFC">
        <w:rPr>
          <w:i/>
          <w:iCs/>
        </w:rPr>
        <w:t>t</w:t>
      </w:r>
      <w:r w:rsidRPr="004E6CFC">
        <w:rPr>
          <w:iCs/>
        </w:rPr>
        <w:t>, c</w:t>
      </w:r>
      <w:r w:rsidRPr="004E6CFC">
        <w:t xml:space="preserve">alculado según lo establecido en los numerales </w:t>
      </w:r>
      <w:r w:rsidRPr="004E6CFC">
        <w:fldChar w:fldCharType="begin"/>
      </w:r>
      <w:r w:rsidRPr="004E6CFC">
        <w:instrText xml:space="preserve"> REF _Ref443918940 \r \h  \* MERGEFORMAT </w:instrText>
      </w:r>
      <w:r w:rsidRPr="004E6CFC">
        <w:fldChar w:fldCharType="separate"/>
      </w:r>
      <w:r w:rsidR="00737178">
        <w:t>3.1.1.2.1</w:t>
      </w:r>
      <w:r w:rsidRPr="004E6CFC">
        <w:fldChar w:fldCharType="end"/>
      </w:r>
      <w:r w:rsidRPr="004E6CFC">
        <w:t xml:space="preserve"> y </w:t>
      </w:r>
      <w:r w:rsidRPr="004E6CFC">
        <w:fldChar w:fldCharType="begin"/>
      </w:r>
      <w:r w:rsidRPr="004E6CFC">
        <w:instrText xml:space="preserve"> REF _Ref443918943 \r \h  \* MERGEFORMAT </w:instrText>
      </w:r>
      <w:r w:rsidRPr="004E6CFC">
        <w:fldChar w:fldCharType="separate"/>
      </w:r>
      <w:r w:rsidR="00737178">
        <w:t>3.1.1.2.2</w:t>
      </w:r>
      <w:r w:rsidRPr="004E6CFC">
        <w:fldChar w:fldCharType="end"/>
      </w:r>
      <w:r w:rsidRPr="004E6CFC">
        <w:t>.</w:t>
      </w:r>
    </w:p>
    <w:p w:rsidR="00EF4850" w:rsidRPr="004E6CFC" w:rsidRDefault="00EF4850" w:rsidP="00EF4850">
      <w:pPr>
        <w:tabs>
          <w:tab w:val="left" w:pos="1418"/>
        </w:tabs>
        <w:spacing w:before="120"/>
        <w:ind w:left="1808" w:hanging="1808"/>
      </w:pPr>
      <w:r>
        <w:rPr>
          <w:i/>
          <w:iCs/>
        </w:rPr>
        <w:t>l</w:t>
      </w:r>
      <w:r w:rsidRPr="004E6CFC">
        <w:rPr>
          <w:i/>
          <w:iCs/>
        </w:rPr>
        <w:t>:</w:t>
      </w:r>
      <w:r w:rsidRPr="004E6CFC">
        <w:t xml:space="preserve"> </w:t>
      </w:r>
      <w:r w:rsidRPr="004E6CFC">
        <w:tab/>
      </w:r>
      <w:r>
        <w:tab/>
      </w:r>
      <w:r w:rsidRPr="004E6CFC">
        <w:t>Ca</w:t>
      </w:r>
      <w:r>
        <w:t xml:space="preserve">tegoría de activos, </w:t>
      </w:r>
      <w:r w:rsidRPr="00CA5A76">
        <w:rPr>
          <w:i/>
        </w:rPr>
        <w:t xml:space="preserve">l </w:t>
      </w:r>
      <w:r w:rsidRPr="00CA5A76">
        <w:t>toma los valores de 11</w:t>
      </w:r>
      <w:r>
        <w:t xml:space="preserve"> o </w:t>
      </w:r>
      <w:r w:rsidRPr="00CA5A76">
        <w:t>12</w:t>
      </w:r>
      <w:r>
        <w:t xml:space="preserve"> para el nivel de tensión 1</w:t>
      </w:r>
      <w:r w:rsidRPr="004E6CFC">
        <w:t>.</w:t>
      </w:r>
    </w:p>
    <w:p w:rsidR="00EF4850" w:rsidRPr="004E6CFC" w:rsidRDefault="00EF4850" w:rsidP="00EF4850">
      <w:pPr>
        <w:tabs>
          <w:tab w:val="left" w:pos="1418"/>
        </w:tabs>
        <w:spacing w:before="120"/>
        <w:ind w:left="1808" w:hanging="1808"/>
      </w:pPr>
      <w:r w:rsidRPr="004E6CFC">
        <w:rPr>
          <w:i/>
          <w:iCs/>
        </w:rPr>
        <w:t>L</w:t>
      </w:r>
      <w:r w:rsidRPr="004E6CFC">
        <w:rPr>
          <w:i/>
          <w:iCs/>
          <w:vertAlign w:val="subscript"/>
        </w:rPr>
        <w:t>n</w:t>
      </w:r>
      <w:r w:rsidRPr="004E6CFC">
        <w:rPr>
          <w:i/>
          <w:iCs/>
        </w:rPr>
        <w:t>:</w:t>
      </w:r>
      <w:r w:rsidRPr="004E6CFC">
        <w:t xml:space="preserve"> </w:t>
      </w:r>
      <w:r w:rsidRPr="004E6CFC">
        <w:tab/>
      </w:r>
      <w:r>
        <w:tab/>
      </w:r>
      <w:r w:rsidRPr="004E6CFC">
        <w:t xml:space="preserve">Cantidad de categorías de activos en el nivel de tensión </w:t>
      </w:r>
      <w:r w:rsidRPr="004E6CFC">
        <w:rPr>
          <w:i/>
        </w:rPr>
        <w:t>n</w:t>
      </w:r>
      <w:r>
        <w:rPr>
          <w:i/>
        </w:rPr>
        <w:t xml:space="preserve">. </w:t>
      </w:r>
      <w:r w:rsidRPr="004E6CFC">
        <w:rPr>
          <w:i/>
          <w:iCs/>
        </w:rPr>
        <w:t>L</w:t>
      </w:r>
      <w:r>
        <w:rPr>
          <w:i/>
          <w:iCs/>
          <w:vertAlign w:val="subscript"/>
        </w:rPr>
        <w:t>1</w:t>
      </w:r>
      <w:r w:rsidRPr="00CA5A76">
        <w:rPr>
          <w:i/>
        </w:rPr>
        <w:t xml:space="preserve"> </w:t>
      </w:r>
      <w:r w:rsidRPr="00CA5A76">
        <w:t xml:space="preserve">toma </w:t>
      </w:r>
      <w:r>
        <w:t xml:space="preserve">el </w:t>
      </w:r>
      <w:r w:rsidRPr="00CA5A76">
        <w:t>valo</w:t>
      </w:r>
      <w:r>
        <w:t>r</w:t>
      </w:r>
      <w:r w:rsidRPr="00CA5A76">
        <w:t xml:space="preserve"> de </w:t>
      </w:r>
      <w:r>
        <w:t>1</w:t>
      </w:r>
      <w:r w:rsidRPr="00CA5A76">
        <w:t>2</w:t>
      </w:r>
      <w:r>
        <w:t>.</w:t>
      </w:r>
    </w:p>
    <w:p w:rsidR="00EF4850" w:rsidRPr="004E6CFC" w:rsidRDefault="00EF4850" w:rsidP="00EF4850">
      <w:pPr>
        <w:pStyle w:val="Ttulo4"/>
      </w:pPr>
      <w:r w:rsidRPr="004E6CFC">
        <w:t>Ajuste de la BRAEN al final del periodo tarifario</w:t>
      </w:r>
    </w:p>
    <w:p w:rsidR="00EF4850" w:rsidRPr="004E6CFC" w:rsidDel="009D5E4E" w:rsidRDefault="00EF4850" w:rsidP="00EF4850">
      <w:pPr>
        <w:spacing w:before="280" w:after="280"/>
      </w:pPr>
      <w:r w:rsidRPr="004E6CFC">
        <w:t>Al final del periodo tarifario debe calcularse la diferencia entre la BRAEN total reconocida y las inversiones puestas en operación durante el periodo tarifario, este valor se debe utilizar para ajustar la remuneración de las inversiones al inicio del siguiente periodo tarifario.</w:t>
      </w:r>
    </w:p>
    <w:p w:rsidR="00EF4850" w:rsidRPr="004E6CFC" w:rsidRDefault="00EF4850" w:rsidP="00EF4850">
      <w:pPr>
        <w:pStyle w:val="Ttulo4"/>
      </w:pPr>
      <w:bookmarkStart w:id="176" w:name="_Ref404081440"/>
      <w:r w:rsidRPr="004E6CFC">
        <w:t>Activos fuera de operación</w:t>
      </w:r>
      <w:bookmarkEnd w:id="176"/>
    </w:p>
    <w:p w:rsidR="00EF4850" w:rsidRPr="004E6CFC" w:rsidRDefault="00EF4850" w:rsidP="00EF4850">
      <w:pPr>
        <w:rPr>
          <w:lang w:val="es-ES_tradnl"/>
        </w:rPr>
      </w:pPr>
      <w:r w:rsidRPr="004E6CFC">
        <w:rPr>
          <w:lang w:val="es-ES_tradnl"/>
        </w:rPr>
        <w:t xml:space="preserve">El valor de la variable </w:t>
      </w:r>
      <w:r w:rsidRPr="004E6CFC">
        <w:rPr>
          <w:i/>
          <w:lang w:val="es-ES_tradnl"/>
        </w:rPr>
        <w:t>BRAFO</w:t>
      </w:r>
      <w:r w:rsidRPr="004E6CFC">
        <w:rPr>
          <w:i/>
          <w:vertAlign w:val="subscript"/>
          <w:lang w:val="es-ES_tradnl"/>
        </w:rPr>
        <w:t>j,n,t</w:t>
      </w:r>
      <w:r w:rsidRPr="004E6CFC">
        <w:rPr>
          <w:lang w:val="es-ES_tradnl"/>
        </w:rPr>
        <w:t xml:space="preserve"> se calcula con base en la siguiente expresión:</w:t>
      </w:r>
    </w:p>
    <w:p w:rsidR="00EF4850" w:rsidRPr="004E6CFC" w:rsidRDefault="00C9592F" w:rsidP="00EF4850">
      <w:pPr>
        <w:rPr>
          <w:color w:val="000000" w:themeColor="text1"/>
        </w:rPr>
      </w:pPr>
      <m:oMathPara>
        <m:oMath>
          <m:sSub>
            <m:sSubPr>
              <m:ctrlPr>
                <w:rPr>
                  <w:rFonts w:ascii="Cambria Math" w:hAnsi="Cambria Math"/>
                  <w:i/>
                  <w:color w:val="000000" w:themeColor="text1"/>
                </w:rPr>
              </m:ctrlPr>
            </m:sSubPr>
            <m:e>
              <m:r>
                <w:rPr>
                  <w:rFonts w:ascii="Cambria Math" w:hAnsi="Cambria Math"/>
                  <w:color w:val="000000" w:themeColor="text1"/>
                </w:rPr>
                <m:t>BRAFO</m:t>
              </m:r>
            </m:e>
            <m:sub>
              <m:r>
                <w:rPr>
                  <w:rFonts w:ascii="Cambria Math" w:hAnsi="Cambria Math"/>
                  <w:color w:val="000000" w:themeColor="text1"/>
                </w:rPr>
                <m:t>j</m:t>
              </m:r>
              <m:r>
                <w:rPr>
                  <w:rFonts w:ascii="Cambria Math"/>
                  <w:color w:val="000000" w:themeColor="text1"/>
                </w:rPr>
                <m:t>,</m:t>
              </m:r>
              <m:r>
                <w:rPr>
                  <w:rFonts w:ascii="Cambria Math" w:hAnsi="Cambria Math"/>
                  <w:color w:val="000000" w:themeColor="text1"/>
                </w:rPr>
                <m:t>n,t</m:t>
              </m:r>
            </m:sub>
          </m:sSub>
          <m:r>
            <w:rPr>
              <w:rFonts w:ascii="Cambria Math"/>
              <w:color w:val="000000" w:themeColor="text1"/>
            </w:rPr>
            <m:t>=</m:t>
          </m:r>
          <m:nary>
            <m:naryPr>
              <m:chr m:val="∑"/>
              <m:limLoc m:val="undOvr"/>
              <m:ctrlPr>
                <w:rPr>
                  <w:rFonts w:ascii="Cambria Math" w:hAnsi="Cambria Math"/>
                  <w:i/>
                  <w:color w:val="000000" w:themeColor="text1"/>
                </w:rPr>
              </m:ctrlPr>
            </m:naryPr>
            <m:sub>
              <m:r>
                <w:rPr>
                  <w:rFonts w:ascii="Cambria Math"/>
                  <w:color w:val="000000" w:themeColor="text1"/>
                </w:rPr>
                <m:t>i=1</m:t>
              </m:r>
            </m:sub>
            <m:sup>
              <m:sSub>
                <m:sSubPr>
                  <m:ctrlPr>
                    <w:rPr>
                      <w:rFonts w:ascii="Cambria Math" w:hAnsi="Cambria Math"/>
                      <w:i/>
                      <w:color w:val="000000" w:themeColor="text1"/>
                    </w:rPr>
                  </m:ctrlPr>
                </m:sSubPr>
                <m:e>
                  <m:r>
                    <w:rPr>
                      <w:rFonts w:ascii="Cambria Math"/>
                      <w:color w:val="000000" w:themeColor="text1"/>
                    </w:rPr>
                    <m:t>NFO</m:t>
                  </m:r>
                </m:e>
                <m:sub>
                  <m:r>
                    <w:rPr>
                      <w:rFonts w:ascii="Cambria Math"/>
                      <w:color w:val="000000" w:themeColor="text1"/>
                    </w:rPr>
                    <m:t>j,n,t</m:t>
                  </m:r>
                  <m:r>
                    <w:rPr>
                      <w:rFonts w:ascii="Cambria Math"/>
                      <w:color w:val="000000" w:themeColor="text1"/>
                    </w:rPr>
                    <m:t>-</m:t>
                  </m:r>
                  <m:r>
                    <w:rPr>
                      <w:rFonts w:ascii="Cambria Math"/>
                      <w:color w:val="000000" w:themeColor="text1"/>
                    </w:rPr>
                    <m:t>1</m:t>
                  </m:r>
                </m:sub>
              </m:sSub>
            </m:sup>
            <m:e>
              <m:sSub>
                <m:sSubPr>
                  <m:ctrlPr>
                    <w:rPr>
                      <w:rFonts w:ascii="Cambria Math" w:hAnsi="Cambria Math"/>
                      <w:i/>
                      <w:color w:val="000000" w:themeColor="text1"/>
                    </w:rPr>
                  </m:ctrlPr>
                </m:sSubPr>
                <m:e>
                  <m:r>
                    <w:rPr>
                      <w:rFonts w:ascii="Cambria Math"/>
                      <w:color w:val="000000" w:themeColor="text1"/>
                    </w:rPr>
                    <m:t>BRAR</m:t>
                  </m:r>
                </m:e>
                <m:sub>
                  <m:r>
                    <w:rPr>
                      <w:rFonts w:ascii="Cambria Math"/>
                      <w:color w:val="000000" w:themeColor="text1"/>
                    </w:rPr>
                    <m:t>i,j,n,t</m:t>
                  </m:r>
                  <m:r>
                    <w:rPr>
                      <w:rFonts w:ascii="Cambria Math"/>
                      <w:color w:val="000000" w:themeColor="text1"/>
                    </w:rPr>
                    <m:t>-</m:t>
                  </m:r>
                  <m:r>
                    <w:rPr>
                      <w:rFonts w:ascii="Cambria Math"/>
                      <w:color w:val="000000" w:themeColor="text1"/>
                    </w:rPr>
                    <m:t>1</m:t>
                  </m:r>
                </m:sub>
              </m:sSub>
            </m:e>
          </m:nary>
          <m:r>
            <w:rPr>
              <w:rFonts w:ascii="Cambria Math" w:hAnsi="Cambria Math"/>
              <w:color w:val="000000" w:themeColor="text1"/>
            </w:rPr>
            <m:t xml:space="preserve"> </m:t>
          </m:r>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IPP</m:t>
                  </m:r>
                </m:e>
                <m:sub>
                  <m:r>
                    <w:rPr>
                      <w:rFonts w:ascii="Cambria Math" w:hAnsi="Cambria Math"/>
                    </w:rPr>
                    <m:t>0</m:t>
                  </m:r>
                </m:sub>
              </m:sSub>
            </m:num>
            <m:den>
              <m:sSub>
                <m:sSubPr>
                  <m:ctrlPr>
                    <w:rPr>
                      <w:rFonts w:ascii="Cambria Math" w:hAnsi="Cambria Math"/>
                      <w:i/>
                    </w:rPr>
                  </m:ctrlPr>
                </m:sSubPr>
                <m:e>
                  <m:r>
                    <w:rPr>
                      <w:rFonts w:ascii="Cambria Math" w:hAnsi="Cambria Math"/>
                    </w:rPr>
                    <m:t>IPP</m:t>
                  </m:r>
                </m:e>
                <m:sub>
                  <m:r>
                    <w:rPr>
                      <w:rFonts w:ascii="Cambria Math" w:hAnsi="Cambria Math"/>
                    </w:rPr>
                    <m:t>base</m:t>
                  </m:r>
                </m:sub>
              </m:sSub>
            </m:den>
          </m:f>
        </m:oMath>
      </m:oMathPara>
    </w:p>
    <w:p w:rsidR="00EF4850" w:rsidRPr="004E6CFC" w:rsidRDefault="00EF4850" w:rsidP="00EF4850">
      <w:pPr>
        <w:spacing w:before="280" w:after="280"/>
        <w:ind w:left="1410" w:hanging="1410"/>
        <w:rPr>
          <w:iCs/>
        </w:rPr>
      </w:pPr>
      <w:r w:rsidRPr="004E6CFC">
        <w:rPr>
          <w:iCs/>
        </w:rPr>
        <w:t>Donde:</w:t>
      </w:r>
    </w:p>
    <w:p w:rsidR="00EF4850" w:rsidRPr="004E6CFC" w:rsidRDefault="00EF4850" w:rsidP="00EF4850">
      <w:pPr>
        <w:spacing w:before="280" w:after="280"/>
        <w:ind w:left="1412" w:hanging="1412"/>
      </w:pPr>
      <w:r w:rsidRPr="004E6CFC">
        <w:rPr>
          <w:i/>
          <w:iCs/>
        </w:rPr>
        <w:t>BRAFO</w:t>
      </w:r>
      <w:r w:rsidRPr="004E6CFC">
        <w:rPr>
          <w:i/>
          <w:iCs/>
          <w:vertAlign w:val="subscript"/>
        </w:rPr>
        <w:t>j,n,t</w:t>
      </w:r>
      <w:r w:rsidRPr="004E6CFC">
        <w:t>:</w:t>
      </w:r>
      <w:r w:rsidRPr="004E6CFC">
        <w:tab/>
        <w:t xml:space="preserve">Base regulatoria de activos eléctricos fuera de operación en el sistema del OR </w:t>
      </w:r>
      <w:r w:rsidRPr="004E6CFC">
        <w:rPr>
          <w:i/>
        </w:rPr>
        <w:t>j</w:t>
      </w:r>
      <w:r w:rsidRPr="004E6CFC">
        <w:t xml:space="preserve"> en </w:t>
      </w:r>
      <w:r w:rsidR="007B2CBB" w:rsidRPr="004E6CFC">
        <w:t>el nivel</w:t>
      </w:r>
      <w:r w:rsidRPr="004E6CFC">
        <w:t xml:space="preserve"> de tensión </w:t>
      </w:r>
      <w:r w:rsidRPr="004E6CFC">
        <w:rPr>
          <w:i/>
          <w:iCs/>
        </w:rPr>
        <w:t xml:space="preserve">n </w:t>
      </w:r>
      <w:r w:rsidRPr="004E6CFC">
        <w:t xml:space="preserve">para el año </w:t>
      </w:r>
      <w:r w:rsidRPr="004E6CFC">
        <w:rPr>
          <w:i/>
        </w:rPr>
        <w:t>t</w:t>
      </w:r>
      <w:r w:rsidRPr="004E6CFC">
        <w:t>. Para el primer año del periodo tarifario esta variable es igual a cero.</w:t>
      </w:r>
    </w:p>
    <w:p w:rsidR="00EF4850" w:rsidRPr="004E6CFC" w:rsidRDefault="00EF4850" w:rsidP="00EF4850">
      <w:pPr>
        <w:spacing w:before="280" w:after="280"/>
        <w:ind w:left="1412" w:hanging="1412"/>
      </w:pPr>
      <w:r w:rsidRPr="004E6CFC">
        <w:rPr>
          <w:i/>
          <w:iCs/>
        </w:rPr>
        <w:t>NFO</w:t>
      </w:r>
      <w:r w:rsidRPr="004E6CFC">
        <w:rPr>
          <w:i/>
          <w:iCs/>
          <w:vertAlign w:val="subscript"/>
        </w:rPr>
        <w:t>j,n,t</w:t>
      </w:r>
      <w:r w:rsidRPr="004E6CFC">
        <w:t>:</w:t>
      </w:r>
      <w:r w:rsidRPr="004E6CFC">
        <w:tab/>
        <w:t xml:space="preserve">Número de UC del nivel de tensión </w:t>
      </w:r>
      <w:r w:rsidRPr="004E6CFC">
        <w:rPr>
          <w:i/>
        </w:rPr>
        <w:t>n</w:t>
      </w:r>
      <w:r w:rsidRPr="004E6CFC">
        <w:t xml:space="preserve">, incluidas en la base regulatoria de activos del OR </w:t>
      </w:r>
      <w:r w:rsidRPr="004E6CFC">
        <w:rPr>
          <w:i/>
          <w:iCs/>
        </w:rPr>
        <w:t>j</w:t>
      </w:r>
      <w:r w:rsidRPr="004E6CFC">
        <w:rPr>
          <w:iCs/>
        </w:rPr>
        <w:t xml:space="preserve"> </w:t>
      </w:r>
      <w:r w:rsidRPr="004E6CFC">
        <w:t xml:space="preserve">que salen de operación en el año </w:t>
      </w:r>
      <w:r w:rsidRPr="004E6CFC">
        <w:rPr>
          <w:i/>
        </w:rPr>
        <w:t>t</w:t>
      </w:r>
      <w:r w:rsidRPr="004E6CFC">
        <w:t>.</w:t>
      </w:r>
    </w:p>
    <w:p w:rsidR="00EF4850" w:rsidRPr="004E6CFC" w:rsidRDefault="00EF4850" w:rsidP="00EF4850">
      <w:pPr>
        <w:spacing w:before="280" w:after="280"/>
        <w:ind w:left="1412" w:hanging="1412"/>
      </w:pPr>
      <w:r w:rsidRPr="004E6CFC">
        <w:rPr>
          <w:i/>
          <w:iCs/>
        </w:rPr>
        <w:t>BRAR</w:t>
      </w:r>
      <w:r w:rsidRPr="004E6CFC">
        <w:rPr>
          <w:i/>
          <w:iCs/>
          <w:vertAlign w:val="subscript"/>
        </w:rPr>
        <w:t>i,j,n,t</w:t>
      </w:r>
      <w:r w:rsidRPr="004E6CFC">
        <w:t>:</w:t>
      </w:r>
      <w:r w:rsidRPr="004E6CFC">
        <w:tab/>
        <w:t xml:space="preserve">Capital remanente de la UC </w:t>
      </w:r>
      <w:r w:rsidRPr="004E6CFC">
        <w:rPr>
          <w:i/>
        </w:rPr>
        <w:t>i</w:t>
      </w:r>
      <w:r w:rsidRPr="004E6CFC">
        <w:t xml:space="preserve"> del OR </w:t>
      </w:r>
      <w:r w:rsidRPr="004E6CFC">
        <w:rPr>
          <w:i/>
        </w:rPr>
        <w:t>j</w:t>
      </w:r>
      <w:r w:rsidRPr="004E6CFC">
        <w:t xml:space="preserve"> en el nivel de tensión </w:t>
      </w:r>
      <w:r w:rsidRPr="004E6CFC">
        <w:rPr>
          <w:i/>
          <w:iCs/>
        </w:rPr>
        <w:t>n</w:t>
      </w:r>
      <w:r w:rsidRPr="004E6CFC">
        <w:t xml:space="preserve"> que sale de operación en el año </w:t>
      </w:r>
      <w:r w:rsidRPr="004E6CFC">
        <w:rPr>
          <w:i/>
        </w:rPr>
        <w:t>t</w:t>
      </w:r>
      <w:r w:rsidRPr="004E6CFC">
        <w:t>, calculada de la siguiente manera:</w:t>
      </w:r>
    </w:p>
    <w:p w:rsidR="00EF4850" w:rsidRPr="004E6CFC" w:rsidRDefault="00C9592F" w:rsidP="00EF4850">
      <m:oMathPara>
        <m:oMath>
          <m:sSub>
            <m:sSubPr>
              <m:ctrlPr>
                <w:rPr>
                  <w:rFonts w:ascii="Cambria Math" w:hAnsi="Cambria Math"/>
                  <w:i/>
                </w:rPr>
              </m:ctrlPr>
            </m:sSubPr>
            <m:e>
              <m:r>
                <w:rPr>
                  <w:rFonts w:ascii="Cambria Math" w:hAnsi="Cambria Math"/>
                </w:rPr>
                <m:t>BRAR</m:t>
              </m:r>
            </m:e>
            <m:sub>
              <m:r>
                <w:rPr>
                  <w:rFonts w:ascii="Cambria Math" w:hAnsi="Cambria Math"/>
                </w:rPr>
                <m:t>i,j,n,t</m:t>
              </m:r>
            </m:sub>
          </m:sSub>
          <m:r>
            <w:rPr>
              <w:rFonts w:ascii="Cambria Math" w:hAnsi="Cambria Math"/>
            </w:rPr>
            <m:t>=</m:t>
          </m:r>
          <m:d>
            <m:dPr>
              <m:begChr m:val="["/>
              <m:endChr m:val="]"/>
              <m:ctrlPr>
                <w:rPr>
                  <w:rFonts w:ascii="Cambria Math" w:hAnsi="Cambria Math"/>
                  <w:i/>
                </w:rPr>
              </m:ctrlPr>
            </m:dPr>
            <m:e>
              <m:sSub>
                <m:sSubPr>
                  <m:ctrlPr>
                    <w:rPr>
                      <w:rFonts w:ascii="Cambria Math" w:hAnsi="Cambria Math"/>
                      <w:i/>
                    </w:rPr>
                  </m:ctrlPr>
                </m:sSubPr>
                <m:e>
                  <m:r>
                    <w:rPr>
                      <w:rFonts w:ascii="Cambria Math" w:hAnsi="Cambria Math"/>
                    </w:rPr>
                    <m:t>CR</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PU</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FU</m:t>
                  </m:r>
                </m:e>
                <m:sub>
                  <m:r>
                    <w:rPr>
                      <w:rFonts w:ascii="Cambria Math" w:hAnsi="Cambria Math"/>
                    </w:rPr>
                    <m:t>i</m:t>
                  </m:r>
                </m:sub>
              </m:sSub>
              <m:r>
                <w:rPr>
                  <w:rFonts w:ascii="Cambria Math" w:hAnsi="Cambria Math"/>
                </w:rPr>
                <m:t>*</m:t>
              </m:r>
              <m:d>
                <m:dPr>
                  <m:ctrlPr>
                    <w:rPr>
                      <w:rFonts w:ascii="Cambria Math" w:hAnsi="Cambria Math"/>
                      <w:i/>
                    </w:rPr>
                  </m:ctrlPr>
                </m:dPr>
                <m:e>
                  <m:r>
                    <w:rPr>
                      <w:rFonts w:ascii="Cambria Math" w:hAnsi="Cambria Math"/>
                    </w:rPr>
                    <m:t>1-</m:t>
                  </m:r>
                  <m:sSub>
                    <m:sSubPr>
                      <m:ctrlPr>
                        <w:rPr>
                          <w:rFonts w:ascii="Cambria Math" w:hAnsi="Cambria Math"/>
                          <w:i/>
                        </w:rPr>
                      </m:ctrlPr>
                    </m:sSubPr>
                    <m:e>
                      <m:r>
                        <w:rPr>
                          <w:rFonts w:ascii="Cambria Math" w:hAnsi="Cambria Math"/>
                        </w:rPr>
                        <m:t>RPP</m:t>
                      </m:r>
                    </m:e>
                    <m:sub>
                      <m:r>
                        <w:rPr>
                          <w:rFonts w:ascii="Cambria Math" w:hAnsi="Cambria Math"/>
                        </w:rPr>
                        <m:t>i</m:t>
                      </m:r>
                    </m:sub>
                  </m:sSub>
                </m:e>
              </m:d>
              <m:r>
                <w:rPr>
                  <w:rFonts w:ascii="Cambria Math" w:hAnsi="Cambria Math"/>
                </w:rPr>
                <m:t>*</m:t>
              </m:r>
              <m:sSub>
                <m:sSubPr>
                  <m:ctrlPr>
                    <w:rPr>
                      <w:rFonts w:ascii="Cambria Math" w:hAnsi="Cambria Math"/>
                      <w:i/>
                    </w:rPr>
                  </m:ctrlPr>
                </m:sSubPr>
                <m:e>
                  <m:r>
                    <w:rPr>
                      <w:rFonts w:ascii="Cambria Math" w:hAnsi="Cambria Math"/>
                    </w:rPr>
                    <m:t>CRA</m:t>
                  </m:r>
                </m:e>
                <m:sub>
                  <m:r>
                    <w:rPr>
                      <w:rFonts w:ascii="Cambria Math" w:hAnsi="Cambria Math"/>
                    </w:rPr>
                    <m:t>i</m:t>
                  </m:r>
                </m:sub>
              </m:sSub>
            </m:e>
          </m:d>
          <m:r>
            <w:rPr>
              <w:rFonts w:ascii="Cambria Math" w:hAnsi="Cambria Math"/>
            </w:rPr>
            <m:t>*</m:t>
          </m:r>
          <m:d>
            <m:dPr>
              <m:begChr m:val="["/>
              <m:endChr m:val="]"/>
              <m:ctrlPr>
                <w:rPr>
                  <w:rFonts w:ascii="Cambria Math" w:hAnsi="Cambria Math"/>
                  <w:i/>
                </w:rPr>
              </m:ctrlPr>
            </m:dPr>
            <m:e>
              <m:r>
                <w:rPr>
                  <w:rFonts w:ascii="Cambria Math" w:hAnsi="Cambria Math"/>
                </w:rPr>
                <m:t>1-</m:t>
              </m:r>
              <m:f>
                <m:fPr>
                  <m:ctrlPr>
                    <w:rPr>
                      <w:rFonts w:ascii="Cambria Math" w:hAnsi="Cambria Math"/>
                      <w:i/>
                    </w:rPr>
                  </m:ctrlPr>
                </m:fPr>
                <m:num>
                  <m:r>
                    <w:rPr>
                      <w:rFonts w:ascii="Cambria Math" w:hAnsi="Cambria Math"/>
                    </w:rPr>
                    <m:t>t</m:t>
                  </m:r>
                </m:num>
                <m:den>
                  <m:sSub>
                    <m:sSubPr>
                      <m:ctrlPr>
                        <w:rPr>
                          <w:rFonts w:ascii="Cambria Math" w:hAnsi="Cambria Math"/>
                          <w:i/>
                        </w:rPr>
                      </m:ctrlPr>
                    </m:sSubPr>
                    <m:e>
                      <m:sSub>
                        <m:sSubPr>
                          <m:ctrlPr>
                            <w:rPr>
                              <w:rFonts w:ascii="Cambria Math" w:hAnsi="Cambria Math"/>
                              <w:i/>
                            </w:rPr>
                          </m:ctrlPr>
                        </m:sSubPr>
                        <m:e>
                          <m:r>
                            <w:rPr>
                              <w:rFonts w:ascii="Cambria Math" w:hAnsi="Cambria Math"/>
                            </w:rPr>
                            <m:t>VU</m:t>
                          </m:r>
                        </m:e>
                        <m:sub>
                          <m:r>
                            <w:rPr>
                              <w:rFonts w:ascii="Cambria Math" w:hAnsi="Cambria Math"/>
                            </w:rPr>
                            <m:t>i,l</m:t>
                          </m:r>
                        </m:sub>
                      </m:sSub>
                      <m:r>
                        <w:rPr>
                          <w:rFonts w:ascii="Cambria Math" w:hAnsi="Cambria Math"/>
                        </w:rPr>
                        <m:t>- AR</m:t>
                      </m:r>
                    </m:e>
                    <m:sub>
                      <m:r>
                        <w:rPr>
                          <w:rFonts w:ascii="Cambria Math" w:hAnsi="Cambria Math"/>
                        </w:rPr>
                        <m:t>i,k</m:t>
                      </m:r>
                    </m:sub>
                  </m:sSub>
                </m:den>
              </m:f>
            </m:e>
          </m:d>
        </m:oMath>
      </m:oMathPara>
    </w:p>
    <w:p w:rsidR="00EF4850" w:rsidRPr="004E6CFC" w:rsidRDefault="00EF4850" w:rsidP="00EF4850">
      <w:pPr>
        <w:ind w:left="1017"/>
      </w:pPr>
      <w:r w:rsidRPr="004E6CFC">
        <w:t>Donde:</w:t>
      </w:r>
    </w:p>
    <w:p w:rsidR="00EF4850" w:rsidRPr="004E6CFC" w:rsidRDefault="00EF4850" w:rsidP="00EF4850">
      <w:pPr>
        <w:ind w:left="2433" w:hanging="1416"/>
      </w:pPr>
      <w:r w:rsidRPr="004E6CFC">
        <w:rPr>
          <w:i/>
        </w:rPr>
        <w:t>CR</w:t>
      </w:r>
      <w:r w:rsidRPr="004E6CFC">
        <w:rPr>
          <w:i/>
          <w:vertAlign w:val="subscript"/>
        </w:rPr>
        <w:t>i</w:t>
      </w:r>
      <w:r w:rsidRPr="004E6CFC">
        <w:t>:</w:t>
      </w:r>
      <w:r w:rsidRPr="004E6CFC">
        <w:tab/>
        <w:t xml:space="preserve">Valor de la UC </w:t>
      </w:r>
      <w:r w:rsidRPr="004E6CFC">
        <w:rPr>
          <w:i/>
        </w:rPr>
        <w:t>i</w:t>
      </w:r>
      <w:r w:rsidRPr="004E6CFC">
        <w:t xml:space="preserve"> que sale de operación en el año </w:t>
      </w:r>
      <w:r w:rsidRPr="004E6CFC">
        <w:rPr>
          <w:i/>
        </w:rPr>
        <w:t>t</w:t>
      </w:r>
      <w:r w:rsidRPr="004E6CFC">
        <w:t>, valor definido en el capítulo</w:t>
      </w:r>
      <w:r>
        <w:t xml:space="preserve"> </w:t>
      </w:r>
      <w:r>
        <w:fldChar w:fldCharType="begin"/>
      </w:r>
      <w:r>
        <w:instrText xml:space="preserve"> REF _Ref465976561 \r \h\t </w:instrText>
      </w:r>
      <w:r>
        <w:fldChar w:fldCharType="separate"/>
      </w:r>
      <w:r w:rsidR="00737178">
        <w:t>14</w:t>
      </w:r>
      <w:r>
        <w:fldChar w:fldCharType="end"/>
      </w:r>
      <w:r w:rsidRPr="004E6CFC">
        <w:t>.</w:t>
      </w:r>
    </w:p>
    <w:p w:rsidR="00EF4850" w:rsidRPr="004E6CFC" w:rsidRDefault="00EF4850" w:rsidP="00EF4850">
      <w:pPr>
        <w:ind w:left="2433" w:hanging="1416"/>
      </w:pPr>
      <w:r w:rsidRPr="004E6CFC">
        <w:rPr>
          <w:i/>
        </w:rPr>
        <w:t>PU</w:t>
      </w:r>
      <w:r w:rsidRPr="004E6CFC">
        <w:rPr>
          <w:i/>
          <w:vertAlign w:val="subscript"/>
        </w:rPr>
        <w:t>i</w:t>
      </w:r>
      <w:r w:rsidRPr="004E6CFC">
        <w:rPr>
          <w:i/>
        </w:rPr>
        <w:t>:</w:t>
      </w:r>
      <w:r w:rsidRPr="004E6CFC">
        <w:tab/>
        <w:t xml:space="preserve">Fracción del costo de la UC </w:t>
      </w:r>
      <w:r w:rsidRPr="004E6CFC">
        <w:rPr>
          <w:i/>
          <w:iCs/>
        </w:rPr>
        <w:t>i</w:t>
      </w:r>
      <w:r w:rsidRPr="004E6CFC">
        <w:t xml:space="preserve"> que sale de operación en el año </w:t>
      </w:r>
      <w:r w:rsidRPr="004E6CFC">
        <w:rPr>
          <w:i/>
        </w:rPr>
        <w:t>t</w:t>
      </w:r>
      <w:r w:rsidRPr="004E6CFC">
        <w:t xml:space="preserve"> y que es reconocida mediante cargos por uso.</w:t>
      </w:r>
    </w:p>
    <w:p w:rsidR="00EF4850" w:rsidRPr="004E6CFC" w:rsidRDefault="00EF4850" w:rsidP="00EF4850">
      <w:pPr>
        <w:ind w:left="2433" w:hanging="1416"/>
        <w:rPr>
          <w:i/>
        </w:rPr>
      </w:pPr>
      <w:r w:rsidRPr="004E6CFC">
        <w:rPr>
          <w:i/>
          <w:iCs/>
        </w:rPr>
        <w:t>FU</w:t>
      </w:r>
      <w:r w:rsidRPr="004E6CFC">
        <w:rPr>
          <w:i/>
          <w:iCs/>
          <w:vertAlign w:val="subscript"/>
        </w:rPr>
        <w:t>i</w:t>
      </w:r>
      <w:r w:rsidRPr="004E6CFC">
        <w:rPr>
          <w:i/>
          <w:iCs/>
        </w:rPr>
        <w:t>:</w:t>
      </w:r>
      <w:r w:rsidRPr="004E6CFC">
        <w:rPr>
          <w:i/>
          <w:iCs/>
        </w:rPr>
        <w:tab/>
      </w:r>
      <w:r w:rsidRPr="004E6CFC">
        <w:t xml:space="preserve">Fracción del costo de la UC </w:t>
      </w:r>
      <w:r w:rsidRPr="004E6CFC">
        <w:rPr>
          <w:i/>
          <w:iCs/>
        </w:rPr>
        <w:t>i</w:t>
      </w:r>
      <w:r w:rsidRPr="004E6CFC">
        <w:t xml:space="preserve"> que es reconocida por reposiciones parciales de la UC. Este valor se calcula como el peso relativo del valor reconocido del elemento o los elementos reemplazados respecto al valor total de la UC.</w:t>
      </w:r>
      <w:r w:rsidRPr="005E2F21">
        <w:rPr>
          <w:iCs/>
        </w:rPr>
        <w:t xml:space="preserve"> </w:t>
      </w:r>
      <w:r w:rsidR="005D682B">
        <w:rPr>
          <w:iCs/>
        </w:rPr>
        <w:t xml:space="preserve">La </w:t>
      </w:r>
      <w:r w:rsidR="005D682B">
        <w:rPr>
          <w:iCs/>
        </w:rPr>
        <w:lastRenderedPageBreak/>
        <w:t>Comisión publicará en c</w:t>
      </w:r>
      <w:r>
        <w:rPr>
          <w:iCs/>
        </w:rPr>
        <w:t>ircular aparte el peso relativo de cada componente de las UC.</w:t>
      </w:r>
    </w:p>
    <w:p w:rsidR="00EF4850" w:rsidRPr="004E6CFC" w:rsidRDefault="00EF4850" w:rsidP="00EF4850">
      <w:pPr>
        <w:ind w:left="2433" w:hanging="1416"/>
      </w:pPr>
      <w:r w:rsidRPr="004E6CFC">
        <w:rPr>
          <w:i/>
        </w:rPr>
        <w:t>RPP</w:t>
      </w:r>
      <w:r w:rsidRPr="004E6CFC">
        <w:rPr>
          <w:i/>
          <w:vertAlign w:val="subscript"/>
        </w:rPr>
        <w:t>i,</w:t>
      </w:r>
      <w:r w:rsidRPr="004E6CFC">
        <w:rPr>
          <w:i/>
        </w:rPr>
        <w:t>:</w:t>
      </w:r>
      <w:r w:rsidRPr="004E6CFC">
        <w:tab/>
        <w:t xml:space="preserve">Fracción de la UC </w:t>
      </w:r>
      <w:r w:rsidRPr="004E6CFC">
        <w:rPr>
          <w:i/>
        </w:rPr>
        <w:t>i</w:t>
      </w:r>
      <w:r w:rsidRPr="004E6CFC">
        <w:t xml:space="preserve"> que sale de operación en el año </w:t>
      </w:r>
      <w:r w:rsidRPr="004E6CFC">
        <w:rPr>
          <w:i/>
        </w:rPr>
        <w:t>t</w:t>
      </w:r>
      <w:r w:rsidRPr="004E6CFC">
        <w:t xml:space="preserve"> que no se incluyó en el cálculo de la tarifa.</w:t>
      </w:r>
    </w:p>
    <w:p w:rsidR="00EF4850" w:rsidRPr="004E6CFC" w:rsidRDefault="00EF4850" w:rsidP="00EF4850">
      <w:pPr>
        <w:tabs>
          <w:tab w:val="left" w:pos="1418"/>
        </w:tabs>
        <w:spacing w:before="120"/>
        <w:ind w:left="2435" w:hanging="1418"/>
      </w:pPr>
      <w:r w:rsidRPr="004E6CFC">
        <w:rPr>
          <w:i/>
          <w:iCs/>
        </w:rPr>
        <w:t>CRA</w:t>
      </w:r>
      <w:r w:rsidRPr="004E6CFC">
        <w:rPr>
          <w:i/>
          <w:iCs/>
          <w:vertAlign w:val="subscript"/>
        </w:rPr>
        <w:t>i</w:t>
      </w:r>
      <w:r w:rsidRPr="004E6CFC">
        <w:rPr>
          <w:i/>
          <w:iCs/>
        </w:rPr>
        <w:t>:</w:t>
      </w:r>
      <w:r w:rsidRPr="004E6CFC">
        <w:tab/>
        <w:t xml:space="preserve">Factor de capital remanente de la UC </w:t>
      </w:r>
      <w:r w:rsidRPr="004E6CFC">
        <w:rPr>
          <w:i/>
        </w:rPr>
        <w:t xml:space="preserve">i </w:t>
      </w:r>
      <w:r w:rsidRPr="004E6CFC">
        <w:t xml:space="preserve">que sale de operación en el año </w:t>
      </w:r>
      <w:r w:rsidRPr="004E6CFC">
        <w:rPr>
          <w:i/>
        </w:rPr>
        <w:t>t</w:t>
      </w:r>
      <w:r>
        <w:t>.</w:t>
      </w:r>
      <w:r w:rsidRPr="004E6CFC">
        <w:t xml:space="preserve"> </w:t>
      </w:r>
      <w:r>
        <w:t xml:space="preserve">Para los activos del rango </w:t>
      </w:r>
      <w:r w:rsidRPr="001D6FA5">
        <w:rPr>
          <w:i/>
        </w:rPr>
        <w:t>k</w:t>
      </w:r>
      <w:r>
        <w:t xml:space="preserve"> = 1 corresponde al valor definido en la </w:t>
      </w:r>
      <w:r>
        <w:fldChar w:fldCharType="begin"/>
      </w:r>
      <w:r>
        <w:instrText xml:space="preserve"> REF _Ref439943937 \h </w:instrText>
      </w:r>
      <w:r>
        <w:fldChar w:fldCharType="separate"/>
      </w:r>
      <w:r w:rsidR="00737178" w:rsidRPr="004E6CFC">
        <w:t xml:space="preserve">Tabla </w:t>
      </w:r>
      <w:r w:rsidR="00737178">
        <w:rPr>
          <w:noProof/>
        </w:rPr>
        <w:t>2</w:t>
      </w:r>
      <w:r>
        <w:fldChar w:fldCharType="end"/>
      </w:r>
      <w:r>
        <w:t xml:space="preserve"> del </w:t>
      </w:r>
      <w:r w:rsidRPr="004E6CFC">
        <w:t xml:space="preserve">numeral </w:t>
      </w:r>
      <w:r w:rsidRPr="004E6CFC">
        <w:fldChar w:fldCharType="begin"/>
      </w:r>
      <w:r w:rsidRPr="004E6CFC">
        <w:instrText xml:space="preserve"> REF _Ref456272755 \r \h  \* MERGEFORMAT </w:instrText>
      </w:r>
      <w:r w:rsidRPr="004E6CFC">
        <w:fldChar w:fldCharType="separate"/>
      </w:r>
      <w:r w:rsidR="00737178">
        <w:t>3.1.1.1.3</w:t>
      </w:r>
      <w:r w:rsidRPr="004E6CFC">
        <w:fldChar w:fldCharType="end"/>
      </w:r>
      <w:r>
        <w:t xml:space="preserve"> para la categoría a la cual pertenece la </w:t>
      </w:r>
      <w:r w:rsidRPr="0058790B">
        <w:rPr>
          <w:i/>
        </w:rPr>
        <w:t>UC</w:t>
      </w:r>
      <w:r>
        <w:rPr>
          <w:i/>
        </w:rPr>
        <w:t xml:space="preserve"> </w:t>
      </w:r>
      <w:r w:rsidRPr="0058790B">
        <w:rPr>
          <w:i/>
        </w:rPr>
        <w:t>i</w:t>
      </w:r>
      <w:r>
        <w:t xml:space="preserve">. En el caso de activos del rango </w:t>
      </w:r>
      <w:r w:rsidRPr="001D6FA5">
        <w:rPr>
          <w:i/>
        </w:rPr>
        <w:t>k</w:t>
      </w:r>
      <w:r>
        <w:t xml:space="preserve"> = 2 es igual a 1</w:t>
      </w:r>
      <w:r w:rsidRPr="004E6CFC">
        <w:t>.</w:t>
      </w:r>
    </w:p>
    <w:p w:rsidR="00EF4850" w:rsidRPr="004E6CFC" w:rsidRDefault="00EF4850" w:rsidP="00EF4850">
      <w:pPr>
        <w:ind w:left="2433" w:hanging="1416"/>
        <w:rPr>
          <w:i/>
        </w:rPr>
      </w:pPr>
      <w:r w:rsidRPr="004E6CFC">
        <w:rPr>
          <w:i/>
        </w:rPr>
        <w:t>VU</w:t>
      </w:r>
      <w:r w:rsidRPr="004E6CFC">
        <w:rPr>
          <w:i/>
          <w:vertAlign w:val="subscript"/>
        </w:rPr>
        <w:t xml:space="preserve">i,l </w:t>
      </w:r>
      <w:r w:rsidRPr="004E6CFC">
        <w:rPr>
          <w:color w:val="000000" w:themeColor="text1"/>
        </w:rPr>
        <w:t xml:space="preserve">: </w:t>
      </w:r>
      <w:r w:rsidRPr="004E6CFC">
        <w:rPr>
          <w:color w:val="000000" w:themeColor="text1"/>
        </w:rPr>
        <w:tab/>
        <w:t xml:space="preserve">Vida útil reconocida a la </w:t>
      </w:r>
      <w:r>
        <w:rPr>
          <w:color w:val="000000" w:themeColor="text1"/>
        </w:rPr>
        <w:t>UC</w:t>
      </w:r>
      <w:r w:rsidRPr="004E6CFC">
        <w:rPr>
          <w:color w:val="000000" w:themeColor="text1"/>
        </w:rPr>
        <w:t xml:space="preserve"> </w:t>
      </w:r>
      <w:r w:rsidRPr="004E6CFC">
        <w:rPr>
          <w:i/>
          <w:color w:val="000000" w:themeColor="text1"/>
        </w:rPr>
        <w:t xml:space="preserve">i </w:t>
      </w:r>
      <w:r w:rsidRPr="004E6CFC">
        <w:rPr>
          <w:color w:val="000000" w:themeColor="text1"/>
        </w:rPr>
        <w:t xml:space="preserve">perteneciente a la categoría de activos </w:t>
      </w:r>
      <w:r w:rsidRPr="004E6CFC">
        <w:rPr>
          <w:i/>
          <w:color w:val="000000" w:themeColor="text1"/>
        </w:rPr>
        <w:t>l</w:t>
      </w:r>
      <w:r w:rsidRPr="004E6CFC">
        <w:rPr>
          <w:color w:val="000000" w:themeColor="text1"/>
        </w:rPr>
        <w:t xml:space="preserve">, según lo establecido en el numeral </w:t>
      </w:r>
      <w:r>
        <w:rPr>
          <w:color w:val="000000" w:themeColor="text1"/>
        </w:rPr>
        <w:fldChar w:fldCharType="begin"/>
      </w:r>
      <w:r>
        <w:rPr>
          <w:color w:val="000000" w:themeColor="text1"/>
        </w:rPr>
        <w:instrText xml:space="preserve"> REF _Ref504810261 \r \h </w:instrText>
      </w:r>
      <w:r>
        <w:rPr>
          <w:color w:val="000000" w:themeColor="text1"/>
        </w:rPr>
      </w:r>
      <w:r>
        <w:rPr>
          <w:color w:val="000000" w:themeColor="text1"/>
        </w:rPr>
        <w:fldChar w:fldCharType="separate"/>
      </w:r>
      <w:r w:rsidR="00737178">
        <w:rPr>
          <w:color w:val="000000" w:themeColor="text1"/>
        </w:rPr>
        <w:t>3.2.4</w:t>
      </w:r>
      <w:r>
        <w:rPr>
          <w:color w:val="000000" w:themeColor="text1"/>
        </w:rPr>
        <w:fldChar w:fldCharType="end"/>
      </w:r>
      <w:r w:rsidRPr="004E6CFC">
        <w:rPr>
          <w:color w:val="000000" w:themeColor="text1"/>
        </w:rPr>
        <w:t>.</w:t>
      </w:r>
    </w:p>
    <w:p w:rsidR="00EF4850" w:rsidRDefault="00EF4850" w:rsidP="00EF4850">
      <w:pPr>
        <w:ind w:left="2433" w:hanging="1416"/>
      </w:pPr>
      <w:r w:rsidRPr="004E6CFC">
        <w:rPr>
          <w:i/>
        </w:rPr>
        <w:t>AR</w:t>
      </w:r>
      <w:r w:rsidRPr="004E6CFC">
        <w:rPr>
          <w:i/>
          <w:vertAlign w:val="subscript"/>
        </w:rPr>
        <w:t>i,k</w:t>
      </w:r>
      <w:r w:rsidRPr="004E6CFC">
        <w:t>:</w:t>
      </w:r>
      <w:r w:rsidRPr="004E6CFC">
        <w:tab/>
        <w:t xml:space="preserve">Antigüedad de referencia de la </w:t>
      </w:r>
      <w:r>
        <w:t>UC</w:t>
      </w:r>
      <w:r w:rsidRPr="004E6CFC">
        <w:t xml:space="preserve"> </w:t>
      </w:r>
      <w:r w:rsidRPr="004E6CFC">
        <w:rPr>
          <w:i/>
        </w:rPr>
        <w:t xml:space="preserve">i </w:t>
      </w:r>
      <w:r w:rsidRPr="004E6CFC">
        <w:t>perteneciente al</w:t>
      </w:r>
      <w:r w:rsidRPr="004E6CFC">
        <w:rPr>
          <w:i/>
        </w:rPr>
        <w:t xml:space="preserve"> </w:t>
      </w:r>
      <w:r w:rsidRPr="004E6CFC">
        <w:t xml:space="preserve">rango de activos </w:t>
      </w:r>
      <w:r w:rsidRPr="004E6CFC">
        <w:rPr>
          <w:i/>
        </w:rPr>
        <w:t>k</w:t>
      </w:r>
      <w:r w:rsidRPr="004E6CFC">
        <w:t xml:space="preserve"> que sale de operación en el año </w:t>
      </w:r>
      <w:r w:rsidRPr="004E6CFC">
        <w:rPr>
          <w:i/>
        </w:rPr>
        <w:t>t</w:t>
      </w:r>
      <w:r w:rsidRPr="004E6CFC">
        <w:rPr>
          <w:color w:val="000000" w:themeColor="text1"/>
        </w:rPr>
        <w:t xml:space="preserve">, según lo establecido en el numeral </w:t>
      </w:r>
      <w:r w:rsidRPr="004E6CFC">
        <w:rPr>
          <w:color w:val="000000" w:themeColor="text1"/>
        </w:rPr>
        <w:fldChar w:fldCharType="begin"/>
      </w:r>
      <w:r w:rsidRPr="004E6CFC">
        <w:rPr>
          <w:color w:val="000000" w:themeColor="text1"/>
        </w:rPr>
        <w:instrText xml:space="preserve"> REF _Ref450641963 \r \h  \* MERGEFORMAT </w:instrText>
      </w:r>
      <w:r w:rsidRPr="004E6CFC">
        <w:rPr>
          <w:color w:val="000000" w:themeColor="text1"/>
        </w:rPr>
      </w:r>
      <w:r w:rsidRPr="004E6CFC">
        <w:rPr>
          <w:color w:val="000000" w:themeColor="text1"/>
        </w:rPr>
        <w:fldChar w:fldCharType="separate"/>
      </w:r>
      <w:r w:rsidR="00737178">
        <w:rPr>
          <w:color w:val="000000" w:themeColor="text1"/>
        </w:rPr>
        <w:t>3.1.1.1.2</w:t>
      </w:r>
      <w:r w:rsidRPr="004E6CFC">
        <w:rPr>
          <w:color w:val="000000" w:themeColor="text1"/>
        </w:rPr>
        <w:fldChar w:fldCharType="end"/>
      </w:r>
      <w:r w:rsidRPr="004E6CFC">
        <w:t>.</w:t>
      </w:r>
      <w:bookmarkStart w:id="177" w:name="_Toc408493139"/>
      <w:bookmarkStart w:id="178" w:name="_Ref439925797"/>
      <w:bookmarkStart w:id="179" w:name="_Ref402165716"/>
    </w:p>
    <w:p w:rsidR="00EF4850" w:rsidRPr="004E6CFC" w:rsidRDefault="00EF4850" w:rsidP="00EF4850">
      <w:pPr>
        <w:ind w:left="2427" w:hanging="1410"/>
      </w:pPr>
      <w:r w:rsidRPr="004E6CFC">
        <w:rPr>
          <w:i/>
          <w:iCs/>
        </w:rPr>
        <w:t>IPP</w:t>
      </w:r>
      <w:r>
        <w:rPr>
          <w:i/>
          <w:iCs/>
          <w:vertAlign w:val="subscript"/>
        </w:rPr>
        <w:t>0</w:t>
      </w:r>
      <w:r w:rsidRPr="004E6CFC">
        <w:t>:</w:t>
      </w:r>
      <w:r w:rsidRPr="004E6CFC">
        <w:tab/>
        <w:t>Índice de precios del productor</w:t>
      </w:r>
      <w:r w:rsidRPr="004E6CFC" w:rsidDel="004B5F5F">
        <w:t xml:space="preserve"> </w:t>
      </w:r>
      <w:r>
        <w:t>de</w:t>
      </w:r>
      <w:r w:rsidRPr="004E6CFC">
        <w:t xml:space="preserve"> la fecha de corte.</w:t>
      </w:r>
    </w:p>
    <w:p w:rsidR="00EF4850" w:rsidRPr="004E6CFC" w:rsidRDefault="00EF4850" w:rsidP="00EF4850">
      <w:pPr>
        <w:ind w:left="2427" w:hanging="1410"/>
      </w:pPr>
      <w:r w:rsidRPr="004E6CFC">
        <w:rPr>
          <w:i/>
          <w:iCs/>
        </w:rPr>
        <w:t>IPP</w:t>
      </w:r>
      <w:r w:rsidRPr="004E6CFC">
        <w:rPr>
          <w:i/>
          <w:iCs/>
          <w:vertAlign w:val="subscript"/>
        </w:rPr>
        <w:t>base</w:t>
      </w:r>
      <w:r w:rsidRPr="004E6CFC">
        <w:t>:</w:t>
      </w:r>
      <w:r w:rsidRPr="004E6CFC">
        <w:tab/>
        <w:t>Índice de precios del productor correspondiente a diciembre de 2007.</w:t>
      </w:r>
    </w:p>
    <w:p w:rsidR="00EF4850" w:rsidRPr="004E6CFC" w:rsidRDefault="00EF4850" w:rsidP="00EF4850">
      <w:pPr>
        <w:pStyle w:val="Ttulo3"/>
      </w:pPr>
      <w:bookmarkStart w:id="180" w:name="_Ref445133477"/>
      <w:bookmarkStart w:id="181" w:name="_Toc504809405"/>
      <w:bookmarkStart w:id="182" w:name="_Toc505335910"/>
      <w:r w:rsidRPr="004E6CFC">
        <w:t>Base regulatoria de activos no eléctricos</w:t>
      </w:r>
      <w:bookmarkEnd w:id="177"/>
      <w:bookmarkEnd w:id="178"/>
      <w:bookmarkEnd w:id="180"/>
      <w:bookmarkEnd w:id="181"/>
      <w:bookmarkEnd w:id="182"/>
    </w:p>
    <w:bookmarkEnd w:id="179"/>
    <w:p w:rsidR="00EF4850" w:rsidRPr="004E6CFC" w:rsidRDefault="00EF4850" w:rsidP="00EF4850">
      <w:pPr>
        <w:rPr>
          <w:lang w:val="es-ES_tradnl"/>
        </w:rPr>
      </w:pPr>
      <w:r w:rsidRPr="004E6CFC">
        <w:rPr>
          <w:lang w:val="es-ES_tradnl"/>
        </w:rPr>
        <w:t>La base regulatoria de activos no eléctricos reconocida al OR se calcula de acuerdo con la siguiente expresión:</w:t>
      </w:r>
    </w:p>
    <w:p w:rsidR="00EF4850" w:rsidRPr="004E6CFC" w:rsidRDefault="00C9592F" w:rsidP="00EF4850">
      <m:oMathPara>
        <m:oMath>
          <m:sSub>
            <m:sSubPr>
              <m:ctrlPr>
                <w:rPr>
                  <w:rFonts w:ascii="Cambria Math" w:hAnsi="Cambria Math"/>
                  <w:i/>
                </w:rPr>
              </m:ctrlPr>
            </m:sSubPr>
            <m:e>
              <m:r>
                <w:rPr>
                  <w:rFonts w:ascii="Cambria Math" w:hAnsi="Cambria Math"/>
                </w:rPr>
                <m:t>BRANE</m:t>
              </m:r>
            </m:e>
            <m:sub>
              <m:r>
                <w:rPr>
                  <w:rFonts w:ascii="Cambria Math" w:hAnsi="Cambria Math"/>
                </w:rPr>
                <m:t>j</m:t>
              </m:r>
              <m:r>
                <w:rPr>
                  <w:rFonts w:ascii="Cambria Math"/>
                </w:rPr>
                <m:t>,</m:t>
              </m:r>
              <m:r>
                <w:rPr>
                  <w:rFonts w:ascii="Cambria Math" w:hAnsi="Cambria Math"/>
                </w:rPr>
                <m:t>n,t</m:t>
              </m:r>
            </m:sub>
          </m:sSub>
          <m:r>
            <w:rPr>
              <w:rFonts w:ascii="Cambria Math"/>
            </w:rPr>
            <m:t>=</m:t>
          </m:r>
          <m:r>
            <w:rPr>
              <w:rFonts w:ascii="Cambria Math" w:hAnsi="Cambria Math"/>
            </w:rPr>
            <m:t>NE*</m:t>
          </m:r>
          <m:sSub>
            <m:sSubPr>
              <m:ctrlPr>
                <w:rPr>
                  <w:rFonts w:ascii="Cambria Math" w:hAnsi="Cambria Math"/>
                  <w:i/>
                </w:rPr>
              </m:ctrlPr>
            </m:sSubPr>
            <m:e>
              <m:r>
                <w:rPr>
                  <w:rFonts w:ascii="Cambria Math" w:hAnsi="Cambria Math"/>
                </w:rPr>
                <m:t>BRAE</m:t>
              </m:r>
            </m:e>
            <m:sub>
              <m:r>
                <w:rPr>
                  <w:rFonts w:ascii="Cambria Math" w:hAnsi="Cambria Math"/>
                </w:rPr>
                <m:t>j</m:t>
              </m:r>
              <m:r>
                <w:rPr>
                  <w:rFonts w:ascii="Cambria Math"/>
                </w:rPr>
                <m:t>,</m:t>
              </m:r>
              <m:r>
                <w:rPr>
                  <w:rFonts w:ascii="Cambria Math" w:hAnsi="Cambria Math"/>
                </w:rPr>
                <m:t>n,t</m:t>
              </m:r>
            </m:sub>
          </m:sSub>
        </m:oMath>
      </m:oMathPara>
    </w:p>
    <w:p w:rsidR="00EF4850" w:rsidRPr="004E6CFC" w:rsidRDefault="00EF4850" w:rsidP="00EF4850">
      <w:pPr>
        <w:ind w:left="1410" w:hanging="1410"/>
        <w:rPr>
          <w:iCs/>
        </w:rPr>
      </w:pPr>
      <w:r w:rsidRPr="004E6CFC">
        <w:rPr>
          <w:iCs/>
        </w:rPr>
        <w:t>Donde:</w:t>
      </w:r>
    </w:p>
    <w:p w:rsidR="00EF4850" w:rsidRPr="004E6CFC" w:rsidRDefault="00EF4850" w:rsidP="00EF4850">
      <w:pPr>
        <w:ind w:left="1410" w:hanging="1410"/>
      </w:pPr>
      <w:r w:rsidRPr="004E6CFC">
        <w:rPr>
          <w:i/>
        </w:rPr>
        <w:t>BRANE</w:t>
      </w:r>
      <w:r w:rsidRPr="004E6CFC">
        <w:rPr>
          <w:i/>
          <w:vertAlign w:val="subscript"/>
        </w:rPr>
        <w:t>j,n,t</w:t>
      </w:r>
      <w:r w:rsidRPr="004E6CFC">
        <w:rPr>
          <w:i/>
        </w:rPr>
        <w:t>:</w:t>
      </w:r>
      <w:r w:rsidRPr="004E6CFC">
        <w:rPr>
          <w:i/>
        </w:rPr>
        <w:tab/>
      </w:r>
      <w:r w:rsidRPr="004E6CFC">
        <w:t xml:space="preserve">Base regulatoria de activos no eléctricos del OR </w:t>
      </w:r>
      <w:r w:rsidRPr="004E6CFC">
        <w:rPr>
          <w:i/>
        </w:rPr>
        <w:t>j</w:t>
      </w:r>
      <w:r w:rsidRPr="004E6CFC">
        <w:t xml:space="preserve"> en el nivel de tensión </w:t>
      </w:r>
      <w:r w:rsidRPr="004E6CFC">
        <w:rPr>
          <w:i/>
          <w:iCs/>
        </w:rPr>
        <w:t>n</w:t>
      </w:r>
      <w:r w:rsidRPr="004E6CFC">
        <w:rPr>
          <w:iCs/>
        </w:rPr>
        <w:t>,</w:t>
      </w:r>
      <w:r w:rsidRPr="004E6CFC">
        <w:rPr>
          <w:i/>
          <w:iCs/>
        </w:rPr>
        <w:t xml:space="preserve"> </w:t>
      </w:r>
      <w:r w:rsidRPr="004E6CFC">
        <w:t xml:space="preserve">en el año </w:t>
      </w:r>
      <w:r w:rsidRPr="004E6CFC">
        <w:rPr>
          <w:i/>
        </w:rPr>
        <w:t>t.</w:t>
      </w:r>
    </w:p>
    <w:p w:rsidR="00EF4850" w:rsidRPr="004E6CFC" w:rsidRDefault="00EF4850" w:rsidP="00EF4850">
      <w:pPr>
        <w:spacing w:before="120"/>
        <w:ind w:left="1418" w:hanging="1418"/>
      </w:pPr>
      <w:r w:rsidRPr="004E6CFC">
        <w:rPr>
          <w:i/>
          <w:iCs/>
        </w:rPr>
        <w:t>NE</w:t>
      </w:r>
      <w:r w:rsidRPr="004E6CFC">
        <w:t>:</w:t>
      </w:r>
      <w:r w:rsidRPr="004E6CFC">
        <w:tab/>
        <w:t xml:space="preserve">Fracción de la base regulatoria de activos eléctricos que se reconoce como activos no eléctricos, es igual a 0,02. </w:t>
      </w:r>
    </w:p>
    <w:p w:rsidR="00EF4850" w:rsidRPr="004E6CFC" w:rsidRDefault="00EF4850" w:rsidP="00EF4850">
      <w:pPr>
        <w:spacing w:before="120"/>
        <w:ind w:left="1418" w:hanging="1418"/>
      </w:pPr>
      <w:r w:rsidRPr="004E6CFC">
        <w:rPr>
          <w:i/>
          <w:iCs/>
        </w:rPr>
        <w:t>BRAE</w:t>
      </w:r>
      <w:r w:rsidRPr="004E6CFC">
        <w:rPr>
          <w:i/>
          <w:iCs/>
          <w:vertAlign w:val="subscript"/>
        </w:rPr>
        <w:t>j,n,t</w:t>
      </w:r>
      <w:r w:rsidRPr="004E6CFC">
        <w:t>:</w:t>
      </w:r>
      <w:r w:rsidRPr="004E6CFC">
        <w:tab/>
        <w:t xml:space="preserve">Base regulatoria de activos eléctricos del OR </w:t>
      </w:r>
      <w:r w:rsidRPr="004E6CFC">
        <w:rPr>
          <w:i/>
        </w:rPr>
        <w:t>j</w:t>
      </w:r>
      <w:r w:rsidRPr="004E6CFC">
        <w:t xml:space="preserve"> en el nivel de tensión </w:t>
      </w:r>
      <w:r w:rsidRPr="004E6CFC">
        <w:rPr>
          <w:i/>
          <w:iCs/>
        </w:rPr>
        <w:t>n</w:t>
      </w:r>
      <w:r w:rsidRPr="004E6CFC">
        <w:rPr>
          <w:iCs/>
        </w:rPr>
        <w:t>,</w:t>
      </w:r>
      <w:r w:rsidRPr="004E6CFC">
        <w:rPr>
          <w:i/>
          <w:iCs/>
        </w:rPr>
        <w:t xml:space="preserve"> </w:t>
      </w:r>
      <w:r w:rsidRPr="004E6CFC">
        <w:t xml:space="preserve">en el año </w:t>
      </w:r>
      <w:r w:rsidRPr="004E6CFC">
        <w:rPr>
          <w:i/>
        </w:rPr>
        <w:t>t</w:t>
      </w:r>
      <w:r w:rsidRPr="004E6CFC">
        <w:t>.</w:t>
      </w:r>
    </w:p>
    <w:p w:rsidR="00EF4850" w:rsidRPr="004E6CFC" w:rsidRDefault="00EF4850" w:rsidP="00EF4850">
      <w:pPr>
        <w:pStyle w:val="Ttulo2"/>
      </w:pPr>
      <w:bookmarkStart w:id="183" w:name="_Ref398642842"/>
      <w:bookmarkStart w:id="184" w:name="_Toc408493140"/>
      <w:bookmarkStart w:id="185" w:name="_Toc504809406"/>
      <w:bookmarkStart w:id="186" w:name="_Toc505335911"/>
      <w:r w:rsidRPr="004E6CFC">
        <w:t>RECUPERACIÓN DE CAPITAL RECONOCIDA</w:t>
      </w:r>
      <w:bookmarkEnd w:id="183"/>
      <w:bookmarkEnd w:id="184"/>
      <w:bookmarkEnd w:id="185"/>
      <w:bookmarkEnd w:id="186"/>
      <w:r w:rsidRPr="004E6CFC">
        <w:t xml:space="preserve"> </w:t>
      </w:r>
    </w:p>
    <w:p w:rsidR="00EF4850" w:rsidRPr="004E6CFC" w:rsidRDefault="00EF4850" w:rsidP="00EF4850">
      <w:r w:rsidRPr="004E6CFC">
        <w:t>La recuperación de capital reconocida para los activos remunerados en la base regulatoria de activos se calcula de la siguiente manera:</w:t>
      </w:r>
    </w:p>
    <w:p w:rsidR="00EF4850" w:rsidRPr="004E6CFC" w:rsidRDefault="00C9592F" w:rsidP="00EF4850">
      <m:oMathPara>
        <m:oMath>
          <m:sSub>
            <m:sSubPr>
              <m:ctrlPr>
                <w:rPr>
                  <w:rFonts w:ascii="Cambria Math" w:hAnsi="Cambria Math"/>
                  <w:i/>
                </w:rPr>
              </m:ctrlPr>
            </m:sSubPr>
            <m:e>
              <m:r>
                <w:rPr>
                  <w:rFonts w:ascii="Cambria Math" w:hAnsi="Cambria Math"/>
                </w:rPr>
                <m:t>RC</m:t>
              </m:r>
            </m:e>
            <m:sub>
              <m:r>
                <w:rPr>
                  <w:rFonts w:ascii="Cambria Math" w:hAnsi="Cambria Math"/>
                </w:rPr>
                <m:t>j</m:t>
              </m:r>
              <m:r>
                <w:rPr>
                  <w:rFonts w:ascii="Cambria Math"/>
                </w:rPr>
                <m:t>,</m:t>
              </m:r>
              <m:r>
                <w:rPr>
                  <w:rFonts w:ascii="Cambria Math" w:hAnsi="Cambria Math"/>
                </w:rPr>
                <m:t>n,t</m:t>
              </m:r>
            </m:sub>
          </m:sSub>
          <m:r>
            <w:rPr>
              <w:rFonts w:ascii="Cambria Math"/>
            </w:rPr>
            <m:t>=</m:t>
          </m:r>
          <m:sSub>
            <m:sSubPr>
              <m:ctrlPr>
                <w:rPr>
                  <w:rFonts w:ascii="Cambria Math" w:hAnsi="Cambria Math"/>
                  <w:i/>
                </w:rPr>
              </m:ctrlPr>
            </m:sSubPr>
            <m:e>
              <m:r>
                <w:rPr>
                  <w:rFonts w:ascii="Cambria Math"/>
                </w:rPr>
                <m:t>RCBIA</m:t>
              </m:r>
            </m:e>
            <m:sub>
              <m:r>
                <w:rPr>
                  <w:rFonts w:ascii="Cambria Math"/>
                </w:rPr>
                <m:t>j,n,t</m:t>
              </m:r>
            </m:sub>
          </m:sSub>
          <m:r>
            <w:rPr>
              <w:rFonts w:ascii="Cambria Math"/>
            </w:rPr>
            <m:t>+</m:t>
          </m:r>
          <m:sSub>
            <m:sSubPr>
              <m:ctrlPr>
                <w:rPr>
                  <w:rFonts w:ascii="Cambria Math" w:hAnsi="Cambria Math"/>
                  <w:i/>
                </w:rPr>
              </m:ctrlPr>
            </m:sSubPr>
            <m:e>
              <m:r>
                <w:rPr>
                  <w:rFonts w:ascii="Cambria Math"/>
                </w:rPr>
                <m:t>RCNA</m:t>
              </m:r>
            </m:e>
            <m:sub>
              <m:r>
                <w:rPr>
                  <w:rFonts w:ascii="Cambria Math"/>
                </w:rPr>
                <m:t>j,n,t</m:t>
              </m:r>
            </m:sub>
          </m:sSub>
        </m:oMath>
      </m:oMathPara>
    </w:p>
    <w:p w:rsidR="00EF4850" w:rsidRPr="004E6CFC" w:rsidRDefault="00EF4850" w:rsidP="00EF4850">
      <w:pPr>
        <w:ind w:left="1410" w:hanging="1410"/>
        <w:rPr>
          <w:iCs/>
        </w:rPr>
      </w:pPr>
      <w:r w:rsidRPr="004E6CFC">
        <w:rPr>
          <w:iCs/>
        </w:rPr>
        <w:t>Donde:</w:t>
      </w:r>
    </w:p>
    <w:p w:rsidR="00EF4850" w:rsidRPr="004E6CFC" w:rsidRDefault="00EF4850" w:rsidP="00EF4850">
      <w:pPr>
        <w:ind w:left="1410" w:hanging="1410"/>
        <w:rPr>
          <w:i/>
        </w:rPr>
      </w:pPr>
      <w:r w:rsidRPr="004E6CFC">
        <w:rPr>
          <w:i/>
          <w:iCs/>
        </w:rPr>
        <w:t>RC</w:t>
      </w:r>
      <w:r w:rsidRPr="004E6CFC">
        <w:rPr>
          <w:i/>
          <w:iCs/>
          <w:vertAlign w:val="subscript"/>
        </w:rPr>
        <w:t>j,n,t</w:t>
      </w:r>
      <w:r w:rsidRPr="004E6CFC">
        <w:t>:</w:t>
      </w:r>
      <w:r w:rsidRPr="004E6CFC">
        <w:tab/>
        <w:t xml:space="preserve">Recuperación de capital reconocida para los activos remunerados en la base regulatoria del OR </w:t>
      </w:r>
      <w:r w:rsidRPr="004E6CFC">
        <w:rPr>
          <w:i/>
        </w:rPr>
        <w:t>j</w:t>
      </w:r>
      <w:r w:rsidRPr="004E6CFC">
        <w:t xml:space="preserve"> en el nivel de tensión </w:t>
      </w:r>
      <w:r w:rsidRPr="004E6CFC">
        <w:rPr>
          <w:i/>
          <w:iCs/>
        </w:rPr>
        <w:t>n</w:t>
      </w:r>
      <w:r w:rsidRPr="004E6CFC">
        <w:rPr>
          <w:iCs/>
        </w:rPr>
        <w:t>,</w:t>
      </w:r>
      <w:r w:rsidRPr="004E6CFC">
        <w:t xml:space="preserve"> en el año </w:t>
      </w:r>
      <w:r w:rsidRPr="004E6CFC">
        <w:rPr>
          <w:i/>
        </w:rPr>
        <w:t>t.</w:t>
      </w:r>
    </w:p>
    <w:p w:rsidR="00EF4850" w:rsidRPr="004E6CFC" w:rsidRDefault="00EF4850" w:rsidP="00EF4850">
      <w:pPr>
        <w:ind w:left="1410" w:hanging="1410"/>
      </w:pPr>
      <w:r w:rsidRPr="004E6CFC">
        <w:rPr>
          <w:i/>
          <w:iCs/>
        </w:rPr>
        <w:lastRenderedPageBreak/>
        <w:t>RCBIA</w:t>
      </w:r>
      <w:r w:rsidRPr="004E6CFC">
        <w:rPr>
          <w:i/>
          <w:iCs/>
          <w:vertAlign w:val="subscript"/>
        </w:rPr>
        <w:t>j,n,t</w:t>
      </w:r>
      <w:r w:rsidRPr="004E6CFC">
        <w:t>:</w:t>
      </w:r>
      <w:r w:rsidRPr="004E6CFC">
        <w:tab/>
        <w:t xml:space="preserve">Recuperación de capital reconocida para los activos incluidos en la base regulatoria inicial de activos del OR </w:t>
      </w:r>
      <w:r w:rsidRPr="004E6CFC">
        <w:rPr>
          <w:i/>
        </w:rPr>
        <w:t>j</w:t>
      </w:r>
      <w:r w:rsidRPr="004E6CFC">
        <w:t xml:space="preserve"> en el nivel de tensión </w:t>
      </w:r>
      <w:r w:rsidRPr="004E6CFC">
        <w:rPr>
          <w:i/>
          <w:iCs/>
        </w:rPr>
        <w:t>n</w:t>
      </w:r>
      <w:r w:rsidRPr="004E6CFC">
        <w:rPr>
          <w:iCs/>
        </w:rPr>
        <w:t>,</w:t>
      </w:r>
      <w:r w:rsidRPr="004E6CFC">
        <w:t xml:space="preserve"> en el año </w:t>
      </w:r>
      <w:r w:rsidRPr="004E6CFC">
        <w:rPr>
          <w:i/>
        </w:rPr>
        <w:t>t.</w:t>
      </w:r>
      <w:r w:rsidRPr="004E6CFC">
        <w:t xml:space="preserve"> </w:t>
      </w:r>
    </w:p>
    <w:p w:rsidR="00EF4850" w:rsidRPr="004E6CFC" w:rsidRDefault="00EF4850" w:rsidP="00EF4850">
      <w:pPr>
        <w:ind w:left="1410" w:hanging="1410"/>
        <w:rPr>
          <w:i/>
        </w:rPr>
      </w:pPr>
      <w:r w:rsidRPr="004E6CFC">
        <w:rPr>
          <w:i/>
          <w:iCs/>
        </w:rPr>
        <w:t>RCNA</w:t>
      </w:r>
      <w:r w:rsidRPr="004E6CFC">
        <w:rPr>
          <w:i/>
          <w:iCs/>
          <w:vertAlign w:val="subscript"/>
        </w:rPr>
        <w:t>j,n,t</w:t>
      </w:r>
      <w:r w:rsidRPr="004E6CFC">
        <w:t>:</w:t>
      </w:r>
      <w:r w:rsidRPr="004E6CFC">
        <w:tab/>
        <w:t xml:space="preserve">Recuperación de capital reconocida para los activos del OR </w:t>
      </w:r>
      <w:r w:rsidRPr="004E6CFC">
        <w:rPr>
          <w:i/>
        </w:rPr>
        <w:t>j</w:t>
      </w:r>
      <w:r w:rsidRPr="004E6CFC">
        <w:t xml:space="preserve"> que entraron en operación a partir de la fecha de corte, en el nivel de tensión </w:t>
      </w:r>
      <w:r w:rsidRPr="004E6CFC">
        <w:rPr>
          <w:i/>
          <w:iCs/>
        </w:rPr>
        <w:t>n</w:t>
      </w:r>
      <w:r w:rsidRPr="004E6CFC">
        <w:rPr>
          <w:iCs/>
        </w:rPr>
        <w:t>,</w:t>
      </w:r>
      <w:r w:rsidRPr="004E6CFC" w:rsidDel="00C768DC">
        <w:rPr>
          <w:i/>
          <w:iCs/>
        </w:rPr>
        <w:t xml:space="preserve"> </w:t>
      </w:r>
      <w:r w:rsidRPr="004E6CFC">
        <w:t xml:space="preserve">en el año </w:t>
      </w:r>
      <w:r w:rsidRPr="004E6CFC">
        <w:rPr>
          <w:i/>
        </w:rPr>
        <w:t>t.</w:t>
      </w:r>
    </w:p>
    <w:p w:rsidR="00EF4850" w:rsidRPr="004E6CFC" w:rsidRDefault="00EF4850" w:rsidP="00EF4850">
      <w:pPr>
        <w:pStyle w:val="Ttulo3"/>
      </w:pPr>
      <w:bookmarkStart w:id="187" w:name="_Toc444667162"/>
      <w:bookmarkStart w:id="188" w:name="_Toc408493141"/>
      <w:bookmarkStart w:id="189" w:name="_Toc444667163"/>
      <w:bookmarkStart w:id="190" w:name="_Toc504809407"/>
      <w:bookmarkStart w:id="191" w:name="_Toc505335912"/>
      <w:bookmarkEnd w:id="187"/>
      <w:r w:rsidRPr="004E6CFC">
        <w:t>Recuperación de capital de activos de la BRA inicial</w:t>
      </w:r>
      <w:bookmarkEnd w:id="188"/>
      <w:bookmarkEnd w:id="189"/>
      <w:bookmarkEnd w:id="190"/>
      <w:bookmarkEnd w:id="191"/>
    </w:p>
    <w:p w:rsidR="00EF4850" w:rsidRPr="004E6CFC" w:rsidRDefault="00EF4850" w:rsidP="00EF4850">
      <w:pPr>
        <w:ind w:left="1410" w:hanging="1410"/>
      </w:pPr>
      <w:r w:rsidRPr="004E6CFC">
        <w:t xml:space="preserve">La variable </w:t>
      </w:r>
      <w:r w:rsidRPr="004E6CFC">
        <w:rPr>
          <w:i/>
          <w:iCs/>
        </w:rPr>
        <w:t>RCBIA</w:t>
      </w:r>
      <w:r w:rsidRPr="004E6CFC">
        <w:rPr>
          <w:i/>
          <w:iCs/>
          <w:vertAlign w:val="subscript"/>
        </w:rPr>
        <w:t>j,n,t</w:t>
      </w:r>
      <w:r w:rsidRPr="004E6CFC">
        <w:t xml:space="preserve"> se calcula de la siguiente manera:</w:t>
      </w:r>
    </w:p>
    <w:p w:rsidR="00EF4850" w:rsidRPr="00A5785E" w:rsidRDefault="00C9592F" w:rsidP="00EF4850">
      <w:pPr>
        <w:rPr>
          <w:sz w:val="20"/>
          <w:szCs w:val="20"/>
        </w:rPr>
      </w:pPr>
      <m:oMathPara>
        <m:oMath>
          <m:sSub>
            <m:sSubPr>
              <m:ctrlPr>
                <w:rPr>
                  <w:rFonts w:ascii="Cambria Math" w:hAnsi="Cambria Math"/>
                  <w:i/>
                  <w:sz w:val="20"/>
                  <w:szCs w:val="20"/>
                </w:rPr>
              </m:ctrlPr>
            </m:sSubPr>
            <m:e>
              <m:r>
                <w:rPr>
                  <w:rFonts w:ascii="Cambria Math" w:hAnsi="Cambria Math"/>
                  <w:sz w:val="20"/>
                  <w:szCs w:val="20"/>
                </w:rPr>
                <m:t>RCBIA</m:t>
              </m:r>
            </m:e>
            <m:sub>
              <m:r>
                <w:rPr>
                  <w:rFonts w:ascii="Cambria Math" w:hAnsi="Cambria Math"/>
                  <w:sz w:val="20"/>
                  <w:szCs w:val="20"/>
                </w:rPr>
                <m:t>j</m:t>
              </m:r>
              <m:r>
                <w:rPr>
                  <w:rFonts w:ascii="Cambria Math"/>
                  <w:sz w:val="20"/>
                  <w:szCs w:val="20"/>
                </w:rPr>
                <m:t>,n,t</m:t>
              </m:r>
            </m:sub>
          </m:sSub>
          <m:r>
            <w:rPr>
              <w:rFonts w:ascii="Cambria Math"/>
              <w:sz w:val="20"/>
              <w:szCs w:val="20"/>
            </w:rPr>
            <m:t>=</m:t>
          </m:r>
          <m:d>
            <m:dPr>
              <m:begChr m:val="["/>
              <m:endChr m:val="]"/>
              <m:ctrlPr>
                <w:rPr>
                  <w:rFonts w:ascii="Cambria Math" w:hAnsi="Cambria Math"/>
                  <w:i/>
                  <w:sz w:val="20"/>
                  <w:szCs w:val="20"/>
                </w:rPr>
              </m:ctrlPr>
            </m:dPr>
            <m:e>
              <m:d>
                <m:dPr>
                  <m:ctrlPr>
                    <w:rPr>
                      <w:rFonts w:ascii="Cambria Math" w:hAnsi="Cambria Math"/>
                      <w:i/>
                      <w:sz w:val="20"/>
                      <w:szCs w:val="20"/>
                    </w:rPr>
                  </m:ctrlPr>
                </m:dPr>
                <m:e>
                  <m:nary>
                    <m:naryPr>
                      <m:chr m:val="∑"/>
                      <m:limLoc m:val="undOvr"/>
                      <m:ctrlPr>
                        <w:rPr>
                          <w:rFonts w:ascii="Cambria Math" w:hAnsi="Cambria Math"/>
                          <w:i/>
                          <w:sz w:val="20"/>
                          <w:szCs w:val="20"/>
                        </w:rPr>
                      </m:ctrlPr>
                    </m:naryPr>
                    <m:sub>
                      <m:r>
                        <w:rPr>
                          <w:rFonts w:ascii="Cambria Math" w:hAnsi="Cambria Math"/>
                          <w:sz w:val="20"/>
                          <w:szCs w:val="20"/>
                        </w:rPr>
                        <m:t>l=1</m:t>
                      </m:r>
                    </m:sub>
                    <m:sup>
                      <m:sSub>
                        <m:sSubPr>
                          <m:ctrlPr>
                            <w:rPr>
                              <w:rFonts w:ascii="Cambria Math" w:hAnsi="Cambria Math"/>
                              <w:i/>
                              <w:sz w:val="20"/>
                              <w:szCs w:val="20"/>
                            </w:rPr>
                          </m:ctrlPr>
                        </m:sSubPr>
                        <m:e>
                          <m:r>
                            <w:rPr>
                              <w:rFonts w:ascii="Cambria Math" w:hAnsi="Cambria Math"/>
                              <w:sz w:val="20"/>
                              <w:szCs w:val="20"/>
                            </w:rPr>
                            <m:t>L</m:t>
                          </m:r>
                        </m:e>
                        <m:sub>
                          <m:r>
                            <w:rPr>
                              <w:rFonts w:ascii="Cambria Math" w:hAnsi="Cambria Math"/>
                              <w:sz w:val="20"/>
                              <w:szCs w:val="20"/>
                            </w:rPr>
                            <m:t>n</m:t>
                          </m:r>
                        </m:sub>
                      </m:sSub>
                    </m:sup>
                    <m:e>
                      <m:f>
                        <m:fPr>
                          <m:ctrlPr>
                            <w:rPr>
                              <w:rFonts w:ascii="Cambria Math" w:hAnsi="Cambria Math"/>
                              <w:i/>
                              <w:sz w:val="20"/>
                              <w:szCs w:val="20"/>
                            </w:rPr>
                          </m:ctrlPr>
                        </m:fPr>
                        <m:num>
                          <m:sSub>
                            <m:sSubPr>
                              <m:ctrlPr>
                                <w:rPr>
                                  <w:rFonts w:ascii="Cambria Math" w:hAnsi="Cambria Math"/>
                                  <w:i/>
                                  <w:sz w:val="20"/>
                                  <w:szCs w:val="20"/>
                                </w:rPr>
                              </m:ctrlPr>
                            </m:sSubPr>
                            <m:e>
                              <m:sSub>
                                <m:sSubPr>
                                  <m:ctrlPr>
                                    <w:rPr>
                                      <w:rFonts w:ascii="Cambria Math" w:hAnsi="Cambria Math"/>
                                      <w:i/>
                                      <w:sz w:val="20"/>
                                      <w:szCs w:val="20"/>
                                    </w:rPr>
                                  </m:ctrlPr>
                                </m:sSubPr>
                                <m:e>
                                  <m:r>
                                    <w:rPr>
                                      <w:rFonts w:ascii="Cambria Math" w:hAnsi="Cambria Math"/>
                                      <w:sz w:val="20"/>
                                      <w:szCs w:val="20"/>
                                    </w:rPr>
                                    <m:t>CRII</m:t>
                                  </m:r>
                                </m:e>
                                <m:sub>
                                  <m:r>
                                    <w:rPr>
                                      <w:rFonts w:ascii="Cambria Math" w:hAnsi="Cambria Math"/>
                                      <w:sz w:val="20"/>
                                      <w:szCs w:val="20"/>
                                    </w:rPr>
                                    <m:t>j,n,l</m:t>
                                  </m:r>
                                </m:sub>
                              </m:sSub>
                              <m:r>
                                <w:rPr>
                                  <w:rFonts w:ascii="Cambria Math" w:hAnsi="Cambria Math"/>
                                  <w:sz w:val="20"/>
                                  <w:szCs w:val="20"/>
                                </w:rPr>
                                <m:t>*CRA</m:t>
                              </m:r>
                            </m:e>
                            <m:sub>
                              <m:r>
                                <w:rPr>
                                  <w:rFonts w:ascii="Cambria Math"/>
                                  <w:sz w:val="20"/>
                                  <w:szCs w:val="20"/>
                                </w:rPr>
                                <m:t>n,l</m:t>
                              </m:r>
                            </m:sub>
                          </m:sSub>
                          <m:r>
                            <w:rPr>
                              <w:rFonts w:ascii="Cambria Math" w:hAnsi="Cambria Math"/>
                              <w:sz w:val="20"/>
                              <w:szCs w:val="20"/>
                            </w:rPr>
                            <m:t>*(1+NE)</m:t>
                          </m:r>
                        </m:num>
                        <m:den>
                          <m:sSub>
                            <m:sSubPr>
                              <m:ctrlPr>
                                <w:rPr>
                                  <w:rFonts w:ascii="Cambria Math" w:hAnsi="Cambria Math"/>
                                  <w:i/>
                                  <w:sz w:val="20"/>
                                  <w:szCs w:val="20"/>
                                </w:rPr>
                              </m:ctrlPr>
                            </m:sSubPr>
                            <m:e>
                              <m:r>
                                <w:rPr>
                                  <w:rFonts w:ascii="Cambria Math"/>
                                  <w:sz w:val="20"/>
                                  <w:szCs w:val="20"/>
                                </w:rPr>
                                <m:t>VU</m:t>
                              </m:r>
                            </m:e>
                            <m:sub>
                              <m:r>
                                <w:rPr>
                                  <w:rFonts w:ascii="Cambria Math"/>
                                  <w:sz w:val="20"/>
                                  <w:szCs w:val="20"/>
                                </w:rPr>
                                <m:t>n,l</m:t>
                              </m:r>
                            </m:sub>
                          </m:sSub>
                          <m:r>
                            <w:rPr>
                              <w:rFonts w:ascii="Cambria Math"/>
                              <w:sz w:val="20"/>
                              <w:szCs w:val="20"/>
                            </w:rPr>
                            <m:t>-</m:t>
                          </m:r>
                          <m:sSub>
                            <m:sSubPr>
                              <m:ctrlPr>
                                <w:rPr>
                                  <w:rFonts w:ascii="Cambria Math" w:hAnsi="Cambria Math"/>
                                  <w:i/>
                                  <w:sz w:val="20"/>
                                  <w:szCs w:val="20"/>
                                </w:rPr>
                              </m:ctrlPr>
                            </m:sSubPr>
                            <m:e>
                              <m:r>
                                <w:rPr>
                                  <w:rFonts w:ascii="Cambria Math"/>
                                  <w:sz w:val="20"/>
                                  <w:szCs w:val="20"/>
                                </w:rPr>
                                <m:t>AR</m:t>
                              </m:r>
                            </m:e>
                            <m:sub>
                              <m:r>
                                <w:rPr>
                                  <w:rFonts w:ascii="Cambria Math"/>
                                  <w:sz w:val="20"/>
                                  <w:szCs w:val="20"/>
                                </w:rPr>
                                <m:t>k</m:t>
                              </m:r>
                            </m:sub>
                          </m:sSub>
                        </m:den>
                      </m:f>
                    </m:e>
                  </m:nary>
                  <m:r>
                    <w:rPr>
                      <w:rFonts w:ascii="Cambria Math" w:hAnsi="Cambria Math"/>
                      <w:sz w:val="20"/>
                      <w:szCs w:val="20"/>
                    </w:rPr>
                    <m:t>+</m:t>
                  </m:r>
                  <m:nary>
                    <m:naryPr>
                      <m:chr m:val="∑"/>
                      <m:limLoc m:val="undOvr"/>
                      <m:ctrlPr>
                        <w:rPr>
                          <w:rFonts w:ascii="Cambria Math" w:hAnsi="Cambria Math"/>
                          <w:i/>
                          <w:sz w:val="20"/>
                          <w:szCs w:val="20"/>
                        </w:rPr>
                      </m:ctrlPr>
                    </m:naryPr>
                    <m:sub>
                      <m:r>
                        <w:rPr>
                          <w:rFonts w:ascii="Cambria Math" w:hAnsi="Cambria Math"/>
                          <w:sz w:val="20"/>
                          <w:szCs w:val="20"/>
                        </w:rPr>
                        <m:t>l=1</m:t>
                      </m:r>
                    </m:sub>
                    <m:sup>
                      <m:sSub>
                        <m:sSubPr>
                          <m:ctrlPr>
                            <w:rPr>
                              <w:rFonts w:ascii="Cambria Math" w:hAnsi="Cambria Math"/>
                              <w:i/>
                              <w:sz w:val="20"/>
                              <w:szCs w:val="20"/>
                            </w:rPr>
                          </m:ctrlPr>
                        </m:sSubPr>
                        <m:e>
                          <m:r>
                            <w:rPr>
                              <w:rFonts w:ascii="Cambria Math" w:hAnsi="Cambria Math"/>
                              <w:sz w:val="20"/>
                              <w:szCs w:val="20"/>
                            </w:rPr>
                            <m:t>L</m:t>
                          </m:r>
                        </m:e>
                        <m:sub>
                          <m:r>
                            <w:rPr>
                              <w:rFonts w:ascii="Cambria Math" w:hAnsi="Cambria Math"/>
                              <w:sz w:val="20"/>
                              <w:szCs w:val="20"/>
                            </w:rPr>
                            <m:t>n</m:t>
                          </m:r>
                        </m:sub>
                      </m:sSub>
                    </m:sup>
                    <m:e>
                      <m:f>
                        <m:fPr>
                          <m:ctrlPr>
                            <w:rPr>
                              <w:rFonts w:ascii="Cambria Math" w:hAnsi="Cambria Math"/>
                              <w:i/>
                              <w:sz w:val="20"/>
                              <w:szCs w:val="20"/>
                            </w:rPr>
                          </m:ctrlPr>
                        </m:fPr>
                        <m:num>
                          <m:sSub>
                            <m:sSubPr>
                              <m:ctrlPr>
                                <w:rPr>
                                  <w:rFonts w:ascii="Cambria Math" w:hAnsi="Cambria Math"/>
                                  <w:i/>
                                  <w:sz w:val="20"/>
                                  <w:szCs w:val="20"/>
                                </w:rPr>
                              </m:ctrlPr>
                            </m:sSubPr>
                            <m:e>
                              <m:r>
                                <w:rPr>
                                  <w:rFonts w:ascii="Cambria Math" w:hAnsi="Cambria Math"/>
                                  <w:sz w:val="20"/>
                                  <w:szCs w:val="20"/>
                                </w:rPr>
                                <m:t>CRIN</m:t>
                              </m:r>
                            </m:e>
                            <m:sub>
                              <m:r>
                                <w:rPr>
                                  <w:rFonts w:ascii="Cambria Math" w:hAnsi="Cambria Math"/>
                                  <w:sz w:val="20"/>
                                  <w:szCs w:val="20"/>
                                </w:rPr>
                                <m:t>j,n,l</m:t>
                              </m:r>
                            </m:sub>
                          </m:sSub>
                          <m:r>
                            <w:rPr>
                              <w:rFonts w:ascii="Cambria Math" w:hAnsi="Cambria Math"/>
                              <w:sz w:val="20"/>
                              <w:szCs w:val="20"/>
                            </w:rPr>
                            <m:t>*(1+NE)</m:t>
                          </m:r>
                        </m:num>
                        <m:den>
                          <m:sSub>
                            <m:sSubPr>
                              <m:ctrlPr>
                                <w:rPr>
                                  <w:rFonts w:ascii="Cambria Math" w:hAnsi="Cambria Math"/>
                                  <w:i/>
                                  <w:sz w:val="20"/>
                                  <w:szCs w:val="20"/>
                                </w:rPr>
                              </m:ctrlPr>
                            </m:sSubPr>
                            <m:e>
                              <m:r>
                                <w:rPr>
                                  <w:rFonts w:ascii="Cambria Math"/>
                                  <w:sz w:val="20"/>
                                  <w:szCs w:val="20"/>
                                </w:rPr>
                                <m:t>VU</m:t>
                              </m:r>
                            </m:e>
                            <m:sub>
                              <m:r>
                                <w:rPr>
                                  <w:rFonts w:ascii="Cambria Math"/>
                                  <w:sz w:val="20"/>
                                  <w:szCs w:val="20"/>
                                </w:rPr>
                                <m:t>n,l</m:t>
                              </m:r>
                            </m:sub>
                          </m:sSub>
                        </m:den>
                      </m:f>
                    </m:e>
                  </m:nary>
                </m:e>
              </m:d>
              <m:r>
                <w:rPr>
                  <w:rFonts w:ascii="Cambria Math" w:hAnsi="Cambria Math"/>
                  <w:sz w:val="20"/>
                  <w:szCs w:val="20"/>
                </w:rPr>
                <m:t>*</m:t>
              </m:r>
              <m:f>
                <m:fPr>
                  <m:ctrlPr>
                    <w:rPr>
                      <w:rFonts w:ascii="Cambria Math" w:hAnsi="Cambria Math"/>
                      <w:i/>
                      <w:sz w:val="20"/>
                      <w:szCs w:val="20"/>
                    </w:rPr>
                  </m:ctrlPr>
                </m:fPr>
                <m:num>
                  <m:sSub>
                    <m:sSubPr>
                      <m:ctrlPr>
                        <w:rPr>
                          <w:rFonts w:ascii="Cambria Math" w:hAnsi="Cambria Math"/>
                          <w:i/>
                          <w:sz w:val="20"/>
                          <w:szCs w:val="20"/>
                        </w:rPr>
                      </m:ctrlPr>
                    </m:sSubPr>
                    <m:e>
                      <m:r>
                        <w:rPr>
                          <w:rFonts w:ascii="Cambria Math" w:hAnsi="Cambria Math"/>
                          <w:sz w:val="20"/>
                          <w:szCs w:val="20"/>
                        </w:rPr>
                        <m:t>IPP</m:t>
                      </m:r>
                    </m:e>
                    <m:sub>
                      <m:r>
                        <w:rPr>
                          <w:rFonts w:ascii="Cambria Math" w:hAnsi="Cambria Math"/>
                          <w:sz w:val="20"/>
                          <w:szCs w:val="20"/>
                        </w:rPr>
                        <m:t>o</m:t>
                      </m:r>
                    </m:sub>
                  </m:sSub>
                </m:num>
                <m:den>
                  <m:sSub>
                    <m:sSubPr>
                      <m:ctrlPr>
                        <w:rPr>
                          <w:rFonts w:ascii="Cambria Math" w:hAnsi="Cambria Math"/>
                          <w:i/>
                          <w:sz w:val="20"/>
                          <w:szCs w:val="20"/>
                        </w:rPr>
                      </m:ctrlPr>
                    </m:sSubPr>
                    <m:e>
                      <m:r>
                        <w:rPr>
                          <w:rFonts w:ascii="Cambria Math" w:hAnsi="Cambria Math"/>
                          <w:sz w:val="20"/>
                          <w:szCs w:val="20"/>
                        </w:rPr>
                        <m:t>IPP</m:t>
                      </m:r>
                    </m:e>
                    <m:sub>
                      <m:r>
                        <w:rPr>
                          <w:rFonts w:ascii="Cambria Math"/>
                          <w:sz w:val="20"/>
                          <w:szCs w:val="20"/>
                        </w:rPr>
                        <m:t>base</m:t>
                      </m:r>
                    </m:sub>
                  </m:sSub>
                </m:den>
              </m:f>
            </m:e>
          </m:d>
          <m:sSub>
            <m:sSubPr>
              <m:ctrlPr>
                <w:rPr>
                  <w:rFonts w:ascii="Cambria Math" w:hAnsi="Cambria Math"/>
                  <w:i/>
                  <w:sz w:val="20"/>
                  <w:szCs w:val="20"/>
                </w:rPr>
              </m:ctrlPr>
            </m:sSubPr>
            <m:e>
              <m:r>
                <w:rPr>
                  <w:rFonts w:ascii="Cambria Math" w:hAnsi="Cambria Math"/>
                  <w:sz w:val="20"/>
                  <w:szCs w:val="20"/>
                </w:rPr>
                <m:t>-BRAFOIA</m:t>
              </m:r>
            </m:e>
            <m:sub>
              <m:r>
                <w:rPr>
                  <w:rFonts w:ascii="Cambria Math" w:hAnsi="Cambria Math"/>
                  <w:sz w:val="20"/>
                  <w:szCs w:val="20"/>
                </w:rPr>
                <m:t>j</m:t>
              </m:r>
              <m:r>
                <w:rPr>
                  <w:rFonts w:ascii="Cambria Math"/>
                  <w:sz w:val="20"/>
                  <w:szCs w:val="20"/>
                </w:rPr>
                <m:t>,n,t</m:t>
              </m:r>
            </m:sub>
          </m:sSub>
        </m:oMath>
      </m:oMathPara>
    </w:p>
    <w:p w:rsidR="00EF4850" w:rsidRPr="004E6CFC" w:rsidRDefault="00EF4850" w:rsidP="00EF4850">
      <w:r w:rsidRPr="004E6CFC">
        <w:t>Donde:</w:t>
      </w:r>
    </w:p>
    <w:p w:rsidR="00EF4850" w:rsidRPr="004E6CFC" w:rsidRDefault="00EF4850" w:rsidP="00EF4850">
      <w:pPr>
        <w:ind w:left="1582" w:hanging="1582"/>
      </w:pPr>
      <w:r w:rsidRPr="004E6CFC">
        <w:rPr>
          <w:i/>
          <w:iCs/>
        </w:rPr>
        <w:t>RCBIA</w:t>
      </w:r>
      <w:r w:rsidRPr="004E6CFC">
        <w:rPr>
          <w:i/>
          <w:iCs/>
          <w:vertAlign w:val="subscript"/>
        </w:rPr>
        <w:t>j,n,t</w:t>
      </w:r>
      <w:r w:rsidRPr="004E6CFC">
        <w:t>:</w:t>
      </w:r>
      <w:r w:rsidRPr="004E6CFC">
        <w:tab/>
        <w:t xml:space="preserve">Recuperación de capital reconocida para los activos incluidos en la base regulatoria inicial de activos del OR </w:t>
      </w:r>
      <w:r w:rsidRPr="004E6CFC">
        <w:rPr>
          <w:i/>
        </w:rPr>
        <w:t>j</w:t>
      </w:r>
      <w:r w:rsidRPr="004E6CFC">
        <w:t xml:space="preserve"> en el nivel de tensión </w:t>
      </w:r>
      <w:r w:rsidRPr="004E6CFC">
        <w:rPr>
          <w:i/>
          <w:iCs/>
        </w:rPr>
        <w:t>n</w:t>
      </w:r>
      <w:r w:rsidRPr="004E6CFC">
        <w:rPr>
          <w:iCs/>
        </w:rPr>
        <w:t>,</w:t>
      </w:r>
      <w:r w:rsidRPr="004E6CFC">
        <w:t xml:space="preserve"> en el año </w:t>
      </w:r>
      <w:r w:rsidRPr="004E6CFC">
        <w:rPr>
          <w:i/>
        </w:rPr>
        <w:t>t.</w:t>
      </w:r>
      <w:r w:rsidRPr="004E6CFC">
        <w:t xml:space="preserve"> </w:t>
      </w:r>
    </w:p>
    <w:p w:rsidR="00EF4850" w:rsidRPr="004E6CFC" w:rsidRDefault="00EF4850" w:rsidP="00EF4850">
      <w:pPr>
        <w:spacing w:before="120"/>
        <w:ind w:left="1582" w:hanging="1582"/>
      </w:pPr>
      <w:r w:rsidRPr="004E6CFC">
        <w:rPr>
          <w:i/>
          <w:iCs/>
        </w:rPr>
        <w:t>CRII</w:t>
      </w:r>
      <w:r w:rsidRPr="004E6CFC">
        <w:rPr>
          <w:i/>
          <w:iCs/>
          <w:vertAlign w:val="subscript"/>
        </w:rPr>
        <w:t>j,n,l</w:t>
      </w:r>
      <w:r w:rsidRPr="004E6CFC">
        <w:t>:</w:t>
      </w:r>
      <w:r w:rsidRPr="004E6CFC">
        <w:tab/>
        <w:t xml:space="preserve">Valor implícito de los activos del OR </w:t>
      </w:r>
      <w:r w:rsidRPr="004E6CFC">
        <w:rPr>
          <w:i/>
        </w:rPr>
        <w:t>j</w:t>
      </w:r>
      <w:r w:rsidRPr="004E6CFC">
        <w:t xml:space="preserve"> en el nivel de tensión </w:t>
      </w:r>
      <w:r w:rsidRPr="004E6CFC">
        <w:rPr>
          <w:i/>
        </w:rPr>
        <w:t>n</w:t>
      </w:r>
      <w:r w:rsidRPr="004E6CFC">
        <w:t xml:space="preserve"> y la categoría de activos </w:t>
      </w:r>
      <w:r w:rsidRPr="004E6CFC">
        <w:rPr>
          <w:i/>
        </w:rPr>
        <w:t>l</w:t>
      </w:r>
      <w:r w:rsidRPr="004E6CFC">
        <w:t xml:space="preserve">, calculado de acuerdo con lo establecido en el numeral </w:t>
      </w:r>
      <w:r w:rsidRPr="004E6CFC">
        <w:fldChar w:fldCharType="begin"/>
      </w:r>
      <w:r w:rsidRPr="004E6CFC">
        <w:instrText xml:space="preserve"> REF _Ref439666783 \r \h  \* MERGEFORMAT </w:instrText>
      </w:r>
      <w:r w:rsidRPr="004E6CFC">
        <w:fldChar w:fldCharType="separate"/>
      </w:r>
      <w:r w:rsidR="00737178">
        <w:t>3.1.1.1.1</w:t>
      </w:r>
      <w:r w:rsidRPr="004E6CFC">
        <w:fldChar w:fldCharType="end"/>
      </w:r>
      <w:r w:rsidRPr="004E6CFC">
        <w:t>.</w:t>
      </w:r>
    </w:p>
    <w:p w:rsidR="00EF4850" w:rsidRPr="004E6CFC" w:rsidRDefault="00EF4850" w:rsidP="00EF4850">
      <w:pPr>
        <w:tabs>
          <w:tab w:val="left" w:pos="1418"/>
        </w:tabs>
        <w:spacing w:before="120"/>
        <w:ind w:left="1582" w:hanging="1582"/>
      </w:pPr>
      <w:r w:rsidRPr="004E6CFC">
        <w:rPr>
          <w:i/>
          <w:iCs/>
        </w:rPr>
        <w:t>CRA</w:t>
      </w:r>
      <w:r w:rsidRPr="004E6CFC">
        <w:rPr>
          <w:i/>
          <w:iCs/>
          <w:vertAlign w:val="subscript"/>
        </w:rPr>
        <w:t>n,l</w:t>
      </w:r>
      <w:r w:rsidRPr="004E6CFC">
        <w:rPr>
          <w:i/>
          <w:iCs/>
        </w:rPr>
        <w:t>:</w:t>
      </w:r>
      <w:r w:rsidRPr="004E6CFC">
        <w:tab/>
      </w:r>
      <w:r>
        <w:tab/>
      </w:r>
      <w:r w:rsidRPr="004E6CFC">
        <w:t xml:space="preserve">Factor de capital remanente de los activos en el nivel de tensión </w:t>
      </w:r>
      <w:r w:rsidRPr="004E6CFC">
        <w:rPr>
          <w:i/>
        </w:rPr>
        <w:t>n</w:t>
      </w:r>
      <w:r w:rsidRPr="004E6CFC">
        <w:t xml:space="preserve"> y la categoría de activos </w:t>
      </w:r>
      <w:r w:rsidRPr="004E6CFC">
        <w:rPr>
          <w:i/>
        </w:rPr>
        <w:t>l</w:t>
      </w:r>
      <w:r w:rsidRPr="004E6CFC">
        <w:t xml:space="preserve">, </w:t>
      </w:r>
      <w:r>
        <w:t xml:space="preserve">según lo establecido en </w:t>
      </w:r>
      <w:r w:rsidRPr="004E6CFC">
        <w:t xml:space="preserve">el numeral </w:t>
      </w:r>
      <w:r w:rsidRPr="004E6CFC">
        <w:fldChar w:fldCharType="begin"/>
      </w:r>
      <w:r w:rsidRPr="004E6CFC">
        <w:instrText xml:space="preserve"> REF _Ref456272755 \r \h  \* MERGEFORMAT </w:instrText>
      </w:r>
      <w:r w:rsidRPr="004E6CFC">
        <w:fldChar w:fldCharType="separate"/>
      </w:r>
      <w:r w:rsidR="00737178">
        <w:t>3.1.1.1.3</w:t>
      </w:r>
      <w:r w:rsidRPr="004E6CFC">
        <w:fldChar w:fldCharType="end"/>
      </w:r>
      <w:r w:rsidRPr="004E6CFC">
        <w:t>.</w:t>
      </w:r>
    </w:p>
    <w:p w:rsidR="00EF4850" w:rsidRDefault="00EF4850" w:rsidP="00EF4850">
      <w:pPr>
        <w:spacing w:before="120"/>
        <w:ind w:left="1582" w:hanging="1582"/>
        <w:rPr>
          <w:i/>
          <w:iCs/>
        </w:rPr>
      </w:pPr>
      <w:r w:rsidRPr="004E6CFC">
        <w:rPr>
          <w:i/>
          <w:iCs/>
        </w:rPr>
        <w:t>NE</w:t>
      </w:r>
      <w:r w:rsidRPr="004E6CFC">
        <w:t>:</w:t>
      </w:r>
      <w:r w:rsidRPr="004E6CFC">
        <w:tab/>
        <w:t>Fracción de la base regulatoria de activos eléctricos que se reconoce como activos no eléctricos, es igual a 0,02.</w:t>
      </w:r>
    </w:p>
    <w:p w:rsidR="00EF4850" w:rsidRPr="004E6CFC" w:rsidRDefault="00EF4850" w:rsidP="00EF4850">
      <w:pPr>
        <w:ind w:left="1582" w:hanging="1582"/>
        <w:rPr>
          <w:i/>
        </w:rPr>
      </w:pPr>
      <w:r w:rsidRPr="004E6CFC">
        <w:rPr>
          <w:i/>
        </w:rPr>
        <w:t>VU</w:t>
      </w:r>
      <w:r w:rsidRPr="004E6CFC">
        <w:rPr>
          <w:i/>
          <w:vertAlign w:val="subscript"/>
        </w:rPr>
        <w:t>n,l</w:t>
      </w:r>
      <w:r w:rsidRPr="004E6CFC">
        <w:rPr>
          <w:color w:val="000000" w:themeColor="text1"/>
        </w:rPr>
        <w:t xml:space="preserve">: </w:t>
      </w:r>
      <w:r w:rsidRPr="004E6CFC">
        <w:rPr>
          <w:color w:val="000000" w:themeColor="text1"/>
        </w:rPr>
        <w:tab/>
        <w:t>Vida útil reconocida para las unidades constructivas del nivel de tensión</w:t>
      </w:r>
      <w:r w:rsidRPr="004E6CFC">
        <w:rPr>
          <w:i/>
          <w:color w:val="000000" w:themeColor="text1"/>
        </w:rPr>
        <w:t xml:space="preserve"> n </w:t>
      </w:r>
      <w:r w:rsidRPr="004E6CFC">
        <w:rPr>
          <w:color w:val="000000" w:themeColor="text1"/>
        </w:rPr>
        <w:t xml:space="preserve">pertenecientes a la categoría de activos </w:t>
      </w:r>
      <w:r w:rsidRPr="004E6CFC">
        <w:rPr>
          <w:i/>
          <w:color w:val="000000" w:themeColor="text1"/>
        </w:rPr>
        <w:t>l</w:t>
      </w:r>
      <w:r w:rsidRPr="004E6CFC">
        <w:rPr>
          <w:color w:val="000000" w:themeColor="text1"/>
        </w:rPr>
        <w:t>, según lo establecido en el numeral</w:t>
      </w:r>
      <w:r>
        <w:rPr>
          <w:color w:val="000000" w:themeColor="text1"/>
        </w:rPr>
        <w:t xml:space="preserve"> </w:t>
      </w:r>
      <w:r>
        <w:rPr>
          <w:color w:val="000000" w:themeColor="text1"/>
        </w:rPr>
        <w:fldChar w:fldCharType="begin"/>
      </w:r>
      <w:r>
        <w:rPr>
          <w:color w:val="000000" w:themeColor="text1"/>
        </w:rPr>
        <w:instrText xml:space="preserve"> REF _Ref504809522 \r \h </w:instrText>
      </w:r>
      <w:r>
        <w:rPr>
          <w:color w:val="000000" w:themeColor="text1"/>
        </w:rPr>
      </w:r>
      <w:r>
        <w:rPr>
          <w:color w:val="000000" w:themeColor="text1"/>
        </w:rPr>
        <w:fldChar w:fldCharType="separate"/>
      </w:r>
      <w:r w:rsidR="00737178">
        <w:rPr>
          <w:color w:val="000000" w:themeColor="text1"/>
        </w:rPr>
        <w:t>3.2.4</w:t>
      </w:r>
      <w:r>
        <w:rPr>
          <w:color w:val="000000" w:themeColor="text1"/>
        </w:rPr>
        <w:fldChar w:fldCharType="end"/>
      </w:r>
      <w:r w:rsidRPr="004E6CFC">
        <w:rPr>
          <w:color w:val="000000" w:themeColor="text1"/>
        </w:rPr>
        <w:t>.</w:t>
      </w:r>
    </w:p>
    <w:p w:rsidR="00EF4850" w:rsidRPr="004E6CFC" w:rsidRDefault="00EF4850" w:rsidP="00EF4850">
      <w:pPr>
        <w:spacing w:before="120"/>
        <w:ind w:left="1582" w:hanging="1582"/>
      </w:pPr>
      <w:r w:rsidRPr="004E6CFC">
        <w:rPr>
          <w:i/>
        </w:rPr>
        <w:t>AR</w:t>
      </w:r>
      <w:r w:rsidRPr="004E6CFC">
        <w:rPr>
          <w:i/>
          <w:vertAlign w:val="subscript"/>
        </w:rPr>
        <w:t>k</w:t>
      </w:r>
      <w:r w:rsidRPr="004E6CFC">
        <w:t>:</w:t>
      </w:r>
      <w:r w:rsidRPr="004E6CFC">
        <w:tab/>
        <w:t xml:space="preserve">Antigüedad de referencia del rango de activos </w:t>
      </w:r>
      <w:r w:rsidRPr="004E6CFC">
        <w:rPr>
          <w:i/>
        </w:rPr>
        <w:t>k</w:t>
      </w:r>
      <w:r>
        <w:rPr>
          <w:i/>
        </w:rPr>
        <w:t xml:space="preserve"> = 1</w:t>
      </w:r>
      <w:r w:rsidRPr="004E6CFC">
        <w:rPr>
          <w:color w:val="000000" w:themeColor="text1"/>
        </w:rPr>
        <w:t>, según lo establecido en el numeral</w:t>
      </w:r>
      <w:r w:rsidRPr="004E6CFC">
        <w:t xml:space="preserve"> </w:t>
      </w:r>
      <w:r w:rsidRPr="004E6CFC">
        <w:fldChar w:fldCharType="begin"/>
      </w:r>
      <w:r w:rsidRPr="004E6CFC">
        <w:instrText xml:space="preserve"> REF _Ref450641963 \r \h  \* MERGEFORMAT </w:instrText>
      </w:r>
      <w:r w:rsidRPr="004E6CFC">
        <w:fldChar w:fldCharType="separate"/>
      </w:r>
      <w:r w:rsidR="00737178">
        <w:t>3.1.1.1.2</w:t>
      </w:r>
      <w:r w:rsidRPr="004E6CFC">
        <w:fldChar w:fldCharType="end"/>
      </w:r>
      <w:r w:rsidRPr="004E6CFC">
        <w:t>.</w:t>
      </w:r>
    </w:p>
    <w:p w:rsidR="00EF4850" w:rsidRPr="004E6CFC" w:rsidRDefault="00EF4850" w:rsidP="00EF4850">
      <w:pPr>
        <w:spacing w:before="120"/>
        <w:ind w:left="1582" w:hanging="1582"/>
      </w:pPr>
      <w:r w:rsidRPr="004E6CFC">
        <w:rPr>
          <w:i/>
          <w:iCs/>
        </w:rPr>
        <w:t>CRIN</w:t>
      </w:r>
      <w:r w:rsidRPr="004E6CFC">
        <w:rPr>
          <w:i/>
          <w:iCs/>
          <w:vertAlign w:val="subscript"/>
        </w:rPr>
        <w:t>j,n,l</w:t>
      </w:r>
      <w:r w:rsidRPr="004E6CFC">
        <w:t>:</w:t>
      </w:r>
      <w:r w:rsidRPr="004E6CFC">
        <w:tab/>
      </w:r>
      <w:r>
        <w:t xml:space="preserve">Valor </w:t>
      </w:r>
      <w:r w:rsidRPr="004E6CFC">
        <w:t xml:space="preserve">de la inversión del OR </w:t>
      </w:r>
      <w:r w:rsidRPr="004E6CFC">
        <w:rPr>
          <w:i/>
        </w:rPr>
        <w:t>j</w:t>
      </w:r>
      <w:r w:rsidRPr="004E6CFC">
        <w:t xml:space="preserve"> en el nivel de tensión </w:t>
      </w:r>
      <w:r w:rsidRPr="004E6CFC">
        <w:rPr>
          <w:i/>
        </w:rPr>
        <w:t>n</w:t>
      </w:r>
      <w:r w:rsidRPr="004E6CFC">
        <w:t xml:space="preserve"> para la categoría de activos </w:t>
      </w:r>
      <w:r w:rsidRPr="004E6CFC">
        <w:rPr>
          <w:i/>
        </w:rPr>
        <w:t>l</w:t>
      </w:r>
      <w:r w:rsidRPr="004E6CFC">
        <w:t>, asociado con los activos que fueron puestos en operación en el periodo 2008 a la fecha de corte, calculado de acuerdo con lo establecido en el numeral</w:t>
      </w:r>
      <w:r>
        <w:t xml:space="preserve"> </w:t>
      </w:r>
      <w:r>
        <w:fldChar w:fldCharType="begin"/>
      </w:r>
      <w:r>
        <w:instrText xml:space="preserve"> REF _Ref504639236 \r \h </w:instrText>
      </w:r>
      <w:r>
        <w:fldChar w:fldCharType="separate"/>
      </w:r>
      <w:r w:rsidR="00737178">
        <w:t>3.1.1.1.4</w:t>
      </w:r>
      <w:r>
        <w:fldChar w:fldCharType="end"/>
      </w:r>
      <w:r w:rsidRPr="004E6CFC">
        <w:t>.</w:t>
      </w:r>
    </w:p>
    <w:p w:rsidR="00EF4850" w:rsidRDefault="00EF4850" w:rsidP="00EF4850">
      <w:pPr>
        <w:tabs>
          <w:tab w:val="left" w:pos="1418"/>
        </w:tabs>
        <w:spacing w:before="120"/>
        <w:ind w:left="1582" w:hanging="1582"/>
        <w:rPr>
          <w:i/>
          <w:iCs/>
        </w:rPr>
      </w:pPr>
      <w:r w:rsidRPr="004E6CFC">
        <w:rPr>
          <w:i/>
          <w:iCs/>
        </w:rPr>
        <w:t>BRAFO</w:t>
      </w:r>
      <w:r>
        <w:rPr>
          <w:i/>
          <w:iCs/>
        </w:rPr>
        <w:t>IA</w:t>
      </w:r>
      <w:r w:rsidRPr="004E6CFC">
        <w:rPr>
          <w:i/>
          <w:iCs/>
          <w:vertAlign w:val="subscript"/>
        </w:rPr>
        <w:t>j,n,t</w:t>
      </w:r>
      <w:r w:rsidRPr="004E6CFC">
        <w:t>:</w:t>
      </w:r>
      <w:r w:rsidRPr="004E6CFC">
        <w:tab/>
        <w:t xml:space="preserve">Base regulatoria de activos eléctricos fuera de operación en el sistema del OR </w:t>
      </w:r>
      <w:r w:rsidRPr="004E6CFC">
        <w:rPr>
          <w:i/>
        </w:rPr>
        <w:t>j</w:t>
      </w:r>
      <w:r w:rsidRPr="004E6CFC">
        <w:t xml:space="preserve"> en el  nivel de tensión </w:t>
      </w:r>
      <w:r w:rsidRPr="004E6CFC">
        <w:rPr>
          <w:i/>
          <w:iCs/>
        </w:rPr>
        <w:t xml:space="preserve">n </w:t>
      </w:r>
      <w:r w:rsidRPr="004E6CFC">
        <w:t xml:space="preserve">para el año </w:t>
      </w:r>
      <w:r w:rsidRPr="004E6CFC">
        <w:rPr>
          <w:i/>
        </w:rPr>
        <w:t>t</w:t>
      </w:r>
      <w:r>
        <w:t xml:space="preserve">, </w:t>
      </w:r>
      <w:r w:rsidRPr="004E6CFC">
        <w:t>calculado de acuerdo con lo establecido en el numeral</w:t>
      </w:r>
      <w:r>
        <w:t xml:space="preserve"> </w:t>
      </w:r>
      <w:r>
        <w:fldChar w:fldCharType="begin"/>
      </w:r>
      <w:r>
        <w:instrText xml:space="preserve"> REF _Ref404081440 \r \h </w:instrText>
      </w:r>
      <w:r>
        <w:fldChar w:fldCharType="separate"/>
      </w:r>
      <w:r w:rsidR="00737178">
        <w:t>3.1.1.4</w:t>
      </w:r>
      <w:r>
        <w:fldChar w:fldCharType="end"/>
      </w:r>
      <w:r>
        <w:t xml:space="preserve"> para los activos incluidos en la base regulatoria de activos eléctricos al inicio del periodo tarifario</w:t>
      </w:r>
      <w:r w:rsidRPr="004E6CFC">
        <w:t>.</w:t>
      </w:r>
    </w:p>
    <w:p w:rsidR="00EF4850" w:rsidRPr="004E6CFC" w:rsidRDefault="00EF4850" w:rsidP="00EF4850">
      <w:pPr>
        <w:tabs>
          <w:tab w:val="left" w:pos="1418"/>
        </w:tabs>
        <w:spacing w:before="120"/>
        <w:ind w:left="1584" w:hanging="1584"/>
      </w:pPr>
      <w:r>
        <w:rPr>
          <w:i/>
          <w:iCs/>
        </w:rPr>
        <w:t>l</w:t>
      </w:r>
      <w:r w:rsidRPr="004E6CFC">
        <w:rPr>
          <w:i/>
          <w:iCs/>
        </w:rPr>
        <w:t>:</w:t>
      </w:r>
      <w:r w:rsidRPr="004E6CFC">
        <w:t xml:space="preserve"> </w:t>
      </w:r>
      <w:r w:rsidRPr="004E6CFC">
        <w:tab/>
      </w:r>
      <w:r>
        <w:tab/>
      </w:r>
      <w:r w:rsidRPr="004E6CFC">
        <w:t>Ca</w:t>
      </w:r>
      <w:r>
        <w:t xml:space="preserve">tegoría de activos, </w:t>
      </w:r>
      <w:r w:rsidRPr="00CA5A76">
        <w:rPr>
          <w:i/>
        </w:rPr>
        <w:t xml:space="preserve">l </w:t>
      </w:r>
      <w:r w:rsidRPr="00CA5A76">
        <w:t>toma los valores de 11</w:t>
      </w:r>
      <w:r>
        <w:t xml:space="preserve"> o </w:t>
      </w:r>
      <w:r w:rsidRPr="00CA5A76">
        <w:t>12</w:t>
      </w:r>
      <w:r>
        <w:t xml:space="preserve"> para el nivel de tensión 1</w:t>
      </w:r>
      <w:r w:rsidRPr="004E6CFC">
        <w:t>.</w:t>
      </w:r>
    </w:p>
    <w:p w:rsidR="00EF4850" w:rsidRPr="004E6CFC" w:rsidRDefault="00EF4850" w:rsidP="00EF4850">
      <w:pPr>
        <w:tabs>
          <w:tab w:val="left" w:pos="1418"/>
        </w:tabs>
        <w:spacing w:before="120"/>
        <w:ind w:left="1584" w:hanging="1584"/>
      </w:pPr>
      <w:r w:rsidRPr="004E6CFC">
        <w:rPr>
          <w:i/>
          <w:iCs/>
        </w:rPr>
        <w:lastRenderedPageBreak/>
        <w:t>L</w:t>
      </w:r>
      <w:r w:rsidRPr="004E6CFC">
        <w:rPr>
          <w:i/>
          <w:iCs/>
          <w:vertAlign w:val="subscript"/>
        </w:rPr>
        <w:t>n</w:t>
      </w:r>
      <w:r w:rsidRPr="004E6CFC">
        <w:rPr>
          <w:i/>
          <w:iCs/>
        </w:rPr>
        <w:t>:</w:t>
      </w:r>
      <w:r w:rsidRPr="004E6CFC">
        <w:t xml:space="preserve"> </w:t>
      </w:r>
      <w:r w:rsidRPr="004E6CFC">
        <w:tab/>
      </w:r>
      <w:r>
        <w:tab/>
      </w:r>
      <w:r w:rsidRPr="004E6CFC">
        <w:t xml:space="preserve">Cantidad de categorías de activos en el nivel de tensión </w:t>
      </w:r>
      <w:r w:rsidRPr="004E6CFC">
        <w:rPr>
          <w:i/>
        </w:rPr>
        <w:t>n</w:t>
      </w:r>
      <w:r>
        <w:rPr>
          <w:i/>
        </w:rPr>
        <w:t xml:space="preserve">. </w:t>
      </w:r>
      <w:r w:rsidRPr="004E6CFC">
        <w:rPr>
          <w:i/>
          <w:iCs/>
        </w:rPr>
        <w:t>L</w:t>
      </w:r>
      <w:r>
        <w:rPr>
          <w:i/>
          <w:iCs/>
          <w:vertAlign w:val="subscript"/>
        </w:rPr>
        <w:t>1</w:t>
      </w:r>
      <w:r w:rsidRPr="00CA5A76">
        <w:rPr>
          <w:i/>
        </w:rPr>
        <w:t xml:space="preserve"> </w:t>
      </w:r>
      <w:r w:rsidRPr="00CA5A76">
        <w:t xml:space="preserve">toma </w:t>
      </w:r>
      <w:r>
        <w:t xml:space="preserve">el </w:t>
      </w:r>
      <w:r w:rsidRPr="00CA5A76">
        <w:t>valo</w:t>
      </w:r>
      <w:r>
        <w:t>r</w:t>
      </w:r>
      <w:r w:rsidRPr="00CA5A76">
        <w:t xml:space="preserve"> de </w:t>
      </w:r>
      <w:r>
        <w:t>1</w:t>
      </w:r>
      <w:r w:rsidRPr="00CA5A76">
        <w:t>2</w:t>
      </w:r>
      <w:r>
        <w:t>.</w:t>
      </w:r>
    </w:p>
    <w:p w:rsidR="00EF4850" w:rsidRPr="004E6CFC" w:rsidRDefault="00EF4850" w:rsidP="00EF4850">
      <w:pPr>
        <w:ind w:left="1410" w:hanging="1410"/>
      </w:pPr>
      <w:r w:rsidRPr="004E6CFC">
        <w:rPr>
          <w:i/>
          <w:iCs/>
        </w:rPr>
        <w:t>IPP</w:t>
      </w:r>
      <w:r>
        <w:rPr>
          <w:i/>
          <w:iCs/>
          <w:vertAlign w:val="subscript"/>
        </w:rPr>
        <w:t>0</w:t>
      </w:r>
      <w:r w:rsidRPr="004E6CFC">
        <w:t>:</w:t>
      </w:r>
      <w:r w:rsidRPr="004E6CFC">
        <w:tab/>
      </w:r>
      <w:r>
        <w:tab/>
      </w:r>
      <w:r>
        <w:tab/>
      </w:r>
      <w:r w:rsidRPr="004E6CFC">
        <w:t>Índice de precios del productor</w:t>
      </w:r>
      <w:r w:rsidRPr="004E6CFC" w:rsidDel="004B5F5F">
        <w:t xml:space="preserve"> </w:t>
      </w:r>
      <w:r>
        <w:t>de</w:t>
      </w:r>
      <w:r w:rsidRPr="004E6CFC">
        <w:t xml:space="preserve"> la fecha de corte.</w:t>
      </w:r>
    </w:p>
    <w:p w:rsidR="00EF4850" w:rsidRPr="004E6CFC" w:rsidRDefault="00EF4850" w:rsidP="00EF4850">
      <w:pPr>
        <w:spacing w:before="120"/>
        <w:ind w:left="1582" w:hanging="1582"/>
      </w:pPr>
      <w:r w:rsidRPr="004E6CFC">
        <w:rPr>
          <w:i/>
          <w:iCs/>
        </w:rPr>
        <w:t>IPP</w:t>
      </w:r>
      <w:r w:rsidRPr="004E6CFC">
        <w:rPr>
          <w:i/>
          <w:iCs/>
          <w:vertAlign w:val="subscript"/>
        </w:rPr>
        <w:t>base</w:t>
      </w:r>
      <w:r w:rsidRPr="004E6CFC">
        <w:t>:</w:t>
      </w:r>
      <w:r w:rsidRPr="004E6CFC">
        <w:tab/>
        <w:t>Índice de precios del productor correspondiente a diciembre de 2007.</w:t>
      </w:r>
    </w:p>
    <w:p w:rsidR="00EF4850" w:rsidRPr="004E6CFC" w:rsidRDefault="00EF4850" w:rsidP="00EF4850">
      <w:pPr>
        <w:spacing w:before="120"/>
      </w:pPr>
      <w:r w:rsidRPr="004E6CFC">
        <w:t xml:space="preserve">La recuperación de capital de los activos pertenecientes a una categoría </w:t>
      </w:r>
      <w:r w:rsidRPr="004E6CFC">
        <w:rPr>
          <w:i/>
        </w:rPr>
        <w:t>l</w:t>
      </w:r>
      <w:r w:rsidRPr="004E6CFC">
        <w:t xml:space="preserve"> aplica únicamente durante </w:t>
      </w:r>
      <w:r>
        <w:t xml:space="preserve">el periodo correspondiente a </w:t>
      </w:r>
      <w:r w:rsidRPr="004E6CFC">
        <w:t xml:space="preserve">la diferencia entre la vida útil reconocida, </w:t>
      </w:r>
      <w:r w:rsidRPr="004E6CFC">
        <w:rPr>
          <w:i/>
        </w:rPr>
        <w:t>VU</w:t>
      </w:r>
      <w:r w:rsidRPr="004E6CFC">
        <w:rPr>
          <w:i/>
          <w:vertAlign w:val="subscript"/>
        </w:rPr>
        <w:t>n,l</w:t>
      </w:r>
      <w:r w:rsidRPr="004E6CFC">
        <w:rPr>
          <w:i/>
        </w:rPr>
        <w:t xml:space="preserve">, </w:t>
      </w:r>
      <w:r w:rsidRPr="004E6CFC">
        <w:t xml:space="preserve">y la </w:t>
      </w:r>
      <w:r w:rsidR="007B2CBB" w:rsidRPr="004E6CFC">
        <w:t>antigüedad</w:t>
      </w:r>
      <w:r w:rsidRPr="004E6CFC">
        <w:t xml:space="preserve"> de referencia,</w:t>
      </w:r>
      <w:r w:rsidRPr="004E6CFC">
        <w:rPr>
          <w:i/>
        </w:rPr>
        <w:t xml:space="preserve"> AR</w:t>
      </w:r>
      <w:r w:rsidRPr="004E6CFC">
        <w:rPr>
          <w:i/>
          <w:vertAlign w:val="subscript"/>
        </w:rPr>
        <w:t>k</w:t>
      </w:r>
      <w:r w:rsidRPr="004E6CFC">
        <w:t>.</w:t>
      </w:r>
    </w:p>
    <w:p w:rsidR="00EF4850" w:rsidRPr="004E6CFC" w:rsidRDefault="00EF4850" w:rsidP="00EF4850">
      <w:pPr>
        <w:pStyle w:val="Ttulo3"/>
      </w:pPr>
      <w:bookmarkStart w:id="192" w:name="_Toc444667164"/>
      <w:bookmarkStart w:id="193" w:name="_Toc408493142"/>
      <w:bookmarkStart w:id="194" w:name="_Toc444667165"/>
      <w:bookmarkStart w:id="195" w:name="_Toc504809408"/>
      <w:bookmarkStart w:id="196" w:name="_Toc505335913"/>
      <w:bookmarkEnd w:id="192"/>
      <w:r w:rsidRPr="004E6CFC">
        <w:t>Recuperación de capital de activos nuevos</w:t>
      </w:r>
      <w:bookmarkEnd w:id="193"/>
      <w:bookmarkEnd w:id="194"/>
      <w:bookmarkEnd w:id="195"/>
      <w:bookmarkEnd w:id="196"/>
    </w:p>
    <w:p w:rsidR="00EF4850" w:rsidRPr="004E6CFC" w:rsidRDefault="00EF4850" w:rsidP="00EF4850">
      <w:pPr>
        <w:ind w:left="1410" w:hanging="1410"/>
      </w:pPr>
      <w:r w:rsidRPr="004E6CFC">
        <w:t xml:space="preserve">La variable </w:t>
      </w:r>
      <w:r w:rsidRPr="004E6CFC">
        <w:rPr>
          <w:i/>
          <w:iCs/>
        </w:rPr>
        <w:t>RCNA</w:t>
      </w:r>
      <w:r w:rsidRPr="004E6CFC">
        <w:rPr>
          <w:i/>
          <w:iCs/>
          <w:vertAlign w:val="subscript"/>
        </w:rPr>
        <w:t>j,n,t</w:t>
      </w:r>
      <w:r w:rsidRPr="004E6CFC">
        <w:t xml:space="preserve"> se calcula de la siguiente manera:</w:t>
      </w:r>
    </w:p>
    <w:p w:rsidR="00EF4850" w:rsidRPr="004E6CFC" w:rsidRDefault="00C9592F" w:rsidP="00EF4850">
      <m:oMathPara>
        <m:oMath>
          <m:sSub>
            <m:sSubPr>
              <m:ctrlPr>
                <w:rPr>
                  <w:rFonts w:ascii="Cambria Math" w:hAnsi="Cambria Math"/>
                  <w:i/>
                </w:rPr>
              </m:ctrlPr>
            </m:sSubPr>
            <m:e>
              <m:r>
                <w:rPr>
                  <w:rFonts w:ascii="Cambria Math" w:hAnsi="Cambria Math"/>
                </w:rPr>
                <m:t>RCNA</m:t>
              </m:r>
            </m:e>
            <m:sub>
              <m:r>
                <w:rPr>
                  <w:rFonts w:ascii="Cambria Math" w:hAnsi="Cambria Math"/>
                </w:rPr>
                <m:t>j</m:t>
              </m:r>
              <m:r>
                <w:rPr>
                  <w:rFonts w:ascii="Cambria Math"/>
                </w:rPr>
                <m:t>,</m:t>
              </m:r>
              <m:r>
                <w:rPr>
                  <w:rFonts w:ascii="Cambria Math" w:hAnsi="Cambria Math"/>
                </w:rPr>
                <m:t>n,t</m:t>
              </m:r>
            </m:sub>
          </m:sSub>
          <m:r>
            <w:rPr>
              <w:rFonts w:ascii="Cambria Math"/>
            </w:rPr>
            <m:t>=</m:t>
          </m:r>
          <m:d>
            <m:dPr>
              <m:ctrlPr>
                <w:rPr>
                  <w:rFonts w:ascii="Cambria Math" w:hAnsi="Cambria Math"/>
                  <w:i/>
                </w:rPr>
              </m:ctrlPr>
            </m:dPr>
            <m:e>
              <m:nary>
                <m:naryPr>
                  <m:chr m:val="∑"/>
                  <m:limLoc m:val="undOvr"/>
                  <m:ctrlPr>
                    <w:rPr>
                      <w:rFonts w:ascii="Cambria Math" w:hAnsi="Cambria Math"/>
                      <w:i/>
                    </w:rPr>
                  </m:ctrlPr>
                </m:naryPr>
                <m:sub>
                  <m:r>
                    <w:rPr>
                      <w:rFonts w:ascii="Cambria Math"/>
                    </w:rPr>
                    <m:t>t=1</m:t>
                  </m:r>
                </m:sub>
                <m:sup>
                  <m:r>
                    <w:rPr>
                      <w:rFonts w:ascii="Cambria Math"/>
                    </w:rPr>
                    <m:t>T</m:t>
                  </m:r>
                </m:sup>
                <m:e>
                  <m:nary>
                    <m:naryPr>
                      <m:chr m:val="∑"/>
                      <m:limLoc m:val="undOvr"/>
                      <m:ctrlPr>
                        <w:rPr>
                          <w:rFonts w:ascii="Cambria Math" w:hAnsi="Cambria Math"/>
                          <w:i/>
                        </w:rPr>
                      </m:ctrlPr>
                    </m:naryPr>
                    <m:sub>
                      <m:r>
                        <w:rPr>
                          <w:rFonts w:ascii="Cambria Math" w:hAnsi="Cambria Math"/>
                        </w:rPr>
                        <m:t>l=1</m:t>
                      </m:r>
                    </m:sub>
                    <m:sup>
                      <m:sSub>
                        <m:sSubPr>
                          <m:ctrlPr>
                            <w:rPr>
                              <w:rFonts w:ascii="Cambria Math" w:hAnsi="Cambria Math"/>
                              <w:i/>
                            </w:rPr>
                          </m:ctrlPr>
                        </m:sSubPr>
                        <m:e>
                          <m:r>
                            <w:rPr>
                              <w:rFonts w:ascii="Cambria Math" w:hAnsi="Cambria Math"/>
                            </w:rPr>
                            <m:t>L</m:t>
                          </m:r>
                        </m:e>
                        <m:sub>
                          <m:r>
                            <w:rPr>
                              <w:rFonts w:ascii="Cambria Math" w:hAnsi="Cambria Math"/>
                            </w:rPr>
                            <m:t>n</m:t>
                          </m:r>
                        </m:sub>
                      </m:sSub>
                    </m:sup>
                    <m:e>
                      <m:sSub>
                        <m:sSubPr>
                          <m:ctrlPr>
                            <w:rPr>
                              <w:rFonts w:ascii="Cambria Math" w:hAnsi="Cambria Math"/>
                              <w:i/>
                            </w:rPr>
                          </m:ctrlPr>
                        </m:sSubPr>
                        <m:e>
                          <m:r>
                            <w:rPr>
                              <w:rFonts w:ascii="Cambria Math" w:hAnsi="Cambria Math"/>
                            </w:rPr>
                            <m:t>RCNA</m:t>
                          </m:r>
                        </m:e>
                        <m:sub>
                          <m:r>
                            <w:rPr>
                              <w:rFonts w:ascii="Cambria Math" w:hAnsi="Cambria Math"/>
                            </w:rPr>
                            <m:t>j</m:t>
                          </m:r>
                          <m:r>
                            <w:rPr>
                              <w:rFonts w:ascii="Cambria Math"/>
                            </w:rPr>
                            <m:t>,</m:t>
                          </m:r>
                          <m:r>
                            <w:rPr>
                              <w:rFonts w:ascii="Cambria Math" w:hAnsi="Cambria Math"/>
                            </w:rPr>
                            <m:t>n,t,l</m:t>
                          </m:r>
                        </m:sub>
                      </m:sSub>
                    </m:e>
                  </m:nary>
                </m:e>
              </m:nary>
            </m:e>
          </m:d>
          <m:sSub>
            <m:sSubPr>
              <m:ctrlPr>
                <w:rPr>
                  <w:rFonts w:ascii="Cambria Math" w:hAnsi="Cambria Math"/>
                  <w:i/>
                  <w:sz w:val="22"/>
                </w:rPr>
              </m:ctrlPr>
            </m:sSubPr>
            <m:e>
              <m:r>
                <w:rPr>
                  <w:rFonts w:ascii="Cambria Math" w:hAnsi="Cambria Math"/>
                  <w:sz w:val="22"/>
                </w:rPr>
                <m:t>- BRAFOAN</m:t>
              </m:r>
            </m:e>
            <m:sub>
              <m:r>
                <w:rPr>
                  <w:rFonts w:ascii="Cambria Math" w:hAnsi="Cambria Math"/>
                  <w:sz w:val="22"/>
                </w:rPr>
                <m:t>j</m:t>
              </m:r>
              <m:r>
                <w:rPr>
                  <w:rFonts w:ascii="Cambria Math"/>
                  <w:sz w:val="22"/>
                </w:rPr>
                <m:t>,n,t</m:t>
              </m:r>
            </m:sub>
          </m:sSub>
        </m:oMath>
      </m:oMathPara>
    </w:p>
    <w:p w:rsidR="00EF4850" w:rsidRPr="004E6CFC" w:rsidRDefault="00EF4850" w:rsidP="00EF4850">
      <w:r w:rsidRPr="004E6CFC">
        <w:t>Donde:</w:t>
      </w:r>
    </w:p>
    <w:p w:rsidR="00EF4850" w:rsidRPr="004E6CFC" w:rsidRDefault="00EF4850" w:rsidP="00EF4850">
      <w:pPr>
        <w:ind w:left="1582" w:hanging="1582"/>
      </w:pPr>
      <w:r w:rsidRPr="004E6CFC">
        <w:rPr>
          <w:i/>
        </w:rPr>
        <w:t>RCNA</w:t>
      </w:r>
      <w:r w:rsidRPr="004E6CFC">
        <w:rPr>
          <w:i/>
          <w:vertAlign w:val="subscript"/>
        </w:rPr>
        <w:t>j,n,l,t</w:t>
      </w:r>
      <w:r w:rsidRPr="004E6CFC">
        <w:t>:</w:t>
      </w:r>
      <w:r w:rsidRPr="004E6CFC">
        <w:tab/>
        <w:t xml:space="preserve">Base regulatoria de activos eléctricos nuevos del OR </w:t>
      </w:r>
      <w:r w:rsidRPr="004E6CFC">
        <w:rPr>
          <w:i/>
        </w:rPr>
        <w:t>j</w:t>
      </w:r>
      <w:r w:rsidRPr="004E6CFC">
        <w:t xml:space="preserve"> en el nivel de tensión </w:t>
      </w:r>
      <w:r w:rsidRPr="004E6CFC">
        <w:rPr>
          <w:i/>
        </w:rPr>
        <w:t>n</w:t>
      </w:r>
      <w:r w:rsidRPr="004E6CFC">
        <w:t>,</w:t>
      </w:r>
      <w:r w:rsidRPr="004E6CFC">
        <w:rPr>
          <w:i/>
        </w:rPr>
        <w:t xml:space="preserve"> </w:t>
      </w:r>
      <w:r w:rsidRPr="004E6CFC">
        <w:t>para la categoría de activos</w:t>
      </w:r>
      <w:r w:rsidRPr="004E6CFC">
        <w:rPr>
          <w:i/>
        </w:rPr>
        <w:t xml:space="preserve"> l</w:t>
      </w:r>
      <w:r w:rsidRPr="004E6CFC">
        <w:t xml:space="preserve"> en el año </w:t>
      </w:r>
      <w:r w:rsidRPr="004E6CFC">
        <w:rPr>
          <w:i/>
        </w:rPr>
        <w:t>t</w:t>
      </w:r>
      <w:r w:rsidRPr="004E6CFC">
        <w:t>. calculada de la siguiente manera:</w:t>
      </w:r>
    </w:p>
    <w:p w:rsidR="00EF4850" w:rsidRPr="00A5785E" w:rsidRDefault="00C9592F" w:rsidP="00EF4850">
      <w:pPr>
        <w:rPr>
          <w:sz w:val="20"/>
          <w:szCs w:val="20"/>
        </w:rPr>
      </w:pPr>
      <m:oMathPara>
        <m:oMath>
          <m:sSub>
            <m:sSubPr>
              <m:ctrlPr>
                <w:rPr>
                  <w:rFonts w:ascii="Cambria Math" w:hAnsi="Cambria Math"/>
                  <w:i/>
                  <w:sz w:val="20"/>
                  <w:szCs w:val="20"/>
                </w:rPr>
              </m:ctrlPr>
            </m:sSubPr>
            <m:e>
              <m:r>
                <w:rPr>
                  <w:rFonts w:ascii="Cambria Math" w:hAnsi="Cambria Math"/>
                  <w:sz w:val="20"/>
                  <w:szCs w:val="20"/>
                </w:rPr>
                <m:t>RCNA</m:t>
              </m:r>
            </m:e>
            <m:sub>
              <m:r>
                <w:rPr>
                  <w:rFonts w:ascii="Cambria Math" w:hAnsi="Cambria Math"/>
                  <w:sz w:val="20"/>
                  <w:szCs w:val="20"/>
                </w:rPr>
                <m:t>j</m:t>
              </m:r>
              <m:r>
                <w:rPr>
                  <w:rFonts w:ascii="Cambria Math"/>
                  <w:sz w:val="20"/>
                  <w:szCs w:val="20"/>
                </w:rPr>
                <m:t>,</m:t>
              </m:r>
              <m:r>
                <w:rPr>
                  <w:rFonts w:ascii="Cambria Math" w:hAnsi="Cambria Math"/>
                  <w:sz w:val="20"/>
                  <w:szCs w:val="20"/>
                </w:rPr>
                <m:t>n,t,l</m:t>
              </m:r>
            </m:sub>
          </m:sSub>
          <m:r>
            <w:rPr>
              <w:rFonts w:ascii="Cambria Math"/>
              <w:sz w:val="20"/>
              <w:szCs w:val="20"/>
            </w:rPr>
            <m:t>=</m:t>
          </m:r>
          <m:d>
            <m:dPr>
              <m:ctrlPr>
                <w:rPr>
                  <w:rFonts w:ascii="Cambria Math" w:hAnsi="Cambria Math"/>
                  <w:i/>
                  <w:sz w:val="20"/>
                  <w:szCs w:val="20"/>
                </w:rPr>
              </m:ctrlPr>
            </m:dPr>
            <m:e>
              <m:sSub>
                <m:sSubPr>
                  <m:ctrlPr>
                    <w:rPr>
                      <w:rFonts w:ascii="Cambria Math" w:hAnsi="Cambria Math"/>
                      <w:i/>
                      <w:sz w:val="20"/>
                      <w:szCs w:val="20"/>
                    </w:rPr>
                  </m:ctrlPr>
                </m:sSubPr>
                <m:e>
                  <m:r>
                    <w:rPr>
                      <w:rFonts w:ascii="Cambria Math"/>
                      <w:sz w:val="20"/>
                      <w:szCs w:val="20"/>
                    </w:rPr>
                    <m:t>IAPA</m:t>
                  </m:r>
                </m:e>
                <m:sub>
                  <m:r>
                    <w:rPr>
                      <w:rFonts w:ascii="Cambria Math"/>
                      <w:sz w:val="20"/>
                      <w:szCs w:val="20"/>
                    </w:rPr>
                    <m:t>j,n,t</m:t>
                  </m:r>
                </m:sub>
              </m:sSub>
              <m:r>
                <w:rPr>
                  <w:rFonts w:ascii="Cambria Math" w:hAnsi="Cambria Math"/>
                  <w:sz w:val="20"/>
                  <w:szCs w:val="20"/>
                </w:rPr>
                <m:t>*</m:t>
              </m:r>
              <m:sSub>
                <m:sSubPr>
                  <m:ctrlPr>
                    <w:rPr>
                      <w:rFonts w:ascii="Cambria Math" w:hAnsi="Cambria Math"/>
                      <w:i/>
                      <w:sz w:val="20"/>
                      <w:szCs w:val="20"/>
                    </w:rPr>
                  </m:ctrlPr>
                </m:sSubPr>
                <m:e>
                  <m:r>
                    <w:rPr>
                      <w:rFonts w:ascii="Cambria Math"/>
                      <w:sz w:val="20"/>
                      <w:szCs w:val="20"/>
                    </w:rPr>
                    <m:t>INVA</m:t>
                  </m:r>
                </m:e>
                <m:sub>
                  <m:r>
                    <w:rPr>
                      <w:rFonts w:ascii="Cambria Math"/>
                      <w:sz w:val="20"/>
                      <w:szCs w:val="20"/>
                    </w:rPr>
                    <m:t>j,n,l,t</m:t>
                  </m:r>
                </m:sub>
              </m:sSub>
              <m:r>
                <w:rPr>
                  <w:rFonts w:ascii="Cambria Math" w:hAnsi="Cambria Math"/>
                  <w:sz w:val="20"/>
                  <w:szCs w:val="20"/>
                </w:rPr>
                <m:t>+</m:t>
              </m:r>
              <m:sSub>
                <m:sSubPr>
                  <m:ctrlPr>
                    <w:rPr>
                      <w:rFonts w:ascii="Cambria Math" w:hAnsi="Cambria Math"/>
                      <w:i/>
                      <w:sz w:val="20"/>
                      <w:szCs w:val="20"/>
                    </w:rPr>
                  </m:ctrlPr>
                </m:sSubPr>
                <m:e>
                  <m:r>
                    <w:rPr>
                      <w:rFonts w:ascii="Cambria Math"/>
                      <w:sz w:val="20"/>
                      <w:szCs w:val="20"/>
                    </w:rPr>
                    <m:t xml:space="preserve"> INVR</m:t>
                  </m:r>
                </m:e>
                <m:sub>
                  <m:r>
                    <w:rPr>
                      <w:rFonts w:ascii="Cambria Math"/>
                      <w:sz w:val="20"/>
                      <w:szCs w:val="20"/>
                    </w:rPr>
                    <m:t>j,n,l,t</m:t>
                  </m:r>
                  <m:r>
                    <w:rPr>
                      <w:rFonts w:ascii="Cambria Math"/>
                      <w:sz w:val="20"/>
                      <w:szCs w:val="20"/>
                    </w:rPr>
                    <m:t>-</m:t>
                  </m:r>
                  <m:r>
                    <w:rPr>
                      <w:rFonts w:ascii="Cambria Math"/>
                      <w:sz w:val="20"/>
                      <w:szCs w:val="20"/>
                    </w:rPr>
                    <m:t>1</m:t>
                  </m:r>
                </m:sub>
              </m:sSub>
              <m:r>
                <w:rPr>
                  <w:rFonts w:ascii="Cambria Math" w:hAnsi="Cambria Math"/>
                  <w:sz w:val="20"/>
                  <w:szCs w:val="20"/>
                </w:rPr>
                <m:t>-</m:t>
              </m:r>
              <m:sSub>
                <m:sSubPr>
                  <m:ctrlPr>
                    <w:rPr>
                      <w:rFonts w:ascii="Cambria Math" w:hAnsi="Cambria Math"/>
                      <w:i/>
                      <w:sz w:val="20"/>
                      <w:szCs w:val="20"/>
                    </w:rPr>
                  </m:ctrlPr>
                </m:sSubPr>
                <m:e>
                  <m:r>
                    <w:rPr>
                      <w:rFonts w:ascii="Cambria Math"/>
                      <w:sz w:val="20"/>
                      <w:szCs w:val="20"/>
                    </w:rPr>
                    <m:t>IAPA</m:t>
                  </m:r>
                </m:e>
                <m:sub>
                  <m:r>
                    <w:rPr>
                      <w:rFonts w:ascii="Cambria Math"/>
                      <w:sz w:val="20"/>
                      <w:szCs w:val="20"/>
                    </w:rPr>
                    <m:t>j,n,t</m:t>
                  </m:r>
                  <m:r>
                    <w:rPr>
                      <w:rFonts w:ascii="Cambria Math"/>
                      <w:sz w:val="20"/>
                      <w:szCs w:val="20"/>
                    </w:rPr>
                    <m:t>-</m:t>
                  </m:r>
                  <m:r>
                    <w:rPr>
                      <w:rFonts w:ascii="Cambria Math"/>
                      <w:sz w:val="20"/>
                      <w:szCs w:val="20"/>
                    </w:rPr>
                    <m:t>1</m:t>
                  </m:r>
                </m:sub>
              </m:sSub>
              <m:r>
                <w:rPr>
                  <w:rFonts w:ascii="Cambria Math" w:hAnsi="Cambria Math"/>
                  <w:sz w:val="20"/>
                  <w:szCs w:val="20"/>
                </w:rPr>
                <m:t>*</m:t>
              </m:r>
              <m:sSub>
                <m:sSubPr>
                  <m:ctrlPr>
                    <w:rPr>
                      <w:rFonts w:ascii="Cambria Math" w:hAnsi="Cambria Math"/>
                      <w:i/>
                      <w:sz w:val="20"/>
                      <w:szCs w:val="20"/>
                    </w:rPr>
                  </m:ctrlPr>
                </m:sSubPr>
                <m:e>
                  <m:r>
                    <w:rPr>
                      <w:rFonts w:ascii="Cambria Math"/>
                      <w:sz w:val="20"/>
                      <w:szCs w:val="20"/>
                    </w:rPr>
                    <m:t>INVA</m:t>
                  </m:r>
                </m:e>
                <m:sub>
                  <m:r>
                    <w:rPr>
                      <w:rFonts w:ascii="Cambria Math"/>
                      <w:sz w:val="20"/>
                      <w:szCs w:val="20"/>
                    </w:rPr>
                    <m:t>j,n,l,t</m:t>
                  </m:r>
                  <m:r>
                    <w:rPr>
                      <w:rFonts w:ascii="Cambria Math"/>
                      <w:sz w:val="20"/>
                      <w:szCs w:val="20"/>
                    </w:rPr>
                    <m:t>-</m:t>
                  </m:r>
                  <m:r>
                    <w:rPr>
                      <w:rFonts w:ascii="Cambria Math"/>
                      <w:sz w:val="20"/>
                      <w:szCs w:val="20"/>
                    </w:rPr>
                    <m:t>1</m:t>
                  </m:r>
                </m:sub>
              </m:sSub>
            </m:e>
          </m:d>
          <m:r>
            <w:rPr>
              <w:rFonts w:ascii="Cambria Math" w:hAnsi="Cambria Math"/>
              <w:sz w:val="20"/>
              <w:szCs w:val="20"/>
            </w:rPr>
            <m:t>*</m:t>
          </m:r>
          <m:f>
            <m:fPr>
              <m:ctrlPr>
                <w:rPr>
                  <w:rFonts w:ascii="Cambria Math" w:hAnsi="Cambria Math"/>
                  <w:i/>
                  <w:sz w:val="20"/>
                  <w:szCs w:val="20"/>
                </w:rPr>
              </m:ctrlPr>
            </m:fPr>
            <m:num>
              <m:d>
                <m:dPr>
                  <m:ctrlPr>
                    <w:rPr>
                      <w:rFonts w:ascii="Cambria Math" w:hAnsi="Cambria Math"/>
                      <w:i/>
                      <w:sz w:val="20"/>
                      <w:szCs w:val="20"/>
                    </w:rPr>
                  </m:ctrlPr>
                </m:dPr>
                <m:e>
                  <m:r>
                    <w:rPr>
                      <w:rFonts w:ascii="Cambria Math" w:hAnsi="Cambria Math"/>
                      <w:sz w:val="20"/>
                      <w:szCs w:val="20"/>
                    </w:rPr>
                    <m:t>1+NE</m:t>
                  </m:r>
                </m:e>
              </m:d>
            </m:num>
            <m:den>
              <m:sSub>
                <m:sSubPr>
                  <m:ctrlPr>
                    <w:rPr>
                      <w:rFonts w:ascii="Cambria Math" w:hAnsi="Cambria Math"/>
                      <w:i/>
                      <w:sz w:val="20"/>
                      <w:szCs w:val="20"/>
                    </w:rPr>
                  </m:ctrlPr>
                </m:sSubPr>
                <m:e>
                  <m:r>
                    <w:rPr>
                      <w:rFonts w:ascii="Cambria Math"/>
                      <w:sz w:val="20"/>
                      <w:szCs w:val="20"/>
                    </w:rPr>
                    <m:t>VU</m:t>
                  </m:r>
                </m:e>
                <m:sub>
                  <m:r>
                    <w:rPr>
                      <w:rFonts w:ascii="Cambria Math"/>
                      <w:sz w:val="20"/>
                      <w:szCs w:val="20"/>
                    </w:rPr>
                    <m:t>n,l</m:t>
                  </m:r>
                </m:sub>
              </m:sSub>
            </m:den>
          </m:f>
        </m:oMath>
      </m:oMathPara>
    </w:p>
    <w:p w:rsidR="00EF4850" w:rsidRPr="004E6CFC" w:rsidRDefault="00EF4850" w:rsidP="00EF4850">
      <w:pPr>
        <w:ind w:left="709"/>
      </w:pPr>
      <w:r w:rsidRPr="004E6CFC">
        <w:t>Donde:</w:t>
      </w:r>
    </w:p>
    <w:p w:rsidR="00EF4850" w:rsidRPr="004E6CFC" w:rsidRDefault="00EF4850" w:rsidP="00EF4850">
      <w:pPr>
        <w:ind w:left="2268" w:hanging="1551"/>
        <w:rPr>
          <w:i/>
        </w:rPr>
      </w:pPr>
      <w:r w:rsidRPr="004E6CFC">
        <w:rPr>
          <w:i/>
          <w:iCs/>
        </w:rPr>
        <w:t>IAPA</w:t>
      </w:r>
      <w:r w:rsidRPr="004E6CFC">
        <w:rPr>
          <w:i/>
          <w:iCs/>
          <w:vertAlign w:val="subscript"/>
        </w:rPr>
        <w:t>j,n,t</w:t>
      </w:r>
      <w:r w:rsidRPr="004E6CFC">
        <w:rPr>
          <w:iCs/>
        </w:rPr>
        <w:t>:</w:t>
      </w:r>
      <w:r w:rsidRPr="004E6CFC">
        <w:rPr>
          <w:iCs/>
        </w:rPr>
        <w:tab/>
        <w:t xml:space="preserve">Índice de ajuste por ejecución del plan de inversiones del OR </w:t>
      </w:r>
      <w:r w:rsidRPr="004E6CFC">
        <w:rPr>
          <w:i/>
          <w:iCs/>
        </w:rPr>
        <w:t>j</w:t>
      </w:r>
      <w:r w:rsidRPr="004E6CFC">
        <w:rPr>
          <w:iCs/>
        </w:rPr>
        <w:t xml:space="preserve"> en el nivel de tensión </w:t>
      </w:r>
      <w:r w:rsidRPr="004E6CFC">
        <w:rPr>
          <w:i/>
          <w:iCs/>
        </w:rPr>
        <w:t>n</w:t>
      </w:r>
      <w:r w:rsidRPr="004E6CFC">
        <w:rPr>
          <w:iCs/>
        </w:rPr>
        <w:t xml:space="preserve"> para el año </w:t>
      </w:r>
      <w:r w:rsidRPr="004E6CFC">
        <w:rPr>
          <w:i/>
          <w:iCs/>
        </w:rPr>
        <w:t>t</w:t>
      </w:r>
      <w:r w:rsidRPr="004E6CFC">
        <w:rPr>
          <w:iCs/>
        </w:rPr>
        <w:t xml:space="preserve">. </w:t>
      </w:r>
      <w:r w:rsidRPr="004E6CFC">
        <w:t xml:space="preserve">calculado según se establece en el numeral </w:t>
      </w:r>
      <w:r w:rsidRPr="004E6CFC">
        <w:fldChar w:fldCharType="begin"/>
      </w:r>
      <w:r w:rsidRPr="004E6CFC">
        <w:instrText xml:space="preserve"> REF _Ref460836472 \r \h  \* MERGEFORMAT </w:instrText>
      </w:r>
      <w:r w:rsidRPr="004E6CFC">
        <w:fldChar w:fldCharType="separate"/>
      </w:r>
      <w:r w:rsidR="00737178">
        <w:t>3.1.1.2.4</w:t>
      </w:r>
      <w:r w:rsidRPr="004E6CFC">
        <w:fldChar w:fldCharType="end"/>
      </w:r>
      <w:r w:rsidRPr="004E6CFC">
        <w:t>.</w:t>
      </w:r>
    </w:p>
    <w:p w:rsidR="00EF4850" w:rsidRPr="004E6CFC" w:rsidRDefault="00EF4850" w:rsidP="00EF4850">
      <w:pPr>
        <w:ind w:left="2268" w:hanging="1551"/>
      </w:pPr>
      <w:r w:rsidRPr="004E6CFC">
        <w:rPr>
          <w:i/>
          <w:iCs/>
        </w:rPr>
        <w:t>INVA</w:t>
      </w:r>
      <w:r w:rsidRPr="004E6CFC">
        <w:rPr>
          <w:i/>
          <w:iCs/>
          <w:vertAlign w:val="subscript"/>
        </w:rPr>
        <w:t>j,n,l,t</w:t>
      </w:r>
      <w:r w:rsidRPr="004E6CFC">
        <w:t>:</w:t>
      </w:r>
      <w:r w:rsidRPr="004E6CFC">
        <w:tab/>
      </w:r>
      <w:r w:rsidRPr="004E6CFC">
        <w:rPr>
          <w:iCs/>
        </w:rPr>
        <w:t xml:space="preserve">Inversión aprobada en el plan de inversiones del OR </w:t>
      </w:r>
      <w:r w:rsidRPr="004E6CFC">
        <w:rPr>
          <w:i/>
          <w:iCs/>
        </w:rPr>
        <w:t>j</w:t>
      </w:r>
      <w:r w:rsidRPr="004E6CFC">
        <w:rPr>
          <w:iCs/>
        </w:rPr>
        <w:t xml:space="preserve"> en el nivel de tensión </w:t>
      </w:r>
      <w:r w:rsidRPr="004E6CFC">
        <w:rPr>
          <w:i/>
          <w:iCs/>
        </w:rPr>
        <w:t>n</w:t>
      </w:r>
      <w:r w:rsidRPr="004E6CFC">
        <w:rPr>
          <w:iCs/>
        </w:rPr>
        <w:t xml:space="preserve"> en la categoría de activos </w:t>
      </w:r>
      <w:r w:rsidRPr="004E6CFC">
        <w:rPr>
          <w:i/>
          <w:iCs/>
        </w:rPr>
        <w:t>l</w:t>
      </w:r>
      <w:r w:rsidRPr="004E6CFC">
        <w:rPr>
          <w:iCs/>
        </w:rPr>
        <w:t xml:space="preserve"> para el año </w:t>
      </w:r>
      <w:r w:rsidRPr="004E6CFC">
        <w:rPr>
          <w:i/>
          <w:iCs/>
        </w:rPr>
        <w:t>t</w:t>
      </w:r>
      <w:r w:rsidRPr="004E6CFC">
        <w:rPr>
          <w:iCs/>
        </w:rPr>
        <w:t xml:space="preserve">,  </w:t>
      </w:r>
      <w:r w:rsidRPr="004E6CFC">
        <w:t xml:space="preserve">calculado según se establece en los numerales </w:t>
      </w:r>
      <w:r w:rsidRPr="004E6CFC">
        <w:fldChar w:fldCharType="begin"/>
      </w:r>
      <w:r w:rsidRPr="004E6CFC">
        <w:instrText xml:space="preserve"> REF _Ref443918940 \r \h  \* MERGEFORMAT </w:instrText>
      </w:r>
      <w:r w:rsidRPr="004E6CFC">
        <w:fldChar w:fldCharType="separate"/>
      </w:r>
      <w:r w:rsidR="00737178">
        <w:t>3.1.1.2.1</w:t>
      </w:r>
      <w:r w:rsidRPr="004E6CFC">
        <w:fldChar w:fldCharType="end"/>
      </w:r>
      <w:r w:rsidRPr="004E6CFC">
        <w:t xml:space="preserve"> y </w:t>
      </w:r>
      <w:r w:rsidRPr="004E6CFC">
        <w:fldChar w:fldCharType="begin"/>
      </w:r>
      <w:r w:rsidRPr="004E6CFC">
        <w:instrText xml:space="preserve"> REF _Ref443918943 \r \h  \* MERGEFORMAT </w:instrText>
      </w:r>
      <w:r w:rsidRPr="004E6CFC">
        <w:fldChar w:fldCharType="separate"/>
      </w:r>
      <w:r w:rsidR="00737178">
        <w:t>3.1.1.2.2</w:t>
      </w:r>
      <w:r w:rsidRPr="004E6CFC">
        <w:fldChar w:fldCharType="end"/>
      </w:r>
      <w:r w:rsidRPr="004E6CFC">
        <w:t>.</w:t>
      </w:r>
    </w:p>
    <w:p w:rsidR="00EF4850" w:rsidRPr="004E6CFC" w:rsidRDefault="00EF4850" w:rsidP="00EF4850">
      <w:pPr>
        <w:spacing w:before="120"/>
        <w:ind w:left="2268" w:hanging="1551"/>
        <w:rPr>
          <w:i/>
          <w:iCs/>
        </w:rPr>
      </w:pPr>
      <w:r w:rsidRPr="004E6CFC">
        <w:rPr>
          <w:i/>
          <w:iCs/>
        </w:rPr>
        <w:t>INVR</w:t>
      </w:r>
      <w:r w:rsidRPr="004E6CFC">
        <w:rPr>
          <w:i/>
          <w:iCs/>
          <w:vertAlign w:val="subscript"/>
        </w:rPr>
        <w:t>j,n,l,t</w:t>
      </w:r>
      <w:r w:rsidRPr="004E6CFC">
        <w:t>:</w:t>
      </w:r>
      <w:r w:rsidRPr="004E6CFC">
        <w:tab/>
        <w:t xml:space="preserve">Inversiones en activos puestos en operación en el sistema del OR </w:t>
      </w:r>
      <w:r w:rsidRPr="004E6CFC">
        <w:rPr>
          <w:i/>
        </w:rPr>
        <w:t xml:space="preserve">j </w:t>
      </w:r>
      <w:r w:rsidRPr="004E6CFC">
        <w:t xml:space="preserve">en el nivel de tensión </w:t>
      </w:r>
      <w:r w:rsidRPr="004E6CFC">
        <w:rPr>
          <w:i/>
          <w:iCs/>
        </w:rPr>
        <w:t xml:space="preserve">n </w:t>
      </w:r>
      <w:r w:rsidRPr="004E6CFC">
        <w:rPr>
          <w:iCs/>
        </w:rPr>
        <w:t xml:space="preserve">en la categoría de activos </w:t>
      </w:r>
      <w:r w:rsidRPr="004E6CFC">
        <w:rPr>
          <w:i/>
          <w:iCs/>
        </w:rPr>
        <w:t>l</w:t>
      </w:r>
      <w:r w:rsidRPr="004E6CFC">
        <w:rPr>
          <w:iCs/>
        </w:rPr>
        <w:t xml:space="preserve"> </w:t>
      </w:r>
      <w:r w:rsidRPr="004E6CFC">
        <w:t xml:space="preserve">durante el año </w:t>
      </w:r>
      <w:r w:rsidRPr="004E6CFC">
        <w:rPr>
          <w:i/>
        </w:rPr>
        <w:t xml:space="preserve">t, </w:t>
      </w:r>
      <w:r w:rsidRPr="004E6CFC">
        <w:t xml:space="preserve">calculado según se establece en el numeral </w:t>
      </w:r>
      <w:r w:rsidRPr="004E6CFC">
        <w:fldChar w:fldCharType="begin"/>
      </w:r>
      <w:r w:rsidRPr="004E6CFC">
        <w:instrText xml:space="preserve"> REF _Ref443918667 \r \h  \* MERGEFORMAT </w:instrText>
      </w:r>
      <w:r w:rsidRPr="004E6CFC">
        <w:fldChar w:fldCharType="separate"/>
      </w:r>
      <w:r w:rsidR="00737178">
        <w:t>3.1.1.2.3</w:t>
      </w:r>
      <w:r w:rsidRPr="004E6CFC">
        <w:fldChar w:fldCharType="end"/>
      </w:r>
      <w:r w:rsidRPr="004E6CFC">
        <w:t>.</w:t>
      </w:r>
    </w:p>
    <w:p w:rsidR="00EF4850" w:rsidRPr="004E6CFC" w:rsidRDefault="00EF4850" w:rsidP="00EF4850">
      <w:pPr>
        <w:spacing w:before="120"/>
        <w:ind w:left="2268" w:hanging="1557"/>
      </w:pPr>
      <w:r w:rsidRPr="004E6CFC">
        <w:rPr>
          <w:i/>
          <w:iCs/>
        </w:rPr>
        <w:t>NE</w:t>
      </w:r>
      <w:r w:rsidRPr="004E6CFC">
        <w:t>:</w:t>
      </w:r>
      <w:r w:rsidRPr="004E6CFC">
        <w:tab/>
        <w:t xml:space="preserve">Fracción de la base regulatoria de activos eléctricos, que se reconoce como activos no eléctricos, es igual a 0,02. </w:t>
      </w:r>
    </w:p>
    <w:p w:rsidR="00EF4850" w:rsidRPr="004E6CFC" w:rsidRDefault="00EF4850" w:rsidP="00EF4850">
      <w:pPr>
        <w:ind w:left="2268" w:hanging="1557"/>
        <w:rPr>
          <w:color w:val="000000" w:themeColor="text1"/>
        </w:rPr>
      </w:pPr>
      <w:r w:rsidRPr="004E6CFC">
        <w:rPr>
          <w:i/>
        </w:rPr>
        <w:t>VU</w:t>
      </w:r>
      <w:r w:rsidRPr="004E6CFC">
        <w:rPr>
          <w:i/>
          <w:vertAlign w:val="subscript"/>
        </w:rPr>
        <w:t>n,l</w:t>
      </w:r>
      <w:r w:rsidRPr="004E6CFC">
        <w:rPr>
          <w:color w:val="000000" w:themeColor="text1"/>
        </w:rPr>
        <w:t xml:space="preserve">: </w:t>
      </w:r>
      <w:r w:rsidRPr="004E6CFC">
        <w:rPr>
          <w:color w:val="000000" w:themeColor="text1"/>
        </w:rPr>
        <w:tab/>
        <w:t>Vida útil reconocida para las unidades constructivas del nivel de tensión</w:t>
      </w:r>
      <w:r w:rsidRPr="004E6CFC">
        <w:rPr>
          <w:i/>
          <w:color w:val="000000" w:themeColor="text1"/>
        </w:rPr>
        <w:t xml:space="preserve"> n </w:t>
      </w:r>
      <w:r w:rsidRPr="004E6CFC">
        <w:rPr>
          <w:color w:val="000000" w:themeColor="text1"/>
        </w:rPr>
        <w:t xml:space="preserve">pertenecientes a la categoría de activos </w:t>
      </w:r>
      <w:r w:rsidRPr="004E6CFC">
        <w:rPr>
          <w:i/>
          <w:color w:val="000000" w:themeColor="text1"/>
        </w:rPr>
        <w:t>l</w:t>
      </w:r>
      <w:r w:rsidRPr="004E6CFC">
        <w:rPr>
          <w:color w:val="000000" w:themeColor="text1"/>
        </w:rPr>
        <w:t>, según lo establecido en el numeral</w:t>
      </w:r>
      <w:r>
        <w:rPr>
          <w:color w:val="000000" w:themeColor="text1"/>
        </w:rPr>
        <w:t xml:space="preserve"> </w:t>
      </w:r>
      <w:r>
        <w:rPr>
          <w:color w:val="000000" w:themeColor="text1"/>
        </w:rPr>
        <w:fldChar w:fldCharType="begin"/>
      </w:r>
      <w:r>
        <w:rPr>
          <w:color w:val="000000" w:themeColor="text1"/>
        </w:rPr>
        <w:instrText xml:space="preserve"> REF _Ref504809522 \r \h </w:instrText>
      </w:r>
      <w:r>
        <w:rPr>
          <w:color w:val="000000" w:themeColor="text1"/>
        </w:rPr>
      </w:r>
      <w:r>
        <w:rPr>
          <w:color w:val="000000" w:themeColor="text1"/>
        </w:rPr>
        <w:fldChar w:fldCharType="separate"/>
      </w:r>
      <w:r w:rsidR="00737178">
        <w:rPr>
          <w:color w:val="000000" w:themeColor="text1"/>
        </w:rPr>
        <w:t>3.2.4</w:t>
      </w:r>
      <w:r>
        <w:rPr>
          <w:color w:val="000000" w:themeColor="text1"/>
        </w:rPr>
        <w:fldChar w:fldCharType="end"/>
      </w:r>
      <w:r w:rsidRPr="004E6CFC">
        <w:rPr>
          <w:color w:val="000000" w:themeColor="text1"/>
        </w:rPr>
        <w:t>.</w:t>
      </w:r>
    </w:p>
    <w:p w:rsidR="00EF4850" w:rsidRDefault="00EF4850" w:rsidP="00EF4850">
      <w:pPr>
        <w:ind w:left="1692" w:hanging="1692"/>
      </w:pPr>
      <w:r w:rsidRPr="004E6CFC">
        <w:rPr>
          <w:i/>
          <w:iCs/>
        </w:rPr>
        <w:t>BRAFO</w:t>
      </w:r>
      <w:r>
        <w:rPr>
          <w:i/>
          <w:iCs/>
        </w:rPr>
        <w:t>AN</w:t>
      </w:r>
      <w:r w:rsidRPr="004E6CFC">
        <w:rPr>
          <w:i/>
          <w:iCs/>
          <w:vertAlign w:val="subscript"/>
        </w:rPr>
        <w:t>j,n,t</w:t>
      </w:r>
      <w:r w:rsidRPr="004E6CFC">
        <w:t>:</w:t>
      </w:r>
      <w:r w:rsidRPr="004E6CFC">
        <w:tab/>
      </w:r>
      <w:r>
        <w:tab/>
      </w:r>
      <w:r w:rsidRPr="004E6CFC">
        <w:t xml:space="preserve">Base regulatoria de activos eléctricos fuera de operación en el sistema del OR </w:t>
      </w:r>
      <w:r w:rsidRPr="004E6CFC">
        <w:rPr>
          <w:i/>
        </w:rPr>
        <w:t>j</w:t>
      </w:r>
      <w:r w:rsidRPr="004E6CFC">
        <w:t xml:space="preserve"> en el  nivel de tensión </w:t>
      </w:r>
      <w:r w:rsidRPr="004E6CFC">
        <w:rPr>
          <w:i/>
          <w:iCs/>
        </w:rPr>
        <w:t xml:space="preserve">n </w:t>
      </w:r>
      <w:r w:rsidRPr="004E6CFC">
        <w:t xml:space="preserve">para el año </w:t>
      </w:r>
      <w:r w:rsidRPr="004E6CFC">
        <w:rPr>
          <w:i/>
        </w:rPr>
        <w:t>t</w:t>
      </w:r>
      <w:r>
        <w:t xml:space="preserve">, </w:t>
      </w:r>
      <w:r w:rsidRPr="004E6CFC">
        <w:t xml:space="preserve">calculado </w:t>
      </w:r>
      <w:r w:rsidRPr="004E6CFC">
        <w:lastRenderedPageBreak/>
        <w:t>de acuerdo con lo establecido en el numeral</w:t>
      </w:r>
      <w:r>
        <w:t xml:space="preserve"> </w:t>
      </w:r>
      <w:r>
        <w:fldChar w:fldCharType="begin"/>
      </w:r>
      <w:r>
        <w:instrText xml:space="preserve"> REF _Ref404081440 \r \h </w:instrText>
      </w:r>
      <w:r>
        <w:fldChar w:fldCharType="separate"/>
      </w:r>
      <w:r w:rsidR="00737178">
        <w:t>3.1.1.4</w:t>
      </w:r>
      <w:r>
        <w:fldChar w:fldCharType="end"/>
      </w:r>
      <w:r>
        <w:t xml:space="preserve"> para los activos que hacen parte de la base regulatoria de activos eléctricos nuevos</w:t>
      </w:r>
      <w:r w:rsidRPr="004E6CFC">
        <w:t>.</w:t>
      </w:r>
    </w:p>
    <w:p w:rsidR="00EF4850" w:rsidRPr="004E6CFC" w:rsidRDefault="00EF4850" w:rsidP="00EF4850">
      <w:pPr>
        <w:ind w:left="1418" w:hanging="1418"/>
        <w:rPr>
          <w:i/>
        </w:rPr>
      </w:pPr>
      <w:r w:rsidRPr="004E6CFC">
        <w:rPr>
          <w:i/>
        </w:rPr>
        <w:t>T</w:t>
      </w:r>
      <w:r w:rsidRPr="004E6CFC">
        <w:t>:</w:t>
      </w:r>
      <w:r w:rsidRPr="004E6CFC">
        <w:tab/>
      </w:r>
      <w:r>
        <w:tab/>
      </w:r>
      <w:r>
        <w:tab/>
      </w:r>
      <w:r>
        <w:tab/>
      </w:r>
      <w:r w:rsidRPr="004E6CFC">
        <w:t>Años de aplicación de la metodología definida en esta resolución.</w:t>
      </w:r>
    </w:p>
    <w:p w:rsidR="00EF4850" w:rsidRPr="004E6CFC" w:rsidRDefault="00EF4850" w:rsidP="00EF4850">
      <w:pPr>
        <w:tabs>
          <w:tab w:val="left" w:pos="1418"/>
        </w:tabs>
        <w:spacing w:before="120"/>
        <w:ind w:left="1695" w:hanging="1695"/>
      </w:pPr>
      <w:r>
        <w:rPr>
          <w:i/>
          <w:iCs/>
        </w:rPr>
        <w:t>l</w:t>
      </w:r>
      <w:r w:rsidRPr="004E6CFC">
        <w:rPr>
          <w:i/>
          <w:iCs/>
        </w:rPr>
        <w:t>:</w:t>
      </w:r>
      <w:r w:rsidRPr="004E6CFC">
        <w:t xml:space="preserve"> </w:t>
      </w:r>
      <w:r w:rsidRPr="004E6CFC">
        <w:tab/>
      </w:r>
      <w:r>
        <w:tab/>
      </w:r>
      <w:r w:rsidRPr="004E6CFC">
        <w:t>Ca</w:t>
      </w:r>
      <w:r>
        <w:t xml:space="preserve">tegoría de activos, </w:t>
      </w:r>
      <w:r w:rsidRPr="00CA5A76">
        <w:rPr>
          <w:i/>
        </w:rPr>
        <w:t xml:space="preserve">l </w:t>
      </w:r>
      <w:r w:rsidRPr="00CA5A76">
        <w:t>toma los valores de 11</w:t>
      </w:r>
      <w:r>
        <w:t xml:space="preserve"> o </w:t>
      </w:r>
      <w:r w:rsidRPr="00CA5A76">
        <w:t>12</w:t>
      </w:r>
      <w:r>
        <w:t xml:space="preserve"> para el nivel de tensión 1</w:t>
      </w:r>
      <w:r w:rsidRPr="004E6CFC">
        <w:t>.</w:t>
      </w:r>
    </w:p>
    <w:p w:rsidR="00EF4850" w:rsidRPr="004E6CFC" w:rsidRDefault="00EF4850" w:rsidP="00EF4850">
      <w:pPr>
        <w:tabs>
          <w:tab w:val="left" w:pos="1418"/>
        </w:tabs>
        <w:spacing w:before="120"/>
        <w:ind w:left="1695" w:hanging="1695"/>
      </w:pPr>
      <w:r w:rsidRPr="004E6CFC">
        <w:rPr>
          <w:i/>
          <w:iCs/>
        </w:rPr>
        <w:t>L</w:t>
      </w:r>
      <w:r w:rsidRPr="004E6CFC">
        <w:rPr>
          <w:i/>
          <w:iCs/>
          <w:vertAlign w:val="subscript"/>
        </w:rPr>
        <w:t>n</w:t>
      </w:r>
      <w:r w:rsidRPr="004E6CFC">
        <w:rPr>
          <w:i/>
          <w:iCs/>
        </w:rPr>
        <w:t>:</w:t>
      </w:r>
      <w:r w:rsidRPr="004E6CFC">
        <w:t xml:space="preserve"> </w:t>
      </w:r>
      <w:r w:rsidRPr="004E6CFC">
        <w:tab/>
      </w:r>
      <w:r>
        <w:tab/>
      </w:r>
      <w:r w:rsidRPr="004E6CFC">
        <w:t xml:space="preserve">Cantidad de categorías de activos en el nivel de tensión </w:t>
      </w:r>
      <w:r w:rsidRPr="004E6CFC">
        <w:rPr>
          <w:i/>
        </w:rPr>
        <w:t>n</w:t>
      </w:r>
      <w:r>
        <w:rPr>
          <w:i/>
        </w:rPr>
        <w:t xml:space="preserve">. </w:t>
      </w:r>
      <w:r w:rsidRPr="004E6CFC">
        <w:rPr>
          <w:i/>
          <w:iCs/>
        </w:rPr>
        <w:t>L</w:t>
      </w:r>
      <w:r>
        <w:rPr>
          <w:i/>
          <w:iCs/>
          <w:vertAlign w:val="subscript"/>
        </w:rPr>
        <w:t>1</w:t>
      </w:r>
      <w:r w:rsidRPr="00CA5A76">
        <w:rPr>
          <w:i/>
        </w:rPr>
        <w:t xml:space="preserve"> </w:t>
      </w:r>
      <w:r w:rsidRPr="00CA5A76">
        <w:t xml:space="preserve">toma </w:t>
      </w:r>
      <w:r>
        <w:t xml:space="preserve">el </w:t>
      </w:r>
      <w:r w:rsidRPr="00CA5A76">
        <w:t>valo</w:t>
      </w:r>
      <w:r>
        <w:t>r</w:t>
      </w:r>
      <w:r w:rsidRPr="00CA5A76">
        <w:t xml:space="preserve"> de </w:t>
      </w:r>
      <w:r>
        <w:t>1</w:t>
      </w:r>
      <w:r w:rsidRPr="00CA5A76">
        <w:t>2</w:t>
      </w:r>
      <w:r>
        <w:t>.</w:t>
      </w:r>
    </w:p>
    <w:p w:rsidR="00EF4850" w:rsidRPr="004E6CFC" w:rsidRDefault="00EF4850" w:rsidP="00EF4850">
      <w:r w:rsidRPr="004E6CFC">
        <w:t xml:space="preserve">La recuperación de capital de los activos pertenecientes a una categoría </w:t>
      </w:r>
      <w:r w:rsidRPr="004E6CFC">
        <w:rPr>
          <w:i/>
        </w:rPr>
        <w:t>l</w:t>
      </w:r>
      <w:r w:rsidRPr="004E6CFC">
        <w:t xml:space="preserve"> aplica únicamente durante </w:t>
      </w:r>
      <w:r>
        <w:t xml:space="preserve">el periodo </w:t>
      </w:r>
      <w:r w:rsidR="007B2CBB">
        <w:t>correspondiente</w:t>
      </w:r>
      <w:r>
        <w:t xml:space="preserve"> a </w:t>
      </w:r>
      <w:r w:rsidRPr="004E6CFC">
        <w:t xml:space="preserve">la vida útil reconocida, </w:t>
      </w:r>
      <w:r w:rsidRPr="004E6CFC">
        <w:rPr>
          <w:i/>
        </w:rPr>
        <w:t>VU</w:t>
      </w:r>
      <w:r w:rsidRPr="004E6CFC">
        <w:rPr>
          <w:i/>
          <w:vertAlign w:val="subscript"/>
        </w:rPr>
        <w:t>n,l</w:t>
      </w:r>
      <w:r w:rsidRPr="004E6CFC">
        <w:rPr>
          <w:i/>
        </w:rPr>
        <w:t>.</w:t>
      </w:r>
    </w:p>
    <w:p w:rsidR="00EF4850" w:rsidRPr="004E6CFC" w:rsidRDefault="00EF4850" w:rsidP="00EF4850">
      <w:pPr>
        <w:pStyle w:val="Ttulo3"/>
      </w:pPr>
      <w:bookmarkStart w:id="197" w:name="_Toc504809409"/>
      <w:bookmarkStart w:id="198" w:name="_Toc505335914"/>
      <w:bookmarkStart w:id="199" w:name="_Ref460579299"/>
      <w:r w:rsidRPr="004E6CFC">
        <w:t>Ajuste de la recuperación de capital al final del periodo tarifario</w:t>
      </w:r>
      <w:bookmarkEnd w:id="197"/>
      <w:bookmarkEnd w:id="198"/>
    </w:p>
    <w:p w:rsidR="00EF4850" w:rsidRPr="004E6CFC" w:rsidRDefault="00EF4850" w:rsidP="00EF4850">
      <w:pPr>
        <w:rPr>
          <w:color w:val="000000" w:themeColor="text1"/>
        </w:rPr>
      </w:pPr>
      <w:r w:rsidRPr="004E6CFC">
        <w:t>Al final del periodo tarifario debe calcularse la diferencia entre la recuperación de capital total reconocida y la recuperación de capital asociada con las inversiones puestas en operación durante el periodo tarifario. Este valor se debe utilizar para ajustar la remuneración de las inversiones al inicio del siguiente periodo tarifario.</w:t>
      </w:r>
    </w:p>
    <w:p w:rsidR="00EF4850" w:rsidRPr="004E6CFC" w:rsidRDefault="00EF4850" w:rsidP="00EF4850">
      <w:pPr>
        <w:pStyle w:val="Ttulo3"/>
      </w:pPr>
      <w:bookmarkStart w:id="200" w:name="_Toc504809410"/>
      <w:bookmarkStart w:id="201" w:name="_Ref504809522"/>
      <w:bookmarkStart w:id="202" w:name="_Ref504810261"/>
      <w:bookmarkStart w:id="203" w:name="_Toc505335915"/>
      <w:r w:rsidRPr="004E6CFC">
        <w:t>Vida útil reconocida por categoría de activos</w:t>
      </w:r>
      <w:bookmarkEnd w:id="199"/>
      <w:bookmarkEnd w:id="200"/>
      <w:bookmarkEnd w:id="201"/>
      <w:bookmarkEnd w:id="202"/>
      <w:bookmarkEnd w:id="203"/>
    </w:p>
    <w:p w:rsidR="00EF4850" w:rsidRPr="004E6CFC" w:rsidRDefault="00EF4850" w:rsidP="00EF4850">
      <w:pPr>
        <w:rPr>
          <w:lang w:val="es-CO"/>
        </w:rPr>
      </w:pPr>
      <w:bookmarkStart w:id="204" w:name="_Toc460840161"/>
      <w:bookmarkStart w:id="205" w:name="_Toc460840575"/>
      <w:bookmarkStart w:id="206" w:name="_Toc460840162"/>
      <w:bookmarkStart w:id="207" w:name="_Toc460840576"/>
      <w:bookmarkStart w:id="208" w:name="_Toc460840163"/>
      <w:bookmarkStart w:id="209" w:name="_Toc460840577"/>
      <w:bookmarkStart w:id="210" w:name="_Ref398642950"/>
      <w:bookmarkStart w:id="211" w:name="_Toc408493143"/>
      <w:bookmarkEnd w:id="204"/>
      <w:bookmarkEnd w:id="205"/>
      <w:bookmarkEnd w:id="206"/>
      <w:bookmarkEnd w:id="207"/>
      <w:bookmarkEnd w:id="208"/>
      <w:bookmarkEnd w:id="209"/>
      <w:r w:rsidRPr="004E6CFC">
        <w:rPr>
          <w:lang w:val="es-CO"/>
        </w:rPr>
        <w:t xml:space="preserve">En las siguientes tablas se define la vida útil reconocida para las diferentes categorías de activos: </w:t>
      </w:r>
    </w:p>
    <w:p w:rsidR="00EF4850" w:rsidRDefault="00EF4850" w:rsidP="00EF4850">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3</w:t>
      </w:r>
      <w:r w:rsidRPr="004E6CFC">
        <w:fldChar w:fldCharType="end"/>
      </w:r>
      <w:r w:rsidRPr="004E6CFC">
        <w:t xml:space="preserve"> Vida útil para las </w:t>
      </w:r>
      <w:r w:rsidR="007B2CBB" w:rsidRPr="004E6CFC">
        <w:t>categorías</w:t>
      </w:r>
      <w:r w:rsidRPr="004E6CFC">
        <w:t xml:space="preserve"> </w:t>
      </w:r>
      <w:r w:rsidR="000779D4">
        <w:t xml:space="preserve">de activos por </w:t>
      </w:r>
      <w:r w:rsidRPr="004E6CFC">
        <w:t xml:space="preserve">nivel de tensión </w:t>
      </w:r>
    </w:p>
    <w:tbl>
      <w:tblPr>
        <w:tblW w:w="9380" w:type="dxa"/>
        <w:tblLayout w:type="fixed"/>
        <w:tblCellMar>
          <w:left w:w="70" w:type="dxa"/>
          <w:right w:w="70" w:type="dxa"/>
        </w:tblCellMar>
        <w:tblLook w:val="04A0" w:firstRow="1" w:lastRow="0" w:firstColumn="1" w:lastColumn="0" w:noHBand="0" w:noVBand="1"/>
      </w:tblPr>
      <w:tblGrid>
        <w:gridCol w:w="1696"/>
        <w:gridCol w:w="3828"/>
        <w:gridCol w:w="964"/>
        <w:gridCol w:w="964"/>
        <w:gridCol w:w="964"/>
        <w:gridCol w:w="964"/>
      </w:tblGrid>
      <w:tr w:rsidR="00EF4850" w:rsidRPr="00B206EA" w:rsidTr="00582E01">
        <w:trPr>
          <w:trHeight w:val="510"/>
        </w:trPr>
        <w:tc>
          <w:tcPr>
            <w:tcW w:w="169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b/>
                <w:bCs/>
                <w:color w:val="000000"/>
                <w:sz w:val="20"/>
                <w:szCs w:val="20"/>
                <w:lang w:val="es-CO" w:eastAsia="es-CO"/>
              </w:rPr>
            </w:pPr>
            <w:r w:rsidRPr="00B206EA">
              <w:rPr>
                <w:rFonts w:cs="Arial"/>
                <w:b/>
                <w:bCs/>
                <w:color w:val="000000"/>
                <w:sz w:val="20"/>
                <w:szCs w:val="20"/>
                <w:lang w:val="es-CO" w:eastAsia="es-CO"/>
              </w:rPr>
              <w:t xml:space="preserve">CATEGORÍA DE ACTIVOS </w:t>
            </w:r>
            <w:r w:rsidRPr="00B206EA">
              <w:rPr>
                <w:rFonts w:cs="Arial"/>
                <w:b/>
                <w:bCs/>
                <w:i/>
                <w:iCs/>
                <w:color w:val="000000"/>
                <w:sz w:val="20"/>
                <w:szCs w:val="20"/>
                <w:lang w:val="es-CO" w:eastAsia="es-CO"/>
              </w:rPr>
              <w:t>l</w:t>
            </w:r>
          </w:p>
        </w:tc>
        <w:tc>
          <w:tcPr>
            <w:tcW w:w="3828" w:type="dxa"/>
            <w:tcBorders>
              <w:top w:val="single" w:sz="4" w:space="0" w:color="auto"/>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b/>
                <w:bCs/>
                <w:color w:val="000000"/>
                <w:sz w:val="20"/>
                <w:szCs w:val="20"/>
                <w:lang w:val="es-CO" w:eastAsia="es-CO"/>
              </w:rPr>
            </w:pPr>
            <w:r w:rsidRPr="00B206EA">
              <w:rPr>
                <w:rFonts w:cs="Arial"/>
                <w:b/>
                <w:bCs/>
                <w:color w:val="000000"/>
                <w:sz w:val="20"/>
                <w:szCs w:val="20"/>
                <w:lang w:val="es-CO" w:eastAsia="es-CO"/>
              </w:rPr>
              <w:t>DESCRIPCIÓN CATEGORÍA DE ACTIVOS</w:t>
            </w:r>
          </w:p>
        </w:tc>
        <w:tc>
          <w:tcPr>
            <w:tcW w:w="964" w:type="dxa"/>
            <w:tcBorders>
              <w:top w:val="single" w:sz="4" w:space="0" w:color="auto"/>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b/>
                <w:bCs/>
                <w:color w:val="000000"/>
                <w:sz w:val="20"/>
                <w:szCs w:val="20"/>
                <w:lang w:val="es-CO" w:eastAsia="es-CO"/>
              </w:rPr>
            </w:pPr>
            <w:r>
              <w:rPr>
                <w:rFonts w:cs="Arial"/>
                <w:b/>
                <w:bCs/>
                <w:color w:val="000000"/>
                <w:sz w:val="20"/>
                <w:szCs w:val="20"/>
                <w:lang w:val="es-CO" w:eastAsia="es-CO"/>
              </w:rPr>
              <w:t>VU</w:t>
            </w:r>
            <w:r w:rsidRPr="00B206EA">
              <w:rPr>
                <w:rFonts w:cs="Arial"/>
                <w:b/>
                <w:bCs/>
                <w:i/>
                <w:iCs/>
                <w:color w:val="000000"/>
                <w:sz w:val="20"/>
                <w:szCs w:val="20"/>
                <w:vertAlign w:val="subscript"/>
                <w:lang w:val="es-CO" w:eastAsia="es-CO"/>
              </w:rPr>
              <w:t>1,l</w:t>
            </w:r>
          </w:p>
        </w:tc>
        <w:tc>
          <w:tcPr>
            <w:tcW w:w="964" w:type="dxa"/>
            <w:tcBorders>
              <w:top w:val="single" w:sz="4" w:space="0" w:color="auto"/>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b/>
                <w:bCs/>
                <w:color w:val="000000"/>
                <w:sz w:val="20"/>
                <w:szCs w:val="20"/>
                <w:lang w:val="es-CO" w:eastAsia="es-CO"/>
              </w:rPr>
            </w:pPr>
            <w:r>
              <w:rPr>
                <w:rFonts w:cs="Arial"/>
                <w:b/>
                <w:bCs/>
                <w:color w:val="000000"/>
                <w:sz w:val="20"/>
                <w:szCs w:val="20"/>
                <w:lang w:val="es-CO" w:eastAsia="es-CO"/>
              </w:rPr>
              <w:t>VU</w:t>
            </w:r>
            <w:r w:rsidRPr="00B206EA">
              <w:rPr>
                <w:rFonts w:cs="Arial"/>
                <w:b/>
                <w:bCs/>
                <w:i/>
                <w:iCs/>
                <w:color w:val="000000"/>
                <w:sz w:val="20"/>
                <w:szCs w:val="20"/>
                <w:vertAlign w:val="subscript"/>
                <w:lang w:val="es-CO" w:eastAsia="es-CO"/>
              </w:rPr>
              <w:t>2,l</w:t>
            </w:r>
          </w:p>
        </w:tc>
        <w:tc>
          <w:tcPr>
            <w:tcW w:w="964" w:type="dxa"/>
            <w:tcBorders>
              <w:top w:val="single" w:sz="4" w:space="0" w:color="auto"/>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b/>
                <w:bCs/>
                <w:color w:val="000000"/>
                <w:sz w:val="20"/>
                <w:szCs w:val="20"/>
                <w:lang w:val="es-CO" w:eastAsia="es-CO"/>
              </w:rPr>
            </w:pPr>
            <w:r>
              <w:rPr>
                <w:rFonts w:cs="Arial"/>
                <w:b/>
                <w:bCs/>
                <w:color w:val="000000"/>
                <w:sz w:val="20"/>
                <w:szCs w:val="20"/>
                <w:lang w:val="es-CO" w:eastAsia="es-CO"/>
              </w:rPr>
              <w:t>VU</w:t>
            </w:r>
            <w:r w:rsidRPr="00B206EA">
              <w:rPr>
                <w:rFonts w:cs="Arial"/>
                <w:b/>
                <w:bCs/>
                <w:i/>
                <w:iCs/>
                <w:color w:val="000000"/>
                <w:sz w:val="20"/>
                <w:szCs w:val="20"/>
                <w:vertAlign w:val="subscript"/>
                <w:lang w:val="es-CO" w:eastAsia="es-CO"/>
              </w:rPr>
              <w:t>3,l</w:t>
            </w:r>
          </w:p>
        </w:tc>
        <w:tc>
          <w:tcPr>
            <w:tcW w:w="964" w:type="dxa"/>
            <w:tcBorders>
              <w:top w:val="single" w:sz="4" w:space="0" w:color="auto"/>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b/>
                <w:bCs/>
                <w:color w:val="000000"/>
                <w:sz w:val="20"/>
                <w:szCs w:val="20"/>
                <w:lang w:val="es-CO" w:eastAsia="es-CO"/>
              </w:rPr>
            </w:pPr>
            <w:r>
              <w:rPr>
                <w:rFonts w:cs="Arial"/>
                <w:b/>
                <w:bCs/>
                <w:color w:val="000000"/>
                <w:sz w:val="20"/>
                <w:szCs w:val="20"/>
                <w:lang w:val="es-CO" w:eastAsia="es-CO"/>
              </w:rPr>
              <w:t>VU</w:t>
            </w:r>
            <w:r w:rsidRPr="00B206EA">
              <w:rPr>
                <w:rFonts w:cs="Arial"/>
                <w:b/>
                <w:bCs/>
                <w:i/>
                <w:iCs/>
                <w:color w:val="000000"/>
                <w:sz w:val="20"/>
                <w:szCs w:val="20"/>
                <w:vertAlign w:val="subscript"/>
                <w:lang w:val="es-CO" w:eastAsia="es-CO"/>
              </w:rPr>
              <w:t>4,l</w:t>
            </w:r>
          </w:p>
        </w:tc>
      </w:tr>
      <w:tr w:rsidR="00EF4850" w:rsidRPr="00B206EA" w:rsidTr="00582E01">
        <w:trPr>
          <w:trHeight w:val="300"/>
        </w:trPr>
        <w:tc>
          <w:tcPr>
            <w:tcW w:w="1696" w:type="dxa"/>
            <w:tcBorders>
              <w:top w:val="nil"/>
              <w:left w:val="single" w:sz="4" w:space="0" w:color="auto"/>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1</w:t>
            </w:r>
          </w:p>
        </w:tc>
        <w:tc>
          <w:tcPr>
            <w:tcW w:w="3828"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left"/>
              <w:rPr>
                <w:rFonts w:cs="Arial"/>
                <w:color w:val="000000"/>
                <w:sz w:val="20"/>
                <w:szCs w:val="20"/>
                <w:lang w:val="es-CO" w:eastAsia="es-CO"/>
              </w:rPr>
            </w:pPr>
            <w:r w:rsidRPr="00B206EA">
              <w:rPr>
                <w:rFonts w:cs="Arial"/>
                <w:color w:val="000000"/>
                <w:sz w:val="20"/>
                <w:szCs w:val="20"/>
                <w:lang w:val="es-CO" w:eastAsia="es-CO"/>
              </w:rPr>
              <w:t>Transformadores de potencia</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sidRPr="004E6CFC">
              <w:rPr>
                <w:rFonts w:cs="Arial"/>
                <w:color w:val="000000"/>
                <w:sz w:val="20"/>
                <w:szCs w:val="20"/>
                <w:lang w:val="es-CO" w:eastAsia="es-CO"/>
              </w:rPr>
              <w:t>35</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35</w:t>
            </w:r>
          </w:p>
        </w:tc>
      </w:tr>
      <w:tr w:rsidR="00EF4850" w:rsidRPr="00B206EA" w:rsidTr="00582E01">
        <w:trPr>
          <w:trHeight w:val="300"/>
        </w:trPr>
        <w:tc>
          <w:tcPr>
            <w:tcW w:w="1696" w:type="dxa"/>
            <w:tcBorders>
              <w:top w:val="nil"/>
              <w:left w:val="single" w:sz="4" w:space="0" w:color="auto"/>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2</w:t>
            </w:r>
          </w:p>
        </w:tc>
        <w:tc>
          <w:tcPr>
            <w:tcW w:w="3828"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left"/>
              <w:rPr>
                <w:rFonts w:cs="Arial"/>
                <w:color w:val="000000"/>
                <w:sz w:val="20"/>
                <w:szCs w:val="20"/>
                <w:lang w:val="es-CO" w:eastAsia="es-CO"/>
              </w:rPr>
            </w:pPr>
            <w:r w:rsidRPr="00B206EA">
              <w:rPr>
                <w:rFonts w:cs="Arial"/>
                <w:color w:val="000000"/>
                <w:sz w:val="20"/>
                <w:szCs w:val="20"/>
                <w:lang w:val="es-CO" w:eastAsia="es-CO"/>
              </w:rPr>
              <w:t>Compensaciones</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sidRPr="004E6CFC">
              <w:rPr>
                <w:rFonts w:cs="Arial"/>
                <w:color w:val="000000"/>
                <w:sz w:val="20"/>
                <w:szCs w:val="20"/>
                <w:lang w:val="es-CO" w:eastAsia="es-CO"/>
              </w:rPr>
              <w:t>35</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sidRPr="004E6CFC">
              <w:rPr>
                <w:rFonts w:cs="Arial"/>
                <w:color w:val="000000"/>
                <w:sz w:val="20"/>
                <w:szCs w:val="20"/>
                <w:lang w:val="es-CO" w:eastAsia="es-CO"/>
              </w:rPr>
              <w:t>35</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35</w:t>
            </w:r>
          </w:p>
        </w:tc>
      </w:tr>
      <w:tr w:rsidR="00EF4850" w:rsidRPr="00B206EA" w:rsidTr="00582E01">
        <w:trPr>
          <w:trHeight w:val="300"/>
        </w:trPr>
        <w:tc>
          <w:tcPr>
            <w:tcW w:w="1696" w:type="dxa"/>
            <w:tcBorders>
              <w:top w:val="nil"/>
              <w:left w:val="single" w:sz="4" w:space="0" w:color="auto"/>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3</w:t>
            </w:r>
          </w:p>
        </w:tc>
        <w:tc>
          <w:tcPr>
            <w:tcW w:w="3828"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left"/>
              <w:rPr>
                <w:rFonts w:cs="Arial"/>
                <w:color w:val="000000"/>
                <w:sz w:val="20"/>
                <w:szCs w:val="20"/>
                <w:lang w:val="es-CO" w:eastAsia="es-CO"/>
              </w:rPr>
            </w:pPr>
            <w:r w:rsidRPr="00B206EA">
              <w:rPr>
                <w:rFonts w:cs="Arial"/>
                <w:color w:val="000000"/>
                <w:sz w:val="20"/>
                <w:szCs w:val="20"/>
                <w:lang w:val="es-CO" w:eastAsia="es-CO"/>
              </w:rPr>
              <w:t>Bahías y celdas</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sidRPr="004E6CFC">
              <w:rPr>
                <w:rFonts w:cs="Arial"/>
                <w:color w:val="000000"/>
                <w:sz w:val="20"/>
                <w:szCs w:val="20"/>
                <w:lang w:val="es-CO" w:eastAsia="es-CO"/>
              </w:rPr>
              <w:t>35</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sidRPr="004E6CFC">
              <w:rPr>
                <w:rFonts w:cs="Arial"/>
                <w:color w:val="000000"/>
                <w:sz w:val="20"/>
                <w:szCs w:val="20"/>
                <w:lang w:val="es-CO" w:eastAsia="es-CO"/>
              </w:rPr>
              <w:t>35</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35</w:t>
            </w:r>
          </w:p>
        </w:tc>
      </w:tr>
      <w:tr w:rsidR="00EF4850" w:rsidRPr="00B206EA" w:rsidTr="00582E01">
        <w:trPr>
          <w:trHeight w:val="300"/>
        </w:trPr>
        <w:tc>
          <w:tcPr>
            <w:tcW w:w="1696" w:type="dxa"/>
            <w:tcBorders>
              <w:top w:val="nil"/>
              <w:left w:val="single" w:sz="4" w:space="0" w:color="auto"/>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4</w:t>
            </w:r>
          </w:p>
        </w:tc>
        <w:tc>
          <w:tcPr>
            <w:tcW w:w="3828"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left"/>
              <w:rPr>
                <w:rFonts w:cs="Arial"/>
                <w:color w:val="000000"/>
                <w:sz w:val="20"/>
                <w:szCs w:val="20"/>
                <w:lang w:val="es-CO" w:eastAsia="es-CO"/>
              </w:rPr>
            </w:pPr>
            <w:r w:rsidRPr="00B206EA">
              <w:rPr>
                <w:rFonts w:cs="Arial"/>
                <w:color w:val="000000"/>
                <w:sz w:val="20"/>
                <w:szCs w:val="20"/>
                <w:lang w:val="es-CO" w:eastAsia="es-CO"/>
              </w:rPr>
              <w:t>Equipos de control y comunicaciones</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sidRPr="004E6CFC">
              <w:rPr>
                <w:rFonts w:cs="Arial"/>
                <w:color w:val="000000"/>
                <w:sz w:val="20"/>
                <w:szCs w:val="20"/>
                <w:lang w:val="es-CO" w:eastAsia="es-CO"/>
              </w:rPr>
              <w:t>10</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sidRPr="004E6CFC">
              <w:rPr>
                <w:rFonts w:cs="Arial"/>
                <w:color w:val="000000"/>
                <w:sz w:val="20"/>
                <w:szCs w:val="20"/>
                <w:lang w:val="es-CO" w:eastAsia="es-CO"/>
              </w:rPr>
              <w:t>10</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10</w:t>
            </w:r>
          </w:p>
        </w:tc>
      </w:tr>
      <w:tr w:rsidR="00EF4850" w:rsidRPr="00B206EA" w:rsidTr="00582E01">
        <w:trPr>
          <w:trHeight w:val="300"/>
        </w:trPr>
        <w:tc>
          <w:tcPr>
            <w:tcW w:w="1696" w:type="dxa"/>
            <w:tcBorders>
              <w:top w:val="nil"/>
              <w:left w:val="single" w:sz="4" w:space="0" w:color="auto"/>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5</w:t>
            </w:r>
          </w:p>
        </w:tc>
        <w:tc>
          <w:tcPr>
            <w:tcW w:w="3828"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left"/>
              <w:rPr>
                <w:rFonts w:cs="Arial"/>
                <w:color w:val="000000"/>
                <w:sz w:val="20"/>
                <w:szCs w:val="20"/>
                <w:lang w:val="es-CO" w:eastAsia="es-CO"/>
              </w:rPr>
            </w:pPr>
            <w:r w:rsidRPr="00B206EA">
              <w:rPr>
                <w:rFonts w:cs="Arial"/>
                <w:color w:val="000000"/>
                <w:sz w:val="20"/>
                <w:szCs w:val="20"/>
                <w:lang w:val="es-CO" w:eastAsia="es-CO"/>
              </w:rPr>
              <w:t>Equipos de subestación</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sidRPr="004E6CFC">
              <w:rPr>
                <w:rFonts w:cs="Arial"/>
                <w:color w:val="000000"/>
                <w:sz w:val="20"/>
                <w:szCs w:val="20"/>
                <w:lang w:val="es-CO" w:eastAsia="es-CO"/>
              </w:rPr>
              <w:t>35</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sidRPr="004E6CFC">
              <w:rPr>
                <w:rFonts w:cs="Arial"/>
                <w:color w:val="000000"/>
                <w:sz w:val="20"/>
                <w:szCs w:val="20"/>
                <w:lang w:val="es-CO" w:eastAsia="es-CO"/>
              </w:rPr>
              <w:t>35</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35</w:t>
            </w:r>
          </w:p>
        </w:tc>
      </w:tr>
      <w:tr w:rsidR="00EF4850" w:rsidRPr="00B206EA" w:rsidTr="00582E01">
        <w:trPr>
          <w:trHeight w:val="300"/>
        </w:trPr>
        <w:tc>
          <w:tcPr>
            <w:tcW w:w="1696" w:type="dxa"/>
            <w:tcBorders>
              <w:top w:val="nil"/>
              <w:left w:val="single" w:sz="4" w:space="0" w:color="auto"/>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6</w:t>
            </w:r>
          </w:p>
        </w:tc>
        <w:tc>
          <w:tcPr>
            <w:tcW w:w="3828"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left"/>
              <w:rPr>
                <w:rFonts w:cs="Arial"/>
                <w:color w:val="000000"/>
                <w:sz w:val="20"/>
                <w:szCs w:val="20"/>
                <w:lang w:val="es-CO" w:eastAsia="es-CO"/>
              </w:rPr>
            </w:pPr>
            <w:r w:rsidRPr="00B206EA">
              <w:rPr>
                <w:rFonts w:cs="Arial"/>
                <w:color w:val="000000"/>
                <w:sz w:val="20"/>
                <w:szCs w:val="20"/>
                <w:lang w:val="es-CO" w:eastAsia="es-CO"/>
              </w:rPr>
              <w:t>Otros activos subestación</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sidRPr="004E6CFC">
              <w:rPr>
                <w:rFonts w:cs="Arial"/>
                <w:color w:val="000000"/>
                <w:sz w:val="20"/>
                <w:szCs w:val="20"/>
                <w:lang w:val="es-CO" w:eastAsia="es-CO"/>
              </w:rPr>
              <w:t>45</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sidRPr="004E6CFC">
              <w:rPr>
                <w:rFonts w:cs="Arial"/>
                <w:color w:val="000000"/>
                <w:sz w:val="20"/>
                <w:szCs w:val="20"/>
                <w:lang w:val="es-CO" w:eastAsia="es-CO"/>
              </w:rPr>
              <w:t>45</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45</w:t>
            </w:r>
          </w:p>
        </w:tc>
      </w:tr>
      <w:tr w:rsidR="00EF4850" w:rsidRPr="00B206EA" w:rsidTr="00582E01">
        <w:trPr>
          <w:trHeight w:val="300"/>
        </w:trPr>
        <w:tc>
          <w:tcPr>
            <w:tcW w:w="1696" w:type="dxa"/>
            <w:tcBorders>
              <w:top w:val="nil"/>
              <w:left w:val="single" w:sz="4" w:space="0" w:color="auto"/>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7</w:t>
            </w:r>
          </w:p>
        </w:tc>
        <w:tc>
          <w:tcPr>
            <w:tcW w:w="3828"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left"/>
              <w:rPr>
                <w:rFonts w:cs="Arial"/>
                <w:color w:val="000000"/>
                <w:sz w:val="20"/>
                <w:szCs w:val="20"/>
                <w:lang w:val="es-CO" w:eastAsia="es-CO"/>
              </w:rPr>
            </w:pPr>
            <w:r w:rsidRPr="00B206EA">
              <w:rPr>
                <w:rFonts w:cs="Arial"/>
                <w:color w:val="000000"/>
                <w:sz w:val="20"/>
                <w:szCs w:val="20"/>
                <w:lang w:val="es-CO" w:eastAsia="es-CO"/>
              </w:rPr>
              <w:t>Líneas aéreas</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sidRPr="004E6CFC">
              <w:rPr>
                <w:rFonts w:cs="Arial"/>
                <w:color w:val="000000"/>
                <w:sz w:val="20"/>
                <w:szCs w:val="20"/>
                <w:lang w:val="es-CO" w:eastAsia="es-CO"/>
              </w:rPr>
              <w:t>45</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sidRPr="004E6CFC">
              <w:rPr>
                <w:rFonts w:cs="Arial"/>
                <w:color w:val="000000"/>
                <w:sz w:val="20"/>
                <w:szCs w:val="20"/>
                <w:lang w:val="es-CO" w:eastAsia="es-CO"/>
              </w:rPr>
              <w:t>45</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45</w:t>
            </w:r>
          </w:p>
        </w:tc>
      </w:tr>
      <w:tr w:rsidR="00EF4850" w:rsidRPr="00B206EA" w:rsidTr="00582E01">
        <w:trPr>
          <w:trHeight w:val="300"/>
        </w:trPr>
        <w:tc>
          <w:tcPr>
            <w:tcW w:w="1696" w:type="dxa"/>
            <w:tcBorders>
              <w:top w:val="nil"/>
              <w:left w:val="single" w:sz="4" w:space="0" w:color="auto"/>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8</w:t>
            </w:r>
          </w:p>
        </w:tc>
        <w:tc>
          <w:tcPr>
            <w:tcW w:w="3828"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left"/>
              <w:rPr>
                <w:rFonts w:cs="Arial"/>
                <w:color w:val="000000"/>
                <w:sz w:val="20"/>
                <w:szCs w:val="20"/>
                <w:lang w:val="es-CO" w:eastAsia="es-CO"/>
              </w:rPr>
            </w:pPr>
            <w:r w:rsidRPr="00B206EA">
              <w:rPr>
                <w:rFonts w:cs="Arial"/>
                <w:color w:val="000000"/>
                <w:sz w:val="20"/>
                <w:szCs w:val="20"/>
                <w:lang w:val="es-CO" w:eastAsia="es-CO"/>
              </w:rPr>
              <w:t>Líneas subterráneas</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sidRPr="004E6CFC">
              <w:rPr>
                <w:rFonts w:cs="Arial"/>
                <w:color w:val="000000"/>
                <w:sz w:val="20"/>
                <w:szCs w:val="20"/>
                <w:lang w:val="es-CO" w:eastAsia="es-CO"/>
              </w:rPr>
              <w:t>45</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sidRPr="004E6CFC">
              <w:rPr>
                <w:rFonts w:cs="Arial"/>
                <w:color w:val="000000"/>
                <w:sz w:val="20"/>
                <w:szCs w:val="20"/>
                <w:lang w:val="es-CO" w:eastAsia="es-CO"/>
              </w:rPr>
              <w:t>45</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45</w:t>
            </w:r>
          </w:p>
        </w:tc>
      </w:tr>
      <w:tr w:rsidR="00EF4850" w:rsidRPr="00B206EA" w:rsidTr="00582E01">
        <w:trPr>
          <w:trHeight w:val="300"/>
        </w:trPr>
        <w:tc>
          <w:tcPr>
            <w:tcW w:w="1696" w:type="dxa"/>
            <w:tcBorders>
              <w:top w:val="nil"/>
              <w:left w:val="single" w:sz="4" w:space="0" w:color="auto"/>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9</w:t>
            </w:r>
          </w:p>
        </w:tc>
        <w:tc>
          <w:tcPr>
            <w:tcW w:w="3828"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left"/>
              <w:rPr>
                <w:rFonts w:cs="Arial"/>
                <w:color w:val="000000"/>
                <w:sz w:val="20"/>
                <w:szCs w:val="20"/>
                <w:lang w:val="es-CO" w:eastAsia="es-CO"/>
              </w:rPr>
            </w:pPr>
            <w:r w:rsidRPr="00B206EA">
              <w:rPr>
                <w:rFonts w:cs="Arial"/>
                <w:color w:val="000000"/>
                <w:sz w:val="20"/>
                <w:szCs w:val="20"/>
                <w:lang w:val="es-CO" w:eastAsia="es-CO"/>
              </w:rPr>
              <w:t>Equipos de línea</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35</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35</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w:t>
            </w:r>
          </w:p>
        </w:tc>
      </w:tr>
      <w:tr w:rsidR="00EF4850" w:rsidRPr="00B206EA" w:rsidTr="00582E01">
        <w:trPr>
          <w:trHeight w:val="300"/>
        </w:trPr>
        <w:tc>
          <w:tcPr>
            <w:tcW w:w="1696" w:type="dxa"/>
            <w:tcBorders>
              <w:top w:val="nil"/>
              <w:left w:val="single" w:sz="4" w:space="0" w:color="auto"/>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10</w:t>
            </w:r>
          </w:p>
        </w:tc>
        <w:tc>
          <w:tcPr>
            <w:tcW w:w="3828"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left"/>
              <w:rPr>
                <w:rFonts w:cs="Arial"/>
                <w:color w:val="000000"/>
                <w:sz w:val="20"/>
                <w:szCs w:val="20"/>
                <w:lang w:val="es-CO" w:eastAsia="es-CO"/>
              </w:rPr>
            </w:pPr>
            <w:r w:rsidRPr="00B206EA">
              <w:rPr>
                <w:rFonts w:cs="Arial"/>
                <w:color w:val="000000"/>
                <w:sz w:val="20"/>
                <w:szCs w:val="20"/>
                <w:lang w:val="es-CO" w:eastAsia="es-CO"/>
              </w:rPr>
              <w:t>Centro de control</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10</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10</w:t>
            </w:r>
            <w:r w:rsidRPr="00B206EA">
              <w:rPr>
                <w:rFonts w:cs="Arial"/>
                <w:color w:val="000000"/>
                <w:sz w:val="20"/>
                <w:szCs w:val="20"/>
                <w:lang w:val="es-CO" w:eastAsia="es-CO"/>
              </w:rPr>
              <w:t> </w:t>
            </w:r>
          </w:p>
        </w:tc>
        <w:tc>
          <w:tcPr>
            <w:tcW w:w="964" w:type="dxa"/>
            <w:tcBorders>
              <w:top w:val="nil"/>
              <w:left w:val="nil"/>
              <w:bottom w:val="single" w:sz="4" w:space="0" w:color="auto"/>
              <w:right w:val="single" w:sz="4" w:space="0" w:color="auto"/>
            </w:tcBorders>
            <w:shd w:val="clear" w:color="auto" w:fill="auto"/>
            <w:vAlign w:val="center"/>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10</w:t>
            </w:r>
          </w:p>
        </w:tc>
      </w:tr>
      <w:tr w:rsidR="00EF4850" w:rsidRPr="00B206EA" w:rsidTr="00582E01">
        <w:trPr>
          <w:trHeight w:val="300"/>
        </w:trPr>
        <w:tc>
          <w:tcPr>
            <w:tcW w:w="1696" w:type="dxa"/>
            <w:tcBorders>
              <w:top w:val="nil"/>
              <w:left w:val="single" w:sz="4" w:space="0" w:color="auto"/>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11</w:t>
            </w:r>
          </w:p>
        </w:tc>
        <w:tc>
          <w:tcPr>
            <w:tcW w:w="3828"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left"/>
              <w:rPr>
                <w:rFonts w:cs="Arial"/>
                <w:color w:val="000000"/>
                <w:sz w:val="20"/>
                <w:szCs w:val="20"/>
                <w:lang w:val="es-CO" w:eastAsia="es-CO"/>
              </w:rPr>
            </w:pPr>
            <w:r w:rsidRPr="00B206EA">
              <w:rPr>
                <w:rFonts w:cs="Arial"/>
                <w:color w:val="000000"/>
                <w:sz w:val="20"/>
                <w:szCs w:val="20"/>
                <w:lang w:val="es-CO" w:eastAsia="es-CO"/>
              </w:rPr>
              <w:t>Transformadores de distribución</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25</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w:t>
            </w:r>
          </w:p>
        </w:tc>
      </w:tr>
      <w:tr w:rsidR="00EF4850" w:rsidRPr="00B206EA" w:rsidTr="00582E01">
        <w:trPr>
          <w:trHeight w:val="300"/>
        </w:trPr>
        <w:tc>
          <w:tcPr>
            <w:tcW w:w="1696" w:type="dxa"/>
            <w:tcBorders>
              <w:top w:val="nil"/>
              <w:left w:val="single" w:sz="4" w:space="0" w:color="auto"/>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sidRPr="00B206EA">
              <w:rPr>
                <w:rFonts w:cs="Arial"/>
                <w:color w:val="000000"/>
                <w:sz w:val="20"/>
                <w:szCs w:val="20"/>
                <w:lang w:val="es-CO" w:eastAsia="es-CO"/>
              </w:rPr>
              <w:t>12</w:t>
            </w:r>
          </w:p>
        </w:tc>
        <w:tc>
          <w:tcPr>
            <w:tcW w:w="3828"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left"/>
              <w:rPr>
                <w:rFonts w:cs="Arial"/>
                <w:color w:val="000000"/>
                <w:sz w:val="20"/>
                <w:szCs w:val="20"/>
                <w:lang w:val="es-CO" w:eastAsia="es-CO"/>
              </w:rPr>
            </w:pPr>
            <w:r w:rsidRPr="00B206EA">
              <w:rPr>
                <w:rFonts w:cs="Arial"/>
                <w:color w:val="000000"/>
                <w:sz w:val="20"/>
                <w:szCs w:val="20"/>
                <w:lang w:val="es-CO" w:eastAsia="es-CO"/>
              </w:rPr>
              <w:t>Redes de distribución</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35</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w:t>
            </w:r>
          </w:p>
        </w:tc>
        <w:tc>
          <w:tcPr>
            <w:tcW w:w="964" w:type="dxa"/>
            <w:tcBorders>
              <w:top w:val="nil"/>
              <w:left w:val="nil"/>
              <w:bottom w:val="single" w:sz="4" w:space="0" w:color="auto"/>
              <w:right w:val="single" w:sz="4" w:space="0" w:color="auto"/>
            </w:tcBorders>
            <w:shd w:val="clear" w:color="auto" w:fill="auto"/>
            <w:vAlign w:val="center"/>
            <w:hideMark/>
          </w:tcPr>
          <w:p w:rsidR="00EF4850" w:rsidRPr="00B206EA" w:rsidRDefault="00EF4850" w:rsidP="00582E01">
            <w:pPr>
              <w:spacing w:before="0" w:after="0"/>
              <w:jc w:val="center"/>
              <w:rPr>
                <w:rFonts w:cs="Arial"/>
                <w:color w:val="000000"/>
                <w:sz w:val="20"/>
                <w:szCs w:val="20"/>
                <w:lang w:val="es-CO" w:eastAsia="es-CO"/>
              </w:rPr>
            </w:pPr>
            <w:r>
              <w:rPr>
                <w:rFonts w:cs="Arial"/>
                <w:color w:val="000000"/>
                <w:sz w:val="20"/>
                <w:szCs w:val="20"/>
                <w:lang w:val="es-CO" w:eastAsia="es-CO"/>
              </w:rPr>
              <w:t>-</w:t>
            </w:r>
          </w:p>
        </w:tc>
      </w:tr>
    </w:tbl>
    <w:p w:rsidR="00EF4850" w:rsidRPr="004E6CFC" w:rsidRDefault="00EF4850" w:rsidP="00EF4850">
      <w:pPr>
        <w:pStyle w:val="Ttulo2"/>
      </w:pPr>
      <w:bookmarkStart w:id="212" w:name="_Ref476823897"/>
      <w:bookmarkStart w:id="213" w:name="_Toc504809411"/>
      <w:bookmarkStart w:id="214" w:name="_Toc505335916"/>
      <w:r w:rsidRPr="004E6CFC">
        <w:t>BASE REGULATORIA DE TERRENOS</w:t>
      </w:r>
      <w:bookmarkEnd w:id="210"/>
      <w:bookmarkEnd w:id="211"/>
      <w:bookmarkEnd w:id="212"/>
      <w:bookmarkEnd w:id="213"/>
      <w:bookmarkEnd w:id="214"/>
    </w:p>
    <w:p w:rsidR="00EF4850" w:rsidRPr="004E6CFC" w:rsidRDefault="00EF4850" w:rsidP="00EF4850">
      <w:r w:rsidRPr="004E6CFC">
        <w:t xml:space="preserve">La base regulatoria de terreros reconocida se calcula de la siguiente manera: </w:t>
      </w:r>
    </w:p>
    <w:p w:rsidR="00EF4850" w:rsidRPr="004E6CFC" w:rsidRDefault="00C9592F" w:rsidP="00EF4850">
      <m:oMathPara>
        <m:oMath>
          <m:sSub>
            <m:sSubPr>
              <m:ctrlPr>
                <w:rPr>
                  <w:rFonts w:ascii="Cambria Math" w:hAnsi="Cambria Math"/>
                  <w:i/>
                </w:rPr>
              </m:ctrlPr>
            </m:sSubPr>
            <m:e>
              <m:r>
                <w:rPr>
                  <w:rFonts w:ascii="Cambria Math" w:hAnsi="Cambria Math"/>
                </w:rPr>
                <m:t>BRT</m:t>
              </m:r>
            </m:e>
            <m:sub>
              <m:r>
                <w:rPr>
                  <w:rFonts w:ascii="Cambria Math" w:hAnsi="Cambria Math"/>
                </w:rPr>
                <m:t>j</m:t>
              </m:r>
              <m:r>
                <w:rPr>
                  <w:rFonts w:ascii="Cambria Math"/>
                </w:rPr>
                <m:t>,</m:t>
              </m:r>
              <m:r>
                <w:rPr>
                  <w:rFonts w:ascii="Cambria Math" w:hAnsi="Cambria Math"/>
                </w:rPr>
                <m:t>n,t</m:t>
              </m:r>
            </m:sub>
          </m:sSub>
          <m:r>
            <w:rPr>
              <w:rFonts w:ascii="Cambria Math"/>
            </w:rPr>
            <m:t>=</m:t>
          </m:r>
          <m:r>
            <w:rPr>
              <w:rFonts w:ascii="Cambria Math" w:hAnsi="Cambria Math"/>
            </w:rPr>
            <m:t>R*</m:t>
          </m:r>
          <m:nary>
            <m:naryPr>
              <m:chr m:val="∑"/>
              <m:limLoc m:val="undOvr"/>
              <m:ctrlPr>
                <w:rPr>
                  <w:rFonts w:ascii="Cambria Math" w:hAnsi="Cambria Math"/>
                  <w:i/>
                </w:rPr>
              </m:ctrlPr>
            </m:naryPr>
            <m:sub>
              <m:r>
                <w:rPr>
                  <w:rFonts w:ascii="Cambria Math" w:hAnsi="Cambria Math"/>
                </w:rPr>
                <m:t>i</m:t>
              </m:r>
              <m:r>
                <w:rPr>
                  <w:rFonts w:ascii="Cambria Math"/>
                </w:rPr>
                <m:t>=1</m:t>
              </m:r>
            </m:sub>
            <m:sup>
              <m:sSub>
                <m:sSubPr>
                  <m:ctrlPr>
                    <w:rPr>
                      <w:rFonts w:ascii="Cambria Math" w:hAnsi="Cambria Math"/>
                      <w:i/>
                    </w:rPr>
                  </m:ctrlPr>
                </m:sSubPr>
                <m:e>
                  <m:r>
                    <w:rPr>
                      <w:rFonts w:ascii="Cambria Math" w:hAnsi="Cambria Math"/>
                    </w:rPr>
                    <m:t>NS</m:t>
                  </m:r>
                </m:e>
                <m:sub>
                  <m:r>
                    <w:rPr>
                      <w:rFonts w:ascii="Cambria Math" w:hAnsi="Cambria Math"/>
                    </w:rPr>
                    <m:t>j</m:t>
                  </m:r>
                  <m:r>
                    <w:rPr>
                      <w:rFonts w:ascii="Cambria Math"/>
                    </w:rPr>
                    <m:t>,</m:t>
                  </m:r>
                  <m:r>
                    <w:rPr>
                      <w:rFonts w:ascii="Cambria Math" w:hAnsi="Cambria Math"/>
                    </w:rPr>
                    <m:t>n,t</m:t>
                  </m:r>
                </m:sub>
              </m:sSub>
            </m:sup>
            <m:e>
              <m:sSub>
                <m:sSubPr>
                  <m:ctrlPr>
                    <w:rPr>
                      <w:rFonts w:ascii="Cambria Math" w:hAnsi="Cambria Math"/>
                      <w:i/>
                    </w:rPr>
                  </m:ctrlPr>
                </m:sSubPr>
                <m:e>
                  <m:r>
                    <w:rPr>
                      <w:rFonts w:ascii="Cambria Math" w:hAnsi="Cambria Math"/>
                    </w:rPr>
                    <m:t>AT</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PU</m:t>
                  </m:r>
                </m:e>
                <m:sub>
                  <m:r>
                    <w:rPr>
                      <w:rFonts w:ascii="Cambria Math" w:hAnsi="Cambria Math"/>
                    </w:rPr>
                    <m:t>j</m:t>
                  </m:r>
                  <m:r>
                    <w:rPr>
                      <w:rFonts w:ascii="Cambria Math"/>
                    </w:rPr>
                    <m:t>,</m:t>
                  </m:r>
                  <m:r>
                    <w:rPr>
                      <w:rFonts w:ascii="Cambria Math" w:hAnsi="Cambria Math"/>
                    </w:rPr>
                    <m:t>i</m:t>
                  </m:r>
                </m:sub>
              </m:sSub>
              <m:r>
                <w:rPr>
                  <w:rFonts w:ascii="Cambria Math" w:hAnsi="Cambria Math"/>
                </w:rPr>
                <m:t>*</m:t>
              </m:r>
              <m:d>
                <m:dPr>
                  <m:ctrlPr>
                    <w:rPr>
                      <w:rFonts w:ascii="Cambria Math" w:hAnsi="Cambria Math"/>
                      <w:i/>
                    </w:rPr>
                  </m:ctrlPr>
                </m:dPr>
                <m:e>
                  <m:sSub>
                    <m:sSubPr>
                      <m:ctrlPr>
                        <w:rPr>
                          <w:rFonts w:ascii="Cambria Math" w:hAnsi="Cambria Math"/>
                          <w:i/>
                        </w:rPr>
                      </m:ctrlPr>
                    </m:sSubPr>
                    <m:e>
                      <m:r>
                        <w:rPr>
                          <w:rFonts w:ascii="Cambria Math" w:hAnsi="Cambria Math"/>
                        </w:rPr>
                        <m:t>1-RPP</m:t>
                      </m:r>
                    </m:e>
                    <m:sub>
                      <m:r>
                        <w:rPr>
                          <w:rFonts w:ascii="Cambria Math" w:hAnsi="Cambria Math"/>
                        </w:rPr>
                        <m:t>j</m:t>
                      </m:r>
                      <m:r>
                        <w:rPr>
                          <w:rFonts w:ascii="Cambria Math"/>
                        </w:rPr>
                        <m:t>,</m:t>
                      </m:r>
                      <m:r>
                        <w:rPr>
                          <w:rFonts w:ascii="Cambria Math" w:hAnsi="Cambria Math"/>
                        </w:rPr>
                        <m:t>i</m:t>
                      </m:r>
                    </m:sub>
                  </m:sSub>
                </m:e>
              </m:d>
              <m:r>
                <w:rPr>
                  <w:rFonts w:ascii="Cambria Math" w:hAnsi="Cambria Math"/>
                </w:rPr>
                <m:t>*</m:t>
              </m:r>
              <m:sSub>
                <m:sSubPr>
                  <m:ctrlPr>
                    <w:rPr>
                      <w:rFonts w:ascii="Cambria Math" w:hAnsi="Cambria Math"/>
                      <w:i/>
                    </w:rPr>
                  </m:ctrlPr>
                </m:sSubPr>
                <m:e>
                  <m:r>
                    <w:rPr>
                      <w:rFonts w:ascii="Cambria Math" w:hAnsi="Cambria Math"/>
                    </w:rPr>
                    <m:t>VCT</m:t>
                  </m:r>
                </m:e>
                <m:sub>
                  <m:r>
                    <w:rPr>
                      <w:rFonts w:ascii="Cambria Math" w:hAnsi="Cambria Math"/>
                    </w:rPr>
                    <m:t>i</m:t>
                  </m:r>
                </m:sub>
              </m:sSub>
            </m:e>
          </m:nary>
        </m:oMath>
      </m:oMathPara>
    </w:p>
    <w:p w:rsidR="00EF4850" w:rsidRPr="004E6CFC" w:rsidRDefault="00EF4850" w:rsidP="00EF4850">
      <w:pPr>
        <w:ind w:left="1410" w:hanging="1410"/>
        <w:rPr>
          <w:iCs/>
        </w:rPr>
      </w:pPr>
      <w:r w:rsidRPr="004E6CFC">
        <w:rPr>
          <w:iCs/>
        </w:rPr>
        <w:lastRenderedPageBreak/>
        <w:t>Donde:</w:t>
      </w:r>
    </w:p>
    <w:p w:rsidR="00EF4850" w:rsidRPr="004E6CFC" w:rsidRDefault="00EF4850" w:rsidP="00EF4850">
      <w:pPr>
        <w:spacing w:before="120"/>
        <w:ind w:left="1418" w:hanging="1418"/>
      </w:pPr>
      <w:r w:rsidRPr="004E6CFC">
        <w:rPr>
          <w:i/>
          <w:iCs/>
        </w:rPr>
        <w:t>BRT</w:t>
      </w:r>
      <w:r w:rsidRPr="004E6CFC">
        <w:rPr>
          <w:i/>
          <w:iCs/>
          <w:vertAlign w:val="subscript"/>
        </w:rPr>
        <w:t>j,n,t</w:t>
      </w:r>
      <w:r w:rsidRPr="004E6CFC">
        <w:t>:</w:t>
      </w:r>
      <w:r w:rsidRPr="004E6CFC">
        <w:tab/>
        <w:t xml:space="preserve">Base regulatoria de terrenos del OR j en el nivel de tensión </w:t>
      </w:r>
      <w:r w:rsidRPr="004E6CFC">
        <w:rPr>
          <w:i/>
          <w:iCs/>
        </w:rPr>
        <w:t xml:space="preserve">n </w:t>
      </w:r>
      <w:r w:rsidRPr="004E6CFC">
        <w:rPr>
          <w:iCs/>
        </w:rPr>
        <w:t xml:space="preserve">para </w:t>
      </w:r>
      <w:r w:rsidRPr="004E6CFC">
        <w:t xml:space="preserve">el año </w:t>
      </w:r>
      <w:r w:rsidRPr="004E6CFC">
        <w:rPr>
          <w:i/>
        </w:rPr>
        <w:t>t</w:t>
      </w:r>
      <w:r w:rsidRPr="004E6CFC">
        <w:t>.</w:t>
      </w:r>
    </w:p>
    <w:p w:rsidR="00EF4850" w:rsidRPr="004E6CFC" w:rsidRDefault="00EF4850" w:rsidP="00EF4850">
      <w:pPr>
        <w:tabs>
          <w:tab w:val="left" w:pos="1418"/>
        </w:tabs>
        <w:spacing w:before="120"/>
        <w:ind w:left="1418" w:hanging="1418"/>
      </w:pPr>
      <w:r w:rsidRPr="004E6CFC">
        <w:rPr>
          <w:i/>
          <w:iCs/>
        </w:rPr>
        <w:t>R</w:t>
      </w:r>
      <w:r w:rsidRPr="004E6CFC">
        <w:t>:</w:t>
      </w:r>
      <w:r w:rsidRPr="004E6CFC">
        <w:tab/>
        <w:t>Porcentaje anual reconocido sobre del valor de los terrenos, es igual a 6,9 %.</w:t>
      </w:r>
    </w:p>
    <w:p w:rsidR="00EF4850" w:rsidRPr="004E6CFC" w:rsidRDefault="00EF4850" w:rsidP="00EF4850">
      <w:pPr>
        <w:tabs>
          <w:tab w:val="left" w:pos="1418"/>
        </w:tabs>
        <w:spacing w:before="120"/>
        <w:ind w:left="1418" w:hanging="1418"/>
      </w:pPr>
      <w:r w:rsidRPr="004E6CFC">
        <w:rPr>
          <w:i/>
          <w:iCs/>
        </w:rPr>
        <w:t>NS</w:t>
      </w:r>
      <w:r w:rsidRPr="004E6CFC">
        <w:rPr>
          <w:i/>
          <w:iCs/>
          <w:vertAlign w:val="subscript"/>
        </w:rPr>
        <w:t>j,n,t</w:t>
      </w:r>
      <w:r w:rsidRPr="004E6CFC">
        <w:t>:</w:t>
      </w:r>
      <w:r w:rsidRPr="004E6CFC">
        <w:tab/>
        <w:t xml:space="preserve">Número de UC de subestación del OR </w:t>
      </w:r>
      <w:r w:rsidRPr="004E6CFC">
        <w:rPr>
          <w:i/>
        </w:rPr>
        <w:t>j</w:t>
      </w:r>
      <w:r w:rsidRPr="004E6CFC">
        <w:t xml:space="preserve"> en el nivel de tensión </w:t>
      </w:r>
      <w:r w:rsidRPr="004E6CFC">
        <w:rPr>
          <w:i/>
        </w:rPr>
        <w:t>n</w:t>
      </w:r>
      <w:r w:rsidRPr="004E6CFC">
        <w:t xml:space="preserve"> para el año </w:t>
      </w:r>
      <w:r w:rsidRPr="004E6CFC">
        <w:rPr>
          <w:i/>
        </w:rPr>
        <w:t>t</w:t>
      </w:r>
      <w:r w:rsidRPr="004E6CFC">
        <w:t xml:space="preserve"> sobre las cuales se reconocen áreas de terrenos.</w:t>
      </w:r>
    </w:p>
    <w:p w:rsidR="00EF4850" w:rsidRPr="004E6CFC" w:rsidRDefault="00EF4850" w:rsidP="00EF4850">
      <w:pPr>
        <w:tabs>
          <w:tab w:val="left" w:pos="1418"/>
        </w:tabs>
        <w:spacing w:before="120"/>
        <w:ind w:left="1418" w:hanging="1418"/>
      </w:pPr>
      <w:r w:rsidRPr="004E6CFC">
        <w:rPr>
          <w:i/>
          <w:iCs/>
        </w:rPr>
        <w:t>AT</w:t>
      </w:r>
      <w:r w:rsidRPr="004E6CFC">
        <w:rPr>
          <w:i/>
          <w:iCs/>
          <w:vertAlign w:val="subscript"/>
        </w:rPr>
        <w:t>i</w:t>
      </w:r>
      <w:r w:rsidRPr="004E6CFC">
        <w:rPr>
          <w:i/>
          <w:iCs/>
        </w:rPr>
        <w:t>:</w:t>
      </w:r>
      <w:r w:rsidRPr="004E6CFC">
        <w:tab/>
        <w:t xml:space="preserve">Área reconocida a la UC </w:t>
      </w:r>
      <w:r w:rsidRPr="004E6CFC">
        <w:rPr>
          <w:i/>
          <w:iCs/>
        </w:rPr>
        <w:t xml:space="preserve">i, </w:t>
      </w:r>
      <w:r w:rsidRPr="004E6CFC">
        <w:rPr>
          <w:iCs/>
        </w:rPr>
        <w:t xml:space="preserve">en </w:t>
      </w:r>
      <w:r w:rsidRPr="004E6CFC">
        <w:t>m</w:t>
      </w:r>
      <w:r w:rsidRPr="004E6CFC">
        <w:rPr>
          <w:vertAlign w:val="superscript"/>
        </w:rPr>
        <w:t>2</w:t>
      </w:r>
      <w:r w:rsidRPr="004E6CFC">
        <w:t xml:space="preserve">, según lo establecido en el capítulo </w:t>
      </w:r>
      <w:r w:rsidRPr="004E6CFC">
        <w:fldChar w:fldCharType="begin"/>
      </w:r>
      <w:r w:rsidRPr="004E6CFC">
        <w:instrText xml:space="preserve"> REF _Ref465976561 \r \h \t  \* MERGEFORMAT </w:instrText>
      </w:r>
      <w:r w:rsidRPr="004E6CFC">
        <w:fldChar w:fldCharType="separate"/>
      </w:r>
      <w:r w:rsidR="00737178">
        <w:t>14</w:t>
      </w:r>
      <w:r w:rsidRPr="004E6CFC">
        <w:fldChar w:fldCharType="end"/>
      </w:r>
      <w:r w:rsidRPr="004E6CFC">
        <w:t>.</w:t>
      </w:r>
    </w:p>
    <w:p w:rsidR="00EF4850" w:rsidRPr="004E6CFC" w:rsidRDefault="00EF4850" w:rsidP="00EF4850">
      <w:pPr>
        <w:tabs>
          <w:tab w:val="left" w:pos="1418"/>
        </w:tabs>
        <w:spacing w:before="120"/>
        <w:ind w:left="1418" w:hanging="1418"/>
      </w:pPr>
      <w:r w:rsidRPr="004E6CFC">
        <w:rPr>
          <w:i/>
          <w:iCs/>
        </w:rPr>
        <w:t>PU</w:t>
      </w:r>
      <w:r w:rsidRPr="004E6CFC">
        <w:rPr>
          <w:i/>
          <w:iCs/>
          <w:vertAlign w:val="subscript"/>
        </w:rPr>
        <w:t>j,i</w:t>
      </w:r>
      <w:r w:rsidRPr="004E6CFC">
        <w:rPr>
          <w:i/>
          <w:iCs/>
        </w:rPr>
        <w:t>:</w:t>
      </w:r>
      <w:r w:rsidRPr="004E6CFC">
        <w:tab/>
        <w:t xml:space="preserve">Porcentaje del costo total de la UC </w:t>
      </w:r>
      <w:r w:rsidRPr="004E6CFC">
        <w:rPr>
          <w:i/>
          <w:iCs/>
        </w:rPr>
        <w:t>i</w:t>
      </w:r>
      <w:r w:rsidRPr="004E6CFC">
        <w:t xml:space="preserve"> que es remunerado vía cargos por uso al OR </w:t>
      </w:r>
      <w:r w:rsidRPr="004E6CFC">
        <w:rPr>
          <w:i/>
        </w:rPr>
        <w:t>j</w:t>
      </w:r>
      <w:r w:rsidRPr="004E6CFC">
        <w:t>.</w:t>
      </w:r>
    </w:p>
    <w:p w:rsidR="00EF4850" w:rsidRPr="004E6CFC" w:rsidRDefault="00EF4850" w:rsidP="00EF4850">
      <w:pPr>
        <w:tabs>
          <w:tab w:val="left" w:pos="1418"/>
        </w:tabs>
        <w:spacing w:before="120"/>
        <w:ind w:left="1418" w:hanging="1418"/>
      </w:pPr>
      <w:r w:rsidRPr="004E6CFC">
        <w:rPr>
          <w:i/>
          <w:iCs/>
        </w:rPr>
        <w:t>RPP</w:t>
      </w:r>
      <w:r w:rsidRPr="004E6CFC">
        <w:rPr>
          <w:i/>
          <w:iCs/>
          <w:vertAlign w:val="subscript"/>
        </w:rPr>
        <w:t>j,i</w:t>
      </w:r>
      <w:r w:rsidRPr="004E6CFC">
        <w:rPr>
          <w:i/>
          <w:iCs/>
        </w:rPr>
        <w:t>:</w:t>
      </w:r>
      <w:r w:rsidRPr="004E6CFC">
        <w:tab/>
        <w:t xml:space="preserve">Fracción del costo de la UC </w:t>
      </w:r>
      <w:r w:rsidRPr="004E6CFC">
        <w:rPr>
          <w:i/>
          <w:iCs/>
        </w:rPr>
        <w:t>i</w:t>
      </w:r>
      <w:r w:rsidRPr="004E6CFC">
        <w:t xml:space="preserve"> que es</w:t>
      </w:r>
      <w:r w:rsidRPr="004E6CFC">
        <w:rPr>
          <w:i/>
        </w:rPr>
        <w:t xml:space="preserve"> </w:t>
      </w:r>
      <w:r w:rsidRPr="004E6CFC">
        <w:t>remunerada vía cargos por uso que no se debe incluir en el cálculo de la tarifa.</w:t>
      </w:r>
    </w:p>
    <w:p w:rsidR="00EF4850" w:rsidRPr="004E6CFC" w:rsidRDefault="00EF4850" w:rsidP="00EF4850">
      <w:pPr>
        <w:ind w:left="1410" w:hanging="1410"/>
      </w:pPr>
      <w:r w:rsidRPr="004E6CFC">
        <w:rPr>
          <w:i/>
          <w:iCs/>
        </w:rPr>
        <w:t>VCT</w:t>
      </w:r>
      <w:r w:rsidRPr="004E6CFC">
        <w:rPr>
          <w:i/>
          <w:iCs/>
          <w:vertAlign w:val="subscript"/>
        </w:rPr>
        <w:t>i</w:t>
      </w:r>
      <w:r w:rsidRPr="004E6CFC">
        <w:rPr>
          <w:i/>
          <w:iCs/>
        </w:rPr>
        <w:t>:</w:t>
      </w:r>
      <w:r w:rsidRPr="004E6CFC">
        <w:tab/>
      </w:r>
      <w:r w:rsidRPr="004E6CFC">
        <w:tab/>
        <w:t xml:space="preserve">Valor catastral del terreno de la subestación en la cual se encuentra la UC </w:t>
      </w:r>
      <w:r w:rsidRPr="004E6CFC">
        <w:rPr>
          <w:i/>
          <w:iCs/>
        </w:rPr>
        <w:t>i</w:t>
      </w:r>
      <w:r w:rsidRPr="004E6CFC">
        <w:t xml:space="preserve">, </w:t>
      </w:r>
      <w:r>
        <w:t xml:space="preserve">valor </w:t>
      </w:r>
      <w:r w:rsidRPr="004E6CFC">
        <w:t>en $/m</w:t>
      </w:r>
      <w:r w:rsidRPr="004E6CFC">
        <w:rPr>
          <w:vertAlign w:val="superscript"/>
        </w:rPr>
        <w:t xml:space="preserve">2 </w:t>
      </w:r>
      <w:r w:rsidRPr="004E6CFC">
        <w:t xml:space="preserve">de la fecha de corte. </w:t>
      </w:r>
    </w:p>
    <w:p w:rsidR="00193054" w:rsidRPr="004E6CFC" w:rsidRDefault="00EF4850" w:rsidP="00EF4850">
      <w:r w:rsidRPr="004E6CFC">
        <w:t>Los valores catastrales y el área total del terreno deben ser presentados por el OR en la solicitud de ingresos con su respectivo soporte</w:t>
      </w:r>
      <w:r w:rsidR="00CF206B" w:rsidRPr="004E6CFC">
        <w:t>.</w:t>
      </w:r>
    </w:p>
    <w:p w:rsidR="00193054" w:rsidRPr="004E6CFC" w:rsidRDefault="00193054" w:rsidP="00CF206B">
      <w:r w:rsidRPr="004E6CFC">
        <w:br w:type="page"/>
      </w:r>
    </w:p>
    <w:p w:rsidR="00AA31A5" w:rsidRPr="004E77B3" w:rsidRDefault="00AA31A5" w:rsidP="00AA31A5">
      <w:pPr>
        <w:pStyle w:val="Ttulo1"/>
        <w:ind w:left="709" w:hanging="360"/>
      </w:pPr>
      <w:bookmarkStart w:id="215" w:name="_Toc443655678"/>
      <w:bookmarkStart w:id="216" w:name="_Ref445133283"/>
      <w:bookmarkStart w:id="217" w:name="_Ref445134653"/>
      <w:bookmarkStart w:id="218" w:name="_Ref445134706"/>
      <w:bookmarkStart w:id="219" w:name="_Ref460924827"/>
      <w:bookmarkStart w:id="220" w:name="_Toc505335917"/>
      <w:bookmarkStart w:id="221" w:name="_Toc210616140"/>
      <w:bookmarkStart w:id="222" w:name="_Ref210044730"/>
      <w:bookmarkStart w:id="223" w:name="_Ref208804248"/>
      <w:bookmarkStart w:id="224" w:name="_Ref208801447"/>
      <w:bookmarkStart w:id="225" w:name="_Ref208801401"/>
      <w:bookmarkStart w:id="226" w:name="_Ref208801202"/>
      <w:bookmarkStart w:id="227" w:name="_Ref208801065"/>
      <w:bookmarkStart w:id="228" w:name="_Ref208800929"/>
      <w:bookmarkStart w:id="229" w:name="_Ref208800832"/>
      <w:bookmarkStart w:id="230" w:name="_Ref208800536"/>
      <w:bookmarkStart w:id="231" w:name="_Ref208800156"/>
      <w:bookmarkStart w:id="232" w:name="_Ref402967021"/>
      <w:bookmarkStart w:id="233" w:name="_Ref403071332"/>
      <w:r w:rsidRPr="004E77B3">
        <w:lastRenderedPageBreak/>
        <w:t xml:space="preserve">INGRESO ANUAL POR GASTOS DE </w:t>
      </w:r>
      <w:r w:rsidR="00D62673" w:rsidRPr="004E77B3">
        <w:rPr>
          <w:caps w:val="0"/>
        </w:rPr>
        <w:t>AOM</w:t>
      </w:r>
      <w:bookmarkEnd w:id="215"/>
      <w:bookmarkEnd w:id="216"/>
      <w:bookmarkEnd w:id="217"/>
      <w:bookmarkEnd w:id="218"/>
      <w:bookmarkEnd w:id="219"/>
      <w:bookmarkEnd w:id="220"/>
    </w:p>
    <w:p w:rsidR="005F1087" w:rsidRPr="005F1087" w:rsidRDefault="005F1087" w:rsidP="005F1087">
      <w:r w:rsidRPr="004E6CFC">
        <w:t xml:space="preserve">En este capítulo se establece la metodología para definir el valor de referencia para los gastos de administración, operación y mantenimiento, AOM, a reconocer durante cada uno de </w:t>
      </w:r>
      <w:r w:rsidRPr="005F1087">
        <w:t xml:space="preserve">los años del periodo tarifario. </w:t>
      </w:r>
    </w:p>
    <w:p w:rsidR="005F1087" w:rsidRPr="005F1087" w:rsidRDefault="005F1087" w:rsidP="005F1087">
      <w:pPr>
        <w:jc w:val="left"/>
      </w:pPr>
      <w:r w:rsidRPr="005F1087">
        <w:t>El valor del ingreso anual por gastos AOM para cada OR será:</w:t>
      </w:r>
    </w:p>
    <w:p w:rsidR="005F1087" w:rsidRPr="005F1087" w:rsidRDefault="00C9592F" w:rsidP="005F1087">
      <w:pPr>
        <w:jc w:val="left"/>
      </w:pPr>
      <m:oMathPara>
        <m:oMath>
          <m:sSub>
            <m:sSubPr>
              <m:ctrlPr>
                <w:rPr>
                  <w:rFonts w:ascii="Cambria Math" w:hAnsi="Cambria Math"/>
                  <w:i/>
                </w:rPr>
              </m:ctrlPr>
            </m:sSubPr>
            <m:e>
              <m:r>
                <w:rPr>
                  <w:rFonts w:ascii="Cambria Math" w:hAnsi="Cambria Math"/>
                </w:rPr>
                <m:t>IAAOM</m:t>
              </m:r>
            </m:e>
            <m:sub>
              <m:r>
                <w:rPr>
                  <w:rFonts w:ascii="Cambria Math" w:hAnsi="Cambria Math"/>
                </w:rPr>
                <m:t>j,n,t</m:t>
              </m:r>
            </m:sub>
          </m:sSub>
          <m:r>
            <w:rPr>
              <w:rFonts w:ascii="Cambria Math" w:hAnsi="Cambria Math"/>
            </w:rPr>
            <m:t>=</m:t>
          </m:r>
          <m:sSub>
            <m:sSubPr>
              <m:ctrlPr>
                <w:rPr>
                  <w:rFonts w:ascii="Cambria Math" w:hAnsi="Cambria Math"/>
                  <w:i/>
                </w:rPr>
              </m:ctrlPr>
            </m:sSubPr>
            <m:e>
              <m:r>
                <w:rPr>
                  <w:rFonts w:ascii="Cambria Math" w:hAnsi="Cambria Math"/>
                </w:rPr>
                <m:t>AOMbase</m:t>
              </m:r>
            </m:e>
            <m:sub>
              <m:r>
                <w:rPr>
                  <w:rFonts w:ascii="Cambria Math" w:hAnsi="Cambria Math"/>
                </w:rPr>
                <m:t>j,n</m:t>
              </m:r>
            </m:sub>
          </m:sSub>
          <m:r>
            <w:rPr>
              <w:rFonts w:ascii="Cambria Math" w:hAnsi="Cambria Math"/>
            </w:rPr>
            <m:t>+</m:t>
          </m:r>
          <m:sSub>
            <m:sSubPr>
              <m:ctrlPr>
                <w:rPr>
                  <w:rFonts w:ascii="Cambria Math" w:hAnsi="Cambria Math"/>
                  <w:i/>
                </w:rPr>
              </m:ctrlPr>
            </m:sSubPr>
            <m:e>
              <m:r>
                <w:rPr>
                  <w:rFonts w:ascii="Cambria Math" w:hAnsi="Cambria Math"/>
                </w:rPr>
                <m:t>AOMNI</m:t>
              </m:r>
            </m:e>
            <m:sub>
              <m:r>
                <w:rPr>
                  <w:rFonts w:ascii="Cambria Math" w:hAnsi="Cambria Math"/>
                </w:rPr>
                <m:t>j,n,t</m:t>
              </m:r>
            </m:sub>
          </m:sSub>
        </m:oMath>
      </m:oMathPara>
    </w:p>
    <w:p w:rsidR="005F1087" w:rsidRPr="005F1087" w:rsidRDefault="005F1087" w:rsidP="005F1087">
      <w:pPr>
        <w:ind w:left="2124" w:hanging="2124"/>
        <w:rPr>
          <w:lang w:val="es-MX"/>
        </w:rPr>
      </w:pPr>
      <w:r w:rsidRPr="005F1087">
        <w:rPr>
          <w:i/>
        </w:rPr>
        <w:t>IAAOM</w:t>
      </w:r>
      <w:r w:rsidRPr="005F1087">
        <w:rPr>
          <w:i/>
          <w:vertAlign w:val="subscript"/>
        </w:rPr>
        <w:t>j,n,t</w:t>
      </w:r>
      <w:r w:rsidRPr="005F1087">
        <w:rPr>
          <w:lang w:val="es-MX"/>
        </w:rPr>
        <w:t>:</w:t>
      </w:r>
      <w:r w:rsidRPr="005F1087">
        <w:rPr>
          <w:lang w:val="es-MX"/>
        </w:rPr>
        <w:tab/>
        <w:t xml:space="preserve">Ingreso anual por concepto de AOM del OR </w:t>
      </w:r>
      <w:r w:rsidRPr="005F1087">
        <w:rPr>
          <w:i/>
          <w:lang w:val="es-MX"/>
        </w:rPr>
        <w:t>j</w:t>
      </w:r>
      <w:r w:rsidRPr="005F1087">
        <w:rPr>
          <w:lang w:val="es-MX"/>
        </w:rPr>
        <w:t xml:space="preserve">, para el año </w:t>
      </w:r>
      <w:r w:rsidRPr="005F1087">
        <w:rPr>
          <w:i/>
          <w:lang w:val="es-MX"/>
        </w:rPr>
        <w:t>t</w:t>
      </w:r>
      <w:r w:rsidRPr="005F1087">
        <w:rPr>
          <w:lang w:val="es-MX"/>
        </w:rPr>
        <w:t xml:space="preserve"> en el nivel de tensión </w:t>
      </w:r>
      <w:r w:rsidRPr="005F1087">
        <w:rPr>
          <w:i/>
          <w:lang w:val="es-MX"/>
        </w:rPr>
        <w:t>n</w:t>
      </w:r>
      <w:r w:rsidRPr="005F1087">
        <w:rPr>
          <w:lang w:val="es-MX"/>
        </w:rPr>
        <w:t>, expresado en pesos de la fecha de corte.</w:t>
      </w:r>
    </w:p>
    <w:p w:rsidR="005F1087" w:rsidRPr="005F1087" w:rsidRDefault="005F1087" w:rsidP="005F1087">
      <w:pPr>
        <w:ind w:left="2124" w:hanging="2124"/>
        <w:rPr>
          <w:lang w:val="es-MX"/>
        </w:rPr>
      </w:pPr>
      <w:r w:rsidRPr="005F1087">
        <w:rPr>
          <w:i/>
        </w:rPr>
        <w:t>AOMbase</w:t>
      </w:r>
      <w:r w:rsidRPr="005F1087">
        <w:rPr>
          <w:i/>
          <w:vertAlign w:val="subscript"/>
        </w:rPr>
        <w:t>j,n</w:t>
      </w:r>
      <w:r w:rsidRPr="005F1087">
        <w:rPr>
          <w:lang w:val="es-MX"/>
        </w:rPr>
        <w:t>:</w:t>
      </w:r>
      <w:r w:rsidRPr="005F1087">
        <w:rPr>
          <w:lang w:val="es-MX"/>
        </w:rPr>
        <w:tab/>
        <w:t xml:space="preserve">Valor del AOM base a reconocer al OR </w:t>
      </w:r>
      <w:r w:rsidRPr="005F1087">
        <w:rPr>
          <w:i/>
          <w:lang w:val="es-MX"/>
        </w:rPr>
        <w:t>j</w:t>
      </w:r>
      <w:r w:rsidRPr="005F1087">
        <w:rPr>
          <w:lang w:val="es-MX"/>
        </w:rPr>
        <w:t xml:space="preserve">, en el nivel de tensión </w:t>
      </w:r>
      <w:r w:rsidRPr="005F1087">
        <w:rPr>
          <w:i/>
          <w:lang w:val="es-MX"/>
        </w:rPr>
        <w:t>n</w:t>
      </w:r>
      <w:r w:rsidRPr="005F1087">
        <w:rPr>
          <w:lang w:val="es-MX"/>
        </w:rPr>
        <w:t xml:space="preserve">, calculado de acuerdo con lo previsto en el numeral </w:t>
      </w:r>
      <w:r w:rsidRPr="005F1087">
        <w:rPr>
          <w:lang w:val="es-MX"/>
        </w:rPr>
        <w:fldChar w:fldCharType="begin"/>
      </w:r>
      <w:r w:rsidRPr="005F1087">
        <w:rPr>
          <w:lang w:val="es-MX"/>
        </w:rPr>
        <w:instrText xml:space="preserve"> REF _Ref504727210 \r \h </w:instrText>
      </w:r>
      <w:r>
        <w:rPr>
          <w:lang w:val="es-MX"/>
        </w:rPr>
        <w:instrText xml:space="preserve"> \* MERGEFORMAT </w:instrText>
      </w:r>
      <w:r w:rsidRPr="005F1087">
        <w:rPr>
          <w:lang w:val="es-MX"/>
        </w:rPr>
      </w:r>
      <w:r w:rsidRPr="005F1087">
        <w:rPr>
          <w:lang w:val="es-MX"/>
        </w:rPr>
        <w:fldChar w:fldCharType="separate"/>
      </w:r>
      <w:r w:rsidR="00737178">
        <w:rPr>
          <w:lang w:val="es-MX"/>
        </w:rPr>
        <w:t>4.1.6</w:t>
      </w:r>
      <w:r w:rsidRPr="005F1087">
        <w:rPr>
          <w:lang w:val="es-MX"/>
        </w:rPr>
        <w:fldChar w:fldCharType="end"/>
      </w:r>
      <w:r w:rsidRPr="005F1087">
        <w:rPr>
          <w:lang w:val="es-MX"/>
        </w:rPr>
        <w:t>, expresado en pesos de la fecha de corte.</w:t>
      </w:r>
    </w:p>
    <w:p w:rsidR="005F1087" w:rsidRPr="005F1087" w:rsidRDefault="005F1087" w:rsidP="005F1087">
      <w:pPr>
        <w:ind w:left="2124" w:hanging="2124"/>
        <w:rPr>
          <w:lang w:val="es-MX"/>
        </w:rPr>
      </w:pPr>
      <w:r w:rsidRPr="005F1087">
        <w:rPr>
          <w:i/>
          <w:lang w:val="es-MX"/>
        </w:rPr>
        <w:t>AOMNI</w:t>
      </w:r>
      <w:r w:rsidRPr="005F1087">
        <w:rPr>
          <w:i/>
          <w:vertAlign w:val="subscript"/>
          <w:lang w:val="es-MX"/>
        </w:rPr>
        <w:t>j,n,t</w:t>
      </w:r>
      <w:r w:rsidRPr="005F1087">
        <w:rPr>
          <w:lang w:val="es-MX"/>
        </w:rPr>
        <w:t>:</w:t>
      </w:r>
      <w:r w:rsidRPr="005F1087">
        <w:rPr>
          <w:lang w:val="es-MX"/>
        </w:rPr>
        <w:tab/>
        <w:t xml:space="preserve">Valor del AOM para nuevas inversiones, diferentes a reposición, del OR </w:t>
      </w:r>
      <w:r w:rsidRPr="005F1087">
        <w:rPr>
          <w:i/>
          <w:lang w:val="es-MX"/>
        </w:rPr>
        <w:t>j</w:t>
      </w:r>
      <w:r w:rsidRPr="005F1087">
        <w:rPr>
          <w:lang w:val="es-MX"/>
        </w:rPr>
        <w:t xml:space="preserve">, para el año </w:t>
      </w:r>
      <w:r w:rsidRPr="005F1087">
        <w:rPr>
          <w:i/>
          <w:lang w:val="es-MX"/>
        </w:rPr>
        <w:t>t</w:t>
      </w:r>
      <w:r w:rsidRPr="005F1087">
        <w:rPr>
          <w:lang w:val="es-MX"/>
        </w:rPr>
        <w:t xml:space="preserve"> en el nivel de tensión </w:t>
      </w:r>
      <w:r w:rsidRPr="005F1087">
        <w:rPr>
          <w:i/>
          <w:lang w:val="es-MX"/>
        </w:rPr>
        <w:t>n</w:t>
      </w:r>
      <w:r w:rsidRPr="005F1087">
        <w:rPr>
          <w:lang w:val="es-MX"/>
        </w:rPr>
        <w:t xml:space="preserve">, calculado de acuerdo con lo previsto en el numeral </w:t>
      </w:r>
      <w:r w:rsidRPr="005F1087">
        <w:rPr>
          <w:lang w:val="es-MX"/>
        </w:rPr>
        <w:fldChar w:fldCharType="begin"/>
      </w:r>
      <w:r w:rsidRPr="005F1087">
        <w:rPr>
          <w:lang w:val="es-MX"/>
        </w:rPr>
        <w:instrText xml:space="preserve"> REF _Ref406575748 \r \h  \* MERGEFORMAT </w:instrText>
      </w:r>
      <w:r w:rsidRPr="005F1087">
        <w:rPr>
          <w:lang w:val="es-MX"/>
        </w:rPr>
      </w:r>
      <w:r w:rsidRPr="005F1087">
        <w:rPr>
          <w:lang w:val="es-MX"/>
        </w:rPr>
        <w:fldChar w:fldCharType="separate"/>
      </w:r>
      <w:r w:rsidR="00737178">
        <w:rPr>
          <w:lang w:val="es-MX"/>
        </w:rPr>
        <w:t>4.2</w:t>
      </w:r>
      <w:r w:rsidRPr="005F1087">
        <w:rPr>
          <w:lang w:val="es-MX"/>
        </w:rPr>
        <w:fldChar w:fldCharType="end"/>
      </w:r>
      <w:r w:rsidRPr="005F1087">
        <w:rPr>
          <w:lang w:val="es-MX"/>
        </w:rPr>
        <w:t>, expresado en pesos de la fecha de corte.</w:t>
      </w:r>
    </w:p>
    <w:p w:rsidR="005F1087" w:rsidRPr="005F1087" w:rsidRDefault="005F1087" w:rsidP="005F1087">
      <w:r w:rsidRPr="005F1087">
        <w:t>Dentro de los costos y gastos AOM a reconocer en la actividad de distribución de energía eléctrica no deben incluirse valores que correspondan con los siguientes conceptos, sin perjuicio que la CREG defina otros en resolución aparte:</w:t>
      </w:r>
    </w:p>
    <w:p w:rsidR="005F1087" w:rsidRPr="005F1087" w:rsidRDefault="005F1087" w:rsidP="009C086B">
      <w:pPr>
        <w:pStyle w:val="Prrafodelista"/>
        <w:numPr>
          <w:ilvl w:val="0"/>
          <w:numId w:val="68"/>
        </w:numPr>
        <w:spacing w:before="120" w:after="0"/>
      </w:pPr>
      <w:r w:rsidRPr="005F1087">
        <w:t>asociados con otras actividades de la cadena de prestación del servicio,</w:t>
      </w:r>
    </w:p>
    <w:p w:rsidR="005F1087" w:rsidRPr="005F1087" w:rsidRDefault="005F1087" w:rsidP="009C086B">
      <w:pPr>
        <w:pStyle w:val="Prrafodelista"/>
        <w:numPr>
          <w:ilvl w:val="0"/>
          <w:numId w:val="68"/>
        </w:numPr>
        <w:spacing w:before="120" w:after="0"/>
      </w:pPr>
      <w:r w:rsidRPr="005F1087">
        <w:t>asociados con los servicios prestados a otros OR,</w:t>
      </w:r>
    </w:p>
    <w:p w:rsidR="005F1087" w:rsidRPr="005F1087" w:rsidRDefault="005F1087" w:rsidP="009C086B">
      <w:pPr>
        <w:pStyle w:val="Prrafodelista"/>
        <w:numPr>
          <w:ilvl w:val="0"/>
          <w:numId w:val="68"/>
        </w:numPr>
        <w:spacing w:before="120" w:after="0"/>
      </w:pPr>
      <w:r w:rsidRPr="005F1087">
        <w:t>asociados a activos de conexión de usuarios de los STR o SDL,</w:t>
      </w:r>
    </w:p>
    <w:p w:rsidR="005F1087" w:rsidRPr="005F1087" w:rsidRDefault="005F1087" w:rsidP="009C086B">
      <w:pPr>
        <w:pStyle w:val="Prrafodelista"/>
        <w:numPr>
          <w:ilvl w:val="0"/>
          <w:numId w:val="68"/>
        </w:numPr>
        <w:spacing w:before="120" w:after="0"/>
      </w:pPr>
      <w:r w:rsidRPr="005F1087">
        <w:rPr>
          <w:szCs w:val="24"/>
        </w:rPr>
        <w:t>asociados a activos ejecutados mediante convocatorias públicas,</w:t>
      </w:r>
    </w:p>
    <w:p w:rsidR="005F1087" w:rsidRPr="005F1087" w:rsidRDefault="005F1087" w:rsidP="009C086B">
      <w:pPr>
        <w:pStyle w:val="Prrafodelista"/>
        <w:numPr>
          <w:ilvl w:val="0"/>
          <w:numId w:val="68"/>
        </w:numPr>
        <w:spacing w:before="120" w:after="0"/>
      </w:pPr>
      <w:r w:rsidRPr="005F1087">
        <w:t>asociados con servicios prestados a terceros, o</w:t>
      </w:r>
    </w:p>
    <w:p w:rsidR="005F1087" w:rsidRPr="005F1087" w:rsidRDefault="005F1087" w:rsidP="009C086B">
      <w:pPr>
        <w:pStyle w:val="Prrafodelista"/>
        <w:numPr>
          <w:ilvl w:val="0"/>
          <w:numId w:val="68"/>
        </w:numPr>
        <w:spacing w:before="120" w:after="0"/>
      </w:pPr>
      <w:r w:rsidRPr="005F1087">
        <w:t>asociados con inversiones requeridas para reposición de activos.</w:t>
      </w:r>
    </w:p>
    <w:p w:rsidR="005F1087" w:rsidRPr="005F1087" w:rsidRDefault="005F1087" w:rsidP="005F1087">
      <w:r w:rsidRPr="005F1087">
        <w:t>Para el cálculo del valor anual de AOM, primero se obtendrá uno inicial a partir de los valores de AOM remunerado y de AOM demostrado de cada operador de red, durante los años 2012 a 2016, el cual se comparará con el resultado de la aplicación de modelos de eficiencia para determinar el valor de AOM a reconocer. Dichos valores se calcularán como se muestra a continuación.</w:t>
      </w:r>
    </w:p>
    <w:p w:rsidR="005F1087" w:rsidRPr="005F1087" w:rsidRDefault="005F1087" w:rsidP="005F1087">
      <w:pPr>
        <w:pStyle w:val="Ttulo2"/>
      </w:pPr>
      <w:bookmarkStart w:id="234" w:name="_Ref403576449"/>
      <w:bookmarkStart w:id="235" w:name="_Toc408493145"/>
      <w:bookmarkStart w:id="236" w:name="_Toc443655679"/>
      <w:bookmarkStart w:id="237" w:name="_Ref444698515"/>
      <w:bookmarkStart w:id="238" w:name="_Ref444790672"/>
      <w:bookmarkStart w:id="239" w:name="_Toc476824138"/>
      <w:bookmarkStart w:id="240" w:name="_Toc505335918"/>
      <w:r w:rsidRPr="005F1087">
        <w:t xml:space="preserve">AOM </w:t>
      </w:r>
      <w:bookmarkEnd w:id="234"/>
      <w:r w:rsidRPr="005F1087">
        <w:t>BASE A RECONOCER</w:t>
      </w:r>
      <w:bookmarkEnd w:id="235"/>
      <w:bookmarkEnd w:id="236"/>
      <w:bookmarkEnd w:id="237"/>
      <w:bookmarkEnd w:id="238"/>
      <w:bookmarkEnd w:id="239"/>
      <w:bookmarkEnd w:id="240"/>
    </w:p>
    <w:p w:rsidR="005F1087" w:rsidRPr="005F1087" w:rsidRDefault="005F1087" w:rsidP="005F1087">
      <w:pPr>
        <w:rPr>
          <w:lang w:val="es-MX"/>
        </w:rPr>
      </w:pPr>
      <w:r w:rsidRPr="005F1087">
        <w:rPr>
          <w:lang w:val="es-MX"/>
        </w:rPr>
        <w:t>El valor de AOM base a reconocer por los activos existentes a la fecha de corte se determina con las siguientes fórmulas:</w:t>
      </w:r>
    </w:p>
    <w:p w:rsidR="005F1087" w:rsidRPr="005F1087" w:rsidRDefault="00C9592F" w:rsidP="005F1087">
      <w:pPr>
        <w:rPr>
          <w:lang w:val="es-MX"/>
        </w:rPr>
      </w:pPr>
      <m:oMathPara>
        <m:oMath>
          <m:sSub>
            <m:sSubPr>
              <m:ctrlPr>
                <w:rPr>
                  <w:rFonts w:ascii="Cambria Math" w:hAnsi="Cambria Math"/>
                  <w:lang w:val="es-MX"/>
                </w:rPr>
              </m:ctrlPr>
            </m:sSubPr>
            <m:e>
              <m:r>
                <w:rPr>
                  <w:rFonts w:ascii="Cambria Math" w:hAnsi="Cambria Math"/>
                  <w:lang w:val="es-MX"/>
                </w:rPr>
                <m:t>AOMbase</m:t>
              </m:r>
            </m:e>
            <m:sub>
              <m:r>
                <w:rPr>
                  <w:rFonts w:ascii="Cambria Math" w:hAnsi="Cambria Math"/>
                  <w:lang w:val="es-MX"/>
                </w:rPr>
                <m:t>j</m:t>
              </m:r>
            </m:sub>
          </m:sSub>
          <m:r>
            <m:rPr>
              <m:sty m:val="p"/>
            </m:rPr>
            <w:rPr>
              <w:rFonts w:ascii="Cambria Math" w:hAnsi="Cambria Math"/>
              <w:lang w:val="es-MX"/>
            </w:rPr>
            <m:t>=</m:t>
          </m:r>
          <m:d>
            <m:dPr>
              <m:ctrlPr>
                <w:rPr>
                  <w:rFonts w:ascii="Cambria Math" w:hAnsi="Cambria Math"/>
                  <w:i/>
                  <w:lang w:val="es-MX"/>
                </w:rPr>
              </m:ctrlPr>
            </m:dPr>
            <m:e>
              <m:func>
                <m:funcPr>
                  <m:ctrlPr>
                    <w:rPr>
                      <w:rFonts w:ascii="Cambria Math" w:hAnsi="Cambria Math"/>
                      <w:i/>
                      <w:lang w:val="es-MX"/>
                    </w:rPr>
                  </m:ctrlPr>
                </m:funcPr>
                <m:fName>
                  <m:r>
                    <m:rPr>
                      <m:sty m:val="p"/>
                    </m:rPr>
                    <w:rPr>
                      <w:rFonts w:ascii="Cambria Math" w:hAnsi="Cambria Math"/>
                      <w:lang w:val="es-MX"/>
                    </w:rPr>
                    <m:t>máx</m:t>
                  </m:r>
                </m:fName>
                <m:e>
                  <m:r>
                    <w:rPr>
                      <w:rFonts w:ascii="Cambria Math" w:hAnsi="Cambria Math"/>
                      <w:lang w:val="es-MX"/>
                    </w:rPr>
                    <m:t xml:space="preserve"> </m:t>
                  </m:r>
                  <m:d>
                    <m:dPr>
                      <m:ctrlPr>
                        <w:rPr>
                          <w:rFonts w:ascii="Cambria Math" w:hAnsi="Cambria Math"/>
                          <w:i/>
                          <w:lang w:val="es-MX"/>
                        </w:rPr>
                      </m:ctrlPr>
                    </m:dPr>
                    <m:e>
                      <m:sSub>
                        <m:sSubPr>
                          <m:ctrlPr>
                            <w:rPr>
                              <w:rFonts w:ascii="Cambria Math" w:hAnsi="Cambria Math"/>
                              <w:i/>
                              <w:lang w:val="es-MX"/>
                            </w:rPr>
                          </m:ctrlPr>
                        </m:sSubPr>
                        <m:e>
                          <m:r>
                            <w:rPr>
                              <w:rFonts w:ascii="Cambria Math" w:hAnsi="Cambria Math"/>
                              <w:lang w:val="es-MX"/>
                            </w:rPr>
                            <m:t>AOMINI</m:t>
                          </m:r>
                        </m:e>
                        <m:sub>
                          <m:r>
                            <w:rPr>
                              <w:rFonts w:ascii="Cambria Math" w:hAnsi="Cambria Math"/>
                              <w:lang w:val="es-MX"/>
                            </w:rPr>
                            <m:t>j</m:t>
                          </m:r>
                        </m:sub>
                      </m:sSub>
                      <m:r>
                        <w:rPr>
                          <w:rFonts w:ascii="Cambria Math" w:hAnsi="Cambria Math"/>
                          <w:lang w:val="es-MX"/>
                        </w:rPr>
                        <m:t>,</m:t>
                      </m:r>
                      <m:sSub>
                        <m:sSubPr>
                          <m:ctrlPr>
                            <w:rPr>
                              <w:rFonts w:ascii="Cambria Math" w:hAnsi="Cambria Math"/>
                              <w:i/>
                              <w:lang w:val="es-MX"/>
                            </w:rPr>
                          </m:ctrlPr>
                        </m:sSubPr>
                        <m:e>
                          <m:r>
                            <w:rPr>
                              <w:rFonts w:ascii="Cambria Math" w:hAnsi="Cambria Math"/>
                              <w:lang w:val="es-MX"/>
                            </w:rPr>
                            <m:t>AOMOB</m:t>
                          </m:r>
                        </m:e>
                        <m:sub>
                          <m:r>
                            <w:rPr>
                              <w:rFonts w:ascii="Cambria Math" w:hAnsi="Cambria Math"/>
                              <w:lang w:val="es-MX"/>
                            </w:rPr>
                            <m:t>j</m:t>
                          </m:r>
                        </m:sub>
                      </m:sSub>
                    </m:e>
                  </m:d>
                </m:e>
              </m:func>
              <m:r>
                <w:rPr>
                  <w:rFonts w:ascii="Cambria Math" w:hAnsi="Cambria Math"/>
                  <w:lang w:val="es-MX"/>
                </w:rPr>
                <m:t>-</m:t>
              </m:r>
              <m:sSub>
                <m:sSubPr>
                  <m:ctrlPr>
                    <w:rPr>
                      <w:rFonts w:ascii="Cambria Math" w:hAnsi="Cambria Math"/>
                      <w:i/>
                      <w:lang w:val="es-MX"/>
                    </w:rPr>
                  </m:ctrlPr>
                </m:sSubPr>
                <m:e>
                  <m:r>
                    <w:rPr>
                      <w:rFonts w:ascii="Cambria Math" w:hAnsi="Cambria Math"/>
                      <w:lang w:val="es-MX"/>
                    </w:rPr>
                    <m:t>AOMP</m:t>
                  </m:r>
                </m:e>
                <m:sub>
                  <m:r>
                    <w:rPr>
                      <w:rFonts w:ascii="Cambria Math" w:hAnsi="Cambria Math"/>
                      <w:lang w:val="es-MX"/>
                    </w:rPr>
                    <m:t>j</m:t>
                  </m:r>
                </m:sub>
              </m:sSub>
              <m:r>
                <w:rPr>
                  <w:rFonts w:ascii="Cambria Math" w:hAnsi="Cambria Math"/>
                  <w:lang w:val="es-MX"/>
                </w:rPr>
                <m:t>+</m:t>
              </m:r>
              <m:sSub>
                <m:sSubPr>
                  <m:ctrlPr>
                    <w:rPr>
                      <w:rFonts w:ascii="Cambria Math" w:hAnsi="Cambria Math"/>
                      <w:i/>
                      <w:lang w:val="es-MX"/>
                    </w:rPr>
                  </m:ctrlPr>
                </m:sSubPr>
                <m:e>
                  <m:r>
                    <w:rPr>
                      <w:rFonts w:ascii="Cambria Math" w:hAnsi="Cambria Math"/>
                      <w:lang w:val="es-MX"/>
                    </w:rPr>
                    <m:t>AMB</m:t>
                  </m:r>
                </m:e>
                <m:sub>
                  <m:r>
                    <w:rPr>
                      <w:rFonts w:ascii="Cambria Math" w:hAnsi="Cambria Math"/>
                      <w:lang w:val="es-MX"/>
                    </w:rPr>
                    <m:t>j</m:t>
                  </m:r>
                </m:sub>
              </m:sSub>
            </m:e>
          </m:d>
          <m:r>
            <w:rPr>
              <w:rFonts w:ascii="Cambria Math" w:hAnsi="Cambria Math"/>
              <w:lang w:val="es-MX"/>
            </w:rPr>
            <m:t>*</m:t>
          </m:r>
          <m:f>
            <m:fPr>
              <m:ctrlPr>
                <w:rPr>
                  <w:rFonts w:ascii="Cambria Math" w:hAnsi="Cambria Math"/>
                  <w:i/>
                  <w:lang w:val="es-MX"/>
                </w:rPr>
              </m:ctrlPr>
            </m:fPr>
            <m:num>
              <m:sSub>
                <m:sSubPr>
                  <m:ctrlPr>
                    <w:rPr>
                      <w:rFonts w:ascii="Cambria Math" w:hAnsi="Cambria Math"/>
                      <w:i/>
                      <w:lang w:val="es-MX"/>
                    </w:rPr>
                  </m:ctrlPr>
                </m:sSubPr>
                <m:e>
                  <m:r>
                    <w:rPr>
                      <w:rFonts w:ascii="Cambria Math" w:hAnsi="Cambria Math"/>
                      <w:lang w:val="es-MX"/>
                    </w:rPr>
                    <m:t>IPP</m:t>
                  </m:r>
                </m:e>
                <m:sub>
                  <m:r>
                    <w:rPr>
                      <w:rFonts w:ascii="Cambria Math" w:hAnsi="Cambria Math"/>
                      <w:lang w:val="es-MX"/>
                    </w:rPr>
                    <m:t>FC</m:t>
                  </m:r>
                </m:sub>
              </m:sSub>
            </m:num>
            <m:den>
              <m:sSub>
                <m:sSubPr>
                  <m:ctrlPr>
                    <w:rPr>
                      <w:rFonts w:ascii="Cambria Math" w:hAnsi="Cambria Math"/>
                      <w:i/>
                      <w:lang w:val="es-MX"/>
                    </w:rPr>
                  </m:ctrlPr>
                </m:sSubPr>
                <m:e>
                  <m:r>
                    <w:rPr>
                      <w:rFonts w:ascii="Cambria Math" w:hAnsi="Cambria Math"/>
                      <w:lang w:val="es-MX"/>
                    </w:rPr>
                    <m:t>IPP</m:t>
                  </m:r>
                </m:e>
                <m:sub>
                  <m:r>
                    <w:rPr>
                      <w:rFonts w:ascii="Cambria Math" w:hAnsi="Cambria Math"/>
                      <w:lang w:val="es-MX"/>
                    </w:rPr>
                    <m:t>2016</m:t>
                  </m:r>
                </m:sub>
              </m:sSub>
            </m:den>
          </m:f>
        </m:oMath>
      </m:oMathPara>
    </w:p>
    <w:p w:rsidR="005F1087" w:rsidRPr="005F1087" w:rsidRDefault="005F1087" w:rsidP="005F1087">
      <w:pPr>
        <w:rPr>
          <w:lang w:val="es-MX"/>
        </w:rPr>
      </w:pPr>
      <w:r w:rsidRPr="005F1087">
        <w:rPr>
          <w:lang w:val="es-MX"/>
        </w:rPr>
        <w:t>Donde:</w:t>
      </w:r>
    </w:p>
    <w:p w:rsidR="005F1087" w:rsidRPr="005F1087" w:rsidRDefault="005F1087" w:rsidP="005F1087">
      <w:pPr>
        <w:ind w:left="1410" w:hanging="1410"/>
        <w:rPr>
          <w:lang w:val="es-MX"/>
        </w:rPr>
      </w:pPr>
      <w:r w:rsidRPr="005F1087">
        <w:rPr>
          <w:i/>
        </w:rPr>
        <w:t>AOMbase</w:t>
      </w:r>
      <w:r w:rsidRPr="005F1087">
        <w:rPr>
          <w:i/>
          <w:vertAlign w:val="subscript"/>
        </w:rPr>
        <w:t>j</w:t>
      </w:r>
      <w:r w:rsidRPr="005F1087">
        <w:rPr>
          <w:lang w:val="es-MX"/>
        </w:rPr>
        <w:t>:</w:t>
      </w:r>
      <w:r w:rsidRPr="005F1087">
        <w:rPr>
          <w:lang w:val="es-MX"/>
        </w:rPr>
        <w:tab/>
        <w:t xml:space="preserve">Valor del AOM base para el OR </w:t>
      </w:r>
      <w:r w:rsidRPr="005F1087">
        <w:rPr>
          <w:i/>
          <w:lang w:val="es-MX"/>
        </w:rPr>
        <w:t>j</w:t>
      </w:r>
      <w:r w:rsidRPr="005F1087">
        <w:rPr>
          <w:lang w:val="es-MX"/>
        </w:rPr>
        <w:t>, expresado en pesos de la fecha de corte.</w:t>
      </w:r>
    </w:p>
    <w:p w:rsidR="005F1087" w:rsidRPr="005F1087" w:rsidRDefault="005F1087" w:rsidP="005F1087">
      <w:pPr>
        <w:ind w:left="1410" w:hanging="1410"/>
        <w:rPr>
          <w:lang w:val="es-MX"/>
        </w:rPr>
      </w:pPr>
      <w:r w:rsidRPr="005F1087">
        <w:rPr>
          <w:i/>
          <w:lang w:val="es-MX"/>
        </w:rPr>
        <w:lastRenderedPageBreak/>
        <w:t>AOMINI</w:t>
      </w:r>
      <w:r w:rsidRPr="005F1087">
        <w:rPr>
          <w:i/>
          <w:vertAlign w:val="subscript"/>
          <w:lang w:val="es-MX"/>
        </w:rPr>
        <w:t>j</w:t>
      </w:r>
      <w:r w:rsidRPr="005F1087">
        <w:rPr>
          <w:lang w:val="es-MX"/>
        </w:rPr>
        <w:t>:</w:t>
      </w:r>
      <w:r w:rsidRPr="005F1087">
        <w:rPr>
          <w:lang w:val="es-MX"/>
        </w:rPr>
        <w:tab/>
        <w:t xml:space="preserve">Valor del AOM inicial del OR </w:t>
      </w:r>
      <w:r w:rsidRPr="005F1087">
        <w:rPr>
          <w:i/>
          <w:lang w:val="es-MX"/>
        </w:rPr>
        <w:t>j</w:t>
      </w:r>
      <w:r w:rsidRPr="005F1087">
        <w:rPr>
          <w:lang w:val="es-MX"/>
        </w:rPr>
        <w:t xml:space="preserve">, expresado en pesos de la fecha de corte, calculado de acuerdo con lo previsto en el numeral </w:t>
      </w:r>
      <w:r w:rsidRPr="005F1087">
        <w:rPr>
          <w:lang w:val="es-MX"/>
        </w:rPr>
        <w:fldChar w:fldCharType="begin"/>
      </w:r>
      <w:r w:rsidRPr="005F1087">
        <w:rPr>
          <w:lang w:val="es-MX"/>
        </w:rPr>
        <w:instrText xml:space="preserve"> REF _Ref440358418 \r \h  \* MERGEFORMAT </w:instrText>
      </w:r>
      <w:r w:rsidRPr="005F1087">
        <w:rPr>
          <w:lang w:val="es-MX"/>
        </w:rPr>
      </w:r>
      <w:r w:rsidRPr="005F1087">
        <w:rPr>
          <w:lang w:val="es-MX"/>
        </w:rPr>
        <w:fldChar w:fldCharType="separate"/>
      </w:r>
      <w:r w:rsidR="00737178">
        <w:rPr>
          <w:lang w:val="es-MX"/>
        </w:rPr>
        <w:t>4.1.1</w:t>
      </w:r>
      <w:r w:rsidRPr="005F1087">
        <w:rPr>
          <w:lang w:val="es-MX"/>
        </w:rPr>
        <w:fldChar w:fldCharType="end"/>
      </w:r>
      <w:r w:rsidRPr="005F1087">
        <w:rPr>
          <w:lang w:val="es-MX"/>
        </w:rPr>
        <w:t>.</w:t>
      </w:r>
    </w:p>
    <w:p w:rsidR="005F1087" w:rsidRPr="005F1087" w:rsidRDefault="005F1087" w:rsidP="005F1087">
      <w:pPr>
        <w:ind w:left="1410" w:hanging="1410"/>
        <w:rPr>
          <w:lang w:val="es-MX"/>
        </w:rPr>
      </w:pPr>
      <w:r w:rsidRPr="005F1087">
        <w:rPr>
          <w:i/>
          <w:lang w:val="es-MX"/>
        </w:rPr>
        <w:t>AOMOB</w:t>
      </w:r>
      <w:r w:rsidRPr="005F1087">
        <w:rPr>
          <w:i/>
          <w:vertAlign w:val="subscript"/>
          <w:lang w:val="es-MX"/>
        </w:rPr>
        <w:t>j</w:t>
      </w:r>
      <w:r w:rsidRPr="005F1087">
        <w:rPr>
          <w:lang w:val="es-MX"/>
        </w:rPr>
        <w:t>:</w:t>
      </w:r>
      <w:r w:rsidRPr="005F1087">
        <w:rPr>
          <w:lang w:val="es-MX"/>
        </w:rPr>
        <w:tab/>
        <w:t xml:space="preserve">Valor del AOM objetivo a reconocer para el OR </w:t>
      </w:r>
      <w:r w:rsidRPr="005F1087">
        <w:rPr>
          <w:i/>
          <w:lang w:val="es-MX"/>
        </w:rPr>
        <w:t>j</w:t>
      </w:r>
      <w:r w:rsidRPr="005F1087">
        <w:rPr>
          <w:lang w:val="es-MX"/>
        </w:rPr>
        <w:t xml:space="preserve">, expresado en pesos de la fecha de corte, calculado de acuerdo con lo previsto en el numeral </w:t>
      </w:r>
      <w:r w:rsidRPr="005F1087">
        <w:rPr>
          <w:lang w:val="es-MX"/>
        </w:rPr>
        <w:fldChar w:fldCharType="begin"/>
      </w:r>
      <w:r w:rsidRPr="005F1087">
        <w:rPr>
          <w:lang w:val="es-MX"/>
        </w:rPr>
        <w:instrText xml:space="preserve"> REF _Ref440358238 \r \h  \* MERGEFORMAT </w:instrText>
      </w:r>
      <w:r w:rsidRPr="005F1087">
        <w:rPr>
          <w:lang w:val="es-MX"/>
        </w:rPr>
      </w:r>
      <w:r w:rsidRPr="005F1087">
        <w:rPr>
          <w:lang w:val="es-MX"/>
        </w:rPr>
        <w:fldChar w:fldCharType="separate"/>
      </w:r>
      <w:r w:rsidR="00737178">
        <w:rPr>
          <w:lang w:val="es-MX"/>
        </w:rPr>
        <w:t>4.1.2</w:t>
      </w:r>
      <w:r w:rsidRPr="005F1087">
        <w:rPr>
          <w:lang w:val="es-MX"/>
        </w:rPr>
        <w:fldChar w:fldCharType="end"/>
      </w:r>
      <w:r w:rsidRPr="005F1087">
        <w:rPr>
          <w:lang w:val="es-MX"/>
        </w:rPr>
        <w:t>.</w:t>
      </w:r>
    </w:p>
    <w:p w:rsidR="005F1087" w:rsidRPr="005F1087" w:rsidRDefault="005F1087" w:rsidP="005F1087">
      <w:pPr>
        <w:ind w:left="1410" w:hanging="1410"/>
        <w:rPr>
          <w:lang w:val="es-MX"/>
        </w:rPr>
      </w:pPr>
      <w:r w:rsidRPr="005F1087">
        <w:rPr>
          <w:i/>
          <w:lang w:val="es-MX"/>
        </w:rPr>
        <w:t>AOMP</w:t>
      </w:r>
      <w:r w:rsidRPr="005F1087">
        <w:rPr>
          <w:i/>
          <w:vertAlign w:val="subscript"/>
          <w:lang w:val="es-MX"/>
        </w:rPr>
        <w:t>j</w:t>
      </w:r>
      <w:r w:rsidRPr="005F1087">
        <w:rPr>
          <w:lang w:val="es-MX"/>
        </w:rPr>
        <w:t>:</w:t>
      </w:r>
      <w:r w:rsidRPr="005F1087">
        <w:rPr>
          <w:lang w:val="es-MX"/>
        </w:rPr>
        <w:tab/>
        <w:t>Valor del AOM destinado a los programas de reducción o mante</w:t>
      </w:r>
      <w:r w:rsidRPr="005F1087">
        <w:rPr>
          <w:lang w:val="es-MX"/>
        </w:rPr>
        <w:softHyphen/>
        <w:t xml:space="preserve">nimiento de pérdidas del OR </w:t>
      </w:r>
      <w:r w:rsidRPr="005F1087">
        <w:rPr>
          <w:i/>
          <w:lang w:val="es-MX"/>
        </w:rPr>
        <w:t>j</w:t>
      </w:r>
      <w:r w:rsidRPr="005F1087">
        <w:rPr>
          <w:lang w:val="es-MX"/>
        </w:rPr>
        <w:t xml:space="preserve">. Equivale al promedio de los valores reportados para los años 2012 a 2016, en cumplimiento de las circulares </w:t>
      </w:r>
      <w:r w:rsidR="00F169AC">
        <w:rPr>
          <w:lang w:val="es-MX"/>
        </w:rPr>
        <w:t xml:space="preserve">expedidas por la </w:t>
      </w:r>
      <w:r w:rsidRPr="005F1087">
        <w:rPr>
          <w:lang w:val="es-MX"/>
        </w:rPr>
        <w:t>CREG</w:t>
      </w:r>
      <w:r w:rsidR="00F169AC">
        <w:rPr>
          <w:lang w:val="es-MX"/>
        </w:rPr>
        <w:t xml:space="preserve"> con este propósito</w:t>
      </w:r>
      <w:r w:rsidRPr="005F1087">
        <w:rPr>
          <w:lang w:val="es-MX"/>
        </w:rPr>
        <w:t>, actualizando cada valor anual con la variación del IPP hasta diciembre de 2016.</w:t>
      </w:r>
    </w:p>
    <w:p w:rsidR="005F1087" w:rsidRPr="005F1087" w:rsidRDefault="005F1087" w:rsidP="005F1087">
      <w:pPr>
        <w:ind w:left="1410" w:hanging="1410"/>
        <w:rPr>
          <w:i/>
        </w:rPr>
      </w:pPr>
      <w:r w:rsidRPr="005F1087">
        <w:rPr>
          <w:i/>
        </w:rPr>
        <w:t>AMB</w:t>
      </w:r>
      <w:r w:rsidRPr="005F1087">
        <w:rPr>
          <w:i/>
          <w:vertAlign w:val="subscript"/>
        </w:rPr>
        <w:t>j</w:t>
      </w:r>
      <w:r w:rsidRPr="005F1087">
        <w:rPr>
          <w:lang w:val="es-MX"/>
        </w:rPr>
        <w:t>:</w:t>
      </w:r>
      <w:r w:rsidRPr="005F1087">
        <w:rPr>
          <w:lang w:val="es-MX"/>
        </w:rPr>
        <w:tab/>
        <w:t xml:space="preserve">Valor de AOM a reconocer al OR </w:t>
      </w:r>
      <w:r w:rsidRPr="005F1087">
        <w:rPr>
          <w:i/>
          <w:lang w:val="es-MX"/>
        </w:rPr>
        <w:t>j</w:t>
      </w:r>
      <w:r w:rsidRPr="005F1087">
        <w:rPr>
          <w:lang w:val="es-MX"/>
        </w:rPr>
        <w:t xml:space="preserve"> por condiciones ambientales, calculado de acuerdo con lo previsto en el numeral </w:t>
      </w:r>
      <w:r w:rsidRPr="005F1087">
        <w:rPr>
          <w:lang w:val="es-MX"/>
        </w:rPr>
        <w:fldChar w:fldCharType="begin"/>
      </w:r>
      <w:r w:rsidRPr="005F1087">
        <w:rPr>
          <w:lang w:val="es-MX"/>
        </w:rPr>
        <w:instrText xml:space="preserve"> REF _Ref460521511 \r \h  \* MERGEFORMAT </w:instrText>
      </w:r>
      <w:r w:rsidRPr="005F1087">
        <w:rPr>
          <w:lang w:val="es-MX"/>
        </w:rPr>
      </w:r>
      <w:r w:rsidRPr="005F1087">
        <w:rPr>
          <w:lang w:val="es-MX"/>
        </w:rPr>
        <w:fldChar w:fldCharType="separate"/>
      </w:r>
      <w:r w:rsidR="00737178">
        <w:rPr>
          <w:lang w:val="es-MX"/>
        </w:rPr>
        <w:t>4.1.5</w:t>
      </w:r>
      <w:r w:rsidRPr="005F1087">
        <w:rPr>
          <w:lang w:val="es-MX"/>
        </w:rPr>
        <w:fldChar w:fldCharType="end"/>
      </w:r>
      <w:r w:rsidRPr="005F1087">
        <w:rPr>
          <w:lang w:val="es-MX"/>
        </w:rPr>
        <w:t>.</w:t>
      </w:r>
    </w:p>
    <w:p w:rsidR="005F1087" w:rsidRPr="005F1087" w:rsidRDefault="005F1087" w:rsidP="005F1087">
      <w:pPr>
        <w:ind w:left="1410" w:hanging="1410"/>
      </w:pPr>
      <w:r w:rsidRPr="005F1087">
        <w:rPr>
          <w:i/>
          <w:iCs/>
        </w:rPr>
        <w:t>IPP</w:t>
      </w:r>
      <w:r w:rsidRPr="005F1087">
        <w:rPr>
          <w:i/>
          <w:iCs/>
          <w:vertAlign w:val="subscript"/>
        </w:rPr>
        <w:t>FC</w:t>
      </w:r>
      <w:r w:rsidRPr="005F1087">
        <w:t>:</w:t>
      </w:r>
      <w:r w:rsidRPr="005F1087">
        <w:tab/>
        <w:t>Índice de precios del productor</w:t>
      </w:r>
      <w:r w:rsidRPr="005F1087" w:rsidDel="004B5F5F">
        <w:t xml:space="preserve"> </w:t>
      </w:r>
      <w:r w:rsidRPr="005F1087">
        <w:t>correspondiente a la fecha de corte.</w:t>
      </w:r>
    </w:p>
    <w:p w:rsidR="005F1087" w:rsidRPr="005F1087" w:rsidRDefault="005F1087" w:rsidP="005F1087">
      <w:pPr>
        <w:ind w:left="1410" w:hanging="1410"/>
        <w:rPr>
          <w:lang w:val="es-MX"/>
        </w:rPr>
      </w:pPr>
      <w:r w:rsidRPr="005F1087">
        <w:rPr>
          <w:i/>
          <w:iCs/>
        </w:rPr>
        <w:t>IPP</w:t>
      </w:r>
      <w:r w:rsidRPr="005F1087">
        <w:rPr>
          <w:i/>
          <w:iCs/>
          <w:vertAlign w:val="subscript"/>
        </w:rPr>
        <w:t>2016</w:t>
      </w:r>
      <w:r w:rsidRPr="005F1087">
        <w:t>:</w:t>
      </w:r>
      <w:r w:rsidRPr="005F1087">
        <w:tab/>
        <w:t>Índice de precios del productor correspondiente a diciembre de 2016.</w:t>
      </w:r>
    </w:p>
    <w:p w:rsidR="005F1087" w:rsidRPr="005F1087" w:rsidRDefault="005F1087" w:rsidP="005F1087">
      <w:pPr>
        <w:pStyle w:val="Ttulo3"/>
        <w:ind w:left="716"/>
      </w:pPr>
      <w:bookmarkStart w:id="241" w:name="_Ref440358418"/>
      <w:bookmarkStart w:id="242" w:name="_Toc443655680"/>
      <w:bookmarkStart w:id="243" w:name="_Toc476824139"/>
      <w:bookmarkStart w:id="244" w:name="_Toc505335919"/>
      <w:r w:rsidRPr="005F1087">
        <w:t>AOM inicial</w:t>
      </w:r>
      <w:bookmarkEnd w:id="241"/>
      <w:bookmarkEnd w:id="242"/>
      <w:bookmarkEnd w:id="243"/>
      <w:bookmarkEnd w:id="244"/>
    </w:p>
    <w:p w:rsidR="005F1087" w:rsidRPr="005F1087" w:rsidRDefault="005F1087" w:rsidP="005F1087">
      <w:r w:rsidRPr="005F1087">
        <w:t>El valor de AOM inicial se calcula así:</w:t>
      </w:r>
    </w:p>
    <w:p w:rsidR="005F1087" w:rsidRPr="005F1087" w:rsidRDefault="00C9592F" w:rsidP="005F1087">
      <w:pPr>
        <w:jc w:val="center"/>
        <w:rPr>
          <w:lang w:val="es-MX"/>
        </w:rPr>
      </w:pPr>
      <m:oMathPara>
        <m:oMath>
          <m:sSub>
            <m:sSubPr>
              <m:ctrlPr>
                <w:rPr>
                  <w:rFonts w:ascii="Cambria Math" w:hAnsi="Cambria Math"/>
                  <w:i/>
                  <w:lang w:val="es-MX"/>
                </w:rPr>
              </m:ctrlPr>
            </m:sSubPr>
            <m:e>
              <m:r>
                <w:rPr>
                  <w:rFonts w:ascii="Cambria Math" w:hAnsi="Cambria Math"/>
                  <w:lang w:val="es-MX"/>
                </w:rPr>
                <m:t>AOMINI</m:t>
              </m:r>
            </m:e>
            <m:sub>
              <m:r>
                <w:rPr>
                  <w:rFonts w:ascii="Cambria Math" w:hAnsi="Cambria Math"/>
                  <w:lang w:val="es-MX"/>
                </w:rPr>
                <m:t>j</m:t>
              </m:r>
            </m:sub>
          </m:sSub>
          <m:r>
            <w:rPr>
              <w:rFonts w:ascii="Cambria Math" w:hAnsi="Cambria Math"/>
              <w:lang w:val="es-MX"/>
            </w:rPr>
            <m:t>=min</m:t>
          </m:r>
          <m:d>
            <m:dPr>
              <m:begChr m:val="{"/>
              <m:endChr m:val="}"/>
              <m:ctrlPr>
                <w:rPr>
                  <w:rFonts w:ascii="Cambria Math" w:hAnsi="Cambria Math"/>
                  <w:i/>
                  <w:lang w:val="es-MX"/>
                </w:rPr>
              </m:ctrlPr>
            </m:dPr>
            <m:e>
              <m:d>
                <m:dPr>
                  <m:ctrlPr>
                    <w:rPr>
                      <w:rFonts w:ascii="Cambria Math" w:hAnsi="Cambria Math"/>
                      <w:i/>
                      <w:lang w:val="es-MX"/>
                    </w:rPr>
                  </m:ctrlPr>
                </m:dPr>
                <m:e>
                  <m:r>
                    <w:rPr>
                      <w:rFonts w:ascii="Cambria Math" w:hAnsi="Cambria Math"/>
                      <w:lang w:val="es-MX"/>
                    </w:rPr>
                    <m:t>5,0 %*</m:t>
                  </m:r>
                  <m:sSub>
                    <m:sSubPr>
                      <m:ctrlPr>
                        <w:rPr>
                          <w:rFonts w:ascii="Cambria Math" w:hAnsi="Cambria Math"/>
                          <w:i/>
                          <w:lang w:val="es-MX"/>
                        </w:rPr>
                      </m:ctrlPr>
                    </m:sSubPr>
                    <m:e>
                      <m:r>
                        <w:rPr>
                          <w:rFonts w:ascii="Cambria Math" w:hAnsi="Cambria Math"/>
                          <w:lang w:val="es-MX"/>
                        </w:rPr>
                        <m:t>CRI</m:t>
                      </m:r>
                    </m:e>
                    <m:sub>
                      <m:r>
                        <w:rPr>
                          <w:rFonts w:ascii="Cambria Math" w:hAnsi="Cambria Math"/>
                          <w:lang w:val="es-MX"/>
                        </w:rPr>
                        <m:t>j,16</m:t>
                      </m:r>
                    </m:sub>
                  </m:sSub>
                  <m:r>
                    <w:rPr>
                      <w:rFonts w:ascii="Cambria Math" w:hAnsi="Cambria Math"/>
                      <w:lang w:val="es-MX"/>
                    </w:rPr>
                    <m:t xml:space="preserve"> </m:t>
                  </m:r>
                </m:e>
              </m:d>
              <m:r>
                <w:rPr>
                  <w:rFonts w:ascii="Cambria Math" w:hAnsi="Cambria Math"/>
                  <w:lang w:val="es-MX"/>
                </w:rPr>
                <m:t xml:space="preserve">, </m:t>
              </m:r>
              <m:d>
                <m:dPr>
                  <m:ctrlPr>
                    <w:rPr>
                      <w:rFonts w:ascii="Cambria Math" w:hAnsi="Cambria Math"/>
                      <w:i/>
                      <w:lang w:val="es-MX"/>
                    </w:rPr>
                  </m:ctrlPr>
                </m:dPr>
                <m:e>
                  <m:f>
                    <m:fPr>
                      <m:ctrlPr>
                        <w:rPr>
                          <w:rFonts w:ascii="Cambria Math" w:hAnsi="Cambria Math"/>
                          <w:i/>
                          <w:lang w:val="es-MX"/>
                        </w:rPr>
                      </m:ctrlPr>
                    </m:fPr>
                    <m:num>
                      <m:sSub>
                        <m:sSubPr>
                          <m:ctrlPr>
                            <w:rPr>
                              <w:rFonts w:ascii="Cambria Math" w:hAnsi="Cambria Math"/>
                              <w:i/>
                              <w:lang w:val="es-MX"/>
                            </w:rPr>
                          </m:ctrlPr>
                        </m:sSubPr>
                        <m:e>
                          <m:r>
                            <w:rPr>
                              <w:rFonts w:ascii="Cambria Math" w:hAnsi="Cambria Math"/>
                              <w:lang w:val="es-MX"/>
                            </w:rPr>
                            <m:t>AOMD</m:t>
                          </m:r>
                        </m:e>
                        <m:sub>
                          <m:r>
                            <w:rPr>
                              <w:rFonts w:ascii="Cambria Math" w:hAnsi="Cambria Math"/>
                              <w:lang w:val="es-MX"/>
                            </w:rPr>
                            <m:t>j,12-16</m:t>
                          </m:r>
                        </m:sub>
                      </m:sSub>
                      <m:r>
                        <w:rPr>
                          <w:rFonts w:ascii="Cambria Math" w:hAnsi="Cambria Math"/>
                          <w:lang w:val="es-MX"/>
                        </w:rPr>
                        <m:t>+</m:t>
                      </m:r>
                      <m:sSub>
                        <m:sSubPr>
                          <m:ctrlPr>
                            <w:rPr>
                              <w:rFonts w:ascii="Cambria Math" w:hAnsi="Cambria Math"/>
                              <w:i/>
                              <w:lang w:val="es-MX"/>
                            </w:rPr>
                          </m:ctrlPr>
                        </m:sSubPr>
                        <m:e>
                          <m:r>
                            <w:rPr>
                              <w:rFonts w:ascii="Cambria Math" w:hAnsi="Cambria Math"/>
                              <w:lang w:val="es-MX"/>
                            </w:rPr>
                            <m:t>AOMR</m:t>
                          </m:r>
                        </m:e>
                        <m:sub>
                          <m:r>
                            <w:rPr>
                              <w:rFonts w:ascii="Cambria Math" w:hAnsi="Cambria Math"/>
                              <w:lang w:val="es-MX"/>
                            </w:rPr>
                            <m:t>j,12-16</m:t>
                          </m:r>
                        </m:sub>
                      </m:sSub>
                    </m:num>
                    <m:den>
                      <m:r>
                        <w:rPr>
                          <w:rFonts w:ascii="Cambria Math" w:hAnsi="Cambria Math"/>
                          <w:lang w:val="es-MX"/>
                        </w:rPr>
                        <m:t>2</m:t>
                      </m:r>
                    </m:den>
                  </m:f>
                </m:e>
              </m:d>
            </m:e>
          </m:d>
        </m:oMath>
      </m:oMathPara>
    </w:p>
    <w:p w:rsidR="005F1087" w:rsidRPr="005F1087" w:rsidRDefault="005F1087" w:rsidP="005F1087">
      <w:pPr>
        <w:jc w:val="left"/>
        <w:rPr>
          <w:lang w:val="es-MX"/>
        </w:rPr>
      </w:pPr>
      <w:r w:rsidRPr="005F1087">
        <w:rPr>
          <w:lang w:val="es-MX"/>
        </w:rPr>
        <w:t>Donde:</w:t>
      </w:r>
    </w:p>
    <w:p w:rsidR="005F1087" w:rsidRPr="005F1087" w:rsidRDefault="005F1087" w:rsidP="005F1087">
      <w:pPr>
        <w:ind w:left="1410" w:hanging="1410"/>
        <w:rPr>
          <w:lang w:val="es-MX"/>
        </w:rPr>
      </w:pPr>
      <w:r w:rsidRPr="005F1087">
        <w:rPr>
          <w:i/>
          <w:lang w:val="es-MX"/>
        </w:rPr>
        <w:t>AOMINI</w:t>
      </w:r>
      <w:r w:rsidRPr="005F1087">
        <w:rPr>
          <w:i/>
          <w:vertAlign w:val="subscript"/>
          <w:lang w:val="es-MX"/>
        </w:rPr>
        <w:t>j</w:t>
      </w:r>
      <w:r w:rsidRPr="005F1087">
        <w:rPr>
          <w:lang w:val="es-MX"/>
        </w:rPr>
        <w:t>:</w:t>
      </w:r>
      <w:r w:rsidRPr="005F1087">
        <w:rPr>
          <w:lang w:val="es-MX"/>
        </w:rPr>
        <w:tab/>
        <w:t xml:space="preserve">Valor del AOM inicial del OR </w:t>
      </w:r>
      <w:r w:rsidRPr="005F1087">
        <w:rPr>
          <w:i/>
          <w:lang w:val="es-MX"/>
        </w:rPr>
        <w:t>j</w:t>
      </w:r>
      <w:r w:rsidRPr="005F1087">
        <w:rPr>
          <w:lang w:val="es-MX"/>
        </w:rPr>
        <w:t>, expresado en pesos de la fecha de corte.</w:t>
      </w:r>
    </w:p>
    <w:p w:rsidR="005F1087" w:rsidRPr="005F1087" w:rsidRDefault="005F1087" w:rsidP="005F1087">
      <w:pPr>
        <w:ind w:left="1410" w:hanging="1410"/>
        <w:rPr>
          <w:lang w:val="es-MX"/>
        </w:rPr>
      </w:pPr>
      <w:r w:rsidRPr="005F1087">
        <w:rPr>
          <w:i/>
        </w:rPr>
        <w:t>CRI</w:t>
      </w:r>
      <w:r w:rsidRPr="005F1087">
        <w:rPr>
          <w:i/>
          <w:vertAlign w:val="subscript"/>
        </w:rPr>
        <w:t>j,16</w:t>
      </w:r>
      <w:r w:rsidRPr="005F1087">
        <w:rPr>
          <w:lang w:val="es-MX"/>
        </w:rPr>
        <w:t>:</w:t>
      </w:r>
      <w:r w:rsidRPr="005F1087">
        <w:rPr>
          <w:lang w:val="es-MX"/>
        </w:rPr>
        <w:tab/>
        <w:t xml:space="preserve">Suma de los valores de reposición de la inversión de cada nivel de tensión del OR </w:t>
      </w:r>
      <w:r w:rsidRPr="005F1087">
        <w:rPr>
          <w:i/>
          <w:lang w:val="es-MX"/>
        </w:rPr>
        <w:t>j</w:t>
      </w:r>
      <w:r w:rsidRPr="005F1087">
        <w:rPr>
          <w:lang w:val="es-MX"/>
        </w:rPr>
        <w:t xml:space="preserve"> utilizada para calcular el </w:t>
      </w:r>
      <w:r w:rsidRPr="005F1087">
        <w:rPr>
          <w:i/>
          <w:lang w:val="es-MX"/>
        </w:rPr>
        <w:t>PAOMD</w:t>
      </w:r>
      <w:r w:rsidRPr="005F1087">
        <w:rPr>
          <w:i/>
          <w:vertAlign w:val="subscript"/>
          <w:lang w:val="es-MX"/>
        </w:rPr>
        <w:t>j,2016</w:t>
      </w:r>
      <w:r w:rsidRPr="005F1087">
        <w:rPr>
          <w:lang w:val="es-MX"/>
        </w:rPr>
        <w:t>, de acuerdo con lo señalado en el numeral 10.3 del anexo general de la Resolución CREG 097 de 2008.</w:t>
      </w:r>
    </w:p>
    <w:p w:rsidR="005F1087" w:rsidRPr="005F1087" w:rsidRDefault="005F1087" w:rsidP="005F1087">
      <w:pPr>
        <w:ind w:left="1415" w:hanging="1415"/>
        <w:rPr>
          <w:lang w:val="es-MX"/>
        </w:rPr>
      </w:pPr>
      <w:r w:rsidRPr="005F1087">
        <w:rPr>
          <w:i/>
        </w:rPr>
        <w:t>AOMD</w:t>
      </w:r>
      <w:r w:rsidRPr="005F1087">
        <w:rPr>
          <w:i/>
          <w:vertAlign w:val="subscript"/>
        </w:rPr>
        <w:t>j,12-16</w:t>
      </w:r>
      <w:r w:rsidRPr="005F1087">
        <w:rPr>
          <w:lang w:val="es-MX"/>
        </w:rPr>
        <w:t>:</w:t>
      </w:r>
      <w:r w:rsidRPr="005F1087">
        <w:rPr>
          <w:lang w:val="es-MX"/>
        </w:rPr>
        <w:tab/>
        <w:t xml:space="preserve">Valor del AOM demostrado por el OR </w:t>
      </w:r>
      <w:r w:rsidRPr="005F1087">
        <w:rPr>
          <w:i/>
          <w:lang w:val="es-MX"/>
        </w:rPr>
        <w:t>j</w:t>
      </w:r>
      <w:r w:rsidRPr="005F1087">
        <w:rPr>
          <w:lang w:val="es-MX"/>
        </w:rPr>
        <w:t xml:space="preserve">, calculado de acuerdo con lo previsto en el numeral </w:t>
      </w:r>
      <w:r w:rsidRPr="005F1087">
        <w:rPr>
          <w:lang w:val="es-MX"/>
        </w:rPr>
        <w:fldChar w:fldCharType="begin"/>
      </w:r>
      <w:r w:rsidRPr="005F1087">
        <w:rPr>
          <w:lang w:val="es-MX"/>
        </w:rPr>
        <w:instrText xml:space="preserve"> REF _Ref465935227 \r \h  \* MERGEFORMAT </w:instrText>
      </w:r>
      <w:r w:rsidRPr="005F1087">
        <w:rPr>
          <w:lang w:val="es-MX"/>
        </w:rPr>
      </w:r>
      <w:r w:rsidRPr="005F1087">
        <w:rPr>
          <w:lang w:val="es-MX"/>
        </w:rPr>
        <w:fldChar w:fldCharType="separate"/>
      </w:r>
      <w:r w:rsidR="00737178">
        <w:rPr>
          <w:lang w:val="es-MX"/>
        </w:rPr>
        <w:t>4.1.3</w:t>
      </w:r>
      <w:r w:rsidRPr="005F1087">
        <w:rPr>
          <w:lang w:val="es-MX"/>
        </w:rPr>
        <w:fldChar w:fldCharType="end"/>
      </w:r>
      <w:r w:rsidRPr="005F1087">
        <w:rPr>
          <w:lang w:val="es-MX"/>
        </w:rPr>
        <w:t>.</w:t>
      </w:r>
    </w:p>
    <w:p w:rsidR="005F1087" w:rsidRPr="005F1087" w:rsidRDefault="005F1087" w:rsidP="005F1087">
      <w:pPr>
        <w:ind w:left="1410" w:hanging="1410"/>
        <w:rPr>
          <w:lang w:val="es-MX"/>
        </w:rPr>
      </w:pPr>
      <w:r w:rsidRPr="005F1087">
        <w:rPr>
          <w:i/>
        </w:rPr>
        <w:t>AOMR</w:t>
      </w:r>
      <w:r w:rsidRPr="005F1087">
        <w:rPr>
          <w:i/>
          <w:vertAlign w:val="subscript"/>
        </w:rPr>
        <w:t>j,12-16</w:t>
      </w:r>
      <w:r w:rsidRPr="005F1087">
        <w:rPr>
          <w:lang w:val="es-MX"/>
        </w:rPr>
        <w:t>:</w:t>
      </w:r>
      <w:r w:rsidRPr="005F1087">
        <w:rPr>
          <w:lang w:val="es-MX"/>
        </w:rPr>
        <w:tab/>
        <w:t xml:space="preserve">Valor del AOM remunerado al OR </w:t>
      </w:r>
      <w:r w:rsidRPr="005F1087">
        <w:rPr>
          <w:i/>
          <w:lang w:val="es-MX"/>
        </w:rPr>
        <w:t>j</w:t>
      </w:r>
      <w:r w:rsidRPr="005F1087">
        <w:rPr>
          <w:lang w:val="es-MX"/>
        </w:rPr>
        <w:t xml:space="preserve">, calculado de acuerdo con lo previsto en el numeral </w:t>
      </w:r>
      <w:r w:rsidRPr="005F1087">
        <w:rPr>
          <w:lang w:val="es-MX"/>
        </w:rPr>
        <w:fldChar w:fldCharType="begin"/>
      </w:r>
      <w:r w:rsidRPr="005F1087">
        <w:rPr>
          <w:lang w:val="es-MX"/>
        </w:rPr>
        <w:instrText xml:space="preserve"> REF _Ref403571324 \r \h  \* MERGEFORMAT </w:instrText>
      </w:r>
      <w:r w:rsidRPr="005F1087">
        <w:rPr>
          <w:lang w:val="es-MX"/>
        </w:rPr>
      </w:r>
      <w:r w:rsidRPr="005F1087">
        <w:rPr>
          <w:lang w:val="es-MX"/>
        </w:rPr>
        <w:fldChar w:fldCharType="separate"/>
      </w:r>
      <w:r w:rsidR="00737178">
        <w:rPr>
          <w:lang w:val="es-MX"/>
        </w:rPr>
        <w:t>4.1.4</w:t>
      </w:r>
      <w:r w:rsidRPr="005F1087">
        <w:rPr>
          <w:lang w:val="es-MX"/>
        </w:rPr>
        <w:fldChar w:fldCharType="end"/>
      </w:r>
      <w:r w:rsidRPr="005F1087">
        <w:rPr>
          <w:lang w:val="es-MX"/>
        </w:rPr>
        <w:t>.</w:t>
      </w:r>
    </w:p>
    <w:p w:rsidR="005F1087" w:rsidRPr="005F1087" w:rsidRDefault="005F1087" w:rsidP="005F1087">
      <w:pPr>
        <w:pStyle w:val="Ttulo3"/>
        <w:ind w:left="716"/>
      </w:pPr>
      <w:bookmarkStart w:id="245" w:name="_Ref440358238"/>
      <w:bookmarkStart w:id="246" w:name="_Toc443655681"/>
      <w:bookmarkStart w:id="247" w:name="_Toc476824140"/>
      <w:bookmarkStart w:id="248" w:name="_Toc505335920"/>
      <w:r w:rsidRPr="005F1087">
        <w:t>AOM objetivo</w:t>
      </w:r>
      <w:bookmarkEnd w:id="245"/>
      <w:bookmarkEnd w:id="246"/>
      <w:bookmarkEnd w:id="247"/>
      <w:bookmarkEnd w:id="248"/>
    </w:p>
    <w:p w:rsidR="005F1087" w:rsidRPr="005F1087" w:rsidRDefault="00C9592F" w:rsidP="005F1087">
      <w:pPr>
        <w:jc w:val="center"/>
        <w:rPr>
          <w:lang w:val="es-MX"/>
        </w:rPr>
      </w:pPr>
      <m:oMathPara>
        <m:oMath>
          <m:sSub>
            <m:sSubPr>
              <m:ctrlPr>
                <w:rPr>
                  <w:rFonts w:ascii="Cambria Math" w:hAnsi="Cambria Math"/>
                  <w:i/>
                  <w:lang w:val="es-MX"/>
                </w:rPr>
              </m:ctrlPr>
            </m:sSubPr>
            <m:e>
              <m:r>
                <w:rPr>
                  <w:rFonts w:ascii="Cambria Math" w:hAnsi="Cambria Math"/>
                  <w:lang w:val="es-MX"/>
                </w:rPr>
                <m:t>AOMOB</m:t>
              </m:r>
            </m:e>
            <m:sub>
              <m:r>
                <w:rPr>
                  <w:rFonts w:ascii="Cambria Math" w:hAnsi="Cambria Math"/>
                  <w:lang w:val="es-MX"/>
                </w:rPr>
                <m:t>j</m:t>
              </m:r>
            </m:sub>
          </m:sSub>
          <m:r>
            <w:rPr>
              <w:rFonts w:ascii="Cambria Math" w:hAnsi="Cambria Math"/>
              <w:lang w:val="es-MX"/>
            </w:rPr>
            <m:t>=</m:t>
          </m:r>
          <m:sSub>
            <m:sSubPr>
              <m:ctrlPr>
                <w:rPr>
                  <w:rFonts w:ascii="Cambria Math" w:hAnsi="Cambria Math"/>
                  <w:i/>
                  <w:lang w:val="es-MX"/>
                </w:rPr>
              </m:ctrlPr>
            </m:sSubPr>
            <m:e>
              <m:r>
                <w:rPr>
                  <w:rFonts w:ascii="Cambria Math" w:hAnsi="Cambria Math"/>
                  <w:lang w:val="es-MX"/>
                </w:rPr>
                <m:t>fe</m:t>
              </m:r>
            </m:e>
            <m:sub>
              <m:r>
                <w:rPr>
                  <w:rFonts w:ascii="Cambria Math" w:hAnsi="Cambria Math"/>
                  <w:lang w:val="es-MX"/>
                </w:rPr>
                <m:t>j</m:t>
              </m:r>
            </m:sub>
          </m:sSub>
          <m:r>
            <w:rPr>
              <w:rFonts w:ascii="Cambria Math" w:hAnsi="Cambria Math"/>
              <w:lang w:val="es-MX"/>
            </w:rPr>
            <m:t>*</m:t>
          </m:r>
          <m:sSub>
            <m:sSubPr>
              <m:ctrlPr>
                <w:rPr>
                  <w:rFonts w:ascii="Cambria Math" w:hAnsi="Cambria Math"/>
                  <w:i/>
                  <w:lang w:val="es-MX"/>
                </w:rPr>
              </m:ctrlPr>
            </m:sSubPr>
            <m:e>
              <m:r>
                <w:rPr>
                  <w:rFonts w:ascii="Cambria Math" w:hAnsi="Cambria Math"/>
                  <w:lang w:val="es-MX"/>
                </w:rPr>
                <m:t>AOMD</m:t>
              </m:r>
            </m:e>
            <m:sub>
              <m:r>
                <w:rPr>
                  <w:rFonts w:ascii="Cambria Math" w:hAnsi="Cambria Math"/>
                  <w:lang w:val="es-MX"/>
                </w:rPr>
                <m:t>j,12-16</m:t>
              </m:r>
            </m:sub>
          </m:sSub>
        </m:oMath>
      </m:oMathPara>
    </w:p>
    <w:p w:rsidR="005F1087" w:rsidRPr="005F1087" w:rsidRDefault="005F1087" w:rsidP="005F1087">
      <w:pPr>
        <w:ind w:left="1410" w:hanging="1410"/>
        <w:rPr>
          <w:lang w:val="es-MX"/>
        </w:rPr>
      </w:pPr>
      <w:bookmarkStart w:id="249" w:name="_Toc209706059"/>
      <w:bookmarkStart w:id="250" w:name="_Ref209710429"/>
      <w:bookmarkStart w:id="251" w:name="_Toc210187944"/>
      <w:bookmarkStart w:id="252" w:name="_Toc210616082"/>
      <w:bookmarkStart w:id="253" w:name="_Ref403571321"/>
      <w:bookmarkStart w:id="254" w:name="_Toc408493146"/>
      <w:bookmarkStart w:id="255" w:name="_Ref440358520"/>
      <w:bookmarkStart w:id="256" w:name="_Toc443655682"/>
      <w:bookmarkStart w:id="257" w:name="_Ref403576479"/>
      <w:r w:rsidRPr="005F1087">
        <w:rPr>
          <w:i/>
          <w:lang w:val="es-MX"/>
        </w:rPr>
        <w:t>fe</w:t>
      </w:r>
      <w:r w:rsidRPr="005F1087">
        <w:rPr>
          <w:i/>
          <w:vertAlign w:val="subscript"/>
          <w:lang w:val="es-MX"/>
        </w:rPr>
        <w:t>j</w:t>
      </w:r>
      <w:r w:rsidRPr="005F1087">
        <w:rPr>
          <w:lang w:val="es-MX"/>
        </w:rPr>
        <w:t>:</w:t>
      </w:r>
      <w:r w:rsidRPr="005F1087">
        <w:rPr>
          <w:lang w:val="es-MX"/>
        </w:rPr>
        <w:tab/>
        <w:t xml:space="preserve">Factor de eficiencia del OR </w:t>
      </w:r>
      <w:r w:rsidRPr="005F1087">
        <w:rPr>
          <w:i/>
          <w:lang w:val="es-MX"/>
        </w:rPr>
        <w:t>j</w:t>
      </w:r>
      <w:r w:rsidRPr="005F1087">
        <w:rPr>
          <w:lang w:val="es-MX"/>
        </w:rPr>
        <w:t xml:space="preserve"> que </w:t>
      </w:r>
      <w:r w:rsidRPr="005F1087">
        <w:rPr>
          <w:rFonts w:cs="Arial"/>
        </w:rPr>
        <w:t xml:space="preserve">corresponde al límite superior del intervalo de confianza del 90% estimado a partir del </w:t>
      </w:r>
      <w:r w:rsidRPr="005F1087">
        <w:t>modelo de frontera estocástica que se muestra a continuación</w:t>
      </w:r>
      <w:r w:rsidRPr="005F1087">
        <w:rPr>
          <w:lang w:val="es-MX"/>
        </w:rPr>
        <w:t>.</w:t>
      </w:r>
    </w:p>
    <w:p w:rsidR="005F1087" w:rsidRPr="005F1087" w:rsidRDefault="005F1087" w:rsidP="005F1087">
      <w:pPr>
        <w:ind w:left="1415" w:hanging="1415"/>
        <w:rPr>
          <w:lang w:val="es-MX"/>
        </w:rPr>
      </w:pPr>
      <w:r w:rsidRPr="005F1087">
        <w:rPr>
          <w:i/>
        </w:rPr>
        <w:t>AOMD</w:t>
      </w:r>
      <w:r w:rsidRPr="005F1087">
        <w:rPr>
          <w:i/>
          <w:vertAlign w:val="subscript"/>
        </w:rPr>
        <w:t>j,12-16</w:t>
      </w:r>
      <w:r w:rsidRPr="005F1087">
        <w:rPr>
          <w:lang w:val="es-MX"/>
        </w:rPr>
        <w:t>:</w:t>
      </w:r>
      <w:r w:rsidRPr="005F1087">
        <w:rPr>
          <w:lang w:val="es-MX"/>
        </w:rPr>
        <w:tab/>
        <w:t xml:space="preserve">Valor del AOM demostrado por el OR </w:t>
      </w:r>
      <w:r w:rsidRPr="005F1087">
        <w:rPr>
          <w:i/>
          <w:lang w:val="es-MX"/>
        </w:rPr>
        <w:t>j</w:t>
      </w:r>
      <w:r w:rsidRPr="005F1087">
        <w:rPr>
          <w:lang w:val="es-MX"/>
        </w:rPr>
        <w:t xml:space="preserve">, calculado de acuerdo con lo previsto en el numeral </w:t>
      </w:r>
      <w:r w:rsidRPr="005F1087">
        <w:rPr>
          <w:lang w:val="es-MX"/>
        </w:rPr>
        <w:fldChar w:fldCharType="begin"/>
      </w:r>
      <w:r w:rsidRPr="005F1087">
        <w:rPr>
          <w:lang w:val="es-MX"/>
        </w:rPr>
        <w:instrText xml:space="preserve"> REF _Ref465935227 \r \h  \* MERGEFORMAT </w:instrText>
      </w:r>
      <w:r w:rsidRPr="005F1087">
        <w:rPr>
          <w:lang w:val="es-MX"/>
        </w:rPr>
      </w:r>
      <w:r w:rsidRPr="005F1087">
        <w:rPr>
          <w:lang w:val="es-MX"/>
        </w:rPr>
        <w:fldChar w:fldCharType="separate"/>
      </w:r>
      <w:r w:rsidR="00737178">
        <w:rPr>
          <w:lang w:val="es-MX"/>
        </w:rPr>
        <w:t>4.1.3</w:t>
      </w:r>
      <w:r w:rsidRPr="005F1087">
        <w:rPr>
          <w:lang w:val="es-MX"/>
        </w:rPr>
        <w:fldChar w:fldCharType="end"/>
      </w:r>
      <w:r w:rsidRPr="005F1087">
        <w:rPr>
          <w:lang w:val="es-MX"/>
        </w:rPr>
        <w:t>.</w:t>
      </w:r>
    </w:p>
    <w:p w:rsidR="005F1087" w:rsidRPr="005F1087" w:rsidRDefault="005F1087" w:rsidP="005F1087">
      <w:r w:rsidRPr="005F1087">
        <w:lastRenderedPageBreak/>
        <w:t xml:space="preserve">Como parte de la solicitud de aprobación de ingresos, de que trata el artículo </w:t>
      </w:r>
      <w:r w:rsidRPr="005F1087">
        <w:fldChar w:fldCharType="begin"/>
      </w:r>
      <w:r w:rsidRPr="005F1087">
        <w:instrText xml:space="preserve"> REF _Ref476757639 \r \h \t  \* MERGEFORMAT </w:instrText>
      </w:r>
      <w:r w:rsidRPr="005F1087">
        <w:fldChar w:fldCharType="separate"/>
      </w:r>
      <w:r w:rsidR="00737178">
        <w:t>5</w:t>
      </w:r>
      <w:r w:rsidRPr="005F1087">
        <w:fldChar w:fldCharType="end"/>
      </w:r>
      <w:r w:rsidRPr="005F1087">
        <w:t xml:space="preserve">, el OR deberá suministrar la información requerida para realizar la estimación de la eficiencia técnica a partir del modelo establecido en este numeral. </w:t>
      </w:r>
    </w:p>
    <w:p w:rsidR="005F1087" w:rsidRPr="005F1087" w:rsidRDefault="005F1087" w:rsidP="005F1087">
      <w:r w:rsidRPr="005F1087">
        <w:t xml:space="preserve">Cuando no sea posible estimar el factor de eficiencia para un OR, el valor de la variable </w:t>
      </w:r>
      <w:r w:rsidRPr="005F1087">
        <w:rPr>
          <w:i/>
        </w:rPr>
        <w:t>AOMOB</w:t>
      </w:r>
      <w:r w:rsidRPr="005F1087">
        <w:rPr>
          <w:i/>
          <w:vertAlign w:val="subscript"/>
        </w:rPr>
        <w:t>j</w:t>
      </w:r>
      <w:r w:rsidRPr="005F1087">
        <w:t xml:space="preserve"> se toma igual a cero. </w:t>
      </w:r>
    </w:p>
    <w:p w:rsidR="005F1087" w:rsidRPr="005F1087" w:rsidRDefault="005F1087" w:rsidP="005F1087">
      <w:pPr>
        <w:pStyle w:val="Ttulo4"/>
        <w:ind w:left="864" w:hanging="864"/>
      </w:pPr>
      <w:r w:rsidRPr="005F1087">
        <w:t>Modelo de frontera estocástica</w:t>
      </w:r>
    </w:p>
    <w:p w:rsidR="005F1087" w:rsidRPr="005F1087" w:rsidRDefault="005F1087" w:rsidP="005F1087">
      <w:r w:rsidRPr="005F1087">
        <w:t>La ecuación del modelo a utilizar es la siguiente:</w:t>
      </w:r>
    </w:p>
    <w:p w:rsidR="005F1087" w:rsidRPr="005F1087" w:rsidRDefault="00C9592F" w:rsidP="005F1087">
      <w:pPr>
        <w:spacing w:after="0" w:line="360" w:lineRule="auto"/>
      </w:pPr>
      <m:oMathPara>
        <m:oMath>
          <m:func>
            <m:funcPr>
              <m:ctrlPr>
                <w:rPr>
                  <w:rFonts w:ascii="Cambria Math" w:hAnsi="Cambria Math"/>
                  <w:i/>
                </w:rPr>
              </m:ctrlPr>
            </m:funcPr>
            <m:fName>
              <m:r>
                <m:rPr>
                  <m:sty m:val="p"/>
                </m:rPr>
                <w:rPr>
                  <w:rFonts w:ascii="Cambria Math" w:hAnsi="Cambria Math"/>
                </w:rPr>
                <m:t>ln</m:t>
              </m:r>
            </m:fName>
            <m:e>
              <m:d>
                <m:dPr>
                  <m:ctrlPr>
                    <w:rPr>
                      <w:rFonts w:ascii="Cambria Math" w:hAnsi="Cambria Math"/>
                      <w:i/>
                    </w:rPr>
                  </m:ctrlPr>
                </m:dPr>
                <m:e>
                  <m:sSub>
                    <m:sSubPr>
                      <m:ctrlPr>
                        <w:rPr>
                          <w:rFonts w:ascii="Cambria Math" w:hAnsi="Cambria Math"/>
                          <w:i/>
                        </w:rPr>
                      </m:ctrlPr>
                    </m:sSubPr>
                    <m:e>
                      <m:r>
                        <w:rPr>
                          <w:rFonts w:ascii="Cambria Math" w:hAnsi="Cambria Math"/>
                        </w:rPr>
                        <m:t>y</m:t>
                      </m:r>
                    </m:e>
                    <m:sub>
                      <m:r>
                        <w:rPr>
                          <w:rFonts w:ascii="Cambria Math" w:hAnsi="Cambria Math"/>
                        </w:rPr>
                        <m:t>jt</m:t>
                      </m:r>
                    </m:sub>
                  </m:sSub>
                  <m:r>
                    <w:rPr>
                      <w:rFonts w:ascii="Cambria Math" w:hAnsi="Cambria Math"/>
                    </w:rPr>
                    <m:t>/</m:t>
                  </m:r>
                  <m:sSub>
                    <m:sSubPr>
                      <m:ctrlPr>
                        <w:rPr>
                          <w:rFonts w:ascii="Cambria Math" w:hAnsi="Cambria Math"/>
                          <w:i/>
                        </w:rPr>
                      </m:ctrlPr>
                    </m:sSubPr>
                    <m:e>
                      <m:r>
                        <w:rPr>
                          <w:rFonts w:ascii="Cambria Math" w:hAnsi="Cambria Math"/>
                        </w:rPr>
                        <m:t>w2</m:t>
                      </m:r>
                    </m:e>
                    <m:sub>
                      <m:r>
                        <w:rPr>
                          <w:rFonts w:ascii="Cambria Math" w:hAnsi="Cambria Math"/>
                        </w:rPr>
                        <m:t>jt</m:t>
                      </m:r>
                    </m:sub>
                  </m:sSub>
                </m:e>
              </m:d>
            </m:e>
          </m:func>
          <m:r>
            <w:rPr>
              <w:rFonts w:ascii="Cambria Math" w:hAnsi="Cambria Math"/>
            </w:rPr>
            <m:t>=</m:t>
          </m:r>
          <m:sSub>
            <m:sSubPr>
              <m:ctrlPr>
                <w:rPr>
                  <w:rFonts w:ascii="Cambria Math" w:hAnsi="Cambria Math"/>
                  <w:i/>
                </w:rPr>
              </m:ctrlPr>
            </m:sSubPr>
            <m:e>
              <m:r>
                <w:rPr>
                  <w:rFonts w:ascii="Cambria Math" w:hAnsi="Cambria Math"/>
                </w:rPr>
                <m:t>α</m:t>
              </m:r>
            </m:e>
            <m:sub>
              <m:r>
                <w:rPr>
                  <w:rFonts w:ascii="Cambria Math" w:hAnsi="Cambria Math"/>
                </w:rPr>
                <m:t>0</m:t>
              </m:r>
            </m:sub>
          </m:sSub>
          <m:r>
            <w:rPr>
              <w:rFonts w:ascii="Cambria Math" w:hAnsi="Cambria Math"/>
            </w:rPr>
            <m:t>+</m:t>
          </m:r>
          <m:sSub>
            <m:sSubPr>
              <m:ctrlPr>
                <w:rPr>
                  <w:rFonts w:ascii="Cambria Math" w:hAnsi="Cambria Math"/>
                  <w:i/>
                </w:rPr>
              </m:ctrlPr>
            </m:sSubPr>
            <m:e>
              <m:r>
                <w:rPr>
                  <w:rFonts w:ascii="Cambria Math" w:hAnsi="Cambria Math"/>
                </w:rPr>
                <m:t>α</m:t>
              </m:r>
            </m:e>
            <m:sub>
              <m:r>
                <w:rPr>
                  <w:rFonts w:ascii="Cambria Math" w:hAnsi="Cambria Math"/>
                </w:rPr>
                <m:t>q</m:t>
              </m:r>
            </m:sub>
          </m:sSub>
          <m:func>
            <m:funcPr>
              <m:ctrlPr>
                <w:rPr>
                  <w:rFonts w:ascii="Cambria Math" w:hAnsi="Cambria Math"/>
                  <w:i/>
                </w:rPr>
              </m:ctrlPr>
            </m:funcPr>
            <m:fName>
              <m:r>
                <m:rPr>
                  <m:sty m:val="p"/>
                </m:rPr>
                <w:rPr>
                  <w:rFonts w:ascii="Cambria Math" w:hAnsi="Cambria Math"/>
                </w:rPr>
                <m:t>ln</m:t>
              </m:r>
            </m:fName>
            <m:e>
              <m:sSub>
                <m:sSubPr>
                  <m:ctrlPr>
                    <w:rPr>
                      <w:rFonts w:ascii="Cambria Math" w:hAnsi="Cambria Math"/>
                      <w:i/>
                    </w:rPr>
                  </m:ctrlPr>
                </m:sSubPr>
                <m:e>
                  <m:r>
                    <w:rPr>
                      <w:rFonts w:ascii="Cambria Math" w:hAnsi="Cambria Math"/>
                    </w:rPr>
                    <m:t xml:space="preserve"> q</m:t>
                  </m:r>
                </m:e>
                <m:sub>
                  <m:r>
                    <w:rPr>
                      <w:rFonts w:ascii="Cambria Math" w:hAnsi="Cambria Math"/>
                    </w:rPr>
                    <m:t>jt</m:t>
                  </m:r>
                </m:sub>
              </m:sSub>
            </m:e>
          </m:func>
          <m:r>
            <w:rPr>
              <w:rFonts w:ascii="Cambria Math" w:hAnsi="Cambria Math"/>
            </w:rPr>
            <m:t>+</m:t>
          </m:r>
          <m:sSub>
            <m:sSubPr>
              <m:ctrlPr>
                <w:rPr>
                  <w:rFonts w:ascii="Cambria Math" w:hAnsi="Cambria Math"/>
                  <w:i/>
                </w:rPr>
              </m:ctrlPr>
            </m:sSubPr>
            <m:e>
              <m:r>
                <w:rPr>
                  <w:rFonts w:ascii="Cambria Math" w:hAnsi="Cambria Math"/>
                </w:rPr>
                <m:t>γ</m:t>
              </m:r>
            </m:e>
            <m:sub>
              <m:r>
                <w:rPr>
                  <w:rFonts w:ascii="Cambria Math" w:hAnsi="Cambria Math"/>
                </w:rPr>
                <m:t>q1</m:t>
              </m:r>
            </m:sub>
          </m:sSub>
          <m:func>
            <m:funcPr>
              <m:ctrlPr>
                <w:rPr>
                  <w:rFonts w:ascii="Cambria Math" w:hAnsi="Cambria Math"/>
                  <w:i/>
                </w:rPr>
              </m:ctrlPr>
            </m:funcPr>
            <m:fName>
              <m:r>
                <m:rPr>
                  <m:sty m:val="p"/>
                </m:rPr>
                <w:rPr>
                  <w:rFonts w:ascii="Cambria Math" w:hAnsi="Cambria Math"/>
                </w:rPr>
                <m:t>ln</m:t>
              </m:r>
            </m:fName>
            <m:e>
              <m:sSub>
                <m:sSubPr>
                  <m:ctrlPr>
                    <w:rPr>
                      <w:rFonts w:ascii="Cambria Math" w:hAnsi="Cambria Math"/>
                      <w:i/>
                    </w:rPr>
                  </m:ctrlPr>
                </m:sSubPr>
                <m:e>
                  <m:r>
                    <w:rPr>
                      <w:rFonts w:ascii="Cambria Math" w:hAnsi="Cambria Math"/>
                    </w:rPr>
                    <m:t xml:space="preserve"> q</m:t>
                  </m:r>
                </m:e>
                <m:sub>
                  <m:r>
                    <w:rPr>
                      <w:rFonts w:ascii="Cambria Math" w:hAnsi="Cambria Math"/>
                    </w:rPr>
                    <m:t>jt</m:t>
                  </m:r>
                </m:sub>
              </m:sSub>
            </m:e>
          </m:func>
          <m:func>
            <m:funcPr>
              <m:ctrlPr>
                <w:rPr>
                  <w:rFonts w:ascii="Cambria Math" w:hAnsi="Cambria Math"/>
                  <w:i/>
                </w:rPr>
              </m:ctrlPr>
            </m:funcPr>
            <m:fName>
              <m:r>
                <m:rPr>
                  <m:sty m:val="p"/>
                </m:rPr>
                <w:rPr>
                  <w:rFonts w:ascii="Cambria Math" w:hAnsi="Cambria Math"/>
                </w:rPr>
                <m:t>ln</m:t>
              </m:r>
            </m:fName>
            <m:e>
              <m:d>
                <m:dPr>
                  <m:ctrlPr>
                    <w:rPr>
                      <w:rFonts w:ascii="Cambria Math" w:hAnsi="Cambria Math"/>
                      <w:i/>
                    </w:rPr>
                  </m:ctrlPr>
                </m:dPr>
                <m:e>
                  <m:sSub>
                    <m:sSubPr>
                      <m:ctrlPr>
                        <w:rPr>
                          <w:rFonts w:ascii="Cambria Math" w:hAnsi="Cambria Math"/>
                          <w:i/>
                        </w:rPr>
                      </m:ctrlPr>
                    </m:sSubPr>
                    <m:e>
                      <m:r>
                        <w:rPr>
                          <w:rFonts w:ascii="Cambria Math" w:hAnsi="Cambria Math"/>
                        </w:rPr>
                        <m:t>w1</m:t>
                      </m:r>
                    </m:e>
                    <m:sub>
                      <m:r>
                        <w:rPr>
                          <w:rFonts w:ascii="Cambria Math" w:hAnsi="Cambria Math"/>
                        </w:rPr>
                        <m:t>jt</m:t>
                      </m:r>
                    </m:sub>
                  </m:sSub>
                  <m:r>
                    <w:rPr>
                      <w:rFonts w:ascii="Cambria Math" w:hAnsi="Cambria Math"/>
                    </w:rPr>
                    <m:t>/</m:t>
                  </m:r>
                  <m:sSub>
                    <m:sSubPr>
                      <m:ctrlPr>
                        <w:rPr>
                          <w:rFonts w:ascii="Cambria Math" w:hAnsi="Cambria Math"/>
                          <w:i/>
                        </w:rPr>
                      </m:ctrlPr>
                    </m:sSubPr>
                    <m:e>
                      <m:r>
                        <w:rPr>
                          <w:rFonts w:ascii="Cambria Math" w:hAnsi="Cambria Math"/>
                        </w:rPr>
                        <m:t>w2</m:t>
                      </m:r>
                    </m:e>
                    <m:sub>
                      <m:r>
                        <w:rPr>
                          <w:rFonts w:ascii="Cambria Math" w:hAnsi="Cambria Math"/>
                        </w:rPr>
                        <m:t>jt</m:t>
                      </m:r>
                    </m:sub>
                  </m:sSub>
                </m:e>
              </m:d>
            </m:e>
          </m:func>
          <m:r>
            <w:rPr>
              <w:rFonts w:ascii="Cambria Math" w:hAnsi="Cambria Math"/>
            </w:rPr>
            <m:t>+</m:t>
          </m:r>
          <m:sSub>
            <m:sSubPr>
              <m:ctrlPr>
                <w:rPr>
                  <w:rFonts w:ascii="Cambria Math" w:hAnsi="Cambria Math"/>
                  <w:i/>
                </w:rPr>
              </m:ctrlPr>
            </m:sSubPr>
            <m:e>
              <m:r>
                <w:rPr>
                  <w:rFonts w:ascii="Cambria Math" w:hAnsi="Cambria Math"/>
                </w:rPr>
                <m:t>α</m:t>
              </m:r>
            </m:e>
            <m:sub>
              <m:r>
                <w:rPr>
                  <w:rFonts w:ascii="Cambria Math" w:hAnsi="Cambria Math"/>
                </w:rPr>
                <m:t>1</m:t>
              </m:r>
            </m:sub>
          </m:sSub>
          <m:func>
            <m:funcPr>
              <m:ctrlPr>
                <w:rPr>
                  <w:rFonts w:ascii="Cambria Math" w:hAnsi="Cambria Math"/>
                  <w:i/>
                </w:rPr>
              </m:ctrlPr>
            </m:funcPr>
            <m:fName>
              <m:r>
                <m:rPr>
                  <m:sty m:val="p"/>
                </m:rPr>
                <w:rPr>
                  <w:rFonts w:ascii="Cambria Math" w:hAnsi="Cambria Math"/>
                </w:rPr>
                <m:t>ln</m:t>
              </m:r>
            </m:fName>
            <m:e>
              <m:d>
                <m:dPr>
                  <m:ctrlPr>
                    <w:rPr>
                      <w:rFonts w:ascii="Cambria Math" w:hAnsi="Cambria Math"/>
                      <w:i/>
                    </w:rPr>
                  </m:ctrlPr>
                </m:dPr>
                <m:e>
                  <m:sSub>
                    <m:sSubPr>
                      <m:ctrlPr>
                        <w:rPr>
                          <w:rFonts w:ascii="Cambria Math" w:hAnsi="Cambria Math"/>
                          <w:i/>
                        </w:rPr>
                      </m:ctrlPr>
                    </m:sSubPr>
                    <m:e>
                      <m:r>
                        <w:rPr>
                          <w:rFonts w:ascii="Cambria Math" w:hAnsi="Cambria Math"/>
                        </w:rPr>
                        <m:t>w1</m:t>
                      </m:r>
                    </m:e>
                    <m:sub>
                      <m:r>
                        <w:rPr>
                          <w:rFonts w:ascii="Cambria Math" w:hAnsi="Cambria Math"/>
                        </w:rPr>
                        <m:t>jt</m:t>
                      </m:r>
                    </m:sub>
                  </m:sSub>
                  <m:r>
                    <w:rPr>
                      <w:rFonts w:ascii="Cambria Math" w:hAnsi="Cambria Math"/>
                    </w:rPr>
                    <m:t>/</m:t>
                  </m:r>
                  <m:sSub>
                    <m:sSubPr>
                      <m:ctrlPr>
                        <w:rPr>
                          <w:rFonts w:ascii="Cambria Math" w:hAnsi="Cambria Math"/>
                          <w:i/>
                        </w:rPr>
                      </m:ctrlPr>
                    </m:sSubPr>
                    <m:e>
                      <m:r>
                        <w:rPr>
                          <w:rFonts w:ascii="Cambria Math" w:hAnsi="Cambria Math"/>
                        </w:rPr>
                        <m:t>w2</m:t>
                      </m:r>
                    </m:e>
                    <m:sub>
                      <m:r>
                        <w:rPr>
                          <w:rFonts w:ascii="Cambria Math" w:hAnsi="Cambria Math"/>
                        </w:rPr>
                        <m:t>jt</m:t>
                      </m:r>
                    </m:sub>
                  </m:sSub>
                </m:e>
              </m:d>
            </m:e>
          </m:func>
          <m:r>
            <w:rPr>
              <w:rFonts w:ascii="Cambria Math" w:hAnsi="Cambria Math"/>
            </w:rPr>
            <m:t>+</m:t>
          </m:r>
          <m:sSub>
            <m:sSubPr>
              <m:ctrlPr>
                <w:rPr>
                  <w:rFonts w:ascii="Cambria Math" w:hAnsi="Cambria Math"/>
                  <w:i/>
                </w:rPr>
              </m:ctrlPr>
            </m:sSubPr>
            <m:e>
              <m:r>
                <w:rPr>
                  <w:rFonts w:ascii="Cambria Math" w:hAnsi="Cambria Math"/>
                </w:rPr>
                <m:t>γ</m:t>
              </m:r>
            </m:e>
            <m:sub>
              <m:r>
                <w:rPr>
                  <w:rFonts w:ascii="Cambria Math" w:hAnsi="Cambria Math"/>
                </w:rPr>
                <m:t>11</m:t>
              </m:r>
            </m:sub>
          </m:sSub>
          <m:d>
            <m:dPr>
              <m:begChr m:val="{"/>
              <m:endChr m:val="}"/>
              <m:ctrlPr>
                <w:rPr>
                  <w:rFonts w:ascii="Cambria Math" w:hAnsi="Cambria Math"/>
                  <w:i/>
                </w:rPr>
              </m:ctrlPr>
            </m:dPr>
            <m:e>
              <m:r>
                <w:rPr>
                  <w:rFonts w:ascii="Cambria Math" w:hAnsi="Cambria Math"/>
                </w:rPr>
                <m:t xml:space="preserve">0,5 </m:t>
              </m:r>
              <m:sSup>
                <m:sSupPr>
                  <m:ctrlPr>
                    <w:rPr>
                      <w:rFonts w:ascii="Cambria Math" w:hAnsi="Cambria Math"/>
                      <w:i/>
                    </w:rPr>
                  </m:ctrlPr>
                </m:sSupPr>
                <m:e>
                  <m:d>
                    <m:dPr>
                      <m:ctrlPr>
                        <w:rPr>
                          <w:rFonts w:ascii="Cambria Math" w:hAnsi="Cambria Math"/>
                          <w:i/>
                        </w:rPr>
                      </m:ctrlPr>
                    </m:dPr>
                    <m:e>
                      <m:func>
                        <m:funcPr>
                          <m:ctrlPr>
                            <w:rPr>
                              <w:rFonts w:ascii="Cambria Math" w:hAnsi="Cambria Math"/>
                              <w:i/>
                            </w:rPr>
                          </m:ctrlPr>
                        </m:funcPr>
                        <m:fName>
                          <m:r>
                            <m:rPr>
                              <m:sty m:val="p"/>
                            </m:rPr>
                            <w:rPr>
                              <w:rFonts w:ascii="Cambria Math" w:hAnsi="Cambria Math"/>
                            </w:rPr>
                            <m:t>ln</m:t>
                          </m:r>
                        </m:fName>
                        <m:e>
                          <m:d>
                            <m:dPr>
                              <m:ctrlPr>
                                <w:rPr>
                                  <w:rFonts w:ascii="Cambria Math" w:hAnsi="Cambria Math"/>
                                  <w:i/>
                                </w:rPr>
                              </m:ctrlPr>
                            </m:dPr>
                            <m:e>
                              <m:sSub>
                                <m:sSubPr>
                                  <m:ctrlPr>
                                    <w:rPr>
                                      <w:rFonts w:ascii="Cambria Math" w:hAnsi="Cambria Math"/>
                                      <w:i/>
                                    </w:rPr>
                                  </m:ctrlPr>
                                </m:sSubPr>
                                <m:e>
                                  <m:r>
                                    <w:rPr>
                                      <w:rFonts w:ascii="Cambria Math" w:hAnsi="Cambria Math"/>
                                    </w:rPr>
                                    <m:t>w1</m:t>
                                  </m:r>
                                </m:e>
                                <m:sub>
                                  <m:r>
                                    <w:rPr>
                                      <w:rFonts w:ascii="Cambria Math" w:hAnsi="Cambria Math"/>
                                    </w:rPr>
                                    <m:t>jt</m:t>
                                  </m:r>
                                </m:sub>
                              </m:sSub>
                              <m:r>
                                <w:rPr>
                                  <w:rFonts w:ascii="Cambria Math" w:hAnsi="Cambria Math"/>
                                </w:rPr>
                                <m:t>/</m:t>
                              </m:r>
                              <m:sSub>
                                <m:sSubPr>
                                  <m:ctrlPr>
                                    <w:rPr>
                                      <w:rFonts w:ascii="Cambria Math" w:hAnsi="Cambria Math"/>
                                      <w:i/>
                                    </w:rPr>
                                  </m:ctrlPr>
                                </m:sSubPr>
                                <m:e>
                                  <m:r>
                                    <w:rPr>
                                      <w:rFonts w:ascii="Cambria Math" w:hAnsi="Cambria Math"/>
                                    </w:rPr>
                                    <m:t>w2</m:t>
                                  </m:r>
                                </m:e>
                                <m:sub>
                                  <m:r>
                                    <w:rPr>
                                      <w:rFonts w:ascii="Cambria Math" w:hAnsi="Cambria Math"/>
                                    </w:rPr>
                                    <m:t>jt</m:t>
                                  </m:r>
                                </m:sub>
                              </m:sSub>
                            </m:e>
                          </m:d>
                        </m:e>
                      </m:func>
                    </m:e>
                  </m:d>
                </m:e>
                <m:sup>
                  <m:r>
                    <w:rPr>
                      <w:rFonts w:ascii="Cambria Math" w:hAnsi="Cambria Math"/>
                    </w:rPr>
                    <m:t>2</m:t>
                  </m:r>
                </m:sup>
              </m:sSup>
            </m:e>
          </m:d>
          <m:r>
            <w:rPr>
              <w:rFonts w:ascii="Cambria Math" w:hAnsi="Cambria Math"/>
            </w:rPr>
            <m:t>+</m:t>
          </m:r>
          <m:sSub>
            <m:sSubPr>
              <m:ctrlPr>
                <w:rPr>
                  <w:rFonts w:ascii="Cambria Math" w:hAnsi="Cambria Math"/>
                  <w:i/>
                </w:rPr>
              </m:ctrlPr>
            </m:sSubPr>
            <m:e>
              <m:r>
                <w:rPr>
                  <w:rFonts w:ascii="Cambria Math" w:hAnsi="Cambria Math"/>
                </w:rPr>
                <m:t>δ</m:t>
              </m:r>
            </m:e>
            <m:sub>
              <m:r>
                <w:rPr>
                  <w:rFonts w:ascii="Cambria Math" w:hAnsi="Cambria Math"/>
                </w:rPr>
                <m:t>1</m:t>
              </m:r>
            </m:sub>
          </m:sSub>
          <m:r>
            <w:rPr>
              <w:rFonts w:ascii="Cambria Math" w:hAnsi="Cambria Math"/>
            </w:rPr>
            <m:t xml:space="preserve"> </m:t>
          </m:r>
          <m:sSub>
            <m:sSubPr>
              <m:ctrlPr>
                <w:rPr>
                  <w:rFonts w:ascii="Cambria Math" w:hAnsi="Cambria Math"/>
                  <w:i/>
                </w:rPr>
              </m:ctrlPr>
            </m:sSubPr>
            <m:e>
              <m:r>
                <w:rPr>
                  <w:rFonts w:ascii="Cambria Math" w:hAnsi="Cambria Math"/>
                </w:rPr>
                <m:t>z1</m:t>
              </m:r>
            </m:e>
            <m:sub>
              <m:r>
                <w:rPr>
                  <w:rFonts w:ascii="Cambria Math" w:hAnsi="Cambria Math"/>
                </w:rPr>
                <m:t>jt</m:t>
              </m:r>
            </m:sub>
          </m:sSub>
          <m:r>
            <w:rPr>
              <w:rFonts w:ascii="Cambria Math" w:hAnsi="Cambria Math"/>
            </w:rPr>
            <m:t>+⋯+</m:t>
          </m:r>
          <m:sSub>
            <m:sSubPr>
              <m:ctrlPr>
                <w:rPr>
                  <w:rFonts w:ascii="Cambria Math" w:hAnsi="Cambria Math"/>
                  <w:i/>
                </w:rPr>
              </m:ctrlPr>
            </m:sSubPr>
            <m:e>
              <m:r>
                <w:rPr>
                  <w:rFonts w:ascii="Cambria Math" w:hAnsi="Cambria Math"/>
                </w:rPr>
                <m:t>δ</m:t>
              </m:r>
            </m:e>
            <m:sub>
              <m:r>
                <w:rPr>
                  <w:rFonts w:ascii="Cambria Math" w:hAnsi="Cambria Math"/>
                </w:rPr>
                <m:t>5</m:t>
              </m:r>
            </m:sub>
          </m:sSub>
          <m:r>
            <w:rPr>
              <w:rFonts w:ascii="Cambria Math" w:hAnsi="Cambria Math"/>
            </w:rPr>
            <m:t xml:space="preserve"> </m:t>
          </m:r>
          <m:sSub>
            <m:sSubPr>
              <m:ctrlPr>
                <w:rPr>
                  <w:rFonts w:ascii="Cambria Math" w:hAnsi="Cambria Math"/>
                  <w:i/>
                </w:rPr>
              </m:ctrlPr>
            </m:sSubPr>
            <m:e>
              <m:r>
                <w:rPr>
                  <w:rFonts w:ascii="Cambria Math" w:hAnsi="Cambria Math"/>
                </w:rPr>
                <m:t>z5</m:t>
              </m:r>
            </m:e>
            <m:sub>
              <m:r>
                <w:rPr>
                  <w:rFonts w:ascii="Cambria Math" w:hAnsi="Cambria Math"/>
                </w:rPr>
                <m:t>jt</m:t>
              </m:r>
            </m:sub>
          </m:sSub>
          <m:r>
            <w:rPr>
              <w:rFonts w:ascii="Cambria Math" w:hAnsi="Cambria Math"/>
            </w:rPr>
            <m:t>+</m:t>
          </m:r>
          <m:sSub>
            <m:sSubPr>
              <m:ctrlPr>
                <w:rPr>
                  <w:rFonts w:ascii="Cambria Math" w:hAnsi="Cambria Math"/>
                  <w:i/>
                </w:rPr>
              </m:ctrlPr>
            </m:sSubPr>
            <m:e>
              <m:r>
                <w:rPr>
                  <w:rFonts w:ascii="Cambria Math" w:hAnsi="Cambria Math"/>
                </w:rPr>
                <m:t>ν</m:t>
              </m:r>
            </m:e>
            <m:sub>
              <m:r>
                <w:rPr>
                  <w:rFonts w:ascii="Cambria Math" w:hAnsi="Cambria Math"/>
                </w:rPr>
                <m:t>jt</m:t>
              </m:r>
            </m:sub>
          </m:sSub>
          <m:r>
            <w:rPr>
              <w:rFonts w:ascii="Cambria Math" w:hAnsi="Cambria Math"/>
            </w:rPr>
            <m:t>+</m:t>
          </m:r>
          <m:sSub>
            <m:sSubPr>
              <m:ctrlPr>
                <w:rPr>
                  <w:rFonts w:ascii="Cambria Math" w:hAnsi="Cambria Math"/>
                  <w:i/>
                </w:rPr>
              </m:ctrlPr>
            </m:sSubPr>
            <m:e>
              <m:r>
                <w:rPr>
                  <w:rFonts w:ascii="Cambria Math" w:hAnsi="Cambria Math"/>
                </w:rPr>
                <m:t>μ</m:t>
              </m:r>
            </m:e>
            <m:sub>
              <m:r>
                <w:rPr>
                  <w:rFonts w:ascii="Cambria Math" w:hAnsi="Cambria Math"/>
                </w:rPr>
                <m:t>jt</m:t>
              </m:r>
            </m:sub>
          </m:sSub>
        </m:oMath>
      </m:oMathPara>
    </w:p>
    <w:p w:rsidR="005F1087" w:rsidRPr="005F1087" w:rsidRDefault="005F1087" w:rsidP="005F1087">
      <w:pPr>
        <w:spacing w:before="0"/>
        <w:rPr>
          <w:rFonts w:cs="Arial"/>
        </w:rPr>
      </w:pPr>
      <w:r w:rsidRPr="005F1087">
        <w:rPr>
          <w:rFonts w:cs="Arial"/>
        </w:rPr>
        <w:t>Donde:</w:t>
      </w:r>
    </w:p>
    <w:p w:rsidR="005F1087" w:rsidRPr="005F1087" w:rsidRDefault="00C9592F" w:rsidP="005F1087">
      <w:pPr>
        <w:tabs>
          <w:tab w:val="left" w:pos="1276"/>
        </w:tabs>
        <w:ind w:left="851" w:hanging="851"/>
        <w:rPr>
          <w:lang w:val="es-CO"/>
        </w:rPr>
      </w:pPr>
      <m:oMath>
        <m:sSub>
          <m:sSubPr>
            <m:ctrlPr>
              <w:rPr>
                <w:rFonts w:ascii="Cambria Math" w:hAnsi="Cambria Math" w:cs="Arial"/>
                <w:bCs/>
                <w:i/>
                <w:lang w:val="es-CO"/>
              </w:rPr>
            </m:ctrlPr>
          </m:sSubPr>
          <m:e>
            <m:r>
              <w:rPr>
                <w:rFonts w:ascii="Cambria Math" w:hAnsi="Cambria Math" w:cs="Arial"/>
              </w:rPr>
              <m:t>y</m:t>
            </m:r>
          </m:e>
          <m:sub>
            <m:r>
              <w:rPr>
                <w:rFonts w:ascii="Cambria Math" w:hAnsi="Cambria Math" w:cs="Arial"/>
              </w:rPr>
              <m:t>jt</m:t>
            </m:r>
          </m:sub>
        </m:sSub>
      </m:oMath>
      <w:r w:rsidR="005F1087" w:rsidRPr="005F1087">
        <w:rPr>
          <w:bCs/>
          <w:lang w:val="es-CO"/>
        </w:rPr>
        <w:t>:</w:t>
      </w:r>
      <w:r w:rsidR="005F1087" w:rsidRPr="005F1087">
        <w:rPr>
          <w:lang w:val="es-CO"/>
        </w:rPr>
        <w:tab/>
        <w:t xml:space="preserve">Valor del AOM demostrado, reportado por el OR </w:t>
      </w:r>
      <w:r w:rsidR="005F1087" w:rsidRPr="005F1087">
        <w:rPr>
          <w:i/>
          <w:lang w:val="es-CO"/>
        </w:rPr>
        <w:t>j</w:t>
      </w:r>
      <w:r w:rsidR="005F1087" w:rsidRPr="005F1087">
        <w:rPr>
          <w:lang w:val="es-CO"/>
        </w:rPr>
        <w:t xml:space="preserve"> para el año </w:t>
      </w:r>
      <w:r w:rsidR="005F1087" w:rsidRPr="005F1087">
        <w:rPr>
          <w:i/>
          <w:lang w:val="es-CO"/>
        </w:rPr>
        <w:t>t.</w:t>
      </w:r>
    </w:p>
    <w:p w:rsidR="005F1087" w:rsidRPr="005F1087" w:rsidRDefault="005F1087" w:rsidP="005F1087">
      <w:pPr>
        <w:ind w:left="851" w:hanging="851"/>
        <w:rPr>
          <w:lang w:val="es-CO"/>
        </w:rPr>
      </w:pPr>
      <w:r w:rsidRPr="005F1087">
        <w:rPr>
          <w:rFonts w:ascii="Cambria Math" w:hAnsi="Cambria Math" w:cs="Arial"/>
          <w:i/>
        </w:rPr>
        <w:t>q</w:t>
      </w:r>
      <w:r w:rsidRPr="005F1087">
        <w:rPr>
          <w:rFonts w:ascii="Cambria Math" w:hAnsi="Cambria Math" w:cs="Arial"/>
          <w:i/>
          <w:vertAlign w:val="subscript"/>
        </w:rPr>
        <w:t>jt</w:t>
      </w:r>
      <w:r w:rsidRPr="005F1087">
        <w:rPr>
          <w:lang w:val="es-CO"/>
        </w:rPr>
        <w:t xml:space="preserve"> :</w:t>
      </w:r>
      <w:r w:rsidRPr="005F1087">
        <w:rPr>
          <w:lang w:val="es-CO"/>
        </w:rPr>
        <w:tab/>
        <w:t xml:space="preserve">Ventas en los niveles de tensión 1, 2 y 3, en el mercado de comercialización atendido por el OR </w:t>
      </w:r>
      <w:r w:rsidRPr="005F1087">
        <w:rPr>
          <w:i/>
          <w:lang w:val="es-CO"/>
        </w:rPr>
        <w:t>j</w:t>
      </w:r>
      <w:r w:rsidRPr="005F1087">
        <w:rPr>
          <w:lang w:val="es-CO"/>
        </w:rPr>
        <w:t xml:space="preserve">, en el año </w:t>
      </w:r>
      <w:r w:rsidRPr="005F1087">
        <w:rPr>
          <w:i/>
          <w:lang w:val="es-CO"/>
        </w:rPr>
        <w:t>t.</w:t>
      </w:r>
    </w:p>
    <w:p w:rsidR="005F1087" w:rsidRPr="005F1087" w:rsidRDefault="005F1087" w:rsidP="005F1087">
      <w:pPr>
        <w:ind w:left="851" w:hanging="851"/>
        <w:rPr>
          <w:lang w:val="es-CO"/>
        </w:rPr>
      </w:pPr>
      <w:r w:rsidRPr="005F1087">
        <w:rPr>
          <w:rFonts w:ascii="Cambria Math" w:hAnsi="Cambria Math"/>
          <w:i/>
          <w:lang w:val="es-CO"/>
        </w:rPr>
        <w:t>w</w:t>
      </w:r>
      <w:r w:rsidRPr="005F1087">
        <w:rPr>
          <w:rFonts w:ascii="Cambria Math" w:hAnsi="Cambria Math"/>
          <w:i/>
          <w:sz w:val="22"/>
          <w:lang w:val="es-CO"/>
        </w:rPr>
        <w:t>1</w:t>
      </w:r>
      <w:r w:rsidRPr="005F1087">
        <w:rPr>
          <w:rFonts w:ascii="Cambria Math" w:hAnsi="Cambria Math"/>
          <w:i/>
          <w:vertAlign w:val="subscript"/>
          <w:lang w:val="es-CO"/>
        </w:rPr>
        <w:t xml:space="preserve">jt </w:t>
      </w:r>
      <w:r w:rsidRPr="005F1087">
        <w:rPr>
          <w:lang w:val="es-CO"/>
        </w:rPr>
        <w:t>:</w:t>
      </w:r>
      <w:r w:rsidRPr="005F1087">
        <w:rPr>
          <w:vertAlign w:val="subscript"/>
          <w:lang w:val="es-CO"/>
        </w:rPr>
        <w:tab/>
      </w:r>
      <w:r w:rsidRPr="005F1087">
        <w:rPr>
          <w:lang w:val="es-CO"/>
        </w:rPr>
        <w:t xml:space="preserve">Valor en pesos por usuario de los gastos de personal y misceláneos, reportado por el OR </w:t>
      </w:r>
      <w:r w:rsidRPr="005F1087">
        <w:rPr>
          <w:i/>
          <w:lang w:val="es-CO"/>
        </w:rPr>
        <w:t>j</w:t>
      </w:r>
      <w:r w:rsidRPr="005F1087">
        <w:rPr>
          <w:lang w:val="es-CO"/>
        </w:rPr>
        <w:t xml:space="preserve"> al sistema unificado de costos y gastos, SUCG, administrado por la SSPD, correspondiente al año </w:t>
      </w:r>
      <w:r w:rsidRPr="005F1087">
        <w:rPr>
          <w:i/>
          <w:lang w:val="es-CO"/>
        </w:rPr>
        <w:t>t.</w:t>
      </w:r>
    </w:p>
    <w:p w:rsidR="005F1087" w:rsidRPr="005F1087" w:rsidRDefault="005F1087" w:rsidP="005F1087">
      <w:pPr>
        <w:ind w:left="851" w:hanging="851"/>
        <w:rPr>
          <w:lang w:val="es-CO"/>
        </w:rPr>
      </w:pPr>
      <w:r w:rsidRPr="005F1087">
        <w:rPr>
          <w:rFonts w:ascii="Cambria Math" w:hAnsi="Cambria Math"/>
          <w:i/>
          <w:lang w:val="es-CO"/>
        </w:rPr>
        <w:t>w</w:t>
      </w:r>
      <w:r w:rsidRPr="005F1087">
        <w:rPr>
          <w:rFonts w:ascii="Cambria Math" w:hAnsi="Cambria Math"/>
          <w:i/>
          <w:sz w:val="22"/>
          <w:lang w:val="es-CO"/>
        </w:rPr>
        <w:t>2</w:t>
      </w:r>
      <w:r w:rsidRPr="005F1087">
        <w:rPr>
          <w:rFonts w:ascii="Cambria Math" w:hAnsi="Cambria Math"/>
          <w:i/>
          <w:vertAlign w:val="subscript"/>
          <w:lang w:val="es-CO"/>
        </w:rPr>
        <w:t xml:space="preserve">jt </w:t>
      </w:r>
      <w:r w:rsidRPr="005F1087">
        <w:rPr>
          <w:rFonts w:ascii="Cambria Math" w:hAnsi="Cambria Math"/>
          <w:lang w:val="es-CO"/>
        </w:rPr>
        <w:t>:</w:t>
      </w:r>
      <w:r w:rsidRPr="005F1087">
        <w:rPr>
          <w:vertAlign w:val="subscript"/>
          <w:lang w:val="es-CO"/>
        </w:rPr>
        <w:tab/>
      </w:r>
      <w:r w:rsidRPr="005F1087">
        <w:rPr>
          <w:lang w:val="es-CO"/>
        </w:rPr>
        <w:t xml:space="preserve">Valor en pesos por usuario de los gastos en edificios, materiales y equipos de oficina, reportado por el OR </w:t>
      </w:r>
      <w:r w:rsidRPr="005F1087">
        <w:rPr>
          <w:i/>
          <w:lang w:val="es-CO"/>
        </w:rPr>
        <w:t>j</w:t>
      </w:r>
      <w:r w:rsidRPr="005F1087">
        <w:rPr>
          <w:lang w:val="es-CO"/>
        </w:rPr>
        <w:t xml:space="preserve"> al SUCG, correspondiente al año </w:t>
      </w:r>
      <w:r w:rsidRPr="005F1087">
        <w:rPr>
          <w:i/>
          <w:lang w:val="es-CO"/>
        </w:rPr>
        <w:t>t</w:t>
      </w:r>
      <w:r w:rsidRPr="005F1087">
        <w:rPr>
          <w:lang w:val="es-CO"/>
        </w:rPr>
        <w:t>.</w:t>
      </w:r>
    </w:p>
    <w:p w:rsidR="005F1087" w:rsidRPr="005F1087" w:rsidRDefault="005F1087" w:rsidP="005F1087">
      <w:pPr>
        <w:ind w:left="851" w:hanging="851"/>
        <w:rPr>
          <w:lang w:val="es-CO"/>
        </w:rPr>
      </w:pPr>
      <w:r w:rsidRPr="005F1087">
        <w:rPr>
          <w:i/>
          <w:lang w:val="es-CO"/>
        </w:rPr>
        <w:t>z1</w:t>
      </w:r>
      <w:r w:rsidRPr="005F1087">
        <w:rPr>
          <w:i/>
          <w:vertAlign w:val="subscript"/>
          <w:lang w:val="es-CO"/>
        </w:rPr>
        <w:t>jt</w:t>
      </w:r>
      <w:r w:rsidRPr="005F1087">
        <w:rPr>
          <w:lang w:val="es-CO"/>
        </w:rPr>
        <w:t>:</w:t>
      </w:r>
      <w:r w:rsidRPr="005F1087">
        <w:rPr>
          <w:lang w:val="es-CO"/>
        </w:rPr>
        <w:tab/>
        <w:t xml:space="preserve">Raíz cuadrada del </w:t>
      </w:r>
      <w:r w:rsidRPr="005F1087">
        <w:t xml:space="preserve">promedio ponderado, para el año </w:t>
      </w:r>
      <w:r w:rsidRPr="005F1087">
        <w:rPr>
          <w:i/>
        </w:rPr>
        <w:t>t</w:t>
      </w:r>
      <w:r w:rsidRPr="005F1087">
        <w:t xml:space="preserve">, de los </w:t>
      </w:r>
      <w:r w:rsidRPr="005F1087">
        <w:rPr>
          <w:lang w:val="es-CO"/>
        </w:rPr>
        <w:t>f</w:t>
      </w:r>
      <w:r w:rsidRPr="005F1087">
        <w:t xml:space="preserve">actores de fisiografía del terreno de los municipios en los que hay transformadores de distribución del OR </w:t>
      </w:r>
      <w:r w:rsidRPr="005F1087">
        <w:rPr>
          <w:i/>
        </w:rPr>
        <w:t>j</w:t>
      </w:r>
      <w:r w:rsidRPr="005F1087">
        <w:t>. El factor de cada municipio se pondera con la partici</w:t>
      </w:r>
      <w:r w:rsidRPr="005F1087">
        <w:softHyphen/>
        <w:t xml:space="preserve">pación que, en cada año </w:t>
      </w:r>
      <w:r w:rsidRPr="005F1087">
        <w:rPr>
          <w:i/>
        </w:rPr>
        <w:t>t</w:t>
      </w:r>
      <w:r w:rsidRPr="005F1087">
        <w:t>, tiene el número de transfor</w:t>
      </w:r>
      <w:r w:rsidRPr="005F1087">
        <w:softHyphen/>
        <w:t>madores existentes en cada municipio dentro del número total de transfor</w:t>
      </w:r>
      <w:r w:rsidRPr="005F1087">
        <w:softHyphen/>
        <w:t xml:space="preserve">madores del OR </w:t>
      </w:r>
      <w:r w:rsidRPr="005F1087">
        <w:rPr>
          <w:i/>
        </w:rPr>
        <w:t>j</w:t>
      </w:r>
      <w:r w:rsidRPr="005F1087">
        <w:t>.</w:t>
      </w:r>
    </w:p>
    <w:p w:rsidR="005F1087" w:rsidRPr="005F1087" w:rsidRDefault="005F1087" w:rsidP="005F1087">
      <w:pPr>
        <w:ind w:left="851" w:hanging="851"/>
        <w:rPr>
          <w:lang w:val="es-CO"/>
        </w:rPr>
      </w:pPr>
      <w:r w:rsidRPr="005F1087">
        <w:rPr>
          <w:i/>
          <w:lang w:val="es-CO"/>
        </w:rPr>
        <w:t>z2</w:t>
      </w:r>
      <w:r w:rsidRPr="005F1087">
        <w:rPr>
          <w:i/>
          <w:vertAlign w:val="subscript"/>
          <w:lang w:val="es-CO"/>
        </w:rPr>
        <w:t>jt</w:t>
      </w:r>
      <w:r w:rsidRPr="005F1087">
        <w:rPr>
          <w:lang w:val="es-CO"/>
        </w:rPr>
        <w:t>:</w:t>
      </w:r>
      <w:r w:rsidRPr="005F1087">
        <w:rPr>
          <w:lang w:val="es-CO"/>
        </w:rPr>
        <w:tab/>
        <w:t xml:space="preserve">Logaritmo natural del cociente de la división de la longitud total de redes del OR </w:t>
      </w:r>
      <w:r w:rsidRPr="005F1087">
        <w:rPr>
          <w:i/>
          <w:lang w:val="es-CO"/>
        </w:rPr>
        <w:t>j</w:t>
      </w:r>
      <w:r w:rsidRPr="005F1087">
        <w:rPr>
          <w:lang w:val="es-CO"/>
        </w:rPr>
        <w:t>, expresada en kilómetros, entre el número de usuarios, para el año</w:t>
      </w:r>
      <w:r w:rsidRPr="005F1087">
        <w:rPr>
          <w:i/>
          <w:lang w:val="es-CO"/>
        </w:rPr>
        <w:t xml:space="preserve"> t</w:t>
      </w:r>
      <w:r w:rsidRPr="005F1087">
        <w:rPr>
          <w:lang w:val="es-CO"/>
        </w:rPr>
        <w:t>.</w:t>
      </w:r>
    </w:p>
    <w:p w:rsidR="005F1087" w:rsidRPr="005F1087" w:rsidRDefault="005F1087" w:rsidP="005F1087">
      <w:pPr>
        <w:ind w:left="851" w:hanging="851"/>
        <w:rPr>
          <w:lang w:val="es-CO"/>
        </w:rPr>
      </w:pPr>
      <w:r w:rsidRPr="005F1087">
        <w:rPr>
          <w:i/>
          <w:lang w:val="es-CO"/>
        </w:rPr>
        <w:t>z3</w:t>
      </w:r>
      <w:r w:rsidRPr="005F1087">
        <w:rPr>
          <w:i/>
          <w:vertAlign w:val="subscript"/>
          <w:lang w:val="es-CO"/>
        </w:rPr>
        <w:t>jt</w:t>
      </w:r>
      <w:r w:rsidRPr="005F1087">
        <w:rPr>
          <w:lang w:val="es-CO"/>
        </w:rPr>
        <w:t>:</w:t>
      </w:r>
      <w:r w:rsidRPr="005F1087">
        <w:rPr>
          <w:lang w:val="es-CO"/>
        </w:rPr>
        <w:tab/>
        <w:t xml:space="preserve">Resultado de dividir la longitud total de redes urbanas del OR </w:t>
      </w:r>
      <w:r w:rsidRPr="005F1087">
        <w:rPr>
          <w:i/>
          <w:lang w:val="es-CO"/>
        </w:rPr>
        <w:t>j</w:t>
      </w:r>
      <w:r w:rsidRPr="005F1087">
        <w:rPr>
          <w:lang w:val="es-CO"/>
        </w:rPr>
        <w:t>, entre la suma de la longitud de redes rurales y urbanas, para el año</w:t>
      </w:r>
      <w:r w:rsidRPr="005F1087">
        <w:rPr>
          <w:i/>
          <w:lang w:val="es-CO"/>
        </w:rPr>
        <w:t xml:space="preserve"> t</w:t>
      </w:r>
      <w:r w:rsidRPr="005F1087">
        <w:rPr>
          <w:lang w:val="es-CO"/>
        </w:rPr>
        <w:t>.</w:t>
      </w:r>
    </w:p>
    <w:p w:rsidR="005F1087" w:rsidRPr="005F1087" w:rsidRDefault="005F1087" w:rsidP="005F1087">
      <w:pPr>
        <w:ind w:left="851" w:hanging="851"/>
        <w:rPr>
          <w:lang w:val="es-CO"/>
        </w:rPr>
      </w:pPr>
      <w:r w:rsidRPr="005F1087">
        <w:rPr>
          <w:i/>
          <w:lang w:val="es-CO"/>
        </w:rPr>
        <w:t>z4</w:t>
      </w:r>
      <w:r w:rsidRPr="005F1087">
        <w:rPr>
          <w:i/>
          <w:vertAlign w:val="subscript"/>
          <w:lang w:val="es-CO"/>
        </w:rPr>
        <w:t>jt</w:t>
      </w:r>
      <w:r w:rsidRPr="005F1087">
        <w:rPr>
          <w:lang w:val="es-CO"/>
        </w:rPr>
        <w:t>:</w:t>
      </w:r>
      <w:r w:rsidRPr="005F1087">
        <w:rPr>
          <w:lang w:val="es-CO"/>
        </w:rPr>
        <w:tab/>
        <w:t xml:space="preserve">Resultado de dividir la longitud total de redes rurales del OR </w:t>
      </w:r>
      <w:r w:rsidRPr="005F1087">
        <w:rPr>
          <w:i/>
          <w:lang w:val="es-CO"/>
        </w:rPr>
        <w:t>j</w:t>
      </w:r>
      <w:r w:rsidRPr="005F1087">
        <w:rPr>
          <w:lang w:val="es-CO"/>
        </w:rPr>
        <w:t>, entre la suma de la longitud de redes rurales y urbanas, para el año</w:t>
      </w:r>
      <w:r w:rsidRPr="005F1087">
        <w:rPr>
          <w:i/>
          <w:lang w:val="es-CO"/>
        </w:rPr>
        <w:t xml:space="preserve"> t</w:t>
      </w:r>
      <w:r w:rsidRPr="005F1087">
        <w:rPr>
          <w:lang w:val="es-CO"/>
        </w:rPr>
        <w:t>.</w:t>
      </w:r>
    </w:p>
    <w:p w:rsidR="005F1087" w:rsidRPr="005F1087" w:rsidRDefault="005F1087" w:rsidP="005F1087">
      <w:pPr>
        <w:ind w:left="851" w:hanging="851"/>
        <w:rPr>
          <w:lang w:val="es-CO"/>
        </w:rPr>
      </w:pPr>
      <w:r w:rsidRPr="005F1087">
        <w:rPr>
          <w:i/>
          <w:lang w:val="es-CO"/>
        </w:rPr>
        <w:t>z5</w:t>
      </w:r>
      <w:r w:rsidRPr="005F1087">
        <w:rPr>
          <w:i/>
          <w:vertAlign w:val="subscript"/>
          <w:lang w:val="es-CO"/>
        </w:rPr>
        <w:t>jt</w:t>
      </w:r>
      <w:r w:rsidRPr="005F1087">
        <w:rPr>
          <w:lang w:val="es-CO"/>
        </w:rPr>
        <w:t>:</w:t>
      </w:r>
      <w:r w:rsidRPr="005F1087">
        <w:rPr>
          <w:lang w:val="es-CO"/>
        </w:rPr>
        <w:tab/>
        <w:t>Raíz cuadrada del n</w:t>
      </w:r>
      <w:r w:rsidRPr="005F1087">
        <w:t xml:space="preserve">úmero de interrupciones del servicio, que en promedio percibieron los usuarios del sistema atendido por el OR </w:t>
      </w:r>
      <w:r w:rsidRPr="005F1087">
        <w:rPr>
          <w:i/>
        </w:rPr>
        <w:t>j</w:t>
      </w:r>
      <w:r w:rsidRPr="005F1087">
        <w:t xml:space="preserve">, durante el </w:t>
      </w:r>
      <w:r w:rsidRPr="005F1087">
        <w:rPr>
          <w:lang w:val="es-CO"/>
        </w:rPr>
        <w:t>año</w:t>
      </w:r>
      <w:r w:rsidRPr="005F1087">
        <w:rPr>
          <w:i/>
          <w:lang w:val="es-CO"/>
        </w:rPr>
        <w:t xml:space="preserve"> t</w:t>
      </w:r>
      <w:r w:rsidRPr="005F1087">
        <w:rPr>
          <w:lang w:val="es-CO"/>
        </w:rPr>
        <w:t>.</w:t>
      </w:r>
    </w:p>
    <w:p w:rsidR="005F1087" w:rsidRPr="005F1087" w:rsidRDefault="005F1087" w:rsidP="005F1087">
      <w:pPr>
        <w:rPr>
          <w:lang w:val="es-CO"/>
        </w:rPr>
      </w:pPr>
      <w:r w:rsidRPr="005F1087">
        <w:t>Los datos de las variables son los correspondientes al periodo 2012 a 2016. Cuando se trate de valores en pesos, deben expresarse en pesos de 2016, actualizándolos con el IPP. Para las longitudes de redes no se incluyen las de nivel de tensión 1.</w:t>
      </w:r>
    </w:p>
    <w:p w:rsidR="005F1087" w:rsidRPr="005F1087" w:rsidRDefault="005F1087" w:rsidP="005F1087">
      <w:pPr>
        <w:pStyle w:val="Ttulo4"/>
        <w:ind w:left="864" w:hanging="864"/>
      </w:pPr>
      <w:r w:rsidRPr="005F1087">
        <w:lastRenderedPageBreak/>
        <w:t>Parámetros del modelo</w:t>
      </w:r>
    </w:p>
    <w:p w:rsidR="005F1087" w:rsidRPr="005F1087" w:rsidRDefault="005F1087" w:rsidP="005F1087">
      <w:r w:rsidRPr="005F1087">
        <w:t>Los valores de los parámetros del modelo son los siguientes:</w:t>
      </w:r>
    </w:p>
    <w:tbl>
      <w:tblPr>
        <w:tblStyle w:val="Tablaconcuadrcula"/>
        <w:tblW w:w="80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2"/>
        <w:gridCol w:w="2035"/>
        <w:gridCol w:w="671"/>
        <w:gridCol w:w="1701"/>
        <w:gridCol w:w="2126"/>
      </w:tblGrid>
      <w:tr w:rsidR="005F1087" w:rsidRPr="005F1087" w:rsidTr="00407449">
        <w:trPr>
          <w:trHeight w:val="483"/>
          <w:tblHeader/>
          <w:jc w:val="center"/>
        </w:trPr>
        <w:tc>
          <w:tcPr>
            <w:tcW w:w="1542" w:type="dxa"/>
            <w:vAlign w:val="center"/>
          </w:tcPr>
          <w:p w:rsidR="005F1087" w:rsidRPr="005F1087" w:rsidRDefault="005F1087" w:rsidP="00407449">
            <w:pPr>
              <w:spacing w:before="100" w:beforeAutospacing="1" w:after="100" w:afterAutospacing="1"/>
              <w:jc w:val="center"/>
              <w:rPr>
                <w:rFonts w:cs="Arial"/>
                <w:b/>
                <w:sz w:val="22"/>
                <w:szCs w:val="20"/>
              </w:rPr>
            </w:pPr>
            <w:r w:rsidRPr="005F1087">
              <w:rPr>
                <w:rFonts w:cs="Arial"/>
                <w:b/>
                <w:sz w:val="22"/>
                <w:szCs w:val="20"/>
              </w:rPr>
              <w:t>Parámetro</w:t>
            </w:r>
          </w:p>
        </w:tc>
        <w:tc>
          <w:tcPr>
            <w:tcW w:w="2035" w:type="dxa"/>
            <w:tcBorders>
              <w:right w:val="single" w:sz="4" w:space="0" w:color="auto"/>
            </w:tcBorders>
            <w:vAlign w:val="center"/>
          </w:tcPr>
          <w:p w:rsidR="005F1087" w:rsidRPr="005F1087" w:rsidRDefault="005F1087" w:rsidP="00407449">
            <w:pPr>
              <w:spacing w:before="100" w:beforeAutospacing="1" w:after="100" w:afterAutospacing="1"/>
              <w:jc w:val="center"/>
              <w:rPr>
                <w:rFonts w:cs="Arial"/>
                <w:b/>
                <w:sz w:val="22"/>
                <w:szCs w:val="20"/>
              </w:rPr>
            </w:pPr>
            <w:r w:rsidRPr="005F1087">
              <w:rPr>
                <w:rFonts w:cs="Arial"/>
                <w:b/>
                <w:sz w:val="22"/>
                <w:szCs w:val="20"/>
              </w:rPr>
              <w:t>Valor Estimado</w:t>
            </w:r>
          </w:p>
        </w:tc>
        <w:tc>
          <w:tcPr>
            <w:tcW w:w="671" w:type="dxa"/>
            <w:tcBorders>
              <w:top w:val="nil"/>
              <w:left w:val="single" w:sz="4" w:space="0" w:color="auto"/>
              <w:bottom w:val="nil"/>
              <w:right w:val="single" w:sz="4" w:space="0" w:color="auto"/>
            </w:tcBorders>
          </w:tcPr>
          <w:p w:rsidR="005F1087" w:rsidRPr="005F1087" w:rsidRDefault="005F1087" w:rsidP="00407449">
            <w:pPr>
              <w:spacing w:before="100" w:beforeAutospacing="1" w:after="100" w:afterAutospacing="1"/>
              <w:jc w:val="center"/>
              <w:rPr>
                <w:rFonts w:cs="Arial"/>
                <w:b/>
                <w:sz w:val="22"/>
                <w:szCs w:val="20"/>
              </w:rPr>
            </w:pPr>
          </w:p>
        </w:tc>
        <w:tc>
          <w:tcPr>
            <w:tcW w:w="1701" w:type="dxa"/>
            <w:tcBorders>
              <w:left w:val="single" w:sz="4" w:space="0" w:color="auto"/>
            </w:tcBorders>
            <w:vAlign w:val="center"/>
          </w:tcPr>
          <w:p w:rsidR="005F1087" w:rsidRPr="005F1087" w:rsidRDefault="005F1087" w:rsidP="00407449">
            <w:pPr>
              <w:spacing w:before="100" w:beforeAutospacing="1" w:after="100" w:afterAutospacing="1"/>
              <w:jc w:val="center"/>
              <w:rPr>
                <w:rFonts w:cs="Arial"/>
                <w:b/>
                <w:sz w:val="22"/>
                <w:szCs w:val="20"/>
              </w:rPr>
            </w:pPr>
            <w:r w:rsidRPr="005F1087">
              <w:rPr>
                <w:rFonts w:cs="Arial"/>
                <w:b/>
                <w:sz w:val="22"/>
                <w:szCs w:val="20"/>
              </w:rPr>
              <w:t>Parámetro</w:t>
            </w:r>
          </w:p>
        </w:tc>
        <w:tc>
          <w:tcPr>
            <w:tcW w:w="2126" w:type="dxa"/>
            <w:vAlign w:val="center"/>
          </w:tcPr>
          <w:p w:rsidR="005F1087" w:rsidRPr="005F1087" w:rsidRDefault="005F1087" w:rsidP="00407449">
            <w:pPr>
              <w:spacing w:before="100" w:beforeAutospacing="1" w:after="100" w:afterAutospacing="1"/>
              <w:jc w:val="center"/>
              <w:rPr>
                <w:rFonts w:cs="Arial"/>
                <w:b/>
                <w:sz w:val="22"/>
                <w:szCs w:val="20"/>
              </w:rPr>
            </w:pPr>
            <w:r w:rsidRPr="005F1087">
              <w:rPr>
                <w:rFonts w:cs="Arial"/>
                <w:b/>
                <w:sz w:val="22"/>
                <w:szCs w:val="20"/>
              </w:rPr>
              <w:t>Valor Estimado</w:t>
            </w:r>
          </w:p>
        </w:tc>
      </w:tr>
      <w:tr w:rsidR="005F1087" w:rsidRPr="005F1087" w:rsidTr="00407449">
        <w:trPr>
          <w:trHeight w:val="340"/>
          <w:jc w:val="center"/>
        </w:trPr>
        <w:tc>
          <w:tcPr>
            <w:tcW w:w="1542" w:type="dxa"/>
            <w:vAlign w:val="center"/>
          </w:tcPr>
          <w:p w:rsidR="005F1087" w:rsidRPr="005F1087" w:rsidRDefault="005F1087" w:rsidP="00407449">
            <w:pPr>
              <w:tabs>
                <w:tab w:val="left" w:pos="720"/>
              </w:tabs>
              <w:spacing w:before="0" w:after="0"/>
              <w:contextualSpacing/>
              <w:jc w:val="center"/>
              <w:rPr>
                <w:rFonts w:cs="Arial"/>
                <w:sz w:val="20"/>
                <w:szCs w:val="20"/>
              </w:rPr>
            </w:pPr>
            <w:r w:rsidRPr="005F1087">
              <w:rPr>
                <w:position w:val="-10"/>
                <w:sz w:val="20"/>
              </w:rPr>
              <w:object w:dxaOrig="260" w:dyaOrig="300" w14:anchorId="0EEB4A7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5pt;height:17.25pt" o:ole="">
                  <v:imagedata r:id="rId9" o:title=""/>
                </v:shape>
                <o:OLEObject Type="Embed" ProgID="Equation.DSMT4" ShapeID="_x0000_i1025" DrawAspect="Content" ObjectID="_1579105663" r:id="rId10"/>
              </w:object>
            </w:r>
          </w:p>
        </w:tc>
        <w:tc>
          <w:tcPr>
            <w:tcW w:w="2035" w:type="dxa"/>
            <w:tcBorders>
              <w:right w:val="single" w:sz="4" w:space="0" w:color="auto"/>
            </w:tcBorders>
            <w:vAlign w:val="center"/>
          </w:tcPr>
          <w:p w:rsidR="005F1087" w:rsidRPr="005F1087" w:rsidRDefault="005F1087" w:rsidP="00407449">
            <w:pPr>
              <w:tabs>
                <w:tab w:val="left" w:pos="720"/>
              </w:tabs>
              <w:spacing w:before="0" w:after="0"/>
              <w:contextualSpacing/>
              <w:jc w:val="center"/>
              <w:rPr>
                <w:rFonts w:cs="Arial"/>
                <w:sz w:val="20"/>
                <w:szCs w:val="20"/>
              </w:rPr>
            </w:pPr>
            <w:r w:rsidRPr="005F1087">
              <w:rPr>
                <w:sz w:val="20"/>
              </w:rPr>
              <w:t>-8,1402613</w:t>
            </w:r>
          </w:p>
        </w:tc>
        <w:tc>
          <w:tcPr>
            <w:tcW w:w="671" w:type="dxa"/>
            <w:tcBorders>
              <w:top w:val="nil"/>
              <w:left w:val="single" w:sz="4" w:space="0" w:color="auto"/>
              <w:bottom w:val="nil"/>
              <w:right w:val="single" w:sz="4" w:space="0" w:color="auto"/>
            </w:tcBorders>
          </w:tcPr>
          <w:p w:rsidR="005F1087" w:rsidRPr="005F1087" w:rsidRDefault="005F1087" w:rsidP="00407449">
            <w:pPr>
              <w:tabs>
                <w:tab w:val="left" w:pos="720"/>
              </w:tabs>
              <w:spacing w:before="0" w:after="0"/>
              <w:contextualSpacing/>
              <w:jc w:val="center"/>
              <w:rPr>
                <w:sz w:val="20"/>
              </w:rPr>
            </w:pPr>
          </w:p>
        </w:tc>
        <w:tc>
          <w:tcPr>
            <w:tcW w:w="1701" w:type="dxa"/>
            <w:tcBorders>
              <w:left w:val="single" w:sz="4" w:space="0" w:color="auto"/>
            </w:tcBorders>
            <w:vAlign w:val="center"/>
          </w:tcPr>
          <w:p w:rsidR="005F1087" w:rsidRPr="005F1087" w:rsidRDefault="005F1087" w:rsidP="00407449">
            <w:pPr>
              <w:tabs>
                <w:tab w:val="left" w:pos="720"/>
              </w:tabs>
              <w:spacing w:before="0" w:after="0"/>
              <w:contextualSpacing/>
              <w:jc w:val="center"/>
              <w:rPr>
                <w:sz w:val="20"/>
              </w:rPr>
            </w:pPr>
            <w:r w:rsidRPr="005F1087">
              <w:rPr>
                <w:position w:val="-10"/>
                <w:sz w:val="20"/>
              </w:rPr>
              <w:object w:dxaOrig="240" w:dyaOrig="300" w14:anchorId="7393F36B">
                <v:shape id="_x0000_i1026" type="#_x0000_t75" style="width:12.75pt;height:17.25pt" o:ole="">
                  <v:imagedata r:id="rId11" o:title=""/>
                </v:shape>
                <o:OLEObject Type="Embed" ProgID="Equation.DSMT4" ShapeID="_x0000_i1026" DrawAspect="Content" ObjectID="_1579105664" r:id="rId12"/>
              </w:object>
            </w:r>
          </w:p>
        </w:tc>
        <w:tc>
          <w:tcPr>
            <w:tcW w:w="2126" w:type="dxa"/>
            <w:vAlign w:val="center"/>
          </w:tcPr>
          <w:p w:rsidR="005F1087" w:rsidRPr="005F1087" w:rsidRDefault="005F1087" w:rsidP="00407449">
            <w:pPr>
              <w:tabs>
                <w:tab w:val="left" w:pos="720"/>
              </w:tabs>
              <w:spacing w:before="0" w:after="0"/>
              <w:contextualSpacing/>
              <w:jc w:val="center"/>
              <w:rPr>
                <w:sz w:val="20"/>
              </w:rPr>
            </w:pPr>
            <w:r w:rsidRPr="005F1087">
              <w:rPr>
                <w:rFonts w:cs="Arial"/>
                <w:sz w:val="20"/>
                <w:szCs w:val="20"/>
              </w:rPr>
              <w:t>0,2780927</w:t>
            </w:r>
          </w:p>
        </w:tc>
      </w:tr>
      <w:tr w:rsidR="005F1087" w:rsidRPr="005F1087" w:rsidTr="00407449">
        <w:trPr>
          <w:trHeight w:val="340"/>
          <w:jc w:val="center"/>
        </w:trPr>
        <w:tc>
          <w:tcPr>
            <w:tcW w:w="1542" w:type="dxa"/>
            <w:vAlign w:val="center"/>
          </w:tcPr>
          <w:p w:rsidR="005F1087" w:rsidRPr="005F1087" w:rsidRDefault="005F1087" w:rsidP="00407449">
            <w:pPr>
              <w:tabs>
                <w:tab w:val="left" w:pos="720"/>
              </w:tabs>
              <w:spacing w:before="0" w:after="0"/>
              <w:contextualSpacing/>
              <w:jc w:val="center"/>
              <w:rPr>
                <w:rFonts w:cs="Arial"/>
                <w:sz w:val="20"/>
                <w:szCs w:val="20"/>
              </w:rPr>
            </w:pPr>
            <w:r w:rsidRPr="005F1087">
              <w:rPr>
                <w:position w:val="-12"/>
                <w:sz w:val="20"/>
              </w:rPr>
              <w:object w:dxaOrig="260" w:dyaOrig="320" w14:anchorId="0DEE4151">
                <v:shape id="_x0000_i1027" type="#_x0000_t75" style="width:13.5pt;height:17.25pt" o:ole="">
                  <v:imagedata r:id="rId13" o:title=""/>
                </v:shape>
                <o:OLEObject Type="Embed" ProgID="Equation.DSMT4" ShapeID="_x0000_i1027" DrawAspect="Content" ObjectID="_1579105665" r:id="rId14"/>
              </w:object>
            </w:r>
          </w:p>
        </w:tc>
        <w:tc>
          <w:tcPr>
            <w:tcW w:w="2035" w:type="dxa"/>
            <w:tcBorders>
              <w:right w:val="single" w:sz="4" w:space="0" w:color="auto"/>
            </w:tcBorders>
            <w:vAlign w:val="center"/>
          </w:tcPr>
          <w:p w:rsidR="005F1087" w:rsidRPr="005F1087" w:rsidRDefault="005F1087" w:rsidP="00407449">
            <w:pPr>
              <w:tabs>
                <w:tab w:val="left" w:pos="720"/>
              </w:tabs>
              <w:spacing w:before="0" w:after="0"/>
              <w:contextualSpacing/>
              <w:jc w:val="center"/>
              <w:rPr>
                <w:rFonts w:cs="Arial"/>
                <w:sz w:val="20"/>
                <w:szCs w:val="20"/>
              </w:rPr>
            </w:pPr>
            <w:r w:rsidRPr="005F1087">
              <w:rPr>
                <w:rFonts w:cs="Arial"/>
                <w:sz w:val="20"/>
                <w:szCs w:val="20"/>
              </w:rPr>
              <w:t>0,8544120</w:t>
            </w:r>
          </w:p>
        </w:tc>
        <w:tc>
          <w:tcPr>
            <w:tcW w:w="671" w:type="dxa"/>
            <w:tcBorders>
              <w:top w:val="nil"/>
              <w:left w:val="single" w:sz="4" w:space="0" w:color="auto"/>
              <w:bottom w:val="nil"/>
              <w:right w:val="single" w:sz="4" w:space="0" w:color="auto"/>
            </w:tcBorders>
          </w:tcPr>
          <w:p w:rsidR="005F1087" w:rsidRPr="005F1087" w:rsidRDefault="005F1087" w:rsidP="00407449">
            <w:pPr>
              <w:tabs>
                <w:tab w:val="left" w:pos="720"/>
              </w:tabs>
              <w:spacing w:before="0" w:after="0"/>
              <w:contextualSpacing/>
              <w:jc w:val="center"/>
              <w:rPr>
                <w:sz w:val="20"/>
              </w:rPr>
            </w:pPr>
          </w:p>
        </w:tc>
        <w:tc>
          <w:tcPr>
            <w:tcW w:w="1701" w:type="dxa"/>
            <w:tcBorders>
              <w:left w:val="single" w:sz="4" w:space="0" w:color="auto"/>
            </w:tcBorders>
            <w:vAlign w:val="center"/>
          </w:tcPr>
          <w:p w:rsidR="005F1087" w:rsidRPr="005F1087" w:rsidRDefault="005F1087" w:rsidP="00407449">
            <w:pPr>
              <w:tabs>
                <w:tab w:val="left" w:pos="720"/>
              </w:tabs>
              <w:spacing w:before="0" w:after="0"/>
              <w:contextualSpacing/>
              <w:jc w:val="center"/>
              <w:rPr>
                <w:sz w:val="20"/>
              </w:rPr>
            </w:pPr>
            <w:r w:rsidRPr="005F1087">
              <w:rPr>
                <w:position w:val="-10"/>
                <w:sz w:val="20"/>
              </w:rPr>
              <w:object w:dxaOrig="240" w:dyaOrig="300" w14:anchorId="084C7434">
                <v:shape id="_x0000_i1028" type="#_x0000_t75" style="width:12.75pt;height:17.25pt" o:ole="">
                  <v:imagedata r:id="rId15" o:title=""/>
                </v:shape>
                <o:OLEObject Type="Embed" ProgID="Equation.DSMT4" ShapeID="_x0000_i1028" DrawAspect="Content" ObjectID="_1579105666" r:id="rId16"/>
              </w:object>
            </w:r>
          </w:p>
        </w:tc>
        <w:tc>
          <w:tcPr>
            <w:tcW w:w="2126" w:type="dxa"/>
            <w:vAlign w:val="center"/>
          </w:tcPr>
          <w:p w:rsidR="005F1087" w:rsidRPr="005F1087" w:rsidRDefault="005F1087" w:rsidP="00407449">
            <w:pPr>
              <w:tabs>
                <w:tab w:val="left" w:pos="720"/>
              </w:tabs>
              <w:spacing w:before="0" w:after="0"/>
              <w:contextualSpacing/>
              <w:jc w:val="center"/>
              <w:rPr>
                <w:sz w:val="20"/>
              </w:rPr>
            </w:pPr>
            <w:r w:rsidRPr="005F1087">
              <w:rPr>
                <w:rFonts w:cs="Arial"/>
                <w:sz w:val="20"/>
                <w:szCs w:val="20"/>
              </w:rPr>
              <w:t>3,9851557</w:t>
            </w:r>
          </w:p>
        </w:tc>
      </w:tr>
      <w:tr w:rsidR="005F1087" w:rsidRPr="005F1087" w:rsidTr="00407449">
        <w:trPr>
          <w:trHeight w:val="340"/>
          <w:jc w:val="center"/>
        </w:trPr>
        <w:tc>
          <w:tcPr>
            <w:tcW w:w="1542" w:type="dxa"/>
            <w:vAlign w:val="center"/>
          </w:tcPr>
          <w:p w:rsidR="005F1087" w:rsidRPr="005F1087" w:rsidRDefault="005F1087" w:rsidP="00407449">
            <w:pPr>
              <w:tabs>
                <w:tab w:val="left" w:pos="720"/>
              </w:tabs>
              <w:spacing w:before="0" w:after="0"/>
              <w:contextualSpacing/>
              <w:jc w:val="center"/>
              <w:rPr>
                <w:rFonts w:cs="Arial"/>
                <w:sz w:val="20"/>
                <w:szCs w:val="20"/>
              </w:rPr>
            </w:pPr>
            <w:r w:rsidRPr="005F1087">
              <w:rPr>
                <w:position w:val="-10"/>
                <w:sz w:val="20"/>
              </w:rPr>
              <w:object w:dxaOrig="240" w:dyaOrig="300" w14:anchorId="7812B612">
                <v:shape id="_x0000_i1029" type="#_x0000_t75" style="width:12.75pt;height:17.25pt" o:ole="">
                  <v:imagedata r:id="rId17" o:title=""/>
                </v:shape>
                <o:OLEObject Type="Embed" ProgID="Equation.DSMT4" ShapeID="_x0000_i1029" DrawAspect="Content" ObjectID="_1579105667" r:id="rId18"/>
              </w:object>
            </w:r>
          </w:p>
        </w:tc>
        <w:tc>
          <w:tcPr>
            <w:tcW w:w="2035" w:type="dxa"/>
            <w:tcBorders>
              <w:right w:val="single" w:sz="4" w:space="0" w:color="auto"/>
            </w:tcBorders>
            <w:vAlign w:val="center"/>
          </w:tcPr>
          <w:p w:rsidR="005F1087" w:rsidRPr="005F1087" w:rsidRDefault="005F1087" w:rsidP="00407449">
            <w:pPr>
              <w:tabs>
                <w:tab w:val="left" w:pos="720"/>
              </w:tabs>
              <w:spacing w:before="0" w:after="0"/>
              <w:contextualSpacing/>
              <w:jc w:val="center"/>
              <w:rPr>
                <w:rFonts w:cs="Arial"/>
                <w:sz w:val="20"/>
                <w:szCs w:val="20"/>
              </w:rPr>
            </w:pPr>
            <w:r w:rsidRPr="005F1087">
              <w:rPr>
                <w:rFonts w:cs="Arial"/>
                <w:sz w:val="20"/>
                <w:szCs w:val="20"/>
              </w:rPr>
              <w:t>1,4947135</w:t>
            </w:r>
          </w:p>
        </w:tc>
        <w:tc>
          <w:tcPr>
            <w:tcW w:w="671" w:type="dxa"/>
            <w:tcBorders>
              <w:top w:val="nil"/>
              <w:left w:val="single" w:sz="4" w:space="0" w:color="auto"/>
              <w:bottom w:val="nil"/>
              <w:right w:val="single" w:sz="4" w:space="0" w:color="auto"/>
            </w:tcBorders>
          </w:tcPr>
          <w:p w:rsidR="005F1087" w:rsidRPr="005F1087" w:rsidRDefault="005F1087" w:rsidP="00407449">
            <w:pPr>
              <w:tabs>
                <w:tab w:val="left" w:pos="720"/>
              </w:tabs>
              <w:spacing w:before="0" w:after="0"/>
              <w:contextualSpacing/>
              <w:jc w:val="center"/>
              <w:rPr>
                <w:sz w:val="20"/>
              </w:rPr>
            </w:pPr>
          </w:p>
        </w:tc>
        <w:tc>
          <w:tcPr>
            <w:tcW w:w="1701" w:type="dxa"/>
            <w:tcBorders>
              <w:left w:val="single" w:sz="4" w:space="0" w:color="auto"/>
            </w:tcBorders>
            <w:vAlign w:val="center"/>
          </w:tcPr>
          <w:p w:rsidR="005F1087" w:rsidRPr="005F1087" w:rsidRDefault="005F1087" w:rsidP="00407449">
            <w:pPr>
              <w:tabs>
                <w:tab w:val="left" w:pos="720"/>
              </w:tabs>
              <w:spacing w:before="0" w:after="0"/>
              <w:contextualSpacing/>
              <w:jc w:val="center"/>
              <w:rPr>
                <w:sz w:val="20"/>
              </w:rPr>
            </w:pPr>
            <w:r w:rsidRPr="005F1087">
              <w:rPr>
                <w:position w:val="-10"/>
                <w:sz w:val="20"/>
              </w:rPr>
              <w:object w:dxaOrig="240" w:dyaOrig="300" w14:anchorId="00DFBFD0">
                <v:shape id="_x0000_i1030" type="#_x0000_t75" style="width:12.75pt;height:17.25pt" o:ole="">
                  <v:imagedata r:id="rId19" o:title=""/>
                </v:shape>
                <o:OLEObject Type="Embed" ProgID="Equation.DSMT4" ShapeID="_x0000_i1030" DrawAspect="Content" ObjectID="_1579105668" r:id="rId20"/>
              </w:object>
            </w:r>
          </w:p>
        </w:tc>
        <w:tc>
          <w:tcPr>
            <w:tcW w:w="2126" w:type="dxa"/>
            <w:vAlign w:val="center"/>
          </w:tcPr>
          <w:p w:rsidR="005F1087" w:rsidRPr="005F1087" w:rsidRDefault="005F1087" w:rsidP="00407449">
            <w:pPr>
              <w:tabs>
                <w:tab w:val="left" w:pos="720"/>
              </w:tabs>
              <w:spacing w:before="0" w:after="0"/>
              <w:contextualSpacing/>
              <w:jc w:val="center"/>
              <w:rPr>
                <w:sz w:val="20"/>
              </w:rPr>
            </w:pPr>
            <w:r w:rsidRPr="005F1087">
              <w:rPr>
                <w:rFonts w:cs="Arial"/>
                <w:sz w:val="20"/>
                <w:szCs w:val="20"/>
              </w:rPr>
              <w:t>3,1759371</w:t>
            </w:r>
          </w:p>
        </w:tc>
      </w:tr>
      <w:tr w:rsidR="005F1087" w:rsidRPr="005F1087" w:rsidTr="00407449">
        <w:trPr>
          <w:trHeight w:val="340"/>
          <w:jc w:val="center"/>
        </w:trPr>
        <w:tc>
          <w:tcPr>
            <w:tcW w:w="1542" w:type="dxa"/>
            <w:vAlign w:val="center"/>
          </w:tcPr>
          <w:p w:rsidR="005F1087" w:rsidRPr="005F1087" w:rsidRDefault="00C9592F" w:rsidP="00407449">
            <w:pPr>
              <w:tabs>
                <w:tab w:val="left" w:pos="720"/>
              </w:tabs>
              <w:spacing w:before="0" w:after="0"/>
              <w:contextualSpacing/>
              <w:jc w:val="center"/>
              <w:rPr>
                <w:rFonts w:cs="Arial"/>
                <w:sz w:val="20"/>
                <w:szCs w:val="20"/>
              </w:rPr>
            </w:pPr>
            <m:oMathPara>
              <m:oMath>
                <m:sSub>
                  <m:sSubPr>
                    <m:ctrlPr>
                      <w:rPr>
                        <w:rFonts w:ascii="Cambria Math" w:hAnsi="Cambria Math" w:cs="Arial"/>
                        <w:i/>
                        <w:sz w:val="20"/>
                        <w:szCs w:val="20"/>
                      </w:rPr>
                    </m:ctrlPr>
                  </m:sSubPr>
                  <m:e>
                    <m:r>
                      <w:rPr>
                        <w:rFonts w:ascii="Cambria Math" w:hAnsi="Cambria Math" w:cs="Arial"/>
                        <w:sz w:val="20"/>
                        <w:szCs w:val="20"/>
                      </w:rPr>
                      <m:t>γ</m:t>
                    </m:r>
                  </m:e>
                  <m:sub>
                    <m:r>
                      <w:rPr>
                        <w:rFonts w:ascii="Cambria Math" w:hAnsi="Cambria Math" w:cs="Arial"/>
                        <w:sz w:val="20"/>
                        <w:szCs w:val="20"/>
                      </w:rPr>
                      <m:t>11</m:t>
                    </m:r>
                  </m:sub>
                </m:sSub>
              </m:oMath>
            </m:oMathPara>
          </w:p>
        </w:tc>
        <w:tc>
          <w:tcPr>
            <w:tcW w:w="2035" w:type="dxa"/>
            <w:tcBorders>
              <w:right w:val="single" w:sz="4" w:space="0" w:color="auto"/>
            </w:tcBorders>
            <w:vAlign w:val="center"/>
          </w:tcPr>
          <w:p w:rsidR="005F1087" w:rsidRPr="005F1087" w:rsidRDefault="005F1087" w:rsidP="00407449">
            <w:pPr>
              <w:tabs>
                <w:tab w:val="left" w:pos="720"/>
              </w:tabs>
              <w:spacing w:before="0" w:after="0"/>
              <w:contextualSpacing/>
              <w:jc w:val="center"/>
              <w:rPr>
                <w:rFonts w:cs="Arial"/>
                <w:sz w:val="20"/>
                <w:szCs w:val="20"/>
              </w:rPr>
            </w:pPr>
            <w:r w:rsidRPr="005F1087">
              <w:rPr>
                <w:rFonts w:cs="Arial"/>
                <w:sz w:val="20"/>
                <w:szCs w:val="20"/>
              </w:rPr>
              <w:t>0,3355216</w:t>
            </w:r>
          </w:p>
        </w:tc>
        <w:tc>
          <w:tcPr>
            <w:tcW w:w="671" w:type="dxa"/>
            <w:tcBorders>
              <w:top w:val="nil"/>
              <w:left w:val="single" w:sz="4" w:space="0" w:color="auto"/>
              <w:bottom w:val="nil"/>
              <w:right w:val="single" w:sz="4" w:space="0" w:color="auto"/>
            </w:tcBorders>
          </w:tcPr>
          <w:p w:rsidR="005F1087" w:rsidRPr="005F1087" w:rsidRDefault="005F1087" w:rsidP="00407449">
            <w:pPr>
              <w:tabs>
                <w:tab w:val="left" w:pos="720"/>
              </w:tabs>
              <w:spacing w:before="0" w:after="0"/>
              <w:contextualSpacing/>
              <w:jc w:val="center"/>
              <w:rPr>
                <w:sz w:val="20"/>
                <w:szCs w:val="20"/>
              </w:rPr>
            </w:pPr>
          </w:p>
        </w:tc>
        <w:tc>
          <w:tcPr>
            <w:tcW w:w="1701" w:type="dxa"/>
            <w:tcBorders>
              <w:left w:val="single" w:sz="4" w:space="0" w:color="auto"/>
            </w:tcBorders>
            <w:vAlign w:val="center"/>
          </w:tcPr>
          <w:p w:rsidR="005F1087" w:rsidRPr="005F1087" w:rsidRDefault="005F1087" w:rsidP="00407449">
            <w:pPr>
              <w:tabs>
                <w:tab w:val="left" w:pos="720"/>
              </w:tabs>
              <w:spacing w:before="0" w:after="0"/>
              <w:contextualSpacing/>
              <w:jc w:val="center"/>
              <w:rPr>
                <w:sz w:val="20"/>
                <w:szCs w:val="20"/>
              </w:rPr>
            </w:pPr>
            <w:r w:rsidRPr="005F1087">
              <w:rPr>
                <w:position w:val="-10"/>
                <w:sz w:val="20"/>
              </w:rPr>
              <w:object w:dxaOrig="240" w:dyaOrig="300" w14:anchorId="22CE3800">
                <v:shape id="_x0000_i1031" type="#_x0000_t75" style="width:12.75pt;height:17.25pt" o:ole="">
                  <v:imagedata r:id="rId21" o:title=""/>
                </v:shape>
                <o:OLEObject Type="Embed" ProgID="Equation.DSMT4" ShapeID="_x0000_i1031" DrawAspect="Content" ObjectID="_1579105669" r:id="rId22"/>
              </w:object>
            </w:r>
          </w:p>
        </w:tc>
        <w:tc>
          <w:tcPr>
            <w:tcW w:w="2126" w:type="dxa"/>
            <w:vAlign w:val="center"/>
          </w:tcPr>
          <w:p w:rsidR="005F1087" w:rsidRPr="005F1087" w:rsidRDefault="005F1087" w:rsidP="00407449">
            <w:pPr>
              <w:tabs>
                <w:tab w:val="left" w:pos="720"/>
              </w:tabs>
              <w:spacing w:before="0" w:after="0"/>
              <w:contextualSpacing/>
              <w:jc w:val="center"/>
              <w:rPr>
                <w:sz w:val="20"/>
                <w:szCs w:val="20"/>
              </w:rPr>
            </w:pPr>
            <w:r w:rsidRPr="005F1087">
              <w:rPr>
                <w:rFonts w:cs="Arial"/>
                <w:sz w:val="20"/>
                <w:szCs w:val="20"/>
              </w:rPr>
              <w:t>0,0200389</w:t>
            </w:r>
          </w:p>
        </w:tc>
      </w:tr>
      <w:tr w:rsidR="005F1087" w:rsidRPr="005F1087" w:rsidTr="00407449">
        <w:trPr>
          <w:trHeight w:val="340"/>
          <w:jc w:val="center"/>
        </w:trPr>
        <w:tc>
          <w:tcPr>
            <w:tcW w:w="1542" w:type="dxa"/>
            <w:vAlign w:val="center"/>
          </w:tcPr>
          <w:p w:rsidR="005F1087" w:rsidRPr="005F1087" w:rsidRDefault="00C9592F" w:rsidP="00407449">
            <w:pPr>
              <w:tabs>
                <w:tab w:val="left" w:pos="720"/>
              </w:tabs>
              <w:spacing w:before="0" w:after="0"/>
              <w:contextualSpacing/>
              <w:jc w:val="center"/>
              <w:rPr>
                <w:rFonts w:cs="Arial"/>
                <w:sz w:val="20"/>
                <w:szCs w:val="20"/>
              </w:rPr>
            </w:pPr>
            <m:oMathPara>
              <m:oMath>
                <m:sSub>
                  <m:sSubPr>
                    <m:ctrlPr>
                      <w:rPr>
                        <w:rFonts w:ascii="Cambria Math" w:hAnsi="Cambria Math" w:cs="Arial"/>
                        <w:i/>
                        <w:sz w:val="20"/>
                        <w:szCs w:val="20"/>
                      </w:rPr>
                    </m:ctrlPr>
                  </m:sSubPr>
                  <m:e>
                    <m:r>
                      <w:rPr>
                        <w:rFonts w:ascii="Cambria Math" w:hAnsi="Cambria Math" w:cs="Arial"/>
                        <w:sz w:val="20"/>
                        <w:szCs w:val="20"/>
                      </w:rPr>
                      <m:t>γ</m:t>
                    </m:r>
                  </m:e>
                  <m:sub>
                    <m:r>
                      <w:rPr>
                        <w:rFonts w:ascii="Cambria Math" w:hAnsi="Cambria Math" w:cs="Arial"/>
                        <w:sz w:val="20"/>
                        <w:szCs w:val="20"/>
                      </w:rPr>
                      <m:t>q1</m:t>
                    </m:r>
                  </m:sub>
                </m:sSub>
              </m:oMath>
            </m:oMathPara>
          </w:p>
        </w:tc>
        <w:tc>
          <w:tcPr>
            <w:tcW w:w="2035" w:type="dxa"/>
            <w:tcBorders>
              <w:right w:val="single" w:sz="4" w:space="0" w:color="auto"/>
            </w:tcBorders>
            <w:vAlign w:val="center"/>
          </w:tcPr>
          <w:p w:rsidR="005F1087" w:rsidRPr="005F1087" w:rsidRDefault="005F1087" w:rsidP="00407449">
            <w:pPr>
              <w:tabs>
                <w:tab w:val="left" w:pos="720"/>
              </w:tabs>
              <w:spacing w:before="0" w:after="0"/>
              <w:contextualSpacing/>
              <w:jc w:val="center"/>
              <w:rPr>
                <w:rFonts w:cs="Arial"/>
                <w:sz w:val="20"/>
                <w:szCs w:val="20"/>
              </w:rPr>
            </w:pPr>
            <w:r w:rsidRPr="005F1087">
              <w:rPr>
                <w:rFonts w:cs="Arial"/>
                <w:sz w:val="20"/>
                <w:szCs w:val="20"/>
              </w:rPr>
              <w:t>-0,0699192</w:t>
            </w:r>
          </w:p>
        </w:tc>
        <w:tc>
          <w:tcPr>
            <w:tcW w:w="671" w:type="dxa"/>
            <w:tcBorders>
              <w:top w:val="nil"/>
              <w:left w:val="single" w:sz="4" w:space="0" w:color="auto"/>
              <w:bottom w:val="nil"/>
              <w:right w:val="single" w:sz="4" w:space="0" w:color="auto"/>
            </w:tcBorders>
          </w:tcPr>
          <w:p w:rsidR="005F1087" w:rsidRPr="005F1087" w:rsidRDefault="005F1087" w:rsidP="00407449">
            <w:pPr>
              <w:tabs>
                <w:tab w:val="left" w:pos="720"/>
              </w:tabs>
              <w:spacing w:before="0" w:after="0"/>
              <w:contextualSpacing/>
              <w:jc w:val="center"/>
              <w:rPr>
                <w:sz w:val="20"/>
                <w:szCs w:val="20"/>
              </w:rPr>
            </w:pPr>
          </w:p>
        </w:tc>
        <w:tc>
          <w:tcPr>
            <w:tcW w:w="1701" w:type="dxa"/>
            <w:tcBorders>
              <w:left w:val="single" w:sz="4" w:space="0" w:color="auto"/>
            </w:tcBorders>
            <w:vAlign w:val="center"/>
          </w:tcPr>
          <w:p w:rsidR="005F1087" w:rsidRPr="005F1087" w:rsidRDefault="005F1087" w:rsidP="00407449">
            <w:pPr>
              <w:tabs>
                <w:tab w:val="left" w:pos="720"/>
              </w:tabs>
              <w:spacing w:before="0" w:after="0"/>
              <w:contextualSpacing/>
              <w:jc w:val="center"/>
              <w:rPr>
                <w:sz w:val="20"/>
                <w:szCs w:val="20"/>
              </w:rPr>
            </w:pPr>
            <w:r w:rsidRPr="005F1087">
              <w:rPr>
                <w:position w:val="-10"/>
                <w:sz w:val="20"/>
              </w:rPr>
              <w:object w:dxaOrig="300" w:dyaOrig="340" w14:anchorId="5C471CA2">
                <v:shape id="_x0000_i1032" type="#_x0000_t75" style="width:17.25pt;height:16.5pt" o:ole="">
                  <v:imagedata r:id="rId23" o:title=""/>
                </v:shape>
                <o:OLEObject Type="Embed" ProgID="Equation.DSMT4" ShapeID="_x0000_i1032" DrawAspect="Content" ObjectID="_1579105670" r:id="rId24"/>
              </w:object>
            </w:r>
          </w:p>
        </w:tc>
        <w:tc>
          <w:tcPr>
            <w:tcW w:w="2126" w:type="dxa"/>
            <w:vAlign w:val="center"/>
          </w:tcPr>
          <w:p w:rsidR="005F1087" w:rsidRPr="005F1087" w:rsidRDefault="005F1087" w:rsidP="00407449">
            <w:pPr>
              <w:tabs>
                <w:tab w:val="left" w:pos="720"/>
              </w:tabs>
              <w:spacing w:before="0" w:after="0"/>
              <w:contextualSpacing/>
              <w:jc w:val="center"/>
              <w:rPr>
                <w:sz w:val="20"/>
                <w:szCs w:val="20"/>
              </w:rPr>
            </w:pPr>
            <w:r w:rsidRPr="005F1087">
              <w:rPr>
                <w:rFonts w:cs="Arial"/>
                <w:sz w:val="20"/>
                <w:szCs w:val="20"/>
              </w:rPr>
              <w:t>0,0211073</w:t>
            </w:r>
          </w:p>
        </w:tc>
      </w:tr>
      <w:tr w:rsidR="005F1087" w:rsidRPr="005F1087" w:rsidTr="00407449">
        <w:trPr>
          <w:trHeight w:val="340"/>
          <w:jc w:val="center"/>
        </w:trPr>
        <w:tc>
          <w:tcPr>
            <w:tcW w:w="1542" w:type="dxa"/>
            <w:vAlign w:val="center"/>
          </w:tcPr>
          <w:p w:rsidR="005F1087" w:rsidRPr="005F1087" w:rsidRDefault="005F1087" w:rsidP="00407449">
            <w:pPr>
              <w:tabs>
                <w:tab w:val="left" w:pos="720"/>
              </w:tabs>
              <w:spacing w:before="0" w:after="0"/>
              <w:contextualSpacing/>
              <w:jc w:val="center"/>
              <w:rPr>
                <w:rFonts w:cs="Arial"/>
                <w:sz w:val="20"/>
                <w:szCs w:val="20"/>
                <w:lang w:val="en-US"/>
              </w:rPr>
            </w:pPr>
            <w:r w:rsidRPr="005F1087">
              <w:rPr>
                <w:position w:val="-10"/>
                <w:sz w:val="20"/>
              </w:rPr>
              <w:object w:dxaOrig="220" w:dyaOrig="300" w14:anchorId="2F2266E1">
                <v:shape id="_x0000_i1033" type="#_x0000_t75" style="width:11.25pt;height:17.25pt" o:ole="">
                  <v:imagedata r:id="rId25" o:title=""/>
                </v:shape>
                <o:OLEObject Type="Embed" ProgID="Equation.DSMT4" ShapeID="_x0000_i1033" DrawAspect="Content" ObjectID="_1579105671" r:id="rId26"/>
              </w:object>
            </w:r>
          </w:p>
        </w:tc>
        <w:tc>
          <w:tcPr>
            <w:tcW w:w="2035" w:type="dxa"/>
            <w:tcBorders>
              <w:right w:val="single" w:sz="4" w:space="0" w:color="auto"/>
            </w:tcBorders>
            <w:vAlign w:val="center"/>
          </w:tcPr>
          <w:p w:rsidR="005F1087" w:rsidRPr="005F1087" w:rsidRDefault="005F1087" w:rsidP="00407449">
            <w:pPr>
              <w:tabs>
                <w:tab w:val="left" w:pos="720"/>
              </w:tabs>
              <w:spacing w:before="0" w:after="0"/>
              <w:contextualSpacing/>
              <w:jc w:val="center"/>
              <w:rPr>
                <w:rFonts w:cs="Arial"/>
                <w:sz w:val="20"/>
                <w:szCs w:val="20"/>
              </w:rPr>
            </w:pPr>
            <w:r w:rsidRPr="005F1087">
              <w:rPr>
                <w:rFonts w:cs="Arial"/>
                <w:sz w:val="20"/>
                <w:szCs w:val="20"/>
              </w:rPr>
              <w:t>0,6308562</w:t>
            </w:r>
          </w:p>
        </w:tc>
        <w:tc>
          <w:tcPr>
            <w:tcW w:w="671" w:type="dxa"/>
            <w:tcBorders>
              <w:top w:val="nil"/>
              <w:left w:val="single" w:sz="4" w:space="0" w:color="auto"/>
              <w:bottom w:val="nil"/>
              <w:right w:val="single" w:sz="4" w:space="0" w:color="auto"/>
            </w:tcBorders>
          </w:tcPr>
          <w:p w:rsidR="005F1087" w:rsidRPr="005F1087" w:rsidRDefault="005F1087" w:rsidP="00407449">
            <w:pPr>
              <w:tabs>
                <w:tab w:val="left" w:pos="720"/>
              </w:tabs>
              <w:spacing w:before="0" w:after="0"/>
              <w:contextualSpacing/>
              <w:jc w:val="center"/>
              <w:rPr>
                <w:sz w:val="20"/>
              </w:rPr>
            </w:pPr>
          </w:p>
        </w:tc>
        <w:tc>
          <w:tcPr>
            <w:tcW w:w="1701" w:type="dxa"/>
            <w:tcBorders>
              <w:left w:val="single" w:sz="4" w:space="0" w:color="auto"/>
            </w:tcBorders>
            <w:vAlign w:val="center"/>
          </w:tcPr>
          <w:p w:rsidR="005F1087" w:rsidRPr="005F1087" w:rsidRDefault="005F1087" w:rsidP="00407449">
            <w:pPr>
              <w:tabs>
                <w:tab w:val="left" w:pos="720"/>
              </w:tabs>
              <w:spacing w:before="0" w:after="0"/>
              <w:contextualSpacing/>
              <w:jc w:val="center"/>
              <w:rPr>
                <w:sz w:val="20"/>
              </w:rPr>
            </w:pPr>
            <w:r w:rsidRPr="005F1087">
              <w:rPr>
                <w:position w:val="-10"/>
                <w:sz w:val="20"/>
              </w:rPr>
              <w:object w:dxaOrig="300" w:dyaOrig="340" w14:anchorId="55D196CF">
                <v:shape id="_x0000_i1034" type="#_x0000_t75" style="width:17.25pt;height:16.5pt" o:ole="">
                  <v:imagedata r:id="rId27" o:title=""/>
                </v:shape>
                <o:OLEObject Type="Embed" ProgID="Equation.DSMT4" ShapeID="_x0000_i1034" DrawAspect="Content" ObjectID="_1579105672" r:id="rId28"/>
              </w:object>
            </w:r>
          </w:p>
        </w:tc>
        <w:tc>
          <w:tcPr>
            <w:tcW w:w="2126" w:type="dxa"/>
            <w:vAlign w:val="center"/>
          </w:tcPr>
          <w:p w:rsidR="005F1087" w:rsidRPr="005F1087" w:rsidRDefault="005F1087" w:rsidP="00407449">
            <w:pPr>
              <w:tabs>
                <w:tab w:val="left" w:pos="720"/>
              </w:tabs>
              <w:spacing w:before="0" w:after="0"/>
              <w:contextualSpacing/>
              <w:jc w:val="center"/>
              <w:rPr>
                <w:sz w:val="20"/>
              </w:rPr>
            </w:pPr>
            <w:r w:rsidRPr="005F1087">
              <w:rPr>
                <w:rFonts w:cs="Arial"/>
                <w:sz w:val="20"/>
                <w:szCs w:val="20"/>
              </w:rPr>
              <w:t>0,0137246</w:t>
            </w:r>
          </w:p>
        </w:tc>
      </w:tr>
    </w:tbl>
    <w:p w:rsidR="005F1087" w:rsidRPr="005F1087" w:rsidRDefault="005F1087" w:rsidP="005F1087">
      <w:pPr>
        <w:pStyle w:val="Ttulo4"/>
        <w:ind w:left="864" w:hanging="864"/>
      </w:pPr>
      <w:r w:rsidRPr="005F1087">
        <w:t>Estimación de la eficiencia</w:t>
      </w:r>
    </w:p>
    <w:p w:rsidR="005F1087" w:rsidRPr="005F1087" w:rsidRDefault="005F1087" w:rsidP="005F1087">
      <w:r w:rsidRPr="005F1087">
        <w:t>La eficiencia técnica se calcula con el siguiente modelo:</w:t>
      </w:r>
    </w:p>
    <w:p w:rsidR="005F1087" w:rsidRPr="005F1087" w:rsidRDefault="00C9592F" w:rsidP="005F1087">
      <m:oMathPara>
        <m:oMath>
          <m:sSub>
            <m:sSubPr>
              <m:ctrlPr>
                <w:rPr>
                  <w:rFonts w:ascii="Cambria Math" w:hAnsi="Cambria Math"/>
                  <w:i/>
                </w:rPr>
              </m:ctrlPr>
            </m:sSubPr>
            <m:e>
              <m:r>
                <w:rPr>
                  <w:rFonts w:ascii="Cambria Math" w:hAnsi="Cambria Math"/>
                </w:rPr>
                <m:t>EfTec</m:t>
              </m:r>
            </m:e>
            <m:sub>
              <m:r>
                <w:rPr>
                  <w:rFonts w:ascii="Cambria Math" w:hAnsi="Cambria Math"/>
                </w:rPr>
                <m:t>j</m:t>
              </m:r>
            </m:sub>
          </m:sSub>
          <m:r>
            <w:rPr>
              <w:rFonts w:ascii="Cambria Math" w:hAnsi="Cambria Math"/>
            </w:rPr>
            <m:t>=</m:t>
          </m:r>
          <m:sSup>
            <m:sSupPr>
              <m:ctrlPr>
                <w:rPr>
                  <w:rFonts w:ascii="Cambria Math" w:hAnsi="Cambria Math"/>
                  <w:i/>
                </w:rPr>
              </m:ctrlPr>
            </m:sSupPr>
            <m:e>
              <m:r>
                <w:rPr>
                  <w:rFonts w:ascii="Cambria Math" w:hAnsi="Cambria Math"/>
                </w:rPr>
                <m:t>e</m:t>
              </m:r>
            </m:e>
            <m:sup>
              <m:d>
                <m:dPr>
                  <m:ctrlPr>
                    <w:rPr>
                      <w:rFonts w:ascii="Cambria Math" w:hAnsi="Cambria Math"/>
                      <w:i/>
                    </w:rPr>
                  </m:ctrlPr>
                </m:dPr>
                <m:e>
                  <m:r>
                    <w:rPr>
                      <w:rFonts w:ascii="Cambria Math" w:hAnsi="Cambria Math"/>
                    </w:rPr>
                    <m:t>-</m:t>
                  </m:r>
                  <m:sSubSup>
                    <m:sSubSupPr>
                      <m:ctrlPr>
                        <w:rPr>
                          <w:rFonts w:ascii="Cambria Math" w:hAnsi="Cambria Math"/>
                          <w:i/>
                        </w:rPr>
                      </m:ctrlPr>
                    </m:sSubSupPr>
                    <m:e>
                      <m:r>
                        <w:rPr>
                          <w:rFonts w:ascii="Cambria Math" w:hAnsi="Cambria Math"/>
                        </w:rPr>
                        <m:t>μ</m:t>
                      </m:r>
                    </m:e>
                    <m:sub>
                      <m:r>
                        <w:rPr>
                          <w:rFonts w:ascii="Cambria Math" w:hAnsi="Cambria Math"/>
                        </w:rPr>
                        <m:t>j</m:t>
                      </m:r>
                    </m:sub>
                    <m:sup>
                      <m:r>
                        <w:rPr>
                          <w:rFonts w:ascii="Cambria Math" w:hAnsi="Cambria Math"/>
                        </w:rPr>
                        <m:t>*</m:t>
                      </m:r>
                    </m:sup>
                  </m:sSubSup>
                  <m:r>
                    <w:rPr>
                      <w:rFonts w:ascii="Cambria Math" w:hAnsi="Cambria Math"/>
                    </w:rPr>
                    <m:t>+0,5</m:t>
                  </m:r>
                  <m:sSup>
                    <m:sSupPr>
                      <m:ctrlPr>
                        <w:rPr>
                          <w:rFonts w:ascii="Cambria Math" w:hAnsi="Cambria Math"/>
                          <w:i/>
                        </w:rPr>
                      </m:ctrlPr>
                    </m:sSupPr>
                    <m:e>
                      <m:d>
                        <m:dPr>
                          <m:ctrlPr>
                            <w:rPr>
                              <w:rFonts w:ascii="Cambria Math" w:hAnsi="Cambria Math"/>
                              <w:i/>
                            </w:rPr>
                          </m:ctrlPr>
                        </m:dPr>
                        <m:e>
                          <m:sSubSup>
                            <m:sSubSupPr>
                              <m:ctrlPr>
                                <w:rPr>
                                  <w:rFonts w:ascii="Cambria Math" w:hAnsi="Cambria Math"/>
                                  <w:i/>
                                </w:rPr>
                              </m:ctrlPr>
                            </m:sSubSupPr>
                            <m:e>
                              <m:r>
                                <w:rPr>
                                  <w:rFonts w:ascii="Cambria Math" w:hAnsi="Cambria Math"/>
                                </w:rPr>
                                <m:t>σ</m:t>
                              </m:r>
                            </m:e>
                            <m:sub>
                              <m:r>
                                <w:rPr>
                                  <w:rFonts w:ascii="Cambria Math" w:hAnsi="Cambria Math"/>
                                </w:rPr>
                                <m:t>j</m:t>
                              </m:r>
                            </m:sub>
                            <m:sup>
                              <m:r>
                                <w:rPr>
                                  <w:rFonts w:ascii="Cambria Math" w:hAnsi="Cambria Math"/>
                                </w:rPr>
                                <m:t>*</m:t>
                              </m:r>
                            </m:sup>
                          </m:sSubSup>
                        </m:e>
                      </m:d>
                    </m:e>
                    <m:sup>
                      <m:r>
                        <w:rPr>
                          <w:rFonts w:ascii="Cambria Math" w:hAnsi="Cambria Math"/>
                        </w:rPr>
                        <m:t>2</m:t>
                      </m:r>
                    </m:sup>
                  </m:sSup>
                </m:e>
              </m:d>
            </m:sup>
          </m:sSup>
          <m:d>
            <m:dPr>
              <m:begChr m:val="["/>
              <m:endChr m:val="]"/>
              <m:ctrlPr>
                <w:rPr>
                  <w:rFonts w:ascii="Cambria Math" w:hAnsi="Cambria Math"/>
                  <w:i/>
                </w:rPr>
              </m:ctrlPr>
            </m:dPr>
            <m:e>
              <m:r>
                <w:rPr>
                  <w:rFonts w:ascii="Cambria Math" w:hAnsi="Cambria Math"/>
                </w:rPr>
                <m:t>1-</m:t>
              </m:r>
              <m:r>
                <m:rPr>
                  <m:sty m:val="p"/>
                </m:rPr>
                <w:rPr>
                  <w:rFonts w:ascii="Cambria Math" w:hAnsi="Cambria Math"/>
                </w:rPr>
                <m:t>Φ</m:t>
              </m:r>
              <m:d>
                <m:dPr>
                  <m:ctrlPr>
                    <w:rPr>
                      <w:rFonts w:ascii="Cambria Math" w:hAnsi="Cambria Math"/>
                      <w:i/>
                    </w:rPr>
                  </m:ctrlPr>
                </m:dPr>
                <m:e>
                  <m:sSubSup>
                    <m:sSubSupPr>
                      <m:ctrlPr>
                        <w:rPr>
                          <w:rFonts w:ascii="Cambria Math" w:hAnsi="Cambria Math"/>
                          <w:i/>
                        </w:rPr>
                      </m:ctrlPr>
                    </m:sSubSupPr>
                    <m:e>
                      <m:r>
                        <w:rPr>
                          <w:rFonts w:ascii="Cambria Math" w:hAnsi="Cambria Math"/>
                        </w:rPr>
                        <m:t>σ</m:t>
                      </m:r>
                    </m:e>
                    <m:sub>
                      <m:r>
                        <w:rPr>
                          <w:rFonts w:ascii="Cambria Math" w:hAnsi="Cambria Math"/>
                        </w:rPr>
                        <m:t>j</m:t>
                      </m:r>
                    </m:sub>
                    <m:sup>
                      <m:r>
                        <w:rPr>
                          <w:rFonts w:ascii="Cambria Math" w:hAnsi="Cambria Math"/>
                        </w:rPr>
                        <m:t>*</m:t>
                      </m:r>
                    </m:sup>
                  </m:sSubSup>
                  <m:r>
                    <w:rPr>
                      <w:rFonts w:ascii="Cambria Math" w:hAnsi="Cambria Math"/>
                    </w:rPr>
                    <m:t>-</m:t>
                  </m:r>
                  <m:f>
                    <m:fPr>
                      <m:type m:val="skw"/>
                      <m:ctrlPr>
                        <w:rPr>
                          <w:rFonts w:ascii="Cambria Math" w:hAnsi="Cambria Math"/>
                          <w:i/>
                        </w:rPr>
                      </m:ctrlPr>
                    </m:fPr>
                    <m:num>
                      <m:sSubSup>
                        <m:sSubSupPr>
                          <m:ctrlPr>
                            <w:rPr>
                              <w:rFonts w:ascii="Cambria Math" w:hAnsi="Cambria Math"/>
                              <w:i/>
                            </w:rPr>
                          </m:ctrlPr>
                        </m:sSubSupPr>
                        <m:e>
                          <m:r>
                            <w:rPr>
                              <w:rFonts w:ascii="Cambria Math" w:hAnsi="Cambria Math"/>
                            </w:rPr>
                            <m:t>μ</m:t>
                          </m:r>
                        </m:e>
                        <m:sub>
                          <m:r>
                            <w:rPr>
                              <w:rFonts w:ascii="Cambria Math" w:hAnsi="Cambria Math"/>
                            </w:rPr>
                            <m:t>j</m:t>
                          </m:r>
                        </m:sub>
                        <m:sup>
                          <m:r>
                            <w:rPr>
                              <w:rFonts w:ascii="Cambria Math" w:hAnsi="Cambria Math"/>
                            </w:rPr>
                            <m:t>*</m:t>
                          </m:r>
                        </m:sup>
                      </m:sSubSup>
                    </m:num>
                    <m:den>
                      <m:sSubSup>
                        <m:sSubSupPr>
                          <m:ctrlPr>
                            <w:rPr>
                              <w:rFonts w:ascii="Cambria Math" w:hAnsi="Cambria Math"/>
                              <w:i/>
                            </w:rPr>
                          </m:ctrlPr>
                        </m:sSubSupPr>
                        <m:e>
                          <m:r>
                            <w:rPr>
                              <w:rFonts w:ascii="Cambria Math" w:hAnsi="Cambria Math"/>
                            </w:rPr>
                            <m:t>σ</m:t>
                          </m:r>
                        </m:e>
                        <m:sub>
                          <m:r>
                            <w:rPr>
                              <w:rFonts w:ascii="Cambria Math" w:hAnsi="Cambria Math"/>
                            </w:rPr>
                            <m:t>j</m:t>
                          </m:r>
                        </m:sub>
                        <m:sup>
                          <m:r>
                            <w:rPr>
                              <w:rFonts w:ascii="Cambria Math" w:hAnsi="Cambria Math"/>
                            </w:rPr>
                            <m:t>*</m:t>
                          </m:r>
                        </m:sup>
                      </m:sSubSup>
                    </m:den>
                  </m:f>
                </m:e>
              </m:d>
            </m:e>
          </m:d>
          <m:sSup>
            <m:sSupPr>
              <m:ctrlPr>
                <w:rPr>
                  <w:rFonts w:ascii="Cambria Math" w:hAnsi="Cambria Math"/>
                  <w:i/>
                </w:rPr>
              </m:ctrlPr>
            </m:sSupPr>
            <m:e>
              <m:d>
                <m:dPr>
                  <m:begChr m:val="["/>
                  <m:endChr m:val="]"/>
                  <m:ctrlPr>
                    <w:rPr>
                      <w:rFonts w:ascii="Cambria Math" w:hAnsi="Cambria Math"/>
                      <w:i/>
                    </w:rPr>
                  </m:ctrlPr>
                </m:dPr>
                <m:e>
                  <m:r>
                    <w:rPr>
                      <w:rFonts w:ascii="Cambria Math" w:hAnsi="Cambria Math"/>
                    </w:rPr>
                    <m:t>1-</m:t>
                  </m:r>
                  <m:r>
                    <m:rPr>
                      <m:sty m:val="p"/>
                    </m:rPr>
                    <w:rPr>
                      <w:rFonts w:ascii="Cambria Math" w:hAnsi="Cambria Math"/>
                    </w:rPr>
                    <m:t>Φ</m:t>
                  </m:r>
                  <m:d>
                    <m:dPr>
                      <m:ctrlPr>
                        <w:rPr>
                          <w:rFonts w:ascii="Cambria Math" w:hAnsi="Cambria Math"/>
                          <w:i/>
                        </w:rPr>
                      </m:ctrlPr>
                    </m:dPr>
                    <m:e>
                      <m:r>
                        <w:rPr>
                          <w:rFonts w:ascii="Cambria Math" w:hAnsi="Cambria Math"/>
                        </w:rPr>
                        <m:t>-</m:t>
                      </m:r>
                      <m:f>
                        <m:fPr>
                          <m:type m:val="skw"/>
                          <m:ctrlPr>
                            <w:rPr>
                              <w:rFonts w:ascii="Cambria Math" w:hAnsi="Cambria Math"/>
                              <w:i/>
                            </w:rPr>
                          </m:ctrlPr>
                        </m:fPr>
                        <m:num>
                          <m:sSubSup>
                            <m:sSubSupPr>
                              <m:ctrlPr>
                                <w:rPr>
                                  <w:rFonts w:ascii="Cambria Math" w:hAnsi="Cambria Math"/>
                                  <w:i/>
                                </w:rPr>
                              </m:ctrlPr>
                            </m:sSubSupPr>
                            <m:e>
                              <m:r>
                                <w:rPr>
                                  <w:rFonts w:ascii="Cambria Math" w:hAnsi="Cambria Math"/>
                                </w:rPr>
                                <m:t>μ</m:t>
                              </m:r>
                            </m:e>
                            <m:sub>
                              <m:r>
                                <w:rPr>
                                  <w:rFonts w:ascii="Cambria Math" w:hAnsi="Cambria Math"/>
                                </w:rPr>
                                <m:t>j</m:t>
                              </m:r>
                            </m:sub>
                            <m:sup>
                              <m:r>
                                <w:rPr>
                                  <w:rFonts w:ascii="Cambria Math" w:hAnsi="Cambria Math"/>
                                </w:rPr>
                                <m:t>*</m:t>
                              </m:r>
                            </m:sup>
                          </m:sSubSup>
                        </m:num>
                        <m:den>
                          <m:sSubSup>
                            <m:sSubSupPr>
                              <m:ctrlPr>
                                <w:rPr>
                                  <w:rFonts w:ascii="Cambria Math" w:hAnsi="Cambria Math"/>
                                  <w:i/>
                                </w:rPr>
                              </m:ctrlPr>
                            </m:sSubSupPr>
                            <m:e>
                              <m:r>
                                <w:rPr>
                                  <w:rFonts w:ascii="Cambria Math" w:hAnsi="Cambria Math"/>
                                </w:rPr>
                                <m:t>σ</m:t>
                              </m:r>
                            </m:e>
                            <m:sub>
                              <m:r>
                                <w:rPr>
                                  <w:rFonts w:ascii="Cambria Math" w:hAnsi="Cambria Math"/>
                                </w:rPr>
                                <m:t>j</m:t>
                              </m:r>
                            </m:sub>
                            <m:sup>
                              <m:r>
                                <w:rPr>
                                  <w:rFonts w:ascii="Cambria Math" w:hAnsi="Cambria Math"/>
                                </w:rPr>
                                <m:t>*</m:t>
                              </m:r>
                            </m:sup>
                          </m:sSubSup>
                        </m:den>
                      </m:f>
                    </m:e>
                  </m:d>
                </m:e>
              </m:d>
            </m:e>
            <m:sup>
              <m:r>
                <w:rPr>
                  <w:rFonts w:ascii="Cambria Math" w:hAnsi="Cambria Math"/>
                </w:rPr>
                <m:t>-1</m:t>
              </m:r>
            </m:sup>
          </m:sSup>
        </m:oMath>
      </m:oMathPara>
    </w:p>
    <w:p w:rsidR="005F1087" w:rsidRPr="005F1087" w:rsidRDefault="00C9592F" w:rsidP="005F1087">
      <m:oMathPara>
        <m:oMath>
          <m:sSubSup>
            <m:sSubSupPr>
              <m:ctrlPr>
                <w:rPr>
                  <w:rFonts w:ascii="Cambria Math" w:hAnsi="Cambria Math"/>
                  <w:i/>
                </w:rPr>
              </m:ctrlPr>
            </m:sSubSupPr>
            <m:e>
              <m:r>
                <w:rPr>
                  <w:rFonts w:ascii="Cambria Math" w:hAnsi="Cambria Math"/>
                </w:rPr>
                <m:t>μ</m:t>
              </m:r>
            </m:e>
            <m:sub>
              <m:r>
                <w:rPr>
                  <w:rFonts w:ascii="Cambria Math" w:hAnsi="Cambria Math"/>
                </w:rPr>
                <m:t>j</m:t>
              </m:r>
            </m:sub>
            <m:sup>
              <m:r>
                <w:rPr>
                  <w:rFonts w:ascii="Cambria Math" w:hAnsi="Cambria Math"/>
                </w:rPr>
                <m:t>*</m:t>
              </m:r>
            </m:sup>
          </m:sSubSup>
          <m:r>
            <w:rPr>
              <w:rFonts w:ascii="Cambria Math" w:hAnsi="Cambria Math"/>
            </w:rPr>
            <m:t>=</m:t>
          </m:r>
          <m:sSubSup>
            <m:sSubSupPr>
              <m:ctrlPr>
                <w:rPr>
                  <w:rFonts w:ascii="Cambria Math" w:hAnsi="Cambria Math"/>
                  <w:i/>
                </w:rPr>
              </m:ctrlPr>
            </m:sSubSupPr>
            <m:e>
              <m:r>
                <w:rPr>
                  <w:rFonts w:ascii="Cambria Math" w:hAnsi="Cambria Math"/>
                </w:rPr>
                <m:t>σ</m:t>
              </m:r>
            </m:e>
            <m:sub>
              <m:r>
                <w:rPr>
                  <w:rFonts w:ascii="Cambria Math" w:hAnsi="Cambria Math"/>
                </w:rPr>
                <m:t>u</m:t>
              </m:r>
            </m:sub>
            <m:sup>
              <m:r>
                <w:rPr>
                  <w:rFonts w:ascii="Cambria Math" w:hAnsi="Cambria Math"/>
                </w:rPr>
                <m:t>2</m:t>
              </m:r>
            </m:sup>
          </m:sSubSup>
          <m:sSub>
            <m:sSubPr>
              <m:ctrlPr>
                <w:rPr>
                  <w:rFonts w:ascii="Cambria Math" w:hAnsi="Cambria Math"/>
                  <w:i/>
                </w:rPr>
              </m:ctrlPr>
            </m:sSubPr>
            <m:e>
              <m:acc>
                <m:accPr>
                  <m:chr m:val="̅"/>
                  <m:ctrlPr>
                    <w:rPr>
                      <w:rFonts w:ascii="Cambria Math" w:hAnsi="Cambria Math"/>
                      <w:i/>
                    </w:rPr>
                  </m:ctrlPr>
                </m:accPr>
                <m:e>
                  <m:r>
                    <w:rPr>
                      <w:rFonts w:ascii="Cambria Math" w:hAnsi="Cambria Math"/>
                    </w:rPr>
                    <m:t>ε</m:t>
                  </m:r>
                </m:e>
              </m:acc>
            </m:e>
            <m:sub>
              <m:r>
                <w:rPr>
                  <w:rFonts w:ascii="Cambria Math" w:hAnsi="Cambria Math"/>
                </w:rPr>
                <m:t>j</m:t>
              </m:r>
            </m:sub>
          </m:sSub>
          <m:sSup>
            <m:sSupPr>
              <m:ctrlPr>
                <w:rPr>
                  <w:rFonts w:ascii="Cambria Math" w:hAnsi="Cambria Math"/>
                  <w:i/>
                </w:rPr>
              </m:ctrlPr>
            </m:sSupPr>
            <m:e>
              <m:d>
                <m:dPr>
                  <m:ctrlPr>
                    <w:rPr>
                      <w:rFonts w:ascii="Cambria Math" w:hAnsi="Cambria Math"/>
                      <w:i/>
                    </w:rPr>
                  </m:ctrlPr>
                </m:dPr>
                <m:e>
                  <m:sSubSup>
                    <m:sSubSupPr>
                      <m:ctrlPr>
                        <w:rPr>
                          <w:rFonts w:ascii="Cambria Math" w:hAnsi="Cambria Math"/>
                          <w:i/>
                        </w:rPr>
                      </m:ctrlPr>
                    </m:sSubSupPr>
                    <m:e>
                      <m:r>
                        <w:rPr>
                          <w:rFonts w:ascii="Cambria Math" w:hAnsi="Cambria Math"/>
                        </w:rPr>
                        <m:t>σ</m:t>
                      </m:r>
                    </m:e>
                    <m:sub>
                      <m:r>
                        <w:rPr>
                          <w:rFonts w:ascii="Cambria Math" w:hAnsi="Cambria Math"/>
                        </w:rPr>
                        <m:t>u</m:t>
                      </m:r>
                    </m:sub>
                    <m:sup>
                      <m:r>
                        <w:rPr>
                          <w:rFonts w:ascii="Cambria Math" w:hAnsi="Cambria Math"/>
                        </w:rPr>
                        <m:t>2</m:t>
                      </m:r>
                    </m:sup>
                  </m:sSubSup>
                  <m:r>
                    <w:rPr>
                      <w:rFonts w:ascii="Cambria Math" w:hAnsi="Cambria Math"/>
                    </w:rPr>
                    <m:t>+</m:t>
                  </m:r>
                  <m:f>
                    <m:fPr>
                      <m:type m:val="skw"/>
                      <m:ctrlPr>
                        <w:rPr>
                          <w:rFonts w:ascii="Cambria Math" w:hAnsi="Cambria Math"/>
                          <w:i/>
                        </w:rPr>
                      </m:ctrlPr>
                    </m:fPr>
                    <m:num>
                      <m:sSubSup>
                        <m:sSubSupPr>
                          <m:ctrlPr>
                            <w:rPr>
                              <w:rFonts w:ascii="Cambria Math" w:hAnsi="Cambria Math"/>
                              <w:i/>
                            </w:rPr>
                          </m:ctrlPr>
                        </m:sSubSupPr>
                        <m:e>
                          <m:r>
                            <w:rPr>
                              <w:rFonts w:ascii="Cambria Math" w:hAnsi="Cambria Math"/>
                            </w:rPr>
                            <m:t>σ</m:t>
                          </m:r>
                        </m:e>
                        <m:sub>
                          <m:r>
                            <w:rPr>
                              <w:rFonts w:ascii="Cambria Math" w:hAnsi="Cambria Math"/>
                            </w:rPr>
                            <m:t>v</m:t>
                          </m:r>
                        </m:sub>
                        <m:sup>
                          <m:r>
                            <w:rPr>
                              <w:rFonts w:ascii="Cambria Math" w:hAnsi="Cambria Math"/>
                            </w:rPr>
                            <m:t>2</m:t>
                          </m:r>
                        </m:sup>
                      </m:sSubSup>
                    </m:num>
                    <m:den>
                      <m:sSub>
                        <m:sSubPr>
                          <m:ctrlPr>
                            <w:rPr>
                              <w:rFonts w:ascii="Cambria Math" w:hAnsi="Cambria Math"/>
                              <w:i/>
                            </w:rPr>
                          </m:ctrlPr>
                        </m:sSubPr>
                        <m:e>
                          <m:r>
                            <w:rPr>
                              <w:rFonts w:ascii="Cambria Math" w:hAnsi="Cambria Math"/>
                            </w:rPr>
                            <m:t>T</m:t>
                          </m:r>
                        </m:e>
                        <m:sub>
                          <m:r>
                            <w:rPr>
                              <w:rFonts w:ascii="Cambria Math" w:hAnsi="Cambria Math"/>
                            </w:rPr>
                            <m:t>j</m:t>
                          </m:r>
                        </m:sub>
                      </m:sSub>
                    </m:den>
                  </m:f>
                </m:e>
              </m:d>
            </m:e>
            <m:sup>
              <m:r>
                <w:rPr>
                  <w:rFonts w:ascii="Cambria Math" w:hAnsi="Cambria Math"/>
                </w:rPr>
                <m:t>-1</m:t>
              </m:r>
            </m:sup>
          </m:sSup>
        </m:oMath>
      </m:oMathPara>
    </w:p>
    <w:p w:rsidR="005F1087" w:rsidRPr="005F1087" w:rsidRDefault="00C9592F" w:rsidP="005F1087">
      <m:oMathPara>
        <m:oMath>
          <m:sSup>
            <m:sSupPr>
              <m:ctrlPr>
                <w:rPr>
                  <w:rFonts w:ascii="Cambria Math" w:hAnsi="Cambria Math"/>
                  <w:i/>
                </w:rPr>
              </m:ctrlPr>
            </m:sSupPr>
            <m:e>
              <m:d>
                <m:dPr>
                  <m:ctrlPr>
                    <w:rPr>
                      <w:rFonts w:ascii="Cambria Math" w:hAnsi="Cambria Math"/>
                      <w:i/>
                    </w:rPr>
                  </m:ctrlPr>
                </m:dPr>
                <m:e>
                  <m:sSubSup>
                    <m:sSubSupPr>
                      <m:ctrlPr>
                        <w:rPr>
                          <w:rFonts w:ascii="Cambria Math" w:hAnsi="Cambria Math"/>
                          <w:i/>
                        </w:rPr>
                      </m:ctrlPr>
                    </m:sSubSupPr>
                    <m:e>
                      <m:r>
                        <w:rPr>
                          <w:rFonts w:ascii="Cambria Math" w:hAnsi="Cambria Math"/>
                        </w:rPr>
                        <m:t>σ</m:t>
                      </m:r>
                    </m:e>
                    <m:sub>
                      <m:r>
                        <w:rPr>
                          <w:rFonts w:ascii="Cambria Math" w:hAnsi="Cambria Math"/>
                        </w:rPr>
                        <m:t>j</m:t>
                      </m:r>
                    </m:sub>
                    <m:sup>
                      <m:r>
                        <w:rPr>
                          <w:rFonts w:ascii="Cambria Math" w:hAnsi="Cambria Math"/>
                        </w:rPr>
                        <m:t>*</m:t>
                      </m:r>
                    </m:sup>
                  </m:sSubSup>
                </m:e>
              </m:d>
            </m:e>
            <m:sup>
              <m:r>
                <w:rPr>
                  <w:rFonts w:ascii="Cambria Math" w:hAnsi="Cambria Math"/>
                </w:rPr>
                <m:t>2</m:t>
              </m:r>
            </m:sup>
          </m:sSup>
          <m:r>
            <w:rPr>
              <w:rFonts w:ascii="Cambria Math" w:hAnsi="Cambria Math"/>
            </w:rPr>
            <m:t>=</m:t>
          </m:r>
          <m:sSubSup>
            <m:sSubSupPr>
              <m:ctrlPr>
                <w:rPr>
                  <w:rFonts w:ascii="Cambria Math" w:hAnsi="Cambria Math"/>
                  <w:i/>
                </w:rPr>
              </m:ctrlPr>
            </m:sSubSupPr>
            <m:e>
              <m:r>
                <w:rPr>
                  <w:rFonts w:ascii="Cambria Math" w:hAnsi="Cambria Math"/>
                </w:rPr>
                <m:t>σ</m:t>
              </m:r>
            </m:e>
            <m:sub>
              <m:r>
                <w:rPr>
                  <w:rFonts w:ascii="Cambria Math" w:hAnsi="Cambria Math"/>
                </w:rPr>
                <m:t>u</m:t>
              </m:r>
            </m:sub>
            <m:sup>
              <m:r>
                <w:rPr>
                  <w:rFonts w:ascii="Cambria Math" w:hAnsi="Cambria Math"/>
                </w:rPr>
                <m:t>2</m:t>
              </m:r>
            </m:sup>
          </m:sSubSup>
          <m:sSubSup>
            <m:sSubSupPr>
              <m:ctrlPr>
                <w:rPr>
                  <w:rFonts w:ascii="Cambria Math" w:hAnsi="Cambria Math"/>
                  <w:i/>
                </w:rPr>
              </m:ctrlPr>
            </m:sSubSupPr>
            <m:e>
              <m:r>
                <w:rPr>
                  <w:rFonts w:ascii="Cambria Math" w:hAnsi="Cambria Math"/>
                </w:rPr>
                <m:t>σ</m:t>
              </m:r>
            </m:e>
            <m:sub>
              <m:r>
                <w:rPr>
                  <w:rFonts w:ascii="Cambria Math" w:hAnsi="Cambria Math"/>
                </w:rPr>
                <m:t>v</m:t>
              </m:r>
            </m:sub>
            <m:sup>
              <m:r>
                <w:rPr>
                  <w:rFonts w:ascii="Cambria Math" w:hAnsi="Cambria Math"/>
                </w:rPr>
                <m:t>2</m:t>
              </m:r>
            </m:sup>
          </m:sSubSup>
          <m:sSup>
            <m:sSupPr>
              <m:ctrlPr>
                <w:rPr>
                  <w:rFonts w:ascii="Cambria Math" w:hAnsi="Cambria Math"/>
                  <w:i/>
                </w:rPr>
              </m:ctrlPr>
            </m:sSupPr>
            <m:e>
              <m:d>
                <m:dPr>
                  <m:ctrlPr>
                    <w:rPr>
                      <w:rFonts w:ascii="Cambria Math" w:hAnsi="Cambria Math"/>
                      <w:i/>
                    </w:rPr>
                  </m:ctrlPr>
                </m:dPr>
                <m:e>
                  <m:sSubSup>
                    <m:sSubSupPr>
                      <m:ctrlPr>
                        <w:rPr>
                          <w:rFonts w:ascii="Cambria Math" w:hAnsi="Cambria Math"/>
                          <w:i/>
                        </w:rPr>
                      </m:ctrlPr>
                    </m:sSubSupPr>
                    <m:e>
                      <m:r>
                        <w:rPr>
                          <w:rFonts w:ascii="Cambria Math" w:hAnsi="Cambria Math"/>
                        </w:rPr>
                        <m:t>σ</m:t>
                      </m:r>
                    </m:e>
                    <m:sub>
                      <m:r>
                        <w:rPr>
                          <w:rFonts w:ascii="Cambria Math" w:hAnsi="Cambria Math"/>
                        </w:rPr>
                        <m:t>v</m:t>
                      </m:r>
                    </m:sub>
                    <m:sup>
                      <m:r>
                        <w:rPr>
                          <w:rFonts w:ascii="Cambria Math" w:hAnsi="Cambria Math"/>
                        </w:rPr>
                        <m:t>2</m:t>
                      </m:r>
                    </m:sup>
                  </m:sSubSup>
                  <m:r>
                    <w:rPr>
                      <w:rFonts w:ascii="Cambria Math" w:hAnsi="Cambria Math"/>
                    </w:rPr>
                    <m:t>+</m:t>
                  </m:r>
                  <m:sSub>
                    <m:sSubPr>
                      <m:ctrlPr>
                        <w:rPr>
                          <w:rFonts w:ascii="Cambria Math" w:hAnsi="Cambria Math"/>
                          <w:i/>
                        </w:rPr>
                      </m:ctrlPr>
                    </m:sSubPr>
                    <m:e>
                      <m:r>
                        <w:rPr>
                          <w:rFonts w:ascii="Cambria Math" w:hAnsi="Cambria Math"/>
                        </w:rPr>
                        <m:t>T</m:t>
                      </m:r>
                    </m:e>
                    <m:sub>
                      <m:r>
                        <w:rPr>
                          <w:rFonts w:ascii="Cambria Math" w:hAnsi="Cambria Math"/>
                        </w:rPr>
                        <m:t>j</m:t>
                      </m:r>
                    </m:sub>
                  </m:sSub>
                  <m:sSubSup>
                    <m:sSubSupPr>
                      <m:ctrlPr>
                        <w:rPr>
                          <w:rFonts w:ascii="Cambria Math" w:hAnsi="Cambria Math"/>
                          <w:i/>
                        </w:rPr>
                      </m:ctrlPr>
                    </m:sSubSupPr>
                    <m:e>
                      <m:r>
                        <w:rPr>
                          <w:rFonts w:ascii="Cambria Math" w:hAnsi="Cambria Math"/>
                        </w:rPr>
                        <m:t>σ</m:t>
                      </m:r>
                    </m:e>
                    <m:sub>
                      <m:r>
                        <w:rPr>
                          <w:rFonts w:ascii="Cambria Math" w:hAnsi="Cambria Math"/>
                        </w:rPr>
                        <m:t>u</m:t>
                      </m:r>
                    </m:sub>
                    <m:sup>
                      <m:r>
                        <w:rPr>
                          <w:rFonts w:ascii="Cambria Math" w:hAnsi="Cambria Math"/>
                        </w:rPr>
                        <m:t>2</m:t>
                      </m:r>
                    </m:sup>
                  </m:sSubSup>
                </m:e>
              </m:d>
            </m:e>
            <m:sup>
              <m:r>
                <w:rPr>
                  <w:rFonts w:ascii="Cambria Math" w:hAnsi="Cambria Math"/>
                </w:rPr>
                <m:t>-1</m:t>
              </m:r>
            </m:sup>
          </m:sSup>
        </m:oMath>
      </m:oMathPara>
    </w:p>
    <w:p w:rsidR="005F1087" w:rsidRPr="005F1087" w:rsidRDefault="00C9592F" w:rsidP="005F1087">
      <m:oMathPara>
        <m:oMath>
          <m:sSub>
            <m:sSubPr>
              <m:ctrlPr>
                <w:rPr>
                  <w:rFonts w:ascii="Cambria Math" w:hAnsi="Cambria Math"/>
                  <w:i/>
                </w:rPr>
              </m:ctrlPr>
            </m:sSubPr>
            <m:e>
              <m:acc>
                <m:accPr>
                  <m:chr m:val="̅"/>
                  <m:ctrlPr>
                    <w:rPr>
                      <w:rFonts w:ascii="Cambria Math" w:hAnsi="Cambria Math"/>
                      <w:i/>
                    </w:rPr>
                  </m:ctrlPr>
                </m:accPr>
                <m:e>
                  <m:r>
                    <w:rPr>
                      <w:rFonts w:ascii="Cambria Math" w:hAnsi="Cambria Math"/>
                    </w:rPr>
                    <m:t>ε</m:t>
                  </m:r>
                </m:e>
              </m:acc>
            </m:e>
            <m:sub>
              <m:r>
                <w:rPr>
                  <w:rFonts w:ascii="Cambria Math" w:hAnsi="Cambria Math"/>
                </w:rPr>
                <m:t>j</m:t>
              </m:r>
            </m:sub>
          </m:sSub>
          <m:r>
            <w:rPr>
              <w:rFonts w:ascii="Cambria Math" w:hAnsi="Cambria Math"/>
            </w:rPr>
            <m:t>=</m:t>
          </m:r>
          <m:f>
            <m:fPr>
              <m:ctrlPr>
                <w:rPr>
                  <w:rFonts w:ascii="Cambria Math" w:hAnsi="Cambria Math"/>
                  <w:i/>
                </w:rPr>
              </m:ctrlPr>
            </m:fPr>
            <m:num>
              <m:r>
                <w:rPr>
                  <w:rFonts w:ascii="Cambria Math" w:hAnsi="Cambria Math"/>
                </w:rPr>
                <m:t>1</m:t>
              </m:r>
            </m:num>
            <m:den>
              <m:sSub>
                <m:sSubPr>
                  <m:ctrlPr>
                    <w:rPr>
                      <w:rFonts w:ascii="Cambria Math" w:hAnsi="Cambria Math"/>
                      <w:i/>
                    </w:rPr>
                  </m:ctrlPr>
                </m:sSubPr>
                <m:e>
                  <m:r>
                    <w:rPr>
                      <w:rFonts w:ascii="Cambria Math" w:hAnsi="Cambria Math"/>
                    </w:rPr>
                    <m:t>T</m:t>
                  </m:r>
                </m:e>
                <m:sub>
                  <m:r>
                    <w:rPr>
                      <w:rFonts w:ascii="Cambria Math" w:hAnsi="Cambria Math"/>
                    </w:rPr>
                    <m:t>j</m:t>
                  </m:r>
                </m:sub>
              </m:sSub>
            </m:den>
          </m:f>
          <m:nary>
            <m:naryPr>
              <m:chr m:val="∑"/>
              <m:limLoc m:val="undOvr"/>
              <m:ctrlPr>
                <w:rPr>
                  <w:rFonts w:ascii="Cambria Math" w:hAnsi="Cambria Math"/>
                  <w:i/>
                </w:rPr>
              </m:ctrlPr>
            </m:naryPr>
            <m:sub>
              <m:r>
                <w:rPr>
                  <w:rFonts w:ascii="Cambria Math" w:hAnsi="Cambria Math"/>
                </w:rPr>
                <m:t>t=1</m:t>
              </m:r>
            </m:sub>
            <m:sup>
              <m:sSub>
                <m:sSubPr>
                  <m:ctrlPr>
                    <w:rPr>
                      <w:rFonts w:ascii="Cambria Math" w:hAnsi="Cambria Math"/>
                      <w:i/>
                    </w:rPr>
                  </m:ctrlPr>
                </m:sSubPr>
                <m:e>
                  <m:r>
                    <w:rPr>
                      <w:rFonts w:ascii="Cambria Math" w:hAnsi="Cambria Math"/>
                    </w:rPr>
                    <m:t>T</m:t>
                  </m:r>
                </m:e>
                <m:sub>
                  <m:r>
                    <w:rPr>
                      <w:rFonts w:ascii="Cambria Math" w:hAnsi="Cambria Math"/>
                    </w:rPr>
                    <m:t>j</m:t>
                  </m:r>
                </m:sub>
              </m:sSub>
            </m:sup>
            <m:e>
              <m:sSub>
                <m:sSubPr>
                  <m:ctrlPr>
                    <w:rPr>
                      <w:rFonts w:ascii="Cambria Math" w:hAnsi="Cambria Math"/>
                      <w:i/>
                    </w:rPr>
                  </m:ctrlPr>
                </m:sSubPr>
                <m:e>
                  <m:r>
                    <w:rPr>
                      <w:rFonts w:ascii="Cambria Math" w:hAnsi="Cambria Math"/>
                    </w:rPr>
                    <m:t>ε</m:t>
                  </m:r>
                </m:e>
                <m:sub>
                  <m:r>
                    <w:rPr>
                      <w:rFonts w:ascii="Cambria Math" w:hAnsi="Cambria Math"/>
                    </w:rPr>
                    <m:t>jt</m:t>
                  </m:r>
                </m:sub>
              </m:sSub>
            </m:e>
          </m:nary>
        </m:oMath>
      </m:oMathPara>
    </w:p>
    <w:p w:rsidR="005F1087" w:rsidRPr="005F1087" w:rsidRDefault="00C9592F" w:rsidP="005F1087">
      <w:pPr>
        <w:rPr>
          <w:sz w:val="28"/>
          <w:szCs w:val="28"/>
        </w:rPr>
      </w:pPr>
      <m:oMathPara>
        <m:oMath>
          <m:sSub>
            <m:sSubPr>
              <m:ctrlPr>
                <w:rPr>
                  <w:rFonts w:ascii="Cambria Math" w:hAnsi="Cambria Math"/>
                  <w:i/>
                  <w:szCs w:val="28"/>
                </w:rPr>
              </m:ctrlPr>
            </m:sSubPr>
            <m:e>
              <m:r>
                <w:rPr>
                  <w:rFonts w:ascii="Cambria Math" w:hAnsi="Cambria Math"/>
                  <w:szCs w:val="28"/>
                </w:rPr>
                <m:t>ε</m:t>
              </m:r>
            </m:e>
            <m:sub>
              <m:r>
                <w:rPr>
                  <w:rFonts w:ascii="Cambria Math" w:hAnsi="Cambria Math"/>
                  <w:szCs w:val="28"/>
                </w:rPr>
                <m:t>jt</m:t>
              </m:r>
            </m:sub>
          </m:sSub>
          <m:r>
            <w:rPr>
              <w:rFonts w:ascii="Cambria Math" w:hAnsi="Cambria Math"/>
              <w:szCs w:val="28"/>
            </w:rPr>
            <m:t>=</m:t>
          </m:r>
          <m:func>
            <m:funcPr>
              <m:ctrlPr>
                <w:rPr>
                  <w:rFonts w:ascii="Cambria Math" w:hAnsi="Cambria Math"/>
                  <w:i/>
                  <w:szCs w:val="28"/>
                </w:rPr>
              </m:ctrlPr>
            </m:funcPr>
            <m:fName>
              <m:r>
                <m:rPr>
                  <m:sty m:val="p"/>
                </m:rPr>
                <w:rPr>
                  <w:rFonts w:ascii="Cambria Math" w:hAnsi="Cambria Math"/>
                  <w:szCs w:val="28"/>
                </w:rPr>
                <m:t>ln</m:t>
              </m:r>
            </m:fName>
            <m:e>
              <m:d>
                <m:dPr>
                  <m:ctrlPr>
                    <w:rPr>
                      <w:rFonts w:ascii="Cambria Math" w:hAnsi="Cambria Math"/>
                      <w:i/>
                      <w:szCs w:val="28"/>
                    </w:rPr>
                  </m:ctrlPr>
                </m:dPr>
                <m:e>
                  <m:sSub>
                    <m:sSubPr>
                      <m:ctrlPr>
                        <w:rPr>
                          <w:rFonts w:ascii="Cambria Math" w:hAnsi="Cambria Math"/>
                          <w:i/>
                          <w:szCs w:val="28"/>
                        </w:rPr>
                      </m:ctrlPr>
                    </m:sSubPr>
                    <m:e>
                      <m:r>
                        <w:rPr>
                          <w:rFonts w:ascii="Cambria Math" w:hAnsi="Cambria Math"/>
                          <w:szCs w:val="28"/>
                        </w:rPr>
                        <m:t>y</m:t>
                      </m:r>
                    </m:e>
                    <m:sub>
                      <m:r>
                        <w:rPr>
                          <w:rFonts w:ascii="Cambria Math" w:hAnsi="Cambria Math"/>
                          <w:szCs w:val="28"/>
                        </w:rPr>
                        <m:t>jt</m:t>
                      </m:r>
                    </m:sub>
                  </m:sSub>
                  <m:r>
                    <w:rPr>
                      <w:rFonts w:ascii="Cambria Math" w:hAnsi="Cambria Math"/>
                      <w:szCs w:val="28"/>
                    </w:rPr>
                    <m:t>/</m:t>
                  </m:r>
                  <m:sSub>
                    <m:sSubPr>
                      <m:ctrlPr>
                        <w:rPr>
                          <w:rFonts w:ascii="Cambria Math" w:hAnsi="Cambria Math"/>
                          <w:i/>
                          <w:szCs w:val="28"/>
                        </w:rPr>
                      </m:ctrlPr>
                    </m:sSubPr>
                    <m:e>
                      <m:r>
                        <w:rPr>
                          <w:rFonts w:ascii="Cambria Math" w:hAnsi="Cambria Math"/>
                          <w:szCs w:val="28"/>
                        </w:rPr>
                        <m:t>w2</m:t>
                      </m:r>
                    </m:e>
                    <m:sub>
                      <m:r>
                        <w:rPr>
                          <w:rFonts w:ascii="Cambria Math" w:hAnsi="Cambria Math"/>
                          <w:szCs w:val="28"/>
                        </w:rPr>
                        <m:t>jt</m:t>
                      </m:r>
                    </m:sub>
                  </m:sSub>
                </m:e>
              </m:d>
            </m:e>
          </m:func>
          <m:r>
            <w:rPr>
              <w:rFonts w:ascii="Cambria Math" w:hAnsi="Cambria Math"/>
              <w:szCs w:val="28"/>
            </w:rPr>
            <m:t>-</m:t>
          </m:r>
          <m:d>
            <m:dPr>
              <m:begChr m:val="{"/>
              <m:endChr m:val="}"/>
              <m:ctrlPr>
                <w:rPr>
                  <w:rFonts w:ascii="Cambria Math" w:hAnsi="Cambria Math"/>
                  <w:i/>
                  <w:szCs w:val="28"/>
                </w:rPr>
              </m:ctrlPr>
            </m:dPr>
            <m:e>
              <m:sSub>
                <m:sSubPr>
                  <m:ctrlPr>
                    <w:rPr>
                      <w:rFonts w:ascii="Cambria Math" w:hAnsi="Cambria Math"/>
                      <w:i/>
                      <w:szCs w:val="28"/>
                    </w:rPr>
                  </m:ctrlPr>
                </m:sSubPr>
                <m:e>
                  <m:r>
                    <w:rPr>
                      <w:rFonts w:ascii="Cambria Math" w:hAnsi="Cambria Math"/>
                      <w:szCs w:val="28"/>
                    </w:rPr>
                    <m:t>α</m:t>
                  </m:r>
                </m:e>
                <m:sub>
                  <m:r>
                    <w:rPr>
                      <w:rFonts w:ascii="Cambria Math" w:hAnsi="Cambria Math"/>
                      <w:szCs w:val="28"/>
                    </w:rPr>
                    <m:t>0</m:t>
                  </m:r>
                </m:sub>
              </m:sSub>
              <m:r>
                <w:rPr>
                  <w:rFonts w:ascii="Cambria Math" w:hAnsi="Cambria Math"/>
                  <w:szCs w:val="28"/>
                </w:rPr>
                <m:t>+</m:t>
              </m:r>
              <m:sSub>
                <m:sSubPr>
                  <m:ctrlPr>
                    <w:rPr>
                      <w:rFonts w:ascii="Cambria Math" w:hAnsi="Cambria Math"/>
                      <w:i/>
                      <w:szCs w:val="28"/>
                    </w:rPr>
                  </m:ctrlPr>
                </m:sSubPr>
                <m:e>
                  <m:r>
                    <w:rPr>
                      <w:rFonts w:ascii="Cambria Math" w:hAnsi="Cambria Math"/>
                      <w:szCs w:val="28"/>
                    </w:rPr>
                    <m:t>α</m:t>
                  </m:r>
                </m:e>
                <m:sub>
                  <m:r>
                    <w:rPr>
                      <w:rFonts w:ascii="Cambria Math" w:hAnsi="Cambria Math"/>
                      <w:szCs w:val="28"/>
                    </w:rPr>
                    <m:t>q</m:t>
                  </m:r>
                </m:sub>
              </m:sSub>
              <m:func>
                <m:funcPr>
                  <m:ctrlPr>
                    <w:rPr>
                      <w:rFonts w:ascii="Cambria Math" w:hAnsi="Cambria Math"/>
                      <w:i/>
                      <w:szCs w:val="28"/>
                    </w:rPr>
                  </m:ctrlPr>
                </m:funcPr>
                <m:fName>
                  <m:r>
                    <m:rPr>
                      <m:sty m:val="p"/>
                    </m:rPr>
                    <w:rPr>
                      <w:rFonts w:ascii="Cambria Math" w:hAnsi="Cambria Math"/>
                      <w:szCs w:val="28"/>
                    </w:rPr>
                    <m:t>ln</m:t>
                  </m:r>
                </m:fName>
                <m:e>
                  <m:sSub>
                    <m:sSubPr>
                      <m:ctrlPr>
                        <w:rPr>
                          <w:rFonts w:ascii="Cambria Math" w:hAnsi="Cambria Math"/>
                          <w:i/>
                          <w:szCs w:val="28"/>
                        </w:rPr>
                      </m:ctrlPr>
                    </m:sSubPr>
                    <m:e>
                      <m:r>
                        <w:rPr>
                          <w:rFonts w:ascii="Cambria Math" w:hAnsi="Cambria Math"/>
                          <w:szCs w:val="28"/>
                        </w:rPr>
                        <m:t xml:space="preserve"> q</m:t>
                      </m:r>
                    </m:e>
                    <m:sub>
                      <m:r>
                        <w:rPr>
                          <w:rFonts w:ascii="Cambria Math" w:hAnsi="Cambria Math"/>
                          <w:szCs w:val="28"/>
                        </w:rPr>
                        <m:t>jt</m:t>
                      </m:r>
                    </m:sub>
                  </m:sSub>
                </m:e>
              </m:func>
              <m:r>
                <w:rPr>
                  <w:rFonts w:ascii="Cambria Math" w:hAnsi="Cambria Math"/>
                  <w:szCs w:val="28"/>
                </w:rPr>
                <m:t>+</m:t>
              </m:r>
              <m:sSub>
                <m:sSubPr>
                  <m:ctrlPr>
                    <w:rPr>
                      <w:rFonts w:ascii="Cambria Math" w:hAnsi="Cambria Math"/>
                      <w:i/>
                      <w:szCs w:val="28"/>
                    </w:rPr>
                  </m:ctrlPr>
                </m:sSubPr>
                <m:e>
                  <m:r>
                    <w:rPr>
                      <w:rFonts w:ascii="Cambria Math" w:hAnsi="Cambria Math"/>
                      <w:szCs w:val="28"/>
                    </w:rPr>
                    <m:t>γ</m:t>
                  </m:r>
                </m:e>
                <m:sub>
                  <m:r>
                    <w:rPr>
                      <w:rFonts w:ascii="Cambria Math" w:hAnsi="Cambria Math"/>
                      <w:szCs w:val="28"/>
                    </w:rPr>
                    <m:t>q1</m:t>
                  </m:r>
                </m:sub>
              </m:sSub>
              <m:func>
                <m:funcPr>
                  <m:ctrlPr>
                    <w:rPr>
                      <w:rFonts w:ascii="Cambria Math" w:hAnsi="Cambria Math"/>
                      <w:i/>
                      <w:szCs w:val="28"/>
                    </w:rPr>
                  </m:ctrlPr>
                </m:funcPr>
                <m:fName>
                  <m:r>
                    <m:rPr>
                      <m:sty m:val="p"/>
                    </m:rPr>
                    <w:rPr>
                      <w:rFonts w:ascii="Cambria Math" w:hAnsi="Cambria Math"/>
                      <w:szCs w:val="28"/>
                    </w:rPr>
                    <m:t>ln</m:t>
                  </m:r>
                </m:fName>
                <m:e>
                  <m:sSub>
                    <m:sSubPr>
                      <m:ctrlPr>
                        <w:rPr>
                          <w:rFonts w:ascii="Cambria Math" w:hAnsi="Cambria Math"/>
                          <w:i/>
                          <w:szCs w:val="28"/>
                        </w:rPr>
                      </m:ctrlPr>
                    </m:sSubPr>
                    <m:e>
                      <m:r>
                        <w:rPr>
                          <w:rFonts w:ascii="Cambria Math" w:hAnsi="Cambria Math"/>
                          <w:szCs w:val="28"/>
                        </w:rPr>
                        <m:t xml:space="preserve"> q</m:t>
                      </m:r>
                    </m:e>
                    <m:sub>
                      <m:r>
                        <w:rPr>
                          <w:rFonts w:ascii="Cambria Math" w:hAnsi="Cambria Math"/>
                          <w:szCs w:val="28"/>
                        </w:rPr>
                        <m:t>jt</m:t>
                      </m:r>
                    </m:sub>
                  </m:sSub>
                </m:e>
              </m:func>
              <m:func>
                <m:funcPr>
                  <m:ctrlPr>
                    <w:rPr>
                      <w:rFonts w:ascii="Cambria Math" w:hAnsi="Cambria Math"/>
                      <w:i/>
                      <w:szCs w:val="28"/>
                    </w:rPr>
                  </m:ctrlPr>
                </m:funcPr>
                <m:fName>
                  <m:r>
                    <m:rPr>
                      <m:sty m:val="p"/>
                    </m:rPr>
                    <w:rPr>
                      <w:rFonts w:ascii="Cambria Math" w:hAnsi="Cambria Math"/>
                      <w:szCs w:val="28"/>
                    </w:rPr>
                    <m:t>ln</m:t>
                  </m:r>
                </m:fName>
                <m:e>
                  <m:d>
                    <m:dPr>
                      <m:ctrlPr>
                        <w:rPr>
                          <w:rFonts w:ascii="Cambria Math" w:hAnsi="Cambria Math"/>
                          <w:i/>
                          <w:szCs w:val="28"/>
                        </w:rPr>
                      </m:ctrlPr>
                    </m:dPr>
                    <m:e>
                      <m:sSub>
                        <m:sSubPr>
                          <m:ctrlPr>
                            <w:rPr>
                              <w:rFonts w:ascii="Cambria Math" w:hAnsi="Cambria Math"/>
                              <w:i/>
                              <w:szCs w:val="28"/>
                            </w:rPr>
                          </m:ctrlPr>
                        </m:sSubPr>
                        <m:e>
                          <m:r>
                            <w:rPr>
                              <w:rFonts w:ascii="Cambria Math" w:hAnsi="Cambria Math"/>
                              <w:szCs w:val="28"/>
                            </w:rPr>
                            <m:t>w1</m:t>
                          </m:r>
                        </m:e>
                        <m:sub>
                          <m:r>
                            <w:rPr>
                              <w:rFonts w:ascii="Cambria Math" w:hAnsi="Cambria Math"/>
                              <w:szCs w:val="28"/>
                            </w:rPr>
                            <m:t>jt</m:t>
                          </m:r>
                        </m:sub>
                      </m:sSub>
                      <m:r>
                        <w:rPr>
                          <w:rFonts w:ascii="Cambria Math" w:hAnsi="Cambria Math"/>
                          <w:szCs w:val="28"/>
                        </w:rPr>
                        <m:t>/</m:t>
                      </m:r>
                      <m:sSub>
                        <m:sSubPr>
                          <m:ctrlPr>
                            <w:rPr>
                              <w:rFonts w:ascii="Cambria Math" w:hAnsi="Cambria Math"/>
                              <w:i/>
                              <w:szCs w:val="28"/>
                            </w:rPr>
                          </m:ctrlPr>
                        </m:sSubPr>
                        <m:e>
                          <m:r>
                            <w:rPr>
                              <w:rFonts w:ascii="Cambria Math" w:hAnsi="Cambria Math"/>
                              <w:szCs w:val="28"/>
                            </w:rPr>
                            <m:t>w2</m:t>
                          </m:r>
                        </m:e>
                        <m:sub>
                          <m:r>
                            <w:rPr>
                              <w:rFonts w:ascii="Cambria Math" w:hAnsi="Cambria Math"/>
                              <w:szCs w:val="28"/>
                            </w:rPr>
                            <m:t>jt</m:t>
                          </m:r>
                        </m:sub>
                      </m:sSub>
                    </m:e>
                  </m:d>
                </m:e>
              </m:func>
              <m:r>
                <w:rPr>
                  <w:rFonts w:ascii="Cambria Math" w:hAnsi="Cambria Math"/>
                  <w:szCs w:val="28"/>
                </w:rPr>
                <m:t>+</m:t>
              </m:r>
              <m:sSub>
                <m:sSubPr>
                  <m:ctrlPr>
                    <w:rPr>
                      <w:rFonts w:ascii="Cambria Math" w:hAnsi="Cambria Math"/>
                      <w:i/>
                      <w:szCs w:val="28"/>
                    </w:rPr>
                  </m:ctrlPr>
                </m:sSubPr>
                <m:e>
                  <m:r>
                    <w:rPr>
                      <w:rFonts w:ascii="Cambria Math" w:hAnsi="Cambria Math"/>
                      <w:szCs w:val="28"/>
                    </w:rPr>
                    <m:t>α</m:t>
                  </m:r>
                </m:e>
                <m:sub>
                  <m:r>
                    <w:rPr>
                      <w:rFonts w:ascii="Cambria Math" w:hAnsi="Cambria Math"/>
                      <w:szCs w:val="28"/>
                    </w:rPr>
                    <m:t>1</m:t>
                  </m:r>
                </m:sub>
              </m:sSub>
              <m:func>
                <m:funcPr>
                  <m:ctrlPr>
                    <w:rPr>
                      <w:rFonts w:ascii="Cambria Math" w:hAnsi="Cambria Math"/>
                      <w:i/>
                      <w:szCs w:val="28"/>
                    </w:rPr>
                  </m:ctrlPr>
                </m:funcPr>
                <m:fName>
                  <m:r>
                    <m:rPr>
                      <m:sty m:val="p"/>
                    </m:rPr>
                    <w:rPr>
                      <w:rFonts w:ascii="Cambria Math" w:hAnsi="Cambria Math"/>
                      <w:szCs w:val="28"/>
                    </w:rPr>
                    <m:t>ln</m:t>
                  </m:r>
                </m:fName>
                <m:e>
                  <m:d>
                    <m:dPr>
                      <m:ctrlPr>
                        <w:rPr>
                          <w:rFonts w:ascii="Cambria Math" w:hAnsi="Cambria Math"/>
                          <w:i/>
                          <w:szCs w:val="28"/>
                        </w:rPr>
                      </m:ctrlPr>
                    </m:dPr>
                    <m:e>
                      <m:sSub>
                        <m:sSubPr>
                          <m:ctrlPr>
                            <w:rPr>
                              <w:rFonts w:ascii="Cambria Math" w:hAnsi="Cambria Math"/>
                              <w:i/>
                              <w:szCs w:val="28"/>
                            </w:rPr>
                          </m:ctrlPr>
                        </m:sSubPr>
                        <m:e>
                          <m:r>
                            <w:rPr>
                              <w:rFonts w:ascii="Cambria Math" w:hAnsi="Cambria Math"/>
                              <w:szCs w:val="28"/>
                            </w:rPr>
                            <m:t>w1</m:t>
                          </m:r>
                        </m:e>
                        <m:sub>
                          <m:r>
                            <w:rPr>
                              <w:rFonts w:ascii="Cambria Math" w:hAnsi="Cambria Math"/>
                              <w:szCs w:val="28"/>
                            </w:rPr>
                            <m:t>jt</m:t>
                          </m:r>
                        </m:sub>
                      </m:sSub>
                      <m:r>
                        <w:rPr>
                          <w:rFonts w:ascii="Cambria Math" w:hAnsi="Cambria Math"/>
                          <w:szCs w:val="28"/>
                        </w:rPr>
                        <m:t>/</m:t>
                      </m:r>
                      <m:sSub>
                        <m:sSubPr>
                          <m:ctrlPr>
                            <w:rPr>
                              <w:rFonts w:ascii="Cambria Math" w:hAnsi="Cambria Math"/>
                              <w:i/>
                              <w:szCs w:val="28"/>
                            </w:rPr>
                          </m:ctrlPr>
                        </m:sSubPr>
                        <m:e>
                          <m:r>
                            <w:rPr>
                              <w:rFonts w:ascii="Cambria Math" w:hAnsi="Cambria Math"/>
                              <w:szCs w:val="28"/>
                            </w:rPr>
                            <m:t>w2</m:t>
                          </m:r>
                        </m:e>
                        <m:sub>
                          <m:r>
                            <w:rPr>
                              <w:rFonts w:ascii="Cambria Math" w:hAnsi="Cambria Math"/>
                              <w:szCs w:val="28"/>
                            </w:rPr>
                            <m:t>jt</m:t>
                          </m:r>
                        </m:sub>
                      </m:sSub>
                    </m:e>
                  </m:d>
                </m:e>
              </m:func>
              <m:r>
                <w:rPr>
                  <w:rFonts w:ascii="Cambria Math" w:hAnsi="Cambria Math"/>
                  <w:szCs w:val="28"/>
                </w:rPr>
                <m:t>+</m:t>
              </m:r>
              <m:sSub>
                <m:sSubPr>
                  <m:ctrlPr>
                    <w:rPr>
                      <w:rFonts w:ascii="Cambria Math" w:hAnsi="Cambria Math"/>
                      <w:i/>
                      <w:szCs w:val="28"/>
                    </w:rPr>
                  </m:ctrlPr>
                </m:sSubPr>
                <m:e>
                  <m:r>
                    <w:rPr>
                      <w:rFonts w:ascii="Cambria Math" w:hAnsi="Cambria Math"/>
                      <w:szCs w:val="28"/>
                    </w:rPr>
                    <m:t>γ</m:t>
                  </m:r>
                </m:e>
                <m:sub>
                  <m:r>
                    <w:rPr>
                      <w:rFonts w:ascii="Cambria Math" w:hAnsi="Cambria Math"/>
                      <w:szCs w:val="28"/>
                    </w:rPr>
                    <m:t>11</m:t>
                  </m:r>
                </m:sub>
              </m:sSub>
              <m:d>
                <m:dPr>
                  <m:begChr m:val="{"/>
                  <m:endChr m:val="}"/>
                  <m:ctrlPr>
                    <w:rPr>
                      <w:rFonts w:ascii="Cambria Math" w:hAnsi="Cambria Math"/>
                      <w:i/>
                      <w:szCs w:val="28"/>
                    </w:rPr>
                  </m:ctrlPr>
                </m:dPr>
                <m:e>
                  <m:r>
                    <w:rPr>
                      <w:rFonts w:ascii="Cambria Math" w:hAnsi="Cambria Math"/>
                      <w:szCs w:val="28"/>
                    </w:rPr>
                    <m:t xml:space="preserve">0,5 </m:t>
                  </m:r>
                  <m:sSup>
                    <m:sSupPr>
                      <m:ctrlPr>
                        <w:rPr>
                          <w:rFonts w:ascii="Cambria Math" w:hAnsi="Cambria Math"/>
                          <w:i/>
                          <w:szCs w:val="28"/>
                        </w:rPr>
                      </m:ctrlPr>
                    </m:sSupPr>
                    <m:e>
                      <m:d>
                        <m:dPr>
                          <m:ctrlPr>
                            <w:rPr>
                              <w:rFonts w:ascii="Cambria Math" w:hAnsi="Cambria Math"/>
                              <w:i/>
                              <w:szCs w:val="28"/>
                            </w:rPr>
                          </m:ctrlPr>
                        </m:dPr>
                        <m:e>
                          <m:func>
                            <m:funcPr>
                              <m:ctrlPr>
                                <w:rPr>
                                  <w:rFonts w:ascii="Cambria Math" w:hAnsi="Cambria Math"/>
                                  <w:i/>
                                  <w:szCs w:val="28"/>
                                </w:rPr>
                              </m:ctrlPr>
                            </m:funcPr>
                            <m:fName>
                              <m:r>
                                <m:rPr>
                                  <m:sty m:val="p"/>
                                </m:rPr>
                                <w:rPr>
                                  <w:rFonts w:ascii="Cambria Math" w:hAnsi="Cambria Math"/>
                                  <w:szCs w:val="28"/>
                                </w:rPr>
                                <m:t>ln</m:t>
                              </m:r>
                            </m:fName>
                            <m:e>
                              <m:d>
                                <m:dPr>
                                  <m:ctrlPr>
                                    <w:rPr>
                                      <w:rFonts w:ascii="Cambria Math" w:hAnsi="Cambria Math"/>
                                      <w:i/>
                                      <w:szCs w:val="28"/>
                                    </w:rPr>
                                  </m:ctrlPr>
                                </m:dPr>
                                <m:e>
                                  <m:sSub>
                                    <m:sSubPr>
                                      <m:ctrlPr>
                                        <w:rPr>
                                          <w:rFonts w:ascii="Cambria Math" w:hAnsi="Cambria Math"/>
                                          <w:i/>
                                          <w:szCs w:val="28"/>
                                        </w:rPr>
                                      </m:ctrlPr>
                                    </m:sSubPr>
                                    <m:e>
                                      <m:r>
                                        <w:rPr>
                                          <w:rFonts w:ascii="Cambria Math" w:hAnsi="Cambria Math"/>
                                          <w:szCs w:val="28"/>
                                        </w:rPr>
                                        <m:t>w1</m:t>
                                      </m:r>
                                    </m:e>
                                    <m:sub>
                                      <m:r>
                                        <w:rPr>
                                          <w:rFonts w:ascii="Cambria Math" w:hAnsi="Cambria Math"/>
                                          <w:szCs w:val="28"/>
                                        </w:rPr>
                                        <m:t>jt</m:t>
                                      </m:r>
                                    </m:sub>
                                  </m:sSub>
                                  <m:r>
                                    <w:rPr>
                                      <w:rFonts w:ascii="Cambria Math" w:hAnsi="Cambria Math"/>
                                      <w:szCs w:val="28"/>
                                    </w:rPr>
                                    <m:t>/</m:t>
                                  </m:r>
                                  <m:sSub>
                                    <m:sSubPr>
                                      <m:ctrlPr>
                                        <w:rPr>
                                          <w:rFonts w:ascii="Cambria Math" w:hAnsi="Cambria Math"/>
                                          <w:i/>
                                          <w:szCs w:val="28"/>
                                        </w:rPr>
                                      </m:ctrlPr>
                                    </m:sSubPr>
                                    <m:e>
                                      <m:r>
                                        <w:rPr>
                                          <w:rFonts w:ascii="Cambria Math" w:hAnsi="Cambria Math"/>
                                          <w:szCs w:val="28"/>
                                        </w:rPr>
                                        <m:t>w2</m:t>
                                      </m:r>
                                    </m:e>
                                    <m:sub>
                                      <m:r>
                                        <w:rPr>
                                          <w:rFonts w:ascii="Cambria Math" w:hAnsi="Cambria Math"/>
                                          <w:szCs w:val="28"/>
                                        </w:rPr>
                                        <m:t>jt</m:t>
                                      </m:r>
                                    </m:sub>
                                  </m:sSub>
                                </m:e>
                              </m:d>
                            </m:e>
                          </m:func>
                        </m:e>
                      </m:d>
                    </m:e>
                    <m:sup>
                      <m:r>
                        <w:rPr>
                          <w:rFonts w:ascii="Cambria Math" w:hAnsi="Cambria Math"/>
                          <w:szCs w:val="28"/>
                        </w:rPr>
                        <m:t>2</m:t>
                      </m:r>
                    </m:sup>
                  </m:sSup>
                </m:e>
              </m:d>
              <m:r>
                <w:rPr>
                  <w:rFonts w:ascii="Cambria Math" w:hAnsi="Cambria Math"/>
                  <w:szCs w:val="28"/>
                </w:rPr>
                <m:t>+</m:t>
              </m:r>
              <m:sSub>
                <m:sSubPr>
                  <m:ctrlPr>
                    <w:rPr>
                      <w:rFonts w:ascii="Cambria Math" w:hAnsi="Cambria Math"/>
                      <w:i/>
                      <w:szCs w:val="28"/>
                    </w:rPr>
                  </m:ctrlPr>
                </m:sSubPr>
                <m:e>
                  <m:r>
                    <w:rPr>
                      <w:rFonts w:ascii="Cambria Math" w:hAnsi="Cambria Math"/>
                      <w:szCs w:val="28"/>
                    </w:rPr>
                    <m:t>δ</m:t>
                  </m:r>
                </m:e>
                <m:sub>
                  <m:r>
                    <w:rPr>
                      <w:rFonts w:ascii="Cambria Math" w:hAnsi="Cambria Math"/>
                      <w:szCs w:val="28"/>
                    </w:rPr>
                    <m:t>1</m:t>
                  </m:r>
                </m:sub>
              </m:sSub>
              <m:r>
                <w:rPr>
                  <w:rFonts w:ascii="Cambria Math" w:hAnsi="Cambria Math"/>
                  <w:szCs w:val="28"/>
                </w:rPr>
                <m:t xml:space="preserve"> </m:t>
              </m:r>
              <m:sSub>
                <m:sSubPr>
                  <m:ctrlPr>
                    <w:rPr>
                      <w:rFonts w:ascii="Cambria Math" w:hAnsi="Cambria Math"/>
                      <w:i/>
                      <w:szCs w:val="28"/>
                    </w:rPr>
                  </m:ctrlPr>
                </m:sSubPr>
                <m:e>
                  <m:r>
                    <w:rPr>
                      <w:rFonts w:ascii="Cambria Math" w:hAnsi="Cambria Math"/>
                      <w:szCs w:val="28"/>
                    </w:rPr>
                    <m:t>z1</m:t>
                  </m:r>
                </m:e>
                <m:sub>
                  <m:r>
                    <w:rPr>
                      <w:rFonts w:ascii="Cambria Math" w:hAnsi="Cambria Math"/>
                      <w:szCs w:val="28"/>
                    </w:rPr>
                    <m:t>jt</m:t>
                  </m:r>
                </m:sub>
              </m:sSub>
              <m:r>
                <w:rPr>
                  <w:rFonts w:ascii="Cambria Math" w:hAnsi="Cambria Math"/>
                  <w:szCs w:val="28"/>
                </w:rPr>
                <m:t>+⋯+</m:t>
              </m:r>
              <m:sSub>
                <m:sSubPr>
                  <m:ctrlPr>
                    <w:rPr>
                      <w:rFonts w:ascii="Cambria Math" w:hAnsi="Cambria Math"/>
                      <w:i/>
                      <w:szCs w:val="28"/>
                    </w:rPr>
                  </m:ctrlPr>
                </m:sSubPr>
                <m:e>
                  <m:r>
                    <w:rPr>
                      <w:rFonts w:ascii="Cambria Math" w:hAnsi="Cambria Math"/>
                      <w:szCs w:val="28"/>
                    </w:rPr>
                    <m:t>δ</m:t>
                  </m:r>
                </m:e>
                <m:sub>
                  <m:r>
                    <w:rPr>
                      <w:rFonts w:ascii="Cambria Math" w:hAnsi="Cambria Math"/>
                      <w:szCs w:val="28"/>
                    </w:rPr>
                    <m:t>5</m:t>
                  </m:r>
                </m:sub>
              </m:sSub>
              <m:r>
                <w:rPr>
                  <w:rFonts w:ascii="Cambria Math" w:hAnsi="Cambria Math"/>
                  <w:szCs w:val="28"/>
                </w:rPr>
                <m:t xml:space="preserve"> </m:t>
              </m:r>
              <m:sSub>
                <m:sSubPr>
                  <m:ctrlPr>
                    <w:rPr>
                      <w:rFonts w:ascii="Cambria Math" w:hAnsi="Cambria Math"/>
                      <w:i/>
                      <w:szCs w:val="28"/>
                    </w:rPr>
                  </m:ctrlPr>
                </m:sSubPr>
                <m:e>
                  <m:r>
                    <w:rPr>
                      <w:rFonts w:ascii="Cambria Math" w:hAnsi="Cambria Math"/>
                      <w:szCs w:val="28"/>
                    </w:rPr>
                    <m:t>z5</m:t>
                  </m:r>
                </m:e>
                <m:sub>
                  <m:r>
                    <w:rPr>
                      <w:rFonts w:ascii="Cambria Math" w:hAnsi="Cambria Math"/>
                      <w:szCs w:val="28"/>
                    </w:rPr>
                    <m:t>jt</m:t>
                  </m:r>
                </m:sub>
              </m:sSub>
            </m:e>
          </m:d>
        </m:oMath>
      </m:oMathPara>
    </w:p>
    <w:p w:rsidR="005F1087" w:rsidRPr="005F1087" w:rsidRDefault="005F1087" w:rsidP="005F1087">
      <w:r w:rsidRPr="005F1087">
        <w:t xml:space="preserve">Donde:   </w:t>
      </w:r>
    </w:p>
    <w:p w:rsidR="005F1087" w:rsidRPr="005F1087" w:rsidRDefault="005F1087" w:rsidP="005F1087">
      <w:pPr>
        <w:ind w:left="1134" w:hanging="1134"/>
        <w:rPr>
          <w:rFonts w:ascii="Courier New" w:hAnsi="Courier New" w:cs="Courier New"/>
          <w:sz w:val="20"/>
          <w:szCs w:val="20"/>
        </w:rPr>
      </w:pPr>
      <w:r w:rsidRPr="005F1087">
        <w:rPr>
          <w:i/>
        </w:rPr>
        <w:t>T</w:t>
      </w:r>
      <w:r w:rsidRPr="005F1087">
        <w:rPr>
          <w:i/>
          <w:vertAlign w:val="subscript"/>
        </w:rPr>
        <w:t>j</w:t>
      </w:r>
      <w:r w:rsidRPr="005F1087">
        <w:t xml:space="preserve"> :</w:t>
      </w:r>
      <w:r w:rsidRPr="005F1087">
        <w:tab/>
        <w:t xml:space="preserve">Número de observaciones para el OR </w:t>
      </w:r>
      <w:r w:rsidRPr="005F1087">
        <w:rPr>
          <w:i/>
        </w:rPr>
        <w:t>j</w:t>
      </w:r>
      <w:r w:rsidRPr="005F1087">
        <w:t xml:space="preserve"> </w:t>
      </w:r>
    </w:p>
    <w:p w:rsidR="005F1087" w:rsidRPr="005F1087" w:rsidRDefault="005F1087" w:rsidP="005F1087">
      <w:pPr>
        <w:ind w:left="1134" w:hanging="1134"/>
      </w:pPr>
      <m:oMath>
        <m:r>
          <m:rPr>
            <m:sty m:val="p"/>
          </m:rPr>
          <w:rPr>
            <w:rFonts w:ascii="Cambria Math" w:hAnsi="Cambria Math"/>
            <w:sz w:val="28"/>
          </w:rPr>
          <m:t>Φ</m:t>
        </m:r>
        <m:d>
          <m:dPr>
            <m:ctrlPr>
              <w:rPr>
                <w:rFonts w:ascii="Cambria Math" w:hAnsi="Cambria Math"/>
                <w:i/>
                <w:sz w:val="28"/>
              </w:rPr>
            </m:ctrlPr>
          </m:dPr>
          <m:e>
            <m:r>
              <w:rPr>
                <w:rFonts w:ascii="Cambria Math" w:hAnsi="Cambria Math"/>
                <w:sz w:val="28"/>
              </w:rPr>
              <m:t>x</m:t>
            </m:r>
          </m:e>
        </m:d>
      </m:oMath>
      <w:r w:rsidRPr="005F1087">
        <w:t>:</w:t>
      </w:r>
      <w:r w:rsidRPr="005F1087">
        <w:tab/>
        <w:t xml:space="preserve">Valor de la función de distribución normal (0,1) evaluada en </w:t>
      </w:r>
      <w:r w:rsidRPr="005F1087">
        <w:rPr>
          <w:i/>
        </w:rPr>
        <w:t>x</w:t>
      </w:r>
      <w:r w:rsidRPr="005F1087">
        <w:t>.</w:t>
      </w:r>
    </w:p>
    <w:p w:rsidR="005F1087" w:rsidRPr="005F1087" w:rsidRDefault="005F1087" w:rsidP="005F1087">
      <w:r w:rsidRPr="005F1087">
        <w:t>Los valores de las demás variables corresponden a los mostrados en el numeral anterior.</w:t>
      </w:r>
    </w:p>
    <w:p w:rsidR="005F1087" w:rsidRPr="005F1087" w:rsidRDefault="005F1087" w:rsidP="005F1087">
      <w:pPr>
        <w:pStyle w:val="Ttulo4"/>
        <w:ind w:left="864" w:hanging="864"/>
      </w:pPr>
      <w:r w:rsidRPr="005F1087">
        <w:t xml:space="preserve">Límite del nivel de confianza </w:t>
      </w:r>
    </w:p>
    <w:p w:rsidR="005F1087" w:rsidRPr="005F1087" w:rsidRDefault="005F1087" w:rsidP="005F1087">
      <w:r w:rsidRPr="005F1087">
        <w:t xml:space="preserve">El límite superior para un intervalo de confianza del 90%, que corresponde al factor de eficiencia </w:t>
      </w:r>
      <w:r w:rsidRPr="005F1087">
        <w:rPr>
          <w:i/>
        </w:rPr>
        <w:t>fe</w:t>
      </w:r>
      <w:r w:rsidRPr="005F1087">
        <w:rPr>
          <w:i/>
          <w:vertAlign w:val="subscript"/>
        </w:rPr>
        <w:t>j</w:t>
      </w:r>
      <w:r w:rsidRPr="005F1087">
        <w:t>, se calcula con las siguientes fórmulas:</w:t>
      </w:r>
    </w:p>
    <w:p w:rsidR="005F1087" w:rsidRPr="005F1087" w:rsidRDefault="00C9592F" w:rsidP="005F1087">
      <m:oMathPara>
        <m:oMath>
          <m:sSub>
            <m:sSubPr>
              <m:ctrlPr>
                <w:rPr>
                  <w:rFonts w:ascii="Cambria Math" w:hAnsi="Cambria Math"/>
                  <w:i/>
                  <w:sz w:val="28"/>
                </w:rPr>
              </m:ctrlPr>
            </m:sSubPr>
            <m:e>
              <m:r>
                <w:rPr>
                  <w:rFonts w:ascii="Cambria Math" w:hAnsi="Cambria Math"/>
                  <w:sz w:val="28"/>
                </w:rPr>
                <m:t>fe</m:t>
              </m:r>
            </m:e>
            <m:sub>
              <m:r>
                <w:rPr>
                  <w:rFonts w:ascii="Cambria Math" w:hAnsi="Cambria Math"/>
                  <w:sz w:val="28"/>
                </w:rPr>
                <m:t>j</m:t>
              </m:r>
            </m:sub>
          </m:sSub>
          <m:r>
            <w:rPr>
              <w:rFonts w:ascii="Cambria Math" w:hAnsi="Cambria Math"/>
              <w:sz w:val="28"/>
            </w:rPr>
            <m:t>=</m:t>
          </m:r>
          <m:sSup>
            <m:sSupPr>
              <m:ctrlPr>
                <w:rPr>
                  <w:rFonts w:ascii="Cambria Math" w:hAnsi="Cambria Math"/>
                  <w:i/>
                  <w:sz w:val="28"/>
                </w:rPr>
              </m:ctrlPr>
            </m:sSupPr>
            <m:e>
              <m:r>
                <w:rPr>
                  <w:rFonts w:ascii="Cambria Math" w:hAnsi="Cambria Math"/>
                  <w:sz w:val="28"/>
                </w:rPr>
                <m:t>e</m:t>
              </m:r>
            </m:e>
            <m:sup>
              <m:d>
                <m:dPr>
                  <m:ctrlPr>
                    <w:rPr>
                      <w:rFonts w:ascii="Cambria Math" w:hAnsi="Cambria Math"/>
                      <w:i/>
                      <w:sz w:val="28"/>
                    </w:rPr>
                  </m:ctrlPr>
                </m:dPr>
                <m:e>
                  <m:r>
                    <w:rPr>
                      <w:rFonts w:ascii="Cambria Math" w:hAnsi="Cambria Math"/>
                      <w:sz w:val="28"/>
                    </w:rPr>
                    <m:t>-</m:t>
                  </m:r>
                  <m:sSubSup>
                    <m:sSubSupPr>
                      <m:ctrlPr>
                        <w:rPr>
                          <w:rFonts w:ascii="Cambria Math" w:hAnsi="Cambria Math"/>
                          <w:i/>
                          <w:sz w:val="28"/>
                        </w:rPr>
                      </m:ctrlPr>
                    </m:sSubSupPr>
                    <m:e>
                      <m:r>
                        <w:rPr>
                          <w:rFonts w:ascii="Cambria Math" w:hAnsi="Cambria Math"/>
                          <w:sz w:val="28"/>
                        </w:rPr>
                        <m:t>μ</m:t>
                      </m:r>
                    </m:e>
                    <m:sub>
                      <m:r>
                        <w:rPr>
                          <w:rFonts w:ascii="Cambria Math" w:hAnsi="Cambria Math"/>
                          <w:sz w:val="28"/>
                        </w:rPr>
                        <m:t>j</m:t>
                      </m:r>
                    </m:sub>
                    <m:sup>
                      <m:r>
                        <w:rPr>
                          <w:rFonts w:ascii="Cambria Math" w:hAnsi="Cambria Math"/>
                          <w:sz w:val="28"/>
                        </w:rPr>
                        <m:t>*</m:t>
                      </m:r>
                    </m:sup>
                  </m:sSubSup>
                  <m:r>
                    <w:rPr>
                      <w:rFonts w:ascii="Cambria Math" w:hAnsi="Cambria Math"/>
                      <w:sz w:val="28"/>
                    </w:rPr>
                    <m:t>-</m:t>
                  </m:r>
                  <m:sSubSup>
                    <m:sSubSupPr>
                      <m:ctrlPr>
                        <w:rPr>
                          <w:rFonts w:ascii="Cambria Math" w:hAnsi="Cambria Math"/>
                          <w:i/>
                          <w:sz w:val="28"/>
                        </w:rPr>
                      </m:ctrlPr>
                    </m:sSubSupPr>
                    <m:e>
                      <m:sSub>
                        <m:sSubPr>
                          <m:ctrlPr>
                            <w:rPr>
                              <w:rFonts w:ascii="Cambria Math" w:hAnsi="Cambria Math"/>
                              <w:i/>
                              <w:sz w:val="28"/>
                            </w:rPr>
                          </m:ctrlPr>
                        </m:sSubPr>
                        <m:e>
                          <m:r>
                            <w:rPr>
                              <w:rFonts w:ascii="Cambria Math" w:hAnsi="Cambria Math"/>
                              <w:sz w:val="28"/>
                            </w:rPr>
                            <m:t>Z</m:t>
                          </m:r>
                        </m:e>
                        <m:sub>
                          <m:r>
                            <w:rPr>
                              <w:rFonts w:ascii="Cambria Math" w:hAnsi="Cambria Math"/>
                              <w:sz w:val="28"/>
                            </w:rPr>
                            <m:t>Uj</m:t>
                          </m:r>
                        </m:sub>
                      </m:sSub>
                      <m:r>
                        <w:rPr>
                          <w:rFonts w:ascii="Cambria Math" w:hAnsi="Cambria Math"/>
                          <w:sz w:val="28"/>
                        </w:rPr>
                        <m:t>σ</m:t>
                      </m:r>
                    </m:e>
                    <m:sub>
                      <m:r>
                        <w:rPr>
                          <w:rFonts w:ascii="Cambria Math" w:hAnsi="Cambria Math"/>
                          <w:sz w:val="28"/>
                        </w:rPr>
                        <m:t>j</m:t>
                      </m:r>
                    </m:sub>
                    <m:sup>
                      <m:r>
                        <w:rPr>
                          <w:rFonts w:ascii="Cambria Math" w:hAnsi="Cambria Math"/>
                          <w:sz w:val="28"/>
                        </w:rPr>
                        <m:t>*</m:t>
                      </m:r>
                    </m:sup>
                  </m:sSubSup>
                </m:e>
              </m:d>
            </m:sup>
          </m:sSup>
        </m:oMath>
      </m:oMathPara>
    </w:p>
    <w:p w:rsidR="005F1087" w:rsidRPr="005F1087" w:rsidRDefault="00C9592F" w:rsidP="005F1087">
      <m:oMathPara>
        <m:oMath>
          <m:sSub>
            <m:sSubPr>
              <m:ctrlPr>
                <w:rPr>
                  <w:rFonts w:ascii="Cambria Math" w:hAnsi="Cambria Math"/>
                  <w:i/>
                </w:rPr>
              </m:ctrlPr>
            </m:sSubPr>
            <m:e>
              <m:r>
                <w:rPr>
                  <w:rFonts w:ascii="Cambria Math" w:hAnsi="Cambria Math"/>
                </w:rPr>
                <m:t>Z</m:t>
              </m:r>
            </m:e>
            <m:sub>
              <m:r>
                <w:rPr>
                  <w:rFonts w:ascii="Cambria Math" w:hAnsi="Cambria Math"/>
                </w:rPr>
                <m:t>Uj</m:t>
              </m:r>
            </m:sub>
          </m:sSub>
          <m:r>
            <w:rPr>
              <w:rFonts w:ascii="Cambria Math" w:hAnsi="Cambria Math"/>
            </w:rPr>
            <m:t>=</m:t>
          </m:r>
          <m:sSup>
            <m:sSupPr>
              <m:ctrlPr>
                <w:rPr>
                  <w:rFonts w:ascii="Cambria Math" w:hAnsi="Cambria Math"/>
                </w:rPr>
              </m:ctrlPr>
            </m:sSupPr>
            <m:e>
              <m:r>
                <m:rPr>
                  <m:sty m:val="p"/>
                </m:rPr>
                <w:rPr>
                  <w:rFonts w:ascii="Cambria Math" w:hAnsi="Cambria Math"/>
                </w:rPr>
                <m:t>Φ</m:t>
              </m:r>
            </m:e>
            <m:sup>
              <m:r>
                <w:rPr>
                  <w:rFonts w:ascii="Cambria Math" w:hAnsi="Cambria Math"/>
                </w:rPr>
                <m:t>-1</m:t>
              </m:r>
            </m:sup>
          </m:sSup>
          <m:d>
            <m:dPr>
              <m:begChr m:val="["/>
              <m:endChr m:val="]"/>
              <m:ctrlPr>
                <w:rPr>
                  <w:rFonts w:ascii="Cambria Math" w:hAnsi="Cambria Math"/>
                  <w:i/>
                </w:rPr>
              </m:ctrlPr>
            </m:dPr>
            <m:e>
              <m:r>
                <w:rPr>
                  <w:rFonts w:ascii="Cambria Math" w:hAnsi="Cambria Math"/>
                </w:rPr>
                <m:t>1-</m:t>
              </m:r>
              <m:d>
                <m:dPr>
                  <m:ctrlPr>
                    <w:rPr>
                      <w:rFonts w:ascii="Cambria Math" w:hAnsi="Cambria Math"/>
                      <w:i/>
                    </w:rPr>
                  </m:ctrlPr>
                </m:dPr>
                <m:e>
                  <m:r>
                    <w:rPr>
                      <w:rFonts w:ascii="Cambria Math" w:hAnsi="Cambria Math"/>
                    </w:rPr>
                    <m:t>1-</m:t>
                  </m:r>
                  <m:f>
                    <m:fPr>
                      <m:type m:val="skw"/>
                      <m:ctrlPr>
                        <w:rPr>
                          <w:rFonts w:ascii="Cambria Math" w:hAnsi="Cambria Math"/>
                          <w:i/>
                        </w:rPr>
                      </m:ctrlPr>
                    </m:fPr>
                    <m:num>
                      <m:r>
                        <w:rPr>
                          <w:rFonts w:ascii="Cambria Math" w:hAnsi="Cambria Math"/>
                        </w:rPr>
                        <m:t>α</m:t>
                      </m:r>
                    </m:num>
                    <m:den>
                      <m:r>
                        <w:rPr>
                          <w:rFonts w:ascii="Cambria Math" w:hAnsi="Cambria Math"/>
                        </w:rPr>
                        <m:t>2</m:t>
                      </m:r>
                    </m:den>
                  </m:f>
                </m:e>
              </m:d>
              <m:d>
                <m:dPr>
                  <m:ctrlPr>
                    <w:rPr>
                      <w:rFonts w:ascii="Cambria Math" w:hAnsi="Cambria Math"/>
                      <w:i/>
                    </w:rPr>
                  </m:ctrlPr>
                </m:dPr>
                <m:e>
                  <m:r>
                    <w:rPr>
                      <w:rFonts w:ascii="Cambria Math" w:hAnsi="Cambria Math"/>
                    </w:rPr>
                    <m:t>1-</m:t>
                  </m:r>
                  <m:r>
                    <m:rPr>
                      <m:sty m:val="p"/>
                    </m:rPr>
                    <w:rPr>
                      <w:rFonts w:ascii="Cambria Math" w:hAnsi="Cambria Math"/>
                    </w:rPr>
                    <m:t>Φ</m:t>
                  </m:r>
                  <m:d>
                    <m:dPr>
                      <m:ctrlPr>
                        <w:rPr>
                          <w:rFonts w:ascii="Cambria Math" w:hAnsi="Cambria Math"/>
                          <w:i/>
                        </w:rPr>
                      </m:ctrlPr>
                    </m:dPr>
                    <m:e>
                      <m:r>
                        <w:rPr>
                          <w:rFonts w:ascii="Cambria Math" w:hAnsi="Cambria Math"/>
                        </w:rPr>
                        <m:t>-</m:t>
                      </m:r>
                      <m:f>
                        <m:fPr>
                          <m:type m:val="skw"/>
                          <m:ctrlPr>
                            <w:rPr>
                              <w:rFonts w:ascii="Cambria Math" w:hAnsi="Cambria Math"/>
                              <w:i/>
                            </w:rPr>
                          </m:ctrlPr>
                        </m:fPr>
                        <m:num>
                          <m:sSubSup>
                            <m:sSubSupPr>
                              <m:ctrlPr>
                                <w:rPr>
                                  <w:rFonts w:ascii="Cambria Math" w:hAnsi="Cambria Math"/>
                                  <w:i/>
                                </w:rPr>
                              </m:ctrlPr>
                            </m:sSubSupPr>
                            <m:e>
                              <m:r>
                                <w:rPr>
                                  <w:rFonts w:ascii="Cambria Math" w:hAnsi="Cambria Math"/>
                                </w:rPr>
                                <m:t>μ</m:t>
                              </m:r>
                            </m:e>
                            <m:sub>
                              <m:r>
                                <w:rPr>
                                  <w:rFonts w:ascii="Cambria Math" w:hAnsi="Cambria Math"/>
                                </w:rPr>
                                <m:t>j</m:t>
                              </m:r>
                            </m:sub>
                            <m:sup>
                              <m:r>
                                <w:rPr>
                                  <w:rFonts w:ascii="Cambria Math" w:hAnsi="Cambria Math"/>
                                </w:rPr>
                                <m:t>*</m:t>
                              </m:r>
                            </m:sup>
                          </m:sSubSup>
                        </m:num>
                        <m:den>
                          <m:sSubSup>
                            <m:sSubSupPr>
                              <m:ctrlPr>
                                <w:rPr>
                                  <w:rFonts w:ascii="Cambria Math" w:hAnsi="Cambria Math"/>
                                  <w:i/>
                                </w:rPr>
                              </m:ctrlPr>
                            </m:sSubSupPr>
                            <m:e>
                              <m:r>
                                <w:rPr>
                                  <w:rFonts w:ascii="Cambria Math" w:hAnsi="Cambria Math"/>
                                </w:rPr>
                                <m:t>σ</m:t>
                              </m:r>
                            </m:e>
                            <m:sub>
                              <m:r>
                                <w:rPr>
                                  <w:rFonts w:ascii="Cambria Math" w:hAnsi="Cambria Math"/>
                                </w:rPr>
                                <m:t>j</m:t>
                              </m:r>
                            </m:sub>
                            <m:sup>
                              <m:r>
                                <w:rPr>
                                  <w:rFonts w:ascii="Cambria Math" w:hAnsi="Cambria Math"/>
                                </w:rPr>
                                <m:t>*</m:t>
                              </m:r>
                            </m:sup>
                          </m:sSubSup>
                        </m:den>
                      </m:f>
                    </m:e>
                  </m:d>
                </m:e>
              </m:d>
            </m:e>
          </m:d>
        </m:oMath>
      </m:oMathPara>
    </w:p>
    <w:p w:rsidR="005F1087" w:rsidRPr="005F1087" w:rsidRDefault="005F1087" w:rsidP="005F1087">
      <w:r w:rsidRPr="005F1087">
        <w:t xml:space="preserve">Donde:   </w:t>
      </w:r>
    </w:p>
    <w:p w:rsidR="005F1087" w:rsidRPr="005F1087" w:rsidRDefault="005F1087" w:rsidP="005F1087">
      <w:pPr>
        <w:ind w:left="1276" w:hanging="1276"/>
        <w:rPr>
          <w:rFonts w:ascii="Courier New" w:hAnsi="Courier New" w:cs="Courier New"/>
          <w:sz w:val="20"/>
          <w:szCs w:val="20"/>
        </w:rPr>
      </w:pPr>
      <m:oMath>
        <m:r>
          <w:rPr>
            <w:rFonts w:ascii="Cambria Math" w:hAnsi="Cambria Math"/>
          </w:rPr>
          <m:t>α</m:t>
        </m:r>
      </m:oMath>
      <w:r w:rsidRPr="005F1087">
        <w:t>:</w:t>
      </w:r>
      <w:r w:rsidRPr="005F1087">
        <w:tab/>
        <w:t xml:space="preserve">Igual a 10% (1 – 90%) </w:t>
      </w:r>
    </w:p>
    <w:p w:rsidR="005F1087" w:rsidRPr="005F1087" w:rsidRDefault="005F1087" w:rsidP="005F1087">
      <w:pPr>
        <w:ind w:left="1276" w:hanging="1276"/>
      </w:pPr>
      <m:oMath>
        <m:r>
          <m:rPr>
            <m:sty m:val="p"/>
          </m:rPr>
          <w:rPr>
            <w:rFonts w:ascii="Cambria Math" w:hAnsi="Cambria Math"/>
            <w:sz w:val="28"/>
          </w:rPr>
          <m:t>Φ</m:t>
        </m:r>
        <m:d>
          <m:dPr>
            <m:ctrlPr>
              <w:rPr>
                <w:rFonts w:ascii="Cambria Math" w:hAnsi="Cambria Math"/>
                <w:i/>
                <w:sz w:val="28"/>
              </w:rPr>
            </m:ctrlPr>
          </m:dPr>
          <m:e>
            <m:r>
              <w:rPr>
                <w:rFonts w:ascii="Cambria Math" w:hAnsi="Cambria Math"/>
                <w:sz w:val="28"/>
              </w:rPr>
              <m:t>x</m:t>
            </m:r>
          </m:e>
        </m:d>
      </m:oMath>
      <w:r w:rsidRPr="005F1087">
        <w:t>:</w:t>
      </w:r>
      <w:r w:rsidRPr="005F1087">
        <w:tab/>
        <w:t xml:space="preserve">Valor de la función de distribución normal (0,1) evaluada en </w:t>
      </w:r>
      <w:r w:rsidRPr="005F1087">
        <w:rPr>
          <w:i/>
        </w:rPr>
        <w:t>x</w:t>
      </w:r>
      <w:r w:rsidRPr="005F1087">
        <w:t>.</w:t>
      </w:r>
    </w:p>
    <w:p w:rsidR="005F1087" w:rsidRPr="005F1087" w:rsidRDefault="00C9592F" w:rsidP="005F1087">
      <w:pPr>
        <w:ind w:left="1276" w:hanging="1276"/>
      </w:pPr>
      <m:oMath>
        <m:sSup>
          <m:sSupPr>
            <m:ctrlPr>
              <w:rPr>
                <w:rFonts w:ascii="Cambria Math" w:hAnsi="Cambria Math"/>
                <w:sz w:val="28"/>
              </w:rPr>
            </m:ctrlPr>
          </m:sSupPr>
          <m:e>
            <m:r>
              <m:rPr>
                <m:sty m:val="p"/>
              </m:rPr>
              <w:rPr>
                <w:rFonts w:ascii="Cambria Math" w:hAnsi="Cambria Math"/>
                <w:sz w:val="28"/>
              </w:rPr>
              <m:t>Φ</m:t>
            </m:r>
          </m:e>
          <m:sup>
            <m:r>
              <w:rPr>
                <w:rFonts w:ascii="Cambria Math" w:hAnsi="Cambria Math"/>
                <w:sz w:val="28"/>
              </w:rPr>
              <m:t>-1</m:t>
            </m:r>
          </m:sup>
        </m:sSup>
        <m:d>
          <m:dPr>
            <m:ctrlPr>
              <w:rPr>
                <w:rFonts w:ascii="Cambria Math" w:hAnsi="Cambria Math"/>
                <w:i/>
                <w:sz w:val="28"/>
              </w:rPr>
            </m:ctrlPr>
          </m:dPr>
          <m:e>
            <m:r>
              <w:rPr>
                <w:rFonts w:ascii="Cambria Math" w:hAnsi="Cambria Math"/>
                <w:sz w:val="28"/>
              </w:rPr>
              <m:t>x</m:t>
            </m:r>
          </m:e>
        </m:d>
      </m:oMath>
      <w:r w:rsidR="005F1087" w:rsidRPr="005F1087">
        <w:t>:</w:t>
      </w:r>
      <w:r w:rsidR="005F1087" w:rsidRPr="005F1087">
        <w:tab/>
        <w:t xml:space="preserve">Valor del inverso de la función de distribución normal (0,1) evaluada en </w:t>
      </w:r>
      <w:r w:rsidR="005F1087" w:rsidRPr="005F1087">
        <w:rPr>
          <w:i/>
        </w:rPr>
        <w:t>x</w:t>
      </w:r>
      <w:r w:rsidR="005F1087" w:rsidRPr="005F1087">
        <w:t>.</w:t>
      </w:r>
    </w:p>
    <w:p w:rsidR="005F1087" w:rsidRPr="005F1087" w:rsidRDefault="005F1087" w:rsidP="005F1087">
      <w:pPr>
        <w:pStyle w:val="Ttulo3"/>
        <w:ind w:left="716"/>
      </w:pPr>
      <w:bookmarkStart w:id="258" w:name="_Ref465935227"/>
      <w:bookmarkStart w:id="259" w:name="_Toc476824141"/>
      <w:bookmarkStart w:id="260" w:name="_Toc505335921"/>
      <w:r w:rsidRPr="005F1087">
        <w:t>AOM demostrado</w:t>
      </w:r>
      <w:bookmarkEnd w:id="249"/>
      <w:bookmarkEnd w:id="250"/>
      <w:bookmarkEnd w:id="251"/>
      <w:bookmarkEnd w:id="252"/>
      <w:bookmarkEnd w:id="253"/>
      <w:bookmarkEnd w:id="254"/>
      <w:bookmarkEnd w:id="255"/>
      <w:bookmarkEnd w:id="256"/>
      <w:bookmarkEnd w:id="258"/>
      <w:bookmarkEnd w:id="259"/>
      <w:bookmarkEnd w:id="260"/>
    </w:p>
    <w:p w:rsidR="005F1087" w:rsidRPr="005F1087" w:rsidRDefault="005F1087" w:rsidP="005F1087">
      <w:pPr>
        <w:rPr>
          <w:lang w:val="es-MX"/>
        </w:rPr>
      </w:pPr>
      <w:r w:rsidRPr="005F1087">
        <w:t xml:space="preserve">Para calcular el valor de AOM demostrado, </w:t>
      </w:r>
      <w:r w:rsidRPr="005F1087">
        <w:rPr>
          <w:i/>
        </w:rPr>
        <w:t>AOMD</w:t>
      </w:r>
      <w:r w:rsidRPr="005F1087">
        <w:rPr>
          <w:i/>
          <w:vertAlign w:val="subscript"/>
        </w:rPr>
        <w:t>j,12-16</w:t>
      </w:r>
      <w:r w:rsidRPr="005F1087">
        <w:t>, de cada OR se obtiene:</w:t>
      </w:r>
    </w:p>
    <w:p w:rsidR="005F1087" w:rsidRPr="005F1087" w:rsidRDefault="005F1087" w:rsidP="009C086B">
      <w:pPr>
        <w:pStyle w:val="Prrafodelista"/>
        <w:numPr>
          <w:ilvl w:val="0"/>
          <w:numId w:val="25"/>
        </w:numPr>
        <w:rPr>
          <w:lang w:val="es-MX"/>
        </w:rPr>
      </w:pPr>
      <w:r w:rsidRPr="005F1087">
        <w:rPr>
          <w:lang w:val="es-MX"/>
        </w:rPr>
        <w:t>El valor de AOM demostrado para cada año desde 2012 a 2016, calculado conforme a lo establecido en la Resolución CREG 097 de 2008, actualizado con la variación del IPP desde diciembre del respectivo año hasta diciembre de 2016.</w:t>
      </w:r>
    </w:p>
    <w:p w:rsidR="005F1087" w:rsidRPr="005F1087" w:rsidRDefault="005F1087" w:rsidP="009C086B">
      <w:pPr>
        <w:pStyle w:val="Prrafodelista"/>
        <w:numPr>
          <w:ilvl w:val="0"/>
          <w:numId w:val="25"/>
        </w:numPr>
        <w:rPr>
          <w:lang w:val="es-MX"/>
        </w:rPr>
      </w:pPr>
      <w:r w:rsidRPr="005F1087">
        <w:rPr>
          <w:lang w:val="es-MX"/>
        </w:rPr>
        <w:t xml:space="preserve">A partir de los valores actualizados se obtiene un promedio aritmético de ellos que corresponderá al </w:t>
      </w:r>
      <w:r w:rsidRPr="005F1087">
        <w:t xml:space="preserve">AOM demostrado, </w:t>
      </w:r>
      <w:r w:rsidRPr="005F1087">
        <w:rPr>
          <w:i/>
        </w:rPr>
        <w:t>AOMD</w:t>
      </w:r>
      <w:r w:rsidRPr="005F1087">
        <w:rPr>
          <w:i/>
          <w:vertAlign w:val="subscript"/>
        </w:rPr>
        <w:t>j,12-16</w:t>
      </w:r>
      <w:r w:rsidRPr="005F1087">
        <w:t>.</w:t>
      </w:r>
    </w:p>
    <w:p w:rsidR="005F1087" w:rsidRPr="005F1087" w:rsidRDefault="005F1087" w:rsidP="005F1087">
      <w:pPr>
        <w:pStyle w:val="Ttulo3"/>
        <w:ind w:left="716"/>
      </w:pPr>
      <w:bookmarkStart w:id="261" w:name="_Ref403571324"/>
      <w:bookmarkStart w:id="262" w:name="_Toc408493147"/>
      <w:bookmarkStart w:id="263" w:name="_Toc443655683"/>
      <w:bookmarkStart w:id="264" w:name="_Toc476824142"/>
      <w:bookmarkStart w:id="265" w:name="_Toc505335922"/>
      <w:r w:rsidRPr="005F1087">
        <w:t>AOM remunerado</w:t>
      </w:r>
      <w:bookmarkEnd w:id="261"/>
      <w:bookmarkEnd w:id="262"/>
      <w:bookmarkEnd w:id="263"/>
      <w:bookmarkEnd w:id="264"/>
      <w:bookmarkEnd w:id="265"/>
    </w:p>
    <w:p w:rsidR="005F1087" w:rsidRPr="005F1087" w:rsidRDefault="005F1087" w:rsidP="005F1087">
      <w:pPr>
        <w:rPr>
          <w:lang w:val="es-MX"/>
        </w:rPr>
      </w:pPr>
      <w:r w:rsidRPr="005F1087">
        <w:t xml:space="preserve">El valor de AOM remunerado, </w:t>
      </w:r>
      <w:r w:rsidRPr="005F1087">
        <w:rPr>
          <w:i/>
        </w:rPr>
        <w:t>AOMR</w:t>
      </w:r>
      <w:r w:rsidRPr="005F1087">
        <w:rPr>
          <w:i/>
          <w:vertAlign w:val="subscript"/>
        </w:rPr>
        <w:t>j,12-16</w:t>
      </w:r>
      <w:r w:rsidRPr="005F1087">
        <w:t>, de cada OR se calcula con la siguiente información:</w:t>
      </w:r>
    </w:p>
    <w:p w:rsidR="005F1087" w:rsidRPr="005F1087" w:rsidRDefault="005F1087" w:rsidP="009C086B">
      <w:pPr>
        <w:pStyle w:val="Prrafodelista"/>
        <w:numPr>
          <w:ilvl w:val="0"/>
          <w:numId w:val="26"/>
        </w:numPr>
        <w:spacing w:before="160" w:after="160"/>
        <w:rPr>
          <w:lang w:val="es-MX"/>
        </w:rPr>
      </w:pPr>
      <w:r w:rsidRPr="005F1087">
        <w:rPr>
          <w:lang w:val="es-MX"/>
        </w:rPr>
        <w:t>El porcentaje de AOM a reconocer para cada uno de los años desde 2013 a 2017, calculado conforme a lo establecido en la Resolución CREG 097 de 2008. El OR deberá anexar en su solicitud la evidencia de que este porcentaje fue comunicado a la Superintendencia de Servicios Públicos Domiciliarios y a los comercializadores que atienden usuarios en su mercado de comercialización, con la oportunidad establecida en la regulación. Con la presentación de la solicitud de actualización de cargos se entiende que el OR declara que los porcentajes de AOM a reconocer, entregados junto con la solicitud, fueron los porcentajes efectivamente incluidos en el cálculo de las tarifas.</w:t>
      </w:r>
    </w:p>
    <w:p w:rsidR="005F1087" w:rsidRPr="005F1087" w:rsidRDefault="005F1087" w:rsidP="005F1087">
      <w:pPr>
        <w:pStyle w:val="Prrafodelista"/>
        <w:spacing w:before="160" w:after="160"/>
        <w:ind w:left="360"/>
        <w:rPr>
          <w:lang w:val="es-MX"/>
        </w:rPr>
      </w:pPr>
      <w:r w:rsidRPr="005F1087">
        <w:rPr>
          <w:lang w:val="es-MX"/>
        </w:rPr>
        <w:t>Si hubo más de un porcentaje de AOM a reconocer entre una y otra actualización anual de AOM, se tomará el promedio de ellos. Sin embargo, si el cambio, diferente al de la actualización establecida en la regulación vigente, se originó por una corrección detectada por el OR o por la Superintendencia de Servicios Públicos Domiciliarios, SSPD, se tomará el mínimo porcentaje utilizado en ese año.</w:t>
      </w:r>
    </w:p>
    <w:p w:rsidR="005F1087" w:rsidRPr="005F1087" w:rsidRDefault="005F1087" w:rsidP="009C086B">
      <w:pPr>
        <w:pStyle w:val="Prrafodelista"/>
        <w:numPr>
          <w:ilvl w:val="0"/>
          <w:numId w:val="26"/>
        </w:numPr>
        <w:spacing w:before="160" w:after="160"/>
        <w:rPr>
          <w:lang w:val="es-MX"/>
        </w:rPr>
      </w:pPr>
      <w:r w:rsidRPr="005F1087">
        <w:rPr>
          <w:lang w:val="es-MX"/>
        </w:rPr>
        <w:t xml:space="preserve">La suma de los valores </w:t>
      </w:r>
      <w:r w:rsidRPr="005F1087">
        <w:rPr>
          <w:i/>
          <w:lang w:val="es-MX"/>
        </w:rPr>
        <w:t>CRI</w:t>
      </w:r>
      <w:r w:rsidRPr="005F1087">
        <w:rPr>
          <w:i/>
          <w:vertAlign w:val="subscript"/>
          <w:lang w:val="es-MX"/>
        </w:rPr>
        <w:t>j,n</w:t>
      </w:r>
      <w:r w:rsidRPr="005F1087">
        <w:rPr>
          <w:lang w:val="es-MX"/>
        </w:rPr>
        <w:t>, aprobados a cada OR, utilizados para calcular el porcentaje de AOM demostrado para cada uno de los años desde 2012 a 2016, actualizada con la variación del IPP hasta diciembre del año para el que se calcula el AOM demostrado.</w:t>
      </w:r>
    </w:p>
    <w:p w:rsidR="005F1087" w:rsidRPr="005F1087" w:rsidRDefault="005F1087" w:rsidP="009C086B">
      <w:pPr>
        <w:pStyle w:val="Prrafodelista"/>
        <w:numPr>
          <w:ilvl w:val="0"/>
          <w:numId w:val="26"/>
        </w:numPr>
        <w:spacing w:before="160" w:after="160"/>
        <w:rPr>
          <w:lang w:val="es-MX"/>
        </w:rPr>
      </w:pPr>
      <w:r w:rsidRPr="005F1087">
        <w:rPr>
          <w:lang w:val="es-MX"/>
        </w:rPr>
        <w:t xml:space="preserve">Para el año 2012 se calcula el AOM remunerado multiplicando el porcentaje de AOM a reconocer, calculado para el año 2013, por la suma de los valores </w:t>
      </w:r>
      <w:r w:rsidRPr="005F1087">
        <w:rPr>
          <w:i/>
          <w:lang w:val="es-MX"/>
        </w:rPr>
        <w:lastRenderedPageBreak/>
        <w:t>CRI</w:t>
      </w:r>
      <w:r w:rsidRPr="005F1087">
        <w:rPr>
          <w:i/>
          <w:vertAlign w:val="subscript"/>
          <w:lang w:val="es-MX"/>
        </w:rPr>
        <w:t>j,n</w:t>
      </w:r>
      <w:r w:rsidRPr="005F1087">
        <w:rPr>
          <w:lang w:val="es-MX"/>
        </w:rPr>
        <w:t>, calculada para el año 2012 como se señala en el literal b. de este aparte. En forma análoga, para los años de 2013 a 2016 se calcula el AOM remunerado correspondiente.</w:t>
      </w:r>
    </w:p>
    <w:p w:rsidR="005F1087" w:rsidRPr="005F1087" w:rsidRDefault="005F1087" w:rsidP="009C086B">
      <w:pPr>
        <w:pStyle w:val="Prrafodelista"/>
        <w:numPr>
          <w:ilvl w:val="0"/>
          <w:numId w:val="26"/>
        </w:numPr>
        <w:spacing w:before="160" w:after="160"/>
        <w:rPr>
          <w:lang w:val="es-MX"/>
        </w:rPr>
      </w:pPr>
      <w:r w:rsidRPr="005F1087">
        <w:rPr>
          <w:lang w:val="es-MX"/>
        </w:rPr>
        <w:t xml:space="preserve">Los valores remunerados, calculados en el literal anterior, se actualizan con la variación del IPP desde diciembre del respectivo año hasta diciembre de 2016. El promedio aritmético de estos valores actualizados corresponde al </w:t>
      </w:r>
      <w:r w:rsidRPr="005F1087">
        <w:t xml:space="preserve">AOM remunerado, </w:t>
      </w:r>
      <w:r w:rsidRPr="005F1087">
        <w:rPr>
          <w:i/>
        </w:rPr>
        <w:t>AOMR</w:t>
      </w:r>
      <w:r w:rsidRPr="005F1087">
        <w:rPr>
          <w:i/>
          <w:vertAlign w:val="subscript"/>
        </w:rPr>
        <w:t>j,12-16</w:t>
      </w:r>
      <w:r w:rsidRPr="005F1087">
        <w:t>.</w:t>
      </w:r>
    </w:p>
    <w:p w:rsidR="005F1087" w:rsidRPr="005F1087" w:rsidRDefault="005F1087" w:rsidP="005F1087">
      <w:pPr>
        <w:pStyle w:val="Ttulo3"/>
        <w:rPr>
          <w:szCs w:val="24"/>
        </w:rPr>
      </w:pPr>
      <w:bookmarkStart w:id="266" w:name="_Ref460521511"/>
      <w:bookmarkStart w:id="267" w:name="_Toc476824143"/>
      <w:bookmarkStart w:id="268" w:name="_Toc505335923"/>
      <w:r w:rsidRPr="005F1087">
        <w:rPr>
          <w:szCs w:val="24"/>
        </w:rPr>
        <w:t>Valor de AOM</w:t>
      </w:r>
      <w:bookmarkEnd w:id="266"/>
      <w:bookmarkEnd w:id="267"/>
      <w:r w:rsidRPr="005F1087">
        <w:rPr>
          <w:szCs w:val="24"/>
        </w:rPr>
        <w:t xml:space="preserve"> por condiciones ambientales</w:t>
      </w:r>
      <w:bookmarkEnd w:id="268"/>
    </w:p>
    <w:p w:rsidR="005F1087" w:rsidRPr="005F1087" w:rsidRDefault="005F1087" w:rsidP="005F1087">
      <w:pPr>
        <w:rPr>
          <w:lang w:val="es-MX"/>
        </w:rPr>
      </w:pPr>
      <w:bookmarkStart w:id="269" w:name="_Toc408385043"/>
      <w:bookmarkStart w:id="270" w:name="_Toc408493149"/>
      <w:bookmarkStart w:id="271" w:name="_Toc443655684"/>
      <w:r w:rsidRPr="005F1087">
        <w:t xml:space="preserve">El valor adicional de AOM por condiciones ambientales del OR </w:t>
      </w:r>
      <w:r w:rsidRPr="005F1087">
        <w:rPr>
          <w:i/>
        </w:rPr>
        <w:t>j</w:t>
      </w:r>
      <w:r w:rsidRPr="005F1087">
        <w:t xml:space="preserve"> se obtiene a partir de l</w:t>
      </w:r>
      <w:r w:rsidRPr="005F1087">
        <w:rPr>
          <w:lang w:val="es-MX"/>
        </w:rPr>
        <w:t>a identificación de los activos del OR que están a menos de 30 km de la orilla del mar, así:</w:t>
      </w:r>
    </w:p>
    <w:p w:rsidR="005F1087" w:rsidRPr="005F1087" w:rsidRDefault="00C9592F" w:rsidP="005F1087">
      <w:pPr>
        <w:rPr>
          <w:lang w:val="es-MX"/>
        </w:rPr>
      </w:pPr>
      <m:oMathPara>
        <m:oMath>
          <m:sSub>
            <m:sSubPr>
              <m:ctrlPr>
                <w:rPr>
                  <w:rFonts w:ascii="Cambria Math" w:hAnsi="Cambria Math"/>
                  <w:i/>
                  <w:lang w:val="es-MX"/>
                </w:rPr>
              </m:ctrlPr>
            </m:sSubPr>
            <m:e>
              <m:r>
                <w:rPr>
                  <w:rFonts w:ascii="Cambria Math" w:hAnsi="Cambria Math"/>
                  <w:lang w:val="es-MX"/>
                </w:rPr>
                <m:t>AMB</m:t>
              </m:r>
            </m:e>
            <m:sub>
              <m:r>
                <w:rPr>
                  <w:rFonts w:ascii="Cambria Math" w:hAnsi="Cambria Math"/>
                  <w:lang w:val="es-MX"/>
                </w:rPr>
                <m:t>j</m:t>
              </m:r>
            </m:sub>
          </m:sSub>
          <m:r>
            <w:rPr>
              <w:rFonts w:ascii="Cambria Math" w:hAnsi="Cambria Math"/>
              <w:lang w:val="es-MX"/>
            </w:rPr>
            <m:t>=0,5%*</m:t>
          </m:r>
          <m:d>
            <m:dPr>
              <m:ctrlPr>
                <w:rPr>
                  <w:rFonts w:ascii="Cambria Math" w:hAnsi="Cambria Math"/>
                  <w:i/>
                  <w:lang w:val="es-MX"/>
                </w:rPr>
              </m:ctrlPr>
            </m:dPr>
            <m:e>
              <m:nary>
                <m:naryPr>
                  <m:chr m:val="∑"/>
                  <m:limLoc m:val="undOvr"/>
                  <m:ctrlPr>
                    <w:rPr>
                      <w:rFonts w:ascii="Cambria Math" w:hAnsi="Cambria Math"/>
                      <w:i/>
                      <w:lang w:val="es-MX"/>
                    </w:rPr>
                  </m:ctrlPr>
                </m:naryPr>
                <m:sub>
                  <m:r>
                    <w:rPr>
                      <w:rFonts w:ascii="Cambria Math" w:hAnsi="Cambria Math"/>
                      <w:lang w:val="es-MX"/>
                    </w:rPr>
                    <m:t>i=1</m:t>
                  </m:r>
                </m:sub>
                <m:sup>
                  <m:sSub>
                    <m:sSubPr>
                      <m:ctrlPr>
                        <w:rPr>
                          <w:rFonts w:ascii="Cambria Math" w:hAnsi="Cambria Math"/>
                          <w:i/>
                          <w:lang w:val="es-MX"/>
                        </w:rPr>
                      </m:ctrlPr>
                    </m:sSubPr>
                    <m:e>
                      <m:r>
                        <w:rPr>
                          <w:rFonts w:ascii="Cambria Math" w:hAnsi="Cambria Math"/>
                          <w:lang w:val="es-MX"/>
                        </w:rPr>
                        <m:t>nuc</m:t>
                      </m:r>
                    </m:e>
                    <m:sub>
                      <m:r>
                        <w:rPr>
                          <w:rFonts w:ascii="Cambria Math" w:hAnsi="Cambria Math"/>
                          <w:lang w:val="es-MX"/>
                        </w:rPr>
                        <m:t>j,m,o</m:t>
                      </m:r>
                    </m:sub>
                  </m:sSub>
                </m:sup>
                <m:e>
                  <m:d>
                    <m:dPr>
                      <m:ctrlPr>
                        <w:rPr>
                          <w:rFonts w:ascii="Cambria Math" w:hAnsi="Cambria Math"/>
                          <w:i/>
                          <w:lang w:val="es-MX"/>
                        </w:rPr>
                      </m:ctrlPr>
                    </m:dPr>
                    <m:e>
                      <m:sSub>
                        <m:sSubPr>
                          <m:ctrlPr>
                            <w:rPr>
                              <w:rFonts w:ascii="Cambria Math" w:hAnsi="Cambria Math"/>
                              <w:i/>
                              <w:lang w:val="es-MX"/>
                            </w:rPr>
                          </m:ctrlPr>
                        </m:sSubPr>
                        <m:e>
                          <m:r>
                            <w:rPr>
                              <w:rFonts w:ascii="Cambria Math" w:hAnsi="Cambria Math"/>
                              <w:lang w:val="es-MX"/>
                            </w:rPr>
                            <m:t>CR</m:t>
                          </m:r>
                        </m:e>
                        <m:sub>
                          <m:r>
                            <w:rPr>
                              <w:rFonts w:ascii="Cambria Math" w:hAnsi="Cambria Math"/>
                              <w:lang w:val="es-MX"/>
                            </w:rPr>
                            <m:t>i,m</m:t>
                          </m:r>
                        </m:sub>
                      </m:sSub>
                      <m:r>
                        <w:rPr>
                          <w:rFonts w:ascii="Cambria Math" w:hAnsi="Cambria Math"/>
                          <w:lang w:val="es-MX"/>
                        </w:rPr>
                        <m:t>*</m:t>
                      </m:r>
                      <m:sSub>
                        <m:sSubPr>
                          <m:ctrlPr>
                            <w:rPr>
                              <w:rFonts w:ascii="Cambria Math" w:hAnsi="Cambria Math"/>
                              <w:i/>
                              <w:lang w:val="es-MX"/>
                            </w:rPr>
                          </m:ctrlPr>
                        </m:sSubPr>
                        <m:e>
                          <m:r>
                            <w:rPr>
                              <w:rFonts w:ascii="Cambria Math" w:hAnsi="Cambria Math"/>
                              <w:lang w:val="es-MX"/>
                            </w:rPr>
                            <m:t>PU</m:t>
                          </m:r>
                        </m:e>
                        <m:sub>
                          <m:r>
                            <w:rPr>
                              <w:rFonts w:ascii="Cambria Math" w:hAnsi="Cambria Math"/>
                              <w:lang w:val="es-MX"/>
                            </w:rPr>
                            <m:t>j,i</m:t>
                          </m:r>
                        </m:sub>
                      </m:sSub>
                    </m:e>
                  </m:d>
                </m:e>
              </m:nary>
              <m:sSub>
                <m:sSubPr>
                  <m:ctrlPr>
                    <w:rPr>
                      <w:rFonts w:ascii="Cambria Math" w:hAnsi="Cambria Math"/>
                    </w:rPr>
                  </m:ctrlPr>
                </m:sSubPr>
                <m:e>
                  <m:r>
                    <w:rPr>
                      <w:rFonts w:ascii="Cambria Math" w:hAnsi="Cambria Math"/>
                    </w:rPr>
                    <m:t>+ NT</m:t>
                  </m:r>
                </m:e>
                <m:sub>
                  <m:r>
                    <w:rPr>
                      <w:rFonts w:ascii="Cambria Math" w:hAnsi="Cambria Math"/>
                    </w:rPr>
                    <m:t>j,1</m:t>
                  </m:r>
                </m:sub>
              </m:sSub>
              <m:r>
                <w:rPr>
                  <w:rFonts w:ascii="Cambria Math" w:hAnsi="Cambria Math"/>
                </w:rPr>
                <m:t>*</m:t>
              </m:r>
              <m:sSub>
                <m:sSubPr>
                  <m:ctrlPr>
                    <w:rPr>
                      <w:rFonts w:ascii="Cambria Math" w:hAnsi="Cambria Math"/>
                    </w:rPr>
                  </m:ctrlPr>
                </m:sSubPr>
                <m:e>
                  <m:r>
                    <w:rPr>
                      <w:rFonts w:ascii="Cambria Math" w:hAnsi="Cambria Math"/>
                    </w:rPr>
                    <m:t>CMTD</m:t>
                  </m:r>
                </m:e>
                <m:sub>
                  <m:r>
                    <w:rPr>
                      <w:rFonts w:ascii="Cambria Math" w:hAnsi="Cambria Math"/>
                    </w:rPr>
                    <m:t>j</m:t>
                  </m:r>
                </m:sub>
              </m:sSub>
              <m:r>
                <w:rPr>
                  <w:rFonts w:ascii="Cambria Math" w:hAnsi="Cambria Math"/>
                </w:rPr>
                <m:t>+</m:t>
              </m:r>
              <m:sSub>
                <m:sSubPr>
                  <m:ctrlPr>
                    <w:rPr>
                      <w:rFonts w:ascii="Cambria Math" w:hAnsi="Cambria Math"/>
                      <w:i/>
                    </w:rPr>
                  </m:ctrlPr>
                </m:sSubPr>
                <m:e>
                  <m:r>
                    <w:rPr>
                      <w:rFonts w:ascii="Cambria Math" w:hAnsi="Cambria Math"/>
                    </w:rPr>
                    <m:t>NR</m:t>
                  </m:r>
                </m:e>
                <m:sub>
                  <m:r>
                    <w:rPr>
                      <w:rFonts w:ascii="Cambria Math" w:hAnsi="Cambria Math"/>
                    </w:rPr>
                    <m:t>j,1</m:t>
                  </m:r>
                </m:sub>
              </m:sSub>
              <m:r>
                <w:rPr>
                  <w:rFonts w:ascii="Cambria Math" w:hAnsi="Cambria Math"/>
                </w:rPr>
                <m:t xml:space="preserve"> </m:t>
              </m:r>
              <m:sSub>
                <m:sSubPr>
                  <m:ctrlPr>
                    <w:rPr>
                      <w:rFonts w:ascii="Cambria Math" w:hAnsi="Cambria Math"/>
                    </w:rPr>
                  </m:ctrlPr>
                </m:sSubPr>
                <m:e>
                  <m:r>
                    <w:rPr>
                      <w:rFonts w:ascii="Cambria Math" w:hAnsi="Cambria Math"/>
                    </w:rPr>
                    <m:t>*CMRD</m:t>
                  </m:r>
                </m:e>
                <m:sub>
                  <m:r>
                    <w:rPr>
                      <w:rFonts w:ascii="Cambria Math" w:hAnsi="Cambria Math"/>
                    </w:rPr>
                    <m:t>j</m:t>
                  </m:r>
                </m:sub>
              </m:sSub>
            </m:e>
          </m:d>
        </m:oMath>
      </m:oMathPara>
    </w:p>
    <w:p w:rsidR="005F1087" w:rsidRPr="005F1087" w:rsidRDefault="005F1087" w:rsidP="005F1087">
      <w:pPr>
        <w:spacing w:before="0" w:after="0"/>
        <w:jc w:val="left"/>
        <w:rPr>
          <w:lang w:val="es-MX"/>
        </w:rPr>
      </w:pPr>
      <w:r w:rsidRPr="005F1087">
        <w:rPr>
          <w:lang w:val="es-MX"/>
        </w:rPr>
        <w:t>Donde:</w:t>
      </w:r>
    </w:p>
    <w:p w:rsidR="005F1087" w:rsidRPr="005F1087" w:rsidRDefault="005F1087" w:rsidP="005F1087">
      <w:pPr>
        <w:ind w:left="1276" w:hanging="1276"/>
        <w:rPr>
          <w:i/>
        </w:rPr>
      </w:pPr>
      <w:r w:rsidRPr="005F1087">
        <w:rPr>
          <w:i/>
        </w:rPr>
        <w:t>AMB</w:t>
      </w:r>
      <w:r w:rsidRPr="005F1087">
        <w:rPr>
          <w:i/>
          <w:vertAlign w:val="subscript"/>
        </w:rPr>
        <w:t>j</w:t>
      </w:r>
      <w:r w:rsidRPr="005F1087">
        <w:rPr>
          <w:lang w:val="es-MX"/>
        </w:rPr>
        <w:t>:</w:t>
      </w:r>
      <w:r w:rsidRPr="005F1087">
        <w:rPr>
          <w:lang w:val="es-MX"/>
        </w:rPr>
        <w:tab/>
        <w:t xml:space="preserve">Valor adicional de AOM a reconocer al OR </w:t>
      </w:r>
      <w:r w:rsidRPr="005F1087">
        <w:rPr>
          <w:i/>
          <w:lang w:val="es-MX"/>
        </w:rPr>
        <w:t>j</w:t>
      </w:r>
      <w:r w:rsidRPr="005F1087">
        <w:rPr>
          <w:lang w:val="es-MX"/>
        </w:rPr>
        <w:t xml:space="preserve"> por condiciones ambientales.</w:t>
      </w:r>
    </w:p>
    <w:p w:rsidR="005F1087" w:rsidRPr="005F1087" w:rsidRDefault="005F1087" w:rsidP="005F1087">
      <w:pPr>
        <w:ind w:left="1276" w:hanging="1276"/>
        <w:rPr>
          <w:lang w:val="es-MX"/>
        </w:rPr>
      </w:pPr>
      <w:r w:rsidRPr="005F1087">
        <w:rPr>
          <w:i/>
        </w:rPr>
        <w:t>CR</w:t>
      </w:r>
      <w:r w:rsidRPr="005F1087">
        <w:rPr>
          <w:i/>
          <w:vertAlign w:val="subscript"/>
        </w:rPr>
        <w:t>i,m</w:t>
      </w:r>
      <w:r w:rsidRPr="005F1087">
        <w:rPr>
          <w:lang w:val="es-MX"/>
        </w:rPr>
        <w:t>:</w:t>
      </w:r>
      <w:r w:rsidRPr="005F1087">
        <w:rPr>
          <w:lang w:val="es-MX"/>
        </w:rPr>
        <w:tab/>
        <w:t xml:space="preserve">Valor de la UC </w:t>
      </w:r>
      <w:r w:rsidRPr="005F1087">
        <w:rPr>
          <w:i/>
          <w:lang w:val="es-MX"/>
        </w:rPr>
        <w:t>i</w:t>
      </w:r>
      <w:r w:rsidRPr="005F1087">
        <w:rPr>
          <w:lang w:val="es-MX"/>
        </w:rPr>
        <w:t xml:space="preserve"> ubicada cerca de la orilla del mar. Para el caso de líneas este valor corresponde al resultado de multiplicar el valor del kilómetro de conductor por el número de kilómetros instalados cerca del mar, más los respectivos apoyos.</w:t>
      </w:r>
    </w:p>
    <w:p w:rsidR="005F1087" w:rsidRPr="005F1087" w:rsidDel="00853546" w:rsidRDefault="005F1087" w:rsidP="005F1087">
      <w:pPr>
        <w:tabs>
          <w:tab w:val="left" w:pos="1418"/>
        </w:tabs>
        <w:spacing w:before="120"/>
        <w:ind w:left="1276" w:hanging="1276"/>
      </w:pPr>
      <w:r w:rsidRPr="005F1087" w:rsidDel="00853546">
        <w:rPr>
          <w:i/>
          <w:iCs/>
        </w:rPr>
        <w:t>PU</w:t>
      </w:r>
      <w:r w:rsidRPr="005F1087" w:rsidDel="00853546">
        <w:rPr>
          <w:i/>
          <w:iCs/>
          <w:vertAlign w:val="subscript"/>
        </w:rPr>
        <w:t>j,i</w:t>
      </w:r>
      <w:r w:rsidRPr="005F1087" w:rsidDel="00853546">
        <w:rPr>
          <w:i/>
          <w:iCs/>
        </w:rPr>
        <w:t>:</w:t>
      </w:r>
      <w:r w:rsidRPr="005F1087" w:rsidDel="00853546">
        <w:tab/>
        <w:t xml:space="preserve">Porcentaje del costo total de la UC </w:t>
      </w:r>
      <w:r w:rsidRPr="005F1087" w:rsidDel="00853546">
        <w:rPr>
          <w:i/>
          <w:iCs/>
        </w:rPr>
        <w:t>i</w:t>
      </w:r>
      <w:r w:rsidRPr="005F1087" w:rsidDel="00853546">
        <w:t xml:space="preserve"> que es remunerado vía cargos por uso al </w:t>
      </w:r>
      <w:r w:rsidRPr="005F1087">
        <w:t>OR</w:t>
      </w:r>
      <w:r w:rsidRPr="005F1087" w:rsidDel="00853546">
        <w:t xml:space="preserve"> </w:t>
      </w:r>
      <w:r w:rsidRPr="005F1087" w:rsidDel="00853546">
        <w:rPr>
          <w:i/>
        </w:rPr>
        <w:t>j</w:t>
      </w:r>
      <w:r w:rsidRPr="005F1087" w:rsidDel="00853546">
        <w:t>.</w:t>
      </w:r>
    </w:p>
    <w:p w:rsidR="005F1087" w:rsidRPr="005F1087" w:rsidRDefault="005F1087" w:rsidP="005F1087">
      <w:pPr>
        <w:suppressAutoHyphens/>
        <w:spacing w:before="120"/>
        <w:ind w:left="1276" w:hanging="1276"/>
      </w:pPr>
      <w:r w:rsidRPr="005F1087">
        <w:rPr>
          <w:i/>
        </w:rPr>
        <w:t>NT</w:t>
      </w:r>
      <w:r w:rsidRPr="005F1087">
        <w:rPr>
          <w:i/>
          <w:vertAlign w:val="subscript"/>
        </w:rPr>
        <w:t>j,1</w:t>
      </w:r>
      <w:r w:rsidRPr="005F1087">
        <w:t>:</w:t>
      </w:r>
      <w:r w:rsidRPr="005F1087">
        <w:tab/>
        <w:t xml:space="preserve">Cantidad de transformadores de distribución del OR </w:t>
      </w:r>
      <w:r w:rsidRPr="005F1087">
        <w:rPr>
          <w:i/>
        </w:rPr>
        <w:t>j</w:t>
      </w:r>
      <w:r w:rsidRPr="005F1087">
        <w:t xml:space="preserve">, en el nivel de tensión </w:t>
      </w:r>
      <w:r w:rsidRPr="005F1087">
        <w:rPr>
          <w:i/>
        </w:rPr>
        <w:t>1</w:t>
      </w:r>
      <w:r w:rsidRPr="005F1087">
        <w:t>, que estaban en operación a la fecha de corte.</w:t>
      </w:r>
    </w:p>
    <w:p w:rsidR="005F1087" w:rsidRPr="005F1087" w:rsidRDefault="005F1087" w:rsidP="005F1087">
      <w:pPr>
        <w:suppressAutoHyphens/>
        <w:spacing w:before="120"/>
        <w:ind w:left="1276" w:hanging="1276"/>
        <w:rPr>
          <w:i/>
        </w:rPr>
      </w:pPr>
      <w:r w:rsidRPr="005F1087">
        <w:rPr>
          <w:i/>
        </w:rPr>
        <w:t>CMTD</w:t>
      </w:r>
      <w:r w:rsidRPr="005F1087">
        <w:rPr>
          <w:i/>
          <w:vertAlign w:val="subscript"/>
        </w:rPr>
        <w:t>j</w:t>
      </w:r>
      <w:r w:rsidRPr="005F1087">
        <w:rPr>
          <w:i/>
        </w:rPr>
        <w:t>:</w:t>
      </w:r>
      <w:r w:rsidRPr="005F1087">
        <w:tab/>
        <w:t xml:space="preserve">Costo medio de transformadores del OR </w:t>
      </w:r>
      <w:r w:rsidRPr="005F1087">
        <w:rPr>
          <w:i/>
        </w:rPr>
        <w:t>j</w:t>
      </w:r>
      <w:r w:rsidRPr="005F1087">
        <w:t xml:space="preserve">, calculado según lo establecido en el literal </w:t>
      </w:r>
      <w:r w:rsidRPr="005F1087">
        <w:fldChar w:fldCharType="begin"/>
      </w:r>
      <w:r w:rsidRPr="005F1087">
        <w:instrText xml:space="preserve"> REF _Ref460420580 \r \h  \* MERGEFORMAT </w:instrText>
      </w:r>
      <w:r w:rsidRPr="005F1087">
        <w:fldChar w:fldCharType="separate"/>
      </w:r>
      <w:r w:rsidR="00737178">
        <w:t>b</w:t>
      </w:r>
      <w:r w:rsidRPr="005F1087">
        <w:fldChar w:fldCharType="end"/>
      </w:r>
      <w:r w:rsidRPr="005F1087">
        <w:t xml:space="preserve"> del numeral </w:t>
      </w:r>
      <w:r w:rsidRPr="005F1087">
        <w:fldChar w:fldCharType="begin"/>
      </w:r>
      <w:r w:rsidRPr="005F1087">
        <w:instrText xml:space="preserve"> REF _Ref460419342 \r \h  \* MERGEFORMAT </w:instrText>
      </w:r>
      <w:r w:rsidRPr="005F1087">
        <w:fldChar w:fldCharType="separate"/>
      </w:r>
      <w:r w:rsidR="00737178">
        <w:t>3.1.1.1.1.6</w:t>
      </w:r>
      <w:r w:rsidRPr="005F1087">
        <w:fldChar w:fldCharType="end"/>
      </w:r>
      <w:r w:rsidRPr="005F1087">
        <w:t>.</w:t>
      </w:r>
    </w:p>
    <w:p w:rsidR="005F1087" w:rsidRPr="005F1087" w:rsidRDefault="005F1087" w:rsidP="005F1087">
      <w:pPr>
        <w:suppressAutoHyphens/>
        <w:spacing w:before="120"/>
        <w:ind w:left="1276" w:hanging="1276"/>
      </w:pPr>
      <w:r w:rsidRPr="005F1087">
        <w:rPr>
          <w:i/>
        </w:rPr>
        <w:t>NR</w:t>
      </w:r>
      <w:r w:rsidRPr="005F1087">
        <w:rPr>
          <w:i/>
          <w:vertAlign w:val="subscript"/>
        </w:rPr>
        <w:t>j,1</w:t>
      </w:r>
      <w:r w:rsidRPr="005F1087">
        <w:t>:</w:t>
      </w:r>
      <w:r w:rsidRPr="005F1087">
        <w:tab/>
        <w:t xml:space="preserve">Cantidad de redes de distribución del OR </w:t>
      </w:r>
      <w:r w:rsidRPr="005F1087">
        <w:rPr>
          <w:i/>
        </w:rPr>
        <w:t>j</w:t>
      </w:r>
      <w:r w:rsidRPr="005F1087">
        <w:t xml:space="preserve">, en el nivel de tensión </w:t>
      </w:r>
      <w:r w:rsidRPr="005F1087">
        <w:rPr>
          <w:i/>
        </w:rPr>
        <w:t xml:space="preserve">1, </w:t>
      </w:r>
      <w:r w:rsidRPr="005F1087">
        <w:t>que estaban en operación a la fecha de corte.</w:t>
      </w:r>
    </w:p>
    <w:p w:rsidR="005F1087" w:rsidRPr="005F1087" w:rsidRDefault="005F1087" w:rsidP="005F1087">
      <w:pPr>
        <w:suppressAutoHyphens/>
        <w:spacing w:before="120"/>
        <w:ind w:left="1276" w:hanging="1276"/>
        <w:rPr>
          <w:i/>
        </w:rPr>
      </w:pPr>
      <w:r w:rsidRPr="005F1087">
        <w:rPr>
          <w:i/>
        </w:rPr>
        <w:t>CMRD</w:t>
      </w:r>
      <w:r w:rsidRPr="005F1087">
        <w:rPr>
          <w:i/>
          <w:vertAlign w:val="subscript"/>
        </w:rPr>
        <w:t>j</w:t>
      </w:r>
      <w:r w:rsidRPr="005F1087">
        <w:rPr>
          <w:i/>
        </w:rPr>
        <w:t>:</w:t>
      </w:r>
      <w:r w:rsidRPr="005F1087">
        <w:tab/>
        <w:t xml:space="preserve">Costo medio de redes de distribución del OR </w:t>
      </w:r>
      <w:r w:rsidRPr="005F1087">
        <w:rPr>
          <w:i/>
        </w:rPr>
        <w:t>j</w:t>
      </w:r>
      <w:r w:rsidRPr="005F1087">
        <w:t xml:space="preserve">, calculado según lo establecido en el literal </w:t>
      </w:r>
      <w:r w:rsidRPr="005F1087">
        <w:fldChar w:fldCharType="begin"/>
      </w:r>
      <w:r w:rsidRPr="005F1087">
        <w:instrText xml:space="preserve"> REF _Ref460420580 \r \h  \* MERGEFORMAT </w:instrText>
      </w:r>
      <w:r w:rsidRPr="005F1087">
        <w:fldChar w:fldCharType="separate"/>
      </w:r>
      <w:r w:rsidR="00737178">
        <w:t>b</w:t>
      </w:r>
      <w:r w:rsidRPr="005F1087">
        <w:fldChar w:fldCharType="end"/>
      </w:r>
      <w:r w:rsidRPr="005F1087">
        <w:t xml:space="preserve"> del numeral </w:t>
      </w:r>
      <w:r w:rsidRPr="005F1087">
        <w:fldChar w:fldCharType="begin"/>
      </w:r>
      <w:r w:rsidRPr="005F1087">
        <w:instrText xml:space="preserve"> REF _Ref460419342 \r \h  \* MERGEFORMAT </w:instrText>
      </w:r>
      <w:r w:rsidRPr="005F1087">
        <w:fldChar w:fldCharType="separate"/>
      </w:r>
      <w:r w:rsidR="00737178">
        <w:t>3.1.1.1.1.6</w:t>
      </w:r>
      <w:r w:rsidRPr="005F1087">
        <w:fldChar w:fldCharType="end"/>
      </w:r>
      <w:r w:rsidRPr="005F1087">
        <w:t>.</w:t>
      </w:r>
    </w:p>
    <w:p w:rsidR="005F1087" w:rsidRPr="005F1087" w:rsidRDefault="005F1087" w:rsidP="005F1087">
      <w:pPr>
        <w:ind w:left="1276" w:hanging="1276"/>
        <w:rPr>
          <w:lang w:val="es-MX"/>
        </w:rPr>
      </w:pPr>
      <w:r w:rsidRPr="005F1087">
        <w:rPr>
          <w:i/>
        </w:rPr>
        <w:t>nuc</w:t>
      </w:r>
      <w:r w:rsidRPr="005F1087">
        <w:rPr>
          <w:i/>
          <w:vertAlign w:val="subscript"/>
        </w:rPr>
        <w:t>j,m,o</w:t>
      </w:r>
      <w:r w:rsidRPr="005F1087">
        <w:rPr>
          <w:lang w:val="es-MX"/>
        </w:rPr>
        <w:t>:</w:t>
      </w:r>
      <w:r w:rsidRPr="005F1087">
        <w:rPr>
          <w:lang w:val="es-MX"/>
        </w:rPr>
        <w:tab/>
        <w:t xml:space="preserve">Número de unidades constructivas que, a </w:t>
      </w:r>
      <w:r w:rsidR="007B2CBB" w:rsidRPr="005F1087">
        <w:rPr>
          <w:lang w:val="es-MX"/>
        </w:rPr>
        <w:t>la</w:t>
      </w:r>
      <w:r w:rsidRPr="005F1087">
        <w:rPr>
          <w:lang w:val="es-MX"/>
        </w:rPr>
        <w:t xml:space="preserve"> fecha de corte, el OR </w:t>
      </w:r>
      <w:r w:rsidRPr="005F1087">
        <w:rPr>
          <w:i/>
          <w:lang w:val="es-MX"/>
        </w:rPr>
        <w:t>j</w:t>
      </w:r>
      <w:r w:rsidRPr="005F1087">
        <w:rPr>
          <w:lang w:val="es-MX"/>
        </w:rPr>
        <w:t xml:space="preserve"> tiene instaladas cerca del mar, pertenecientes a niveles de tensión diferentes al 1.</w:t>
      </w:r>
    </w:p>
    <w:p w:rsidR="000F0B42" w:rsidRPr="004E6CFC" w:rsidRDefault="009A559F" w:rsidP="000F0B42">
      <w:r>
        <w:t>Para los activos que se in</w:t>
      </w:r>
      <w:r w:rsidR="005F1087" w:rsidRPr="005F1087">
        <w:t>c</w:t>
      </w:r>
      <w:r>
        <w:t>l</w:t>
      </w:r>
      <w:r w:rsidR="005F1087" w:rsidRPr="005F1087">
        <w:t>uyan en el cálculo de la variable</w:t>
      </w:r>
      <w:r w:rsidR="000F0B42">
        <w:t xml:space="preserve"> definida en este numeral,</w:t>
      </w:r>
      <w:r w:rsidR="005F1087" w:rsidRPr="005F1087">
        <w:t xml:space="preserve"> </w:t>
      </w:r>
      <w:r w:rsidR="000F0B42">
        <w:t>e</w:t>
      </w:r>
      <w:r w:rsidR="000F0B42" w:rsidRPr="004E6CFC">
        <w:t xml:space="preserve">l OR debe entregar </w:t>
      </w:r>
      <w:r w:rsidR="007609BA" w:rsidRPr="004E6CFC">
        <w:t xml:space="preserve">el inventario asimilado a las UC definidas en el capítulo </w:t>
      </w:r>
      <w:r w:rsidR="007609BA" w:rsidRPr="004E6CFC">
        <w:fldChar w:fldCharType="begin"/>
      </w:r>
      <w:r w:rsidR="007609BA" w:rsidRPr="004E6CFC">
        <w:instrText xml:space="preserve"> REF _Ref476818651 \r \h \t  \* MERGEFORMAT </w:instrText>
      </w:r>
      <w:r w:rsidR="007609BA" w:rsidRPr="004E6CFC">
        <w:fldChar w:fldCharType="separate"/>
      </w:r>
      <w:r w:rsidR="00737178">
        <w:t>15</w:t>
      </w:r>
      <w:r w:rsidR="007609BA" w:rsidRPr="004E6CFC">
        <w:fldChar w:fldCharType="end"/>
      </w:r>
      <w:r w:rsidR="007609BA">
        <w:t xml:space="preserve">, junto con </w:t>
      </w:r>
      <w:r w:rsidR="000F0B42" w:rsidRPr="004E6CFC">
        <w:t xml:space="preserve">la siguiente información: municipio, subestación, georreferenciación, características técnicas, fecha de entrada en operación, datos de placa. </w:t>
      </w:r>
      <w:r w:rsidR="000F0B42">
        <w:t>Las UC para las cuales no se reporte la totalidad de la información requerida no serán incluidas.</w:t>
      </w:r>
    </w:p>
    <w:p w:rsidR="005F1087" w:rsidRPr="005F1087" w:rsidRDefault="005F1087" w:rsidP="005F1087">
      <w:pPr>
        <w:pStyle w:val="Ttulo3"/>
        <w:ind w:left="716"/>
      </w:pPr>
      <w:bookmarkStart w:id="272" w:name="_Toc476824144"/>
      <w:bookmarkStart w:id="273" w:name="_Ref504727210"/>
      <w:bookmarkStart w:id="274" w:name="_Toc505335924"/>
      <w:r w:rsidRPr="005F1087">
        <w:lastRenderedPageBreak/>
        <w:t>AOM por niveles de tensión</w:t>
      </w:r>
      <w:bookmarkEnd w:id="269"/>
      <w:bookmarkEnd w:id="270"/>
      <w:bookmarkEnd w:id="271"/>
      <w:bookmarkEnd w:id="272"/>
      <w:bookmarkEnd w:id="273"/>
      <w:bookmarkEnd w:id="274"/>
    </w:p>
    <w:p w:rsidR="005F1087" w:rsidRPr="005F1087" w:rsidRDefault="005F1087" w:rsidP="005F1087">
      <w:pPr>
        <w:rPr>
          <w:lang w:val="es-MX"/>
        </w:rPr>
      </w:pPr>
      <w:r w:rsidRPr="005F1087">
        <w:rPr>
          <w:lang w:val="es-MX"/>
        </w:rPr>
        <w:t>El valor del AOM eficiente para cada nivel de tensión se calcula así:</w:t>
      </w:r>
    </w:p>
    <w:p w:rsidR="005F1087" w:rsidRPr="005F1087" w:rsidRDefault="00C9592F" w:rsidP="005F1087">
      <w:pPr>
        <w:jc w:val="left"/>
        <w:rPr>
          <w:lang w:val="es-MX"/>
        </w:rPr>
      </w:pPr>
      <m:oMathPara>
        <m:oMath>
          <m:sSub>
            <m:sSubPr>
              <m:ctrlPr>
                <w:rPr>
                  <w:rFonts w:ascii="Cambria Math" w:hAnsi="Cambria Math"/>
                  <w:i/>
                  <w:lang w:val="es-MX"/>
                </w:rPr>
              </m:ctrlPr>
            </m:sSubPr>
            <m:e>
              <m:r>
                <w:rPr>
                  <w:rFonts w:ascii="Cambria Math" w:hAnsi="Cambria Math"/>
                  <w:lang w:val="es-MX"/>
                </w:rPr>
                <m:t>AOMbase</m:t>
              </m:r>
            </m:e>
            <m:sub>
              <m:r>
                <w:rPr>
                  <w:rFonts w:ascii="Cambria Math" w:hAnsi="Cambria Math"/>
                  <w:lang w:val="es-MX"/>
                </w:rPr>
                <m:t>j,n</m:t>
              </m:r>
            </m:sub>
          </m:sSub>
          <m:r>
            <w:rPr>
              <w:rFonts w:ascii="Cambria Math" w:hAnsi="Cambria Math"/>
              <w:lang w:val="es-MX"/>
            </w:rPr>
            <m:t>=</m:t>
          </m:r>
          <m:sSub>
            <m:sSubPr>
              <m:ctrlPr>
                <w:rPr>
                  <w:rFonts w:ascii="Cambria Math" w:hAnsi="Cambria Math"/>
                  <w:i/>
                  <w:lang w:val="es-MX"/>
                </w:rPr>
              </m:ctrlPr>
            </m:sSubPr>
            <m:e>
              <m:r>
                <w:rPr>
                  <w:rFonts w:ascii="Cambria Math" w:hAnsi="Cambria Math"/>
                  <w:lang w:val="es-MX"/>
                </w:rPr>
                <m:t>AOMbase</m:t>
              </m:r>
            </m:e>
            <m:sub>
              <m:r>
                <w:rPr>
                  <w:rFonts w:ascii="Cambria Math" w:hAnsi="Cambria Math"/>
                  <w:lang w:val="es-MX"/>
                </w:rPr>
                <m:t>j</m:t>
              </m:r>
            </m:sub>
          </m:sSub>
          <m:r>
            <w:rPr>
              <w:rFonts w:ascii="Cambria Math" w:hAnsi="Cambria Math"/>
              <w:lang w:val="es-MX"/>
            </w:rPr>
            <m:t xml:space="preserve">* </m:t>
          </m:r>
          <m:f>
            <m:fPr>
              <m:ctrlPr>
                <w:rPr>
                  <w:rFonts w:ascii="Cambria Math" w:hAnsi="Cambria Math"/>
                  <w:i/>
                  <w:lang w:val="es-MX"/>
                </w:rPr>
              </m:ctrlPr>
            </m:fPr>
            <m:num>
              <m:sSub>
                <m:sSubPr>
                  <m:ctrlPr>
                    <w:rPr>
                      <w:rFonts w:ascii="Cambria Math" w:hAnsi="Cambria Math"/>
                      <w:i/>
                      <w:lang w:val="es-MX"/>
                    </w:rPr>
                  </m:ctrlPr>
                </m:sSubPr>
                <m:e>
                  <m:r>
                    <w:rPr>
                      <w:rFonts w:ascii="Cambria Math" w:hAnsi="Cambria Math"/>
                      <w:lang w:val="es-MX"/>
                    </w:rPr>
                    <m:t>BRAE</m:t>
                  </m:r>
                </m:e>
                <m:sub>
                  <m:r>
                    <w:rPr>
                      <w:rFonts w:ascii="Cambria Math" w:hAnsi="Cambria Math"/>
                      <w:lang w:val="es-MX"/>
                    </w:rPr>
                    <m:t>j,n,0</m:t>
                  </m:r>
                </m:sub>
              </m:sSub>
            </m:num>
            <m:den>
              <m:nary>
                <m:naryPr>
                  <m:chr m:val="∑"/>
                  <m:limLoc m:val="undOvr"/>
                  <m:ctrlPr>
                    <w:rPr>
                      <w:rFonts w:ascii="Cambria Math" w:hAnsi="Cambria Math"/>
                      <w:i/>
                      <w:lang w:val="es-MX"/>
                    </w:rPr>
                  </m:ctrlPr>
                </m:naryPr>
                <m:sub>
                  <m:r>
                    <w:rPr>
                      <w:rFonts w:ascii="Cambria Math" w:hAnsi="Cambria Math"/>
                      <w:lang w:val="es-MX"/>
                    </w:rPr>
                    <m:t>n=1</m:t>
                  </m:r>
                </m:sub>
                <m:sup>
                  <m:sSub>
                    <m:sSubPr>
                      <m:ctrlPr>
                        <w:rPr>
                          <w:rFonts w:ascii="Cambria Math" w:hAnsi="Cambria Math"/>
                          <w:i/>
                          <w:lang w:val="es-MX"/>
                        </w:rPr>
                      </m:ctrlPr>
                    </m:sSubPr>
                    <m:e>
                      <m:r>
                        <w:rPr>
                          <w:rFonts w:ascii="Cambria Math" w:hAnsi="Cambria Math"/>
                          <w:lang w:val="es-MX"/>
                        </w:rPr>
                        <m:t>4</m:t>
                      </m:r>
                    </m:e>
                    <m:sub/>
                  </m:sSub>
                </m:sup>
                <m:e>
                  <m:sSub>
                    <m:sSubPr>
                      <m:ctrlPr>
                        <w:rPr>
                          <w:rFonts w:ascii="Cambria Math" w:hAnsi="Cambria Math"/>
                          <w:i/>
                          <w:lang w:val="es-MX"/>
                        </w:rPr>
                      </m:ctrlPr>
                    </m:sSubPr>
                    <m:e>
                      <m:r>
                        <w:rPr>
                          <w:rFonts w:ascii="Cambria Math" w:hAnsi="Cambria Math"/>
                          <w:lang w:val="es-MX"/>
                        </w:rPr>
                        <m:t>BRAE</m:t>
                      </m:r>
                    </m:e>
                    <m:sub>
                      <m:r>
                        <w:rPr>
                          <w:rFonts w:ascii="Cambria Math" w:hAnsi="Cambria Math"/>
                          <w:lang w:val="es-MX"/>
                        </w:rPr>
                        <m:t>j,n,0</m:t>
                      </m:r>
                    </m:sub>
                  </m:sSub>
                </m:e>
              </m:nary>
            </m:den>
          </m:f>
        </m:oMath>
      </m:oMathPara>
    </w:p>
    <w:p w:rsidR="005F1087" w:rsidRPr="005F1087" w:rsidRDefault="005F1087" w:rsidP="005F1087">
      <w:pPr>
        <w:ind w:left="1560" w:hanging="1560"/>
        <w:rPr>
          <w:lang w:val="es-MX"/>
        </w:rPr>
      </w:pPr>
      <w:r w:rsidRPr="005F1087">
        <w:rPr>
          <w:i/>
        </w:rPr>
        <w:t>AOMbase</w:t>
      </w:r>
      <w:r w:rsidRPr="005F1087">
        <w:rPr>
          <w:i/>
          <w:vertAlign w:val="subscript"/>
        </w:rPr>
        <w:t>j,n</w:t>
      </w:r>
      <w:r w:rsidRPr="005F1087">
        <w:rPr>
          <w:lang w:val="es-MX"/>
        </w:rPr>
        <w:t>:</w:t>
      </w:r>
      <w:r w:rsidRPr="005F1087">
        <w:rPr>
          <w:lang w:val="es-MX"/>
        </w:rPr>
        <w:tab/>
        <w:t xml:space="preserve">Valor del AOM base del OR </w:t>
      </w:r>
      <w:r w:rsidRPr="005F1087">
        <w:rPr>
          <w:i/>
          <w:lang w:val="es-MX"/>
        </w:rPr>
        <w:t>j</w:t>
      </w:r>
      <w:r w:rsidRPr="005F1087">
        <w:rPr>
          <w:lang w:val="es-MX"/>
        </w:rPr>
        <w:t xml:space="preserve">, para el nivel de tensión </w:t>
      </w:r>
      <w:r w:rsidRPr="005F1087">
        <w:rPr>
          <w:i/>
          <w:lang w:val="es-MX"/>
        </w:rPr>
        <w:t>n</w:t>
      </w:r>
      <w:r w:rsidRPr="005F1087">
        <w:rPr>
          <w:lang w:val="es-MX"/>
        </w:rPr>
        <w:t>, expresado en pesos de la fecha de corte.</w:t>
      </w:r>
    </w:p>
    <w:p w:rsidR="005F1087" w:rsidRPr="005F1087" w:rsidRDefault="005F1087" w:rsidP="005F1087">
      <w:pPr>
        <w:ind w:left="1560" w:hanging="1560"/>
        <w:rPr>
          <w:lang w:val="es-MX"/>
        </w:rPr>
      </w:pPr>
      <w:r w:rsidRPr="005F1087">
        <w:rPr>
          <w:i/>
        </w:rPr>
        <w:t>AOMbase</w:t>
      </w:r>
      <w:r w:rsidRPr="005F1087">
        <w:rPr>
          <w:i/>
          <w:vertAlign w:val="subscript"/>
        </w:rPr>
        <w:t>j</w:t>
      </w:r>
      <w:r w:rsidRPr="005F1087">
        <w:rPr>
          <w:lang w:val="es-MX"/>
        </w:rPr>
        <w:t>:</w:t>
      </w:r>
      <w:r w:rsidRPr="005F1087">
        <w:rPr>
          <w:lang w:val="es-MX"/>
        </w:rPr>
        <w:tab/>
        <w:t xml:space="preserve">Valor del AOM base del OR </w:t>
      </w:r>
      <w:r w:rsidRPr="005F1087">
        <w:rPr>
          <w:i/>
          <w:lang w:val="es-MX"/>
        </w:rPr>
        <w:t>j</w:t>
      </w:r>
      <w:r w:rsidRPr="005F1087">
        <w:rPr>
          <w:lang w:val="es-MX"/>
        </w:rPr>
        <w:t xml:space="preserve">, expresado en pesos de la fecha de corte, calculado de acuerdo con lo previsto en el numeral </w:t>
      </w:r>
      <w:r w:rsidRPr="005F1087">
        <w:rPr>
          <w:lang w:val="es-MX"/>
        </w:rPr>
        <w:fldChar w:fldCharType="begin"/>
      </w:r>
      <w:r w:rsidRPr="005F1087">
        <w:rPr>
          <w:lang w:val="es-MX"/>
        </w:rPr>
        <w:instrText xml:space="preserve"> REF _Ref444698515 \r \h  \* MERGEFORMAT </w:instrText>
      </w:r>
      <w:r w:rsidRPr="005F1087">
        <w:rPr>
          <w:lang w:val="es-MX"/>
        </w:rPr>
      </w:r>
      <w:r w:rsidRPr="005F1087">
        <w:rPr>
          <w:lang w:val="es-MX"/>
        </w:rPr>
        <w:fldChar w:fldCharType="separate"/>
      </w:r>
      <w:r w:rsidR="00737178">
        <w:rPr>
          <w:lang w:val="es-MX"/>
        </w:rPr>
        <w:t>4.1</w:t>
      </w:r>
      <w:r w:rsidRPr="005F1087">
        <w:rPr>
          <w:lang w:val="es-MX"/>
        </w:rPr>
        <w:fldChar w:fldCharType="end"/>
      </w:r>
      <w:r w:rsidRPr="005F1087">
        <w:rPr>
          <w:lang w:val="es-MX"/>
        </w:rPr>
        <w:t>.</w:t>
      </w:r>
    </w:p>
    <w:p w:rsidR="005F1087" w:rsidRPr="005F1087" w:rsidRDefault="005F1087" w:rsidP="005F1087">
      <w:pPr>
        <w:ind w:left="1560" w:hanging="1560"/>
      </w:pPr>
      <w:r w:rsidRPr="005F1087">
        <w:rPr>
          <w:i/>
          <w:iCs/>
        </w:rPr>
        <w:t>BRAE</w:t>
      </w:r>
      <w:r w:rsidRPr="005F1087">
        <w:rPr>
          <w:i/>
          <w:iCs/>
          <w:vertAlign w:val="subscript"/>
        </w:rPr>
        <w:t>j,n,0</w:t>
      </w:r>
      <w:r w:rsidRPr="005F1087">
        <w:t>:</w:t>
      </w:r>
      <w:r w:rsidRPr="005F1087">
        <w:tab/>
        <w:t xml:space="preserve">Base regulatoria de activos eléctricos para cada nivel de tensión </w:t>
      </w:r>
      <w:r w:rsidRPr="005F1087">
        <w:rPr>
          <w:i/>
        </w:rPr>
        <w:t>n</w:t>
      </w:r>
      <w:r w:rsidRPr="005F1087">
        <w:t>,</w:t>
      </w:r>
      <w:r w:rsidRPr="005F1087">
        <w:rPr>
          <w:i/>
          <w:iCs/>
        </w:rPr>
        <w:t xml:space="preserve"> </w:t>
      </w:r>
      <w:r w:rsidRPr="005F1087">
        <w:rPr>
          <w:iCs/>
        </w:rPr>
        <w:t>del</w:t>
      </w:r>
      <w:r w:rsidRPr="005F1087">
        <w:rPr>
          <w:i/>
          <w:iCs/>
        </w:rPr>
        <w:t xml:space="preserve"> </w:t>
      </w:r>
      <w:r w:rsidRPr="005F1087">
        <w:t>OR </w:t>
      </w:r>
      <w:r w:rsidRPr="005F1087">
        <w:rPr>
          <w:i/>
          <w:iCs/>
        </w:rPr>
        <w:t>j</w:t>
      </w:r>
      <w:r w:rsidRPr="005F1087">
        <w:rPr>
          <w:iCs/>
        </w:rPr>
        <w:t>,</w:t>
      </w:r>
      <w:r w:rsidRPr="005F1087">
        <w:t xml:space="preserve"> calculada de acuerdo con lo previsto en el numeral </w:t>
      </w:r>
      <w:r w:rsidRPr="005F1087">
        <w:fldChar w:fldCharType="begin"/>
      </w:r>
      <w:r w:rsidRPr="005F1087">
        <w:instrText xml:space="preserve"> REF _Ref408308421 \r \h  \* MERGEFORMAT </w:instrText>
      </w:r>
      <w:r w:rsidRPr="005F1087">
        <w:fldChar w:fldCharType="separate"/>
      </w:r>
      <w:r w:rsidR="00737178">
        <w:t>3.1.1.1</w:t>
      </w:r>
      <w:r w:rsidRPr="005F1087">
        <w:fldChar w:fldCharType="end"/>
      </w:r>
      <w:r w:rsidRPr="005F1087">
        <w:t>.</w:t>
      </w:r>
    </w:p>
    <w:p w:rsidR="005F1087" w:rsidRPr="005F1087" w:rsidRDefault="005F1087" w:rsidP="005F1087">
      <w:pPr>
        <w:pStyle w:val="Ttulo2"/>
      </w:pPr>
      <w:bookmarkStart w:id="275" w:name="_Ref406575748"/>
      <w:bookmarkStart w:id="276" w:name="_Toc408493150"/>
      <w:bookmarkStart w:id="277" w:name="_Toc443655685"/>
      <w:bookmarkStart w:id="278" w:name="_Toc476824145"/>
      <w:bookmarkStart w:id="279" w:name="_Toc505335925"/>
      <w:r w:rsidRPr="005F1087">
        <w:t>VALOR DE AOM PARA NUEVAS INVERSIONES</w:t>
      </w:r>
      <w:bookmarkEnd w:id="257"/>
      <w:bookmarkEnd w:id="275"/>
      <w:bookmarkEnd w:id="276"/>
      <w:bookmarkEnd w:id="277"/>
      <w:bookmarkEnd w:id="278"/>
      <w:bookmarkEnd w:id="279"/>
    </w:p>
    <w:p w:rsidR="005F1087" w:rsidRPr="005F1087" w:rsidRDefault="005F1087" w:rsidP="005F1087">
      <w:pPr>
        <w:rPr>
          <w:lang w:val="es-MX"/>
        </w:rPr>
      </w:pPr>
      <w:r w:rsidRPr="005F1087">
        <w:rPr>
          <w:lang w:val="es-MX"/>
        </w:rPr>
        <w:t>Para las nuevas inversiones, diferentes a reposición, se reconoce un valor anual de AOM así:</w:t>
      </w:r>
    </w:p>
    <w:p w:rsidR="005F1087" w:rsidRPr="005F1087" w:rsidRDefault="00C9592F" w:rsidP="005F1087">
      <w:pPr>
        <w:jc w:val="center"/>
        <w:rPr>
          <w:lang w:val="es-MX"/>
        </w:rPr>
      </w:pPr>
      <m:oMath>
        <m:sSub>
          <m:sSubPr>
            <m:ctrlPr>
              <w:rPr>
                <w:rFonts w:ascii="Cambria Math" w:hAnsi="Cambria Math"/>
                <w:i/>
                <w:lang w:val="es-MX"/>
              </w:rPr>
            </m:ctrlPr>
          </m:sSubPr>
          <m:e>
            <m:r>
              <w:rPr>
                <w:rFonts w:ascii="Cambria Math" w:hAnsi="Cambria Math"/>
                <w:lang w:val="es-MX"/>
              </w:rPr>
              <m:t>AOMNI</m:t>
            </m:r>
          </m:e>
          <m:sub>
            <m:r>
              <w:rPr>
                <w:rFonts w:ascii="Cambria Math" w:hAnsi="Cambria Math"/>
                <w:lang w:val="es-MX"/>
              </w:rPr>
              <m:t>j,n,t</m:t>
            </m:r>
          </m:sub>
        </m:sSub>
        <m:r>
          <w:rPr>
            <w:rFonts w:ascii="Cambria Math" w:hAnsi="Cambria Math"/>
            <w:lang w:val="es-MX"/>
          </w:rPr>
          <m:t>=</m:t>
        </m:r>
        <m:d>
          <m:dPr>
            <m:ctrlPr>
              <w:rPr>
                <w:rFonts w:ascii="Cambria Math" w:hAnsi="Cambria Math"/>
                <w:i/>
                <w:lang w:val="es-MX"/>
              </w:rPr>
            </m:ctrlPr>
          </m:dPr>
          <m:e>
            <m:r>
              <w:rPr>
                <w:rFonts w:ascii="Cambria Math" w:hAnsi="Cambria Math"/>
                <w:lang w:val="es-MX"/>
              </w:rPr>
              <m:t>2 %*</m:t>
            </m:r>
            <m:sSub>
              <m:sSubPr>
                <m:ctrlPr>
                  <w:rPr>
                    <w:rFonts w:ascii="Cambria Math" w:hAnsi="Cambria Math"/>
                    <w:i/>
                    <w:lang w:val="es-MX"/>
                  </w:rPr>
                </m:ctrlPr>
              </m:sSubPr>
              <m:e>
                <m:r>
                  <w:rPr>
                    <w:rFonts w:ascii="Cambria Math" w:hAnsi="Cambria Math"/>
                    <w:lang w:val="es-MX"/>
                  </w:rPr>
                  <m:t>VACNI</m:t>
                </m:r>
              </m:e>
              <m:sub>
                <m:r>
                  <w:rPr>
                    <w:rFonts w:ascii="Cambria Math" w:hAnsi="Cambria Math"/>
                    <w:lang w:val="es-MX"/>
                  </w:rPr>
                  <m:t>j,n,t</m:t>
                </m:r>
              </m:sub>
            </m:sSub>
            <m:r>
              <w:rPr>
                <w:rFonts w:ascii="Cambria Math" w:hAnsi="Cambria Math"/>
                <w:lang w:val="es-MX"/>
              </w:rPr>
              <m:t xml:space="preserve">+2,6%* </m:t>
            </m:r>
            <m:sSub>
              <m:sSubPr>
                <m:ctrlPr>
                  <w:rPr>
                    <w:rFonts w:ascii="Cambria Math" w:hAnsi="Cambria Math"/>
                    <w:i/>
                    <w:lang w:val="es-MX"/>
                  </w:rPr>
                </m:ctrlPr>
              </m:sSubPr>
              <m:e>
                <m:r>
                  <w:rPr>
                    <w:rFonts w:ascii="Cambria Math" w:hAnsi="Cambria Math"/>
                    <w:lang w:val="es-MX"/>
                  </w:rPr>
                  <m:t>VACPIEC</m:t>
                </m:r>
              </m:e>
              <m:sub>
                <m:r>
                  <w:rPr>
                    <w:rFonts w:ascii="Cambria Math" w:hAnsi="Cambria Math"/>
                    <w:lang w:val="es-MX"/>
                  </w:rPr>
                  <m:t>j,n,t</m:t>
                </m:r>
              </m:sub>
            </m:sSub>
          </m:e>
        </m:d>
        <m:r>
          <w:rPr>
            <w:rFonts w:ascii="Cambria Math" w:hAnsi="Cambria Math"/>
            <w:lang w:val="es-MX"/>
          </w:rPr>
          <m:t>*</m:t>
        </m:r>
        <m:sSub>
          <m:sSubPr>
            <m:ctrlPr>
              <w:rPr>
                <w:rFonts w:ascii="Cambria Math" w:hAnsi="Cambria Math"/>
                <w:i/>
                <w:lang w:val="es-MX"/>
              </w:rPr>
            </m:ctrlPr>
          </m:sSubPr>
          <m:e>
            <m:r>
              <w:rPr>
                <w:rFonts w:ascii="Cambria Math" w:hAnsi="Cambria Math"/>
                <w:lang w:val="es-MX"/>
              </w:rPr>
              <m:t>fAMB</m:t>
            </m:r>
          </m:e>
          <m:sub>
            <m:r>
              <w:rPr>
                <w:rFonts w:ascii="Cambria Math" w:hAnsi="Cambria Math"/>
                <w:lang w:val="es-MX"/>
              </w:rPr>
              <m:t>j</m:t>
            </m:r>
          </m:sub>
        </m:sSub>
      </m:oMath>
      <w:r w:rsidR="005F1087" w:rsidRPr="005F1087">
        <w:rPr>
          <w:lang w:val="es-MX"/>
        </w:rPr>
        <w:t xml:space="preserve">     para n = 4 o 3</w:t>
      </w:r>
    </w:p>
    <w:p w:rsidR="005F1087" w:rsidRPr="005F1087" w:rsidRDefault="00C9592F" w:rsidP="005F1087">
      <w:pPr>
        <w:jc w:val="center"/>
        <w:rPr>
          <w:i/>
          <w:lang w:val="es-MX"/>
        </w:rPr>
      </w:pPr>
      <m:oMath>
        <m:sSub>
          <m:sSubPr>
            <m:ctrlPr>
              <w:rPr>
                <w:rFonts w:ascii="Cambria Math" w:hAnsi="Cambria Math"/>
                <w:i/>
                <w:lang w:val="es-MX"/>
              </w:rPr>
            </m:ctrlPr>
          </m:sSubPr>
          <m:e>
            <m:r>
              <w:rPr>
                <w:rFonts w:ascii="Cambria Math" w:hAnsi="Cambria Math"/>
                <w:lang w:val="es-MX"/>
              </w:rPr>
              <m:t>AOMNI</m:t>
            </m:r>
          </m:e>
          <m:sub>
            <m:r>
              <w:rPr>
                <w:rFonts w:ascii="Cambria Math" w:hAnsi="Cambria Math"/>
                <w:lang w:val="es-MX"/>
              </w:rPr>
              <m:t>j,n,t</m:t>
            </m:r>
          </m:sub>
        </m:sSub>
        <m:r>
          <w:rPr>
            <w:rFonts w:ascii="Cambria Math" w:hAnsi="Cambria Math"/>
            <w:lang w:val="es-MX"/>
          </w:rPr>
          <m:t>=</m:t>
        </m:r>
        <m:d>
          <m:dPr>
            <m:ctrlPr>
              <w:rPr>
                <w:rFonts w:ascii="Cambria Math" w:hAnsi="Cambria Math"/>
                <w:i/>
                <w:lang w:val="es-MX"/>
              </w:rPr>
            </m:ctrlPr>
          </m:dPr>
          <m:e>
            <m:r>
              <w:rPr>
                <w:rFonts w:ascii="Cambria Math" w:hAnsi="Cambria Math"/>
                <w:lang w:val="es-MX"/>
              </w:rPr>
              <m:t>4 %*</m:t>
            </m:r>
            <m:sSub>
              <m:sSubPr>
                <m:ctrlPr>
                  <w:rPr>
                    <w:rFonts w:ascii="Cambria Math" w:hAnsi="Cambria Math"/>
                    <w:i/>
                    <w:lang w:val="es-MX"/>
                  </w:rPr>
                </m:ctrlPr>
              </m:sSubPr>
              <m:e>
                <m:r>
                  <w:rPr>
                    <w:rFonts w:ascii="Cambria Math" w:hAnsi="Cambria Math"/>
                    <w:lang w:val="es-MX"/>
                  </w:rPr>
                  <m:t>VACNI</m:t>
                </m:r>
              </m:e>
              <m:sub>
                <m:r>
                  <w:rPr>
                    <w:rFonts w:ascii="Cambria Math" w:hAnsi="Cambria Math"/>
                    <w:lang w:val="es-MX"/>
                  </w:rPr>
                  <m:t>j,n,t</m:t>
                </m:r>
              </m:sub>
            </m:sSub>
            <m:r>
              <w:rPr>
                <w:rFonts w:ascii="Cambria Math" w:hAnsi="Cambria Math"/>
                <w:lang w:val="es-MX"/>
              </w:rPr>
              <m:t xml:space="preserve">+4,6%* </m:t>
            </m:r>
            <m:sSub>
              <m:sSubPr>
                <m:ctrlPr>
                  <w:rPr>
                    <w:rFonts w:ascii="Cambria Math" w:hAnsi="Cambria Math"/>
                    <w:i/>
                    <w:lang w:val="es-MX"/>
                  </w:rPr>
                </m:ctrlPr>
              </m:sSubPr>
              <m:e>
                <m:r>
                  <w:rPr>
                    <w:rFonts w:ascii="Cambria Math" w:hAnsi="Cambria Math"/>
                    <w:lang w:val="es-MX"/>
                  </w:rPr>
                  <m:t>VACPIEC</m:t>
                </m:r>
              </m:e>
              <m:sub>
                <m:r>
                  <w:rPr>
                    <w:rFonts w:ascii="Cambria Math" w:hAnsi="Cambria Math"/>
                    <w:lang w:val="es-MX"/>
                  </w:rPr>
                  <m:t>j,n,t</m:t>
                </m:r>
              </m:sub>
            </m:sSub>
          </m:e>
        </m:d>
        <m:r>
          <w:rPr>
            <w:rFonts w:ascii="Cambria Math" w:hAnsi="Cambria Math"/>
            <w:lang w:val="es-MX"/>
          </w:rPr>
          <m:t>*</m:t>
        </m:r>
        <m:sSub>
          <m:sSubPr>
            <m:ctrlPr>
              <w:rPr>
                <w:rFonts w:ascii="Cambria Math" w:hAnsi="Cambria Math"/>
                <w:i/>
                <w:lang w:val="es-MX"/>
              </w:rPr>
            </m:ctrlPr>
          </m:sSubPr>
          <m:e>
            <m:r>
              <w:rPr>
                <w:rFonts w:ascii="Cambria Math" w:hAnsi="Cambria Math"/>
                <w:lang w:val="es-MX"/>
              </w:rPr>
              <m:t>fAMB</m:t>
            </m:r>
          </m:e>
          <m:sub>
            <m:r>
              <w:rPr>
                <w:rFonts w:ascii="Cambria Math" w:hAnsi="Cambria Math"/>
                <w:lang w:val="es-MX"/>
              </w:rPr>
              <m:t>j</m:t>
            </m:r>
          </m:sub>
        </m:sSub>
      </m:oMath>
      <w:r w:rsidR="005F1087" w:rsidRPr="005F1087">
        <w:rPr>
          <w:i/>
          <w:lang w:val="es-MX"/>
        </w:rPr>
        <w:t xml:space="preserve">     </w:t>
      </w:r>
      <w:r w:rsidR="005F1087" w:rsidRPr="005F1087">
        <w:rPr>
          <w:lang w:val="es-MX"/>
        </w:rPr>
        <w:t>para n = 2 o 1</w:t>
      </w:r>
    </w:p>
    <w:p w:rsidR="005F1087" w:rsidRPr="005F1087" w:rsidRDefault="005F1087" w:rsidP="005F1087">
      <w:pPr>
        <w:ind w:left="1701" w:hanging="1701"/>
        <w:rPr>
          <w:lang w:val="es-MX"/>
        </w:rPr>
      </w:pPr>
      <w:r w:rsidRPr="005F1087">
        <w:rPr>
          <w:i/>
          <w:lang w:val="es-MX"/>
        </w:rPr>
        <w:t>AOMNI</w:t>
      </w:r>
      <w:r w:rsidRPr="005F1087">
        <w:rPr>
          <w:i/>
          <w:vertAlign w:val="subscript"/>
          <w:lang w:val="es-MX"/>
        </w:rPr>
        <w:t>j,n,t</w:t>
      </w:r>
      <w:r w:rsidRPr="005F1087">
        <w:rPr>
          <w:lang w:val="es-MX"/>
        </w:rPr>
        <w:t>:</w:t>
      </w:r>
      <w:r w:rsidRPr="005F1087">
        <w:rPr>
          <w:lang w:val="es-MX"/>
        </w:rPr>
        <w:tab/>
        <w:t xml:space="preserve">Valor del AOM para las nuevas inversiones en el nivel de tensión </w:t>
      </w:r>
      <w:r w:rsidRPr="005F1087">
        <w:rPr>
          <w:i/>
          <w:lang w:val="es-MX"/>
        </w:rPr>
        <w:t>n</w:t>
      </w:r>
      <w:r w:rsidRPr="005F1087">
        <w:rPr>
          <w:lang w:val="es-MX"/>
        </w:rPr>
        <w:t xml:space="preserve"> del OR </w:t>
      </w:r>
      <w:r w:rsidRPr="005F1087">
        <w:rPr>
          <w:i/>
          <w:lang w:val="es-MX"/>
        </w:rPr>
        <w:t>j</w:t>
      </w:r>
      <w:r w:rsidRPr="005F1087">
        <w:rPr>
          <w:lang w:val="es-MX"/>
        </w:rPr>
        <w:t>, expresado en pesos de la fecha de corte.</w:t>
      </w:r>
    </w:p>
    <w:p w:rsidR="005F1087" w:rsidRPr="005F1087" w:rsidRDefault="005F1087" w:rsidP="005F1087">
      <w:pPr>
        <w:ind w:left="1701" w:hanging="1701"/>
        <w:rPr>
          <w:lang w:val="es-MX"/>
        </w:rPr>
      </w:pPr>
      <w:r w:rsidRPr="005F1087">
        <w:rPr>
          <w:i/>
          <w:lang w:val="es-MX"/>
        </w:rPr>
        <w:t>VACNI</w:t>
      </w:r>
      <w:r w:rsidRPr="005F1087">
        <w:rPr>
          <w:i/>
          <w:vertAlign w:val="subscript"/>
          <w:lang w:val="es-MX"/>
        </w:rPr>
        <w:t>j,n,t</w:t>
      </w:r>
      <w:r w:rsidRPr="005F1087">
        <w:rPr>
          <w:lang w:val="es-MX"/>
        </w:rPr>
        <w:t>:</w:t>
      </w:r>
      <w:r w:rsidRPr="005F1087">
        <w:rPr>
          <w:lang w:val="es-MX"/>
        </w:rPr>
        <w:tab/>
        <w:t xml:space="preserve">Valor acumulado hasta el año </w:t>
      </w:r>
      <w:r w:rsidRPr="005F1087">
        <w:rPr>
          <w:i/>
          <w:lang w:val="es-MX"/>
        </w:rPr>
        <w:t>t</w:t>
      </w:r>
      <w:r w:rsidRPr="005F1087">
        <w:rPr>
          <w:lang w:val="es-MX"/>
        </w:rPr>
        <w:t xml:space="preserve"> de las inversiones puestas en operación en el nivel de tensión </w:t>
      </w:r>
      <w:r w:rsidRPr="005F1087">
        <w:rPr>
          <w:i/>
          <w:lang w:val="es-MX"/>
        </w:rPr>
        <w:t>n</w:t>
      </w:r>
      <w:r w:rsidRPr="005F1087">
        <w:rPr>
          <w:lang w:val="es-MX"/>
        </w:rPr>
        <w:t xml:space="preserve">, diferentes a reposición, para el OR </w:t>
      </w:r>
      <w:r w:rsidRPr="005F1087">
        <w:rPr>
          <w:i/>
          <w:lang w:val="es-MX"/>
        </w:rPr>
        <w:t>j</w:t>
      </w:r>
      <w:r w:rsidRPr="005F1087">
        <w:rPr>
          <w:lang w:val="es-MX"/>
        </w:rPr>
        <w:t>, expresado en pesos de la fecha de corte. Se calcula de la siguiente forma:</w:t>
      </w:r>
    </w:p>
    <w:p w:rsidR="005F1087" w:rsidRPr="005F1087" w:rsidRDefault="00C9592F" w:rsidP="005F1087">
      <w:pPr>
        <w:ind w:hanging="1701"/>
        <w:rPr>
          <w:i/>
          <w:lang w:val="es-MX"/>
        </w:rPr>
      </w:pPr>
      <m:oMathPara>
        <m:oMath>
          <m:sSub>
            <m:sSubPr>
              <m:ctrlPr>
                <w:rPr>
                  <w:rFonts w:ascii="Cambria Math" w:hAnsi="Cambria Math"/>
                  <w:i/>
                  <w:lang w:val="es-MX"/>
                </w:rPr>
              </m:ctrlPr>
            </m:sSubPr>
            <m:e>
              <m:r>
                <w:rPr>
                  <w:rFonts w:ascii="Cambria Math" w:hAnsi="Cambria Math"/>
                  <w:lang w:val="es-MX"/>
                </w:rPr>
                <m:t>VACNI</m:t>
              </m:r>
            </m:e>
            <m:sub>
              <m:r>
                <w:rPr>
                  <w:rFonts w:ascii="Cambria Math" w:hAnsi="Cambria Math"/>
                  <w:lang w:val="es-MX"/>
                </w:rPr>
                <m:t>j,n,t</m:t>
              </m:r>
            </m:sub>
          </m:sSub>
          <m:r>
            <w:rPr>
              <w:rFonts w:ascii="Cambria Math" w:hAnsi="Cambria Math"/>
              <w:lang w:val="es-MX"/>
            </w:rPr>
            <m:t>=</m:t>
          </m:r>
          <m:sSub>
            <m:sSubPr>
              <m:ctrlPr>
                <w:rPr>
                  <w:rFonts w:ascii="Cambria Math" w:hAnsi="Cambria Math"/>
                  <w:i/>
                  <w:lang w:val="es-MX"/>
                </w:rPr>
              </m:ctrlPr>
            </m:sSubPr>
            <m:e>
              <m:r>
                <w:rPr>
                  <w:rFonts w:ascii="Cambria Math" w:hAnsi="Cambria Math"/>
                  <w:lang w:val="es-MX"/>
                </w:rPr>
                <m:t>VACNI</m:t>
              </m:r>
            </m:e>
            <m:sub>
              <m:r>
                <w:rPr>
                  <w:rFonts w:ascii="Cambria Math" w:hAnsi="Cambria Math"/>
                  <w:lang w:val="es-MX"/>
                </w:rPr>
                <m:t>j,n,t-1</m:t>
              </m:r>
            </m:sub>
          </m:sSub>
          <m:r>
            <w:rPr>
              <w:rFonts w:ascii="Cambria Math" w:hAnsi="Cambria Math"/>
              <w:lang w:val="es-MX"/>
            </w:rPr>
            <m:t>+</m:t>
          </m:r>
          <m:sSub>
            <m:sSubPr>
              <m:ctrlPr>
                <w:rPr>
                  <w:rFonts w:ascii="Cambria Math" w:hAnsi="Cambria Math"/>
                  <w:i/>
                  <w:lang w:val="es-MX"/>
                </w:rPr>
              </m:ctrlPr>
            </m:sSubPr>
            <m:e>
              <m:r>
                <w:rPr>
                  <w:rFonts w:ascii="Cambria Math" w:hAnsi="Cambria Math"/>
                  <w:lang w:val="es-MX"/>
                </w:rPr>
                <m:t>BRAEN_RP</m:t>
              </m:r>
            </m:e>
            <m:sub>
              <m:r>
                <w:rPr>
                  <w:rFonts w:ascii="Cambria Math" w:hAnsi="Cambria Math"/>
                  <w:lang w:val="es-MX"/>
                </w:rPr>
                <m:t>j,n,t-1</m:t>
              </m:r>
            </m:sub>
          </m:sSub>
          <m:r>
            <w:rPr>
              <w:rFonts w:ascii="Cambria Math" w:hAnsi="Cambria Math"/>
              <w:lang w:val="es-MX"/>
            </w:rPr>
            <m:t>-</m:t>
          </m:r>
          <m:nary>
            <m:naryPr>
              <m:chr m:val="∑"/>
              <m:limLoc m:val="undOvr"/>
              <m:ctrlPr>
                <w:rPr>
                  <w:rFonts w:ascii="Cambria Math" w:hAnsi="Cambria Math"/>
                  <w:i/>
                </w:rPr>
              </m:ctrlPr>
            </m:naryPr>
            <m:sub>
              <m:r>
                <w:rPr>
                  <w:rFonts w:ascii="Cambria Math" w:hAnsi="Cambria Math"/>
                </w:rPr>
                <m:t>l=1</m:t>
              </m:r>
            </m:sub>
            <m:sup>
              <m:r>
                <w:rPr>
                  <w:rFonts w:ascii="Cambria Math" w:hAnsi="Cambria Math"/>
                </w:rPr>
                <m:t>L</m:t>
              </m:r>
            </m:sup>
            <m:e>
              <m:sSub>
                <m:sSubPr>
                  <m:ctrlPr>
                    <w:rPr>
                      <w:rFonts w:ascii="Cambria Math" w:hAnsi="Cambria Math"/>
                      <w:i/>
                    </w:rPr>
                  </m:ctrlPr>
                </m:sSubPr>
                <m:e>
                  <m:r>
                    <w:rPr>
                      <w:rFonts w:ascii="Cambria Math" w:hAnsi="Cambria Math"/>
                    </w:rPr>
                    <m:t>INVTR_RP</m:t>
                  </m:r>
                </m:e>
                <m:sub>
                  <m:r>
                    <w:rPr>
                      <w:rFonts w:ascii="Cambria Math" w:hAnsi="Cambria Math"/>
                    </w:rPr>
                    <m:t>j</m:t>
                  </m:r>
                  <m:r>
                    <w:rPr>
                      <w:rFonts w:ascii="Cambria Math"/>
                    </w:rPr>
                    <m:t>,n,TI,l,t</m:t>
                  </m:r>
                  <m:r>
                    <w:rPr>
                      <w:rFonts w:ascii="Cambria Math"/>
                    </w:rPr>
                    <m:t>-</m:t>
                  </m:r>
                  <m:r>
                    <w:rPr>
                      <w:rFonts w:ascii="Cambria Math"/>
                    </w:rPr>
                    <m:t>1</m:t>
                  </m:r>
                </m:sub>
              </m:sSub>
            </m:e>
          </m:nary>
        </m:oMath>
      </m:oMathPara>
    </w:p>
    <w:p w:rsidR="005F1087" w:rsidRPr="005F1087" w:rsidRDefault="005F1087" w:rsidP="005F1087">
      <w:pPr>
        <w:ind w:left="2552" w:hanging="2126"/>
        <w:rPr>
          <w:iCs/>
        </w:rPr>
      </w:pPr>
      <w:r w:rsidRPr="005F1087">
        <w:rPr>
          <w:i/>
          <w:iCs/>
        </w:rPr>
        <w:t>BRAEN_RP</w:t>
      </w:r>
      <w:r w:rsidRPr="005F1087">
        <w:rPr>
          <w:i/>
          <w:iCs/>
          <w:vertAlign w:val="subscript"/>
        </w:rPr>
        <w:t>j,n,t-1</w:t>
      </w:r>
      <w:r w:rsidRPr="005F1087">
        <w:rPr>
          <w:iCs/>
        </w:rPr>
        <w:t>:</w:t>
      </w:r>
      <w:r w:rsidRPr="005F1087">
        <w:rPr>
          <w:iCs/>
        </w:rPr>
        <w:tab/>
        <w:t xml:space="preserve">Base regulatoria de activos eléctricos nuevos del OR </w:t>
      </w:r>
      <w:r w:rsidRPr="005F1087">
        <w:rPr>
          <w:i/>
          <w:iCs/>
        </w:rPr>
        <w:t>j</w:t>
      </w:r>
      <w:r w:rsidRPr="005F1087">
        <w:rPr>
          <w:iCs/>
        </w:rPr>
        <w:t xml:space="preserve"> en el nivel de tensión </w:t>
      </w:r>
      <w:r w:rsidRPr="005F1087">
        <w:rPr>
          <w:i/>
          <w:iCs/>
        </w:rPr>
        <w:t>n</w:t>
      </w:r>
      <w:r w:rsidRPr="005F1087">
        <w:rPr>
          <w:iCs/>
        </w:rPr>
        <w:t xml:space="preserve"> para el año </w:t>
      </w:r>
      <w:r w:rsidRPr="005F1087">
        <w:rPr>
          <w:i/>
          <w:iCs/>
        </w:rPr>
        <w:t>t-1</w:t>
      </w:r>
      <w:r w:rsidRPr="005F1087">
        <w:rPr>
          <w:iCs/>
        </w:rPr>
        <w:t xml:space="preserve">. Se calcula en forma similar a la variable </w:t>
      </w:r>
      <w:r w:rsidRPr="005F1087">
        <w:rPr>
          <w:i/>
          <w:iCs/>
        </w:rPr>
        <w:t>BRAEN</w:t>
      </w:r>
      <w:r w:rsidRPr="005F1087">
        <w:rPr>
          <w:i/>
          <w:iCs/>
          <w:vertAlign w:val="subscript"/>
        </w:rPr>
        <w:t>j,n,t-1</w:t>
      </w:r>
      <w:r w:rsidRPr="005F1087">
        <w:rPr>
          <w:iCs/>
        </w:rPr>
        <w:t xml:space="preserve">, definida en el numeral </w:t>
      </w:r>
      <w:r w:rsidRPr="005F1087">
        <w:rPr>
          <w:iCs/>
        </w:rPr>
        <w:fldChar w:fldCharType="begin"/>
      </w:r>
      <w:r w:rsidRPr="005F1087">
        <w:rPr>
          <w:iCs/>
        </w:rPr>
        <w:instrText xml:space="preserve"> REF _Ref445134276 \r \h  \* MERGEFORMAT </w:instrText>
      </w:r>
      <w:r w:rsidRPr="005F1087">
        <w:rPr>
          <w:iCs/>
        </w:rPr>
      </w:r>
      <w:r w:rsidRPr="005F1087">
        <w:rPr>
          <w:iCs/>
        </w:rPr>
        <w:fldChar w:fldCharType="separate"/>
      </w:r>
      <w:r w:rsidR="00737178">
        <w:rPr>
          <w:iCs/>
        </w:rPr>
        <w:t>3.1.1.2</w:t>
      </w:r>
      <w:r w:rsidRPr="005F1087">
        <w:rPr>
          <w:iCs/>
        </w:rPr>
        <w:fldChar w:fldCharType="end"/>
      </w:r>
      <w:r w:rsidRPr="005F1087">
        <w:rPr>
          <w:iCs/>
        </w:rPr>
        <w:t xml:space="preserve">, pero tomando RPP=0 para todas las UC incluidas en su cálculo. </w:t>
      </w:r>
    </w:p>
    <w:p w:rsidR="005F1087" w:rsidRPr="005F1087" w:rsidRDefault="005F1087" w:rsidP="005F1087">
      <w:pPr>
        <w:spacing w:before="120"/>
        <w:ind w:left="2552" w:hanging="2126"/>
      </w:pPr>
      <w:r w:rsidRPr="005F1087">
        <w:rPr>
          <w:i/>
          <w:iCs/>
        </w:rPr>
        <w:t>INVTR_RP</w:t>
      </w:r>
      <w:r w:rsidRPr="005F1087">
        <w:rPr>
          <w:i/>
          <w:iCs/>
          <w:vertAlign w:val="subscript"/>
        </w:rPr>
        <w:t>j,n,TI,l,t-1</w:t>
      </w:r>
      <w:r w:rsidRPr="005F1087">
        <w:t>:</w:t>
      </w:r>
      <w:r w:rsidRPr="005F1087">
        <w:tab/>
        <w:t>Valor de la i</w:t>
      </w:r>
      <w:r w:rsidRPr="005F1087">
        <w:rPr>
          <w:iCs/>
        </w:rPr>
        <w:t xml:space="preserve">nversión puesta en operación en el sistema del OR </w:t>
      </w:r>
      <w:r w:rsidRPr="005F1087">
        <w:rPr>
          <w:i/>
          <w:iCs/>
        </w:rPr>
        <w:t>j</w:t>
      </w:r>
      <w:r w:rsidRPr="005F1087">
        <w:rPr>
          <w:iCs/>
        </w:rPr>
        <w:t xml:space="preserve"> en el nivel de tensión </w:t>
      </w:r>
      <w:r w:rsidRPr="005F1087">
        <w:rPr>
          <w:i/>
          <w:iCs/>
        </w:rPr>
        <w:t xml:space="preserve">n, </w:t>
      </w:r>
      <w:r w:rsidRPr="005F1087">
        <w:rPr>
          <w:iCs/>
        </w:rPr>
        <w:t xml:space="preserve">en la categoría de activos </w:t>
      </w:r>
      <w:r w:rsidRPr="005F1087">
        <w:rPr>
          <w:i/>
          <w:iCs/>
        </w:rPr>
        <w:t>l</w:t>
      </w:r>
      <w:r w:rsidRPr="005F1087">
        <w:rPr>
          <w:iCs/>
        </w:rPr>
        <w:t xml:space="preserve"> para el año </w:t>
      </w:r>
      <w:r w:rsidRPr="005F1087">
        <w:rPr>
          <w:i/>
          <w:iCs/>
        </w:rPr>
        <w:t>t</w:t>
      </w:r>
      <w:r w:rsidRPr="005F1087">
        <w:rPr>
          <w:i/>
          <w:iCs/>
        </w:rPr>
        <w:noBreakHyphen/>
        <w:t>1</w:t>
      </w:r>
      <w:r w:rsidRPr="005F1087">
        <w:rPr>
          <w:iCs/>
        </w:rPr>
        <w:t xml:space="preserve">. Se calcula </w:t>
      </w:r>
      <w:r w:rsidRPr="005F1087">
        <w:t xml:space="preserve">solo para los </w:t>
      </w:r>
      <w:r w:rsidRPr="005F1087">
        <w:rPr>
          <w:iCs/>
        </w:rPr>
        <w:t xml:space="preserve">tipos de inversión </w:t>
      </w:r>
      <w:r w:rsidRPr="005F1087">
        <w:rPr>
          <w:i/>
          <w:iCs/>
        </w:rPr>
        <w:t xml:space="preserve">TI </w:t>
      </w:r>
      <w:r w:rsidRPr="005F1087">
        <w:rPr>
          <w:iCs/>
        </w:rPr>
        <w:t xml:space="preserve">= I y </w:t>
      </w:r>
      <w:r w:rsidRPr="005F1087">
        <w:rPr>
          <w:i/>
          <w:iCs/>
        </w:rPr>
        <w:t>TI</w:t>
      </w:r>
      <w:r w:rsidRPr="005F1087">
        <w:rPr>
          <w:iCs/>
        </w:rPr>
        <w:t xml:space="preserve"> = III, en forma similar a la variable </w:t>
      </w:r>
      <w:r w:rsidRPr="005F1087">
        <w:rPr>
          <w:i/>
          <w:iCs/>
        </w:rPr>
        <w:t>INVTR</w:t>
      </w:r>
      <w:r w:rsidRPr="005F1087">
        <w:rPr>
          <w:i/>
          <w:iCs/>
          <w:vertAlign w:val="subscript"/>
        </w:rPr>
        <w:t>j,n,TI,l,t-1</w:t>
      </w:r>
      <w:r w:rsidRPr="005F1087">
        <w:rPr>
          <w:iCs/>
        </w:rPr>
        <w:t>, definida</w:t>
      </w:r>
      <w:r w:rsidRPr="005F1087">
        <w:t xml:space="preserve"> en el numeral </w:t>
      </w:r>
      <w:r w:rsidRPr="005F1087">
        <w:fldChar w:fldCharType="begin"/>
      </w:r>
      <w:r w:rsidRPr="005F1087">
        <w:instrText xml:space="preserve"> REF _Ref476757995 \r \h  \* MERGEFORMAT </w:instrText>
      </w:r>
      <w:r w:rsidRPr="005F1087">
        <w:fldChar w:fldCharType="separate"/>
      </w:r>
      <w:r w:rsidR="00737178">
        <w:t>6.5</w:t>
      </w:r>
      <w:r w:rsidRPr="005F1087">
        <w:fldChar w:fldCharType="end"/>
      </w:r>
      <w:r w:rsidRPr="005F1087">
        <w:t xml:space="preserve">, </w:t>
      </w:r>
      <w:r w:rsidRPr="005F1087">
        <w:rPr>
          <w:iCs/>
        </w:rPr>
        <w:t>pero tomando RPP=0 para todas las UC incluidas en su cálculo</w:t>
      </w:r>
      <w:r w:rsidRPr="005F1087">
        <w:t xml:space="preserve">. </w:t>
      </w:r>
    </w:p>
    <w:p w:rsidR="005F1087" w:rsidRPr="005F1087" w:rsidRDefault="005F1087" w:rsidP="005F1087">
      <w:pPr>
        <w:tabs>
          <w:tab w:val="left" w:pos="2552"/>
        </w:tabs>
        <w:spacing w:before="120"/>
        <w:ind w:left="2552" w:hanging="2126"/>
      </w:pPr>
      <w:r w:rsidRPr="005F1087">
        <w:rPr>
          <w:i/>
          <w:iCs/>
        </w:rPr>
        <w:t>L:</w:t>
      </w:r>
      <w:r w:rsidRPr="005F1087">
        <w:rPr>
          <w:i/>
          <w:iCs/>
        </w:rPr>
        <w:tab/>
      </w:r>
      <w:r w:rsidRPr="005F1087">
        <w:t>Cantidad de categorías de activos.</w:t>
      </w:r>
    </w:p>
    <w:p w:rsidR="005F1087" w:rsidRPr="005F1087" w:rsidRDefault="005F1087" w:rsidP="005F1087">
      <w:pPr>
        <w:ind w:left="2124" w:hanging="2124"/>
        <w:rPr>
          <w:lang w:val="es-MX"/>
        </w:rPr>
      </w:pPr>
      <w:r w:rsidRPr="005F1087">
        <w:rPr>
          <w:i/>
          <w:lang w:val="es-MX"/>
        </w:rPr>
        <w:lastRenderedPageBreak/>
        <w:t>VACPIEC</w:t>
      </w:r>
      <w:r w:rsidRPr="005F1087">
        <w:rPr>
          <w:i/>
          <w:vertAlign w:val="subscript"/>
          <w:lang w:val="es-MX"/>
        </w:rPr>
        <w:t>j,n,t</w:t>
      </w:r>
      <w:r w:rsidRPr="005F1087">
        <w:rPr>
          <w:lang w:val="es-MX"/>
        </w:rPr>
        <w:t>:</w:t>
      </w:r>
      <w:r w:rsidRPr="005F1087">
        <w:rPr>
          <w:lang w:val="es-MX"/>
        </w:rPr>
        <w:tab/>
        <w:t xml:space="preserve">Valor acumulado hasta el año </w:t>
      </w:r>
      <w:r w:rsidRPr="005F1087">
        <w:rPr>
          <w:i/>
          <w:lang w:val="es-MX"/>
        </w:rPr>
        <w:t>t</w:t>
      </w:r>
      <w:r w:rsidRPr="005F1087">
        <w:rPr>
          <w:lang w:val="es-MX"/>
        </w:rPr>
        <w:t xml:space="preserve"> de las nuevas inversiones que hacen parte del PIEC, de acuerdo con lo señalado en el capítulo </w:t>
      </w:r>
      <w:r w:rsidRPr="005F1087">
        <w:rPr>
          <w:lang w:val="es-MX"/>
        </w:rPr>
        <w:fldChar w:fldCharType="begin"/>
      </w:r>
      <w:r w:rsidRPr="005F1087">
        <w:rPr>
          <w:lang w:val="es-MX"/>
        </w:rPr>
        <w:instrText xml:space="preserve"> REF _Ref440028500 \r \h \t  \* MERGEFORMAT </w:instrText>
      </w:r>
      <w:r w:rsidRPr="005F1087">
        <w:rPr>
          <w:lang w:val="es-MX"/>
        </w:rPr>
      </w:r>
      <w:r w:rsidRPr="005F1087">
        <w:rPr>
          <w:lang w:val="es-MX"/>
        </w:rPr>
        <w:fldChar w:fldCharType="separate"/>
      </w:r>
      <w:r w:rsidR="00737178">
        <w:rPr>
          <w:lang w:val="es-MX"/>
        </w:rPr>
        <w:t>13</w:t>
      </w:r>
      <w:r w:rsidRPr="005F1087">
        <w:rPr>
          <w:lang w:val="es-MX"/>
        </w:rPr>
        <w:fldChar w:fldCharType="end"/>
      </w:r>
      <w:r w:rsidRPr="005F1087">
        <w:rPr>
          <w:lang w:val="es-MX"/>
        </w:rPr>
        <w:t xml:space="preserve"> en el nivel de tensión </w:t>
      </w:r>
      <w:r w:rsidRPr="005F1087">
        <w:rPr>
          <w:i/>
          <w:lang w:val="es-MX"/>
        </w:rPr>
        <w:t>n</w:t>
      </w:r>
      <w:r w:rsidRPr="005F1087">
        <w:rPr>
          <w:lang w:val="es-MX"/>
        </w:rPr>
        <w:t xml:space="preserve">, diferentes a las incluidas en la variable </w:t>
      </w:r>
      <w:r w:rsidRPr="005F1087">
        <w:rPr>
          <w:i/>
          <w:lang w:val="es-MX"/>
        </w:rPr>
        <w:t>VACNI</w:t>
      </w:r>
      <w:r w:rsidRPr="005F1087">
        <w:rPr>
          <w:i/>
          <w:vertAlign w:val="subscript"/>
          <w:lang w:val="es-MX"/>
        </w:rPr>
        <w:t>j,n,t</w:t>
      </w:r>
      <w:r w:rsidRPr="005F1087">
        <w:rPr>
          <w:lang w:val="es-MX"/>
        </w:rPr>
        <w:t xml:space="preserve">, para el OR </w:t>
      </w:r>
      <w:r w:rsidRPr="005F1087">
        <w:rPr>
          <w:i/>
          <w:lang w:val="es-MX"/>
        </w:rPr>
        <w:t>j</w:t>
      </w:r>
      <w:r w:rsidRPr="005F1087">
        <w:rPr>
          <w:lang w:val="es-MX"/>
        </w:rPr>
        <w:t>, expresado en pesos de la fecha de corte. Se calcula de la siguiente forma:</w:t>
      </w:r>
    </w:p>
    <w:p w:rsidR="005F1087" w:rsidRPr="005F1087" w:rsidRDefault="00C9592F" w:rsidP="005F1087">
      <w:pPr>
        <w:rPr>
          <w:lang w:val="es-MX"/>
        </w:rPr>
      </w:pPr>
      <m:oMathPara>
        <m:oMath>
          <m:sSub>
            <m:sSubPr>
              <m:ctrlPr>
                <w:rPr>
                  <w:rFonts w:ascii="Cambria Math" w:hAnsi="Cambria Math"/>
                  <w:i/>
                  <w:lang w:val="es-MX"/>
                </w:rPr>
              </m:ctrlPr>
            </m:sSubPr>
            <m:e>
              <m:r>
                <w:rPr>
                  <w:rFonts w:ascii="Cambria Math" w:hAnsi="Cambria Math"/>
                  <w:lang w:val="es-MX"/>
                </w:rPr>
                <m:t>VACPIEC</m:t>
              </m:r>
            </m:e>
            <m:sub>
              <m:r>
                <w:rPr>
                  <w:rFonts w:ascii="Cambria Math" w:hAnsi="Cambria Math"/>
                  <w:lang w:val="es-MX"/>
                </w:rPr>
                <m:t>j,n,t</m:t>
              </m:r>
            </m:sub>
          </m:sSub>
          <m:r>
            <w:rPr>
              <w:rFonts w:ascii="Cambria Math" w:hAnsi="Cambria Math"/>
              <w:lang w:val="es-MX"/>
            </w:rPr>
            <m:t>=</m:t>
          </m:r>
          <m:sSub>
            <m:sSubPr>
              <m:ctrlPr>
                <w:rPr>
                  <w:rFonts w:ascii="Cambria Math" w:hAnsi="Cambria Math"/>
                  <w:i/>
                  <w:lang w:val="es-MX"/>
                </w:rPr>
              </m:ctrlPr>
            </m:sSubPr>
            <m:e>
              <m:r>
                <w:rPr>
                  <w:rFonts w:ascii="Cambria Math" w:hAnsi="Cambria Math"/>
                  <w:lang w:val="es-MX"/>
                </w:rPr>
                <m:t>VACPIEC</m:t>
              </m:r>
            </m:e>
            <m:sub>
              <m:r>
                <w:rPr>
                  <w:rFonts w:ascii="Cambria Math" w:hAnsi="Cambria Math"/>
                  <w:lang w:val="es-MX"/>
                </w:rPr>
                <m:t>j,n,t-1</m:t>
              </m:r>
            </m:sub>
          </m:sSub>
          <m:r>
            <w:rPr>
              <w:rFonts w:ascii="Cambria Math" w:hAnsi="Cambria Math"/>
              <w:lang w:val="es-MX"/>
            </w:rPr>
            <m:t>+</m:t>
          </m:r>
          <m:nary>
            <m:naryPr>
              <m:chr m:val="∑"/>
              <m:limLoc m:val="undOvr"/>
              <m:ctrlPr>
                <w:rPr>
                  <w:rFonts w:ascii="Cambria Math" w:hAnsi="Cambria Math"/>
                  <w:i/>
                  <w:lang w:val="es-MX"/>
                </w:rPr>
              </m:ctrlPr>
            </m:naryPr>
            <m:sub>
              <m:r>
                <w:rPr>
                  <w:rFonts w:ascii="Cambria Math" w:hAnsi="Cambria Math"/>
                  <w:lang w:val="es-MX"/>
                </w:rPr>
                <m:t>l=1</m:t>
              </m:r>
            </m:sub>
            <m:sup>
              <m:r>
                <w:rPr>
                  <w:rFonts w:ascii="Cambria Math" w:hAnsi="Cambria Math"/>
                  <w:lang w:val="es-MX"/>
                </w:rPr>
                <m:t>L</m:t>
              </m:r>
            </m:sup>
            <m:e>
              <m:sSub>
                <m:sSubPr>
                  <m:ctrlPr>
                    <w:rPr>
                      <w:rFonts w:ascii="Cambria Math" w:hAnsi="Cambria Math"/>
                      <w:i/>
                      <w:lang w:val="es-MX"/>
                    </w:rPr>
                  </m:ctrlPr>
                </m:sSubPr>
                <m:e>
                  <m:r>
                    <w:rPr>
                      <w:rFonts w:ascii="Cambria Math" w:hAnsi="Cambria Math"/>
                      <w:lang w:val="es-MX"/>
                    </w:rPr>
                    <m:t>IREC_RP</m:t>
                  </m:r>
                </m:e>
                <m:sub>
                  <m:r>
                    <w:rPr>
                      <w:rFonts w:ascii="Cambria Math" w:hAnsi="Cambria Math"/>
                      <w:lang w:val="es-MX"/>
                    </w:rPr>
                    <m:t>j,n,l,t-1</m:t>
                  </m:r>
                </m:sub>
              </m:sSub>
            </m:e>
          </m:nary>
        </m:oMath>
      </m:oMathPara>
    </w:p>
    <w:p w:rsidR="005F1087" w:rsidRPr="004E6CFC" w:rsidRDefault="005F1087" w:rsidP="005F1087">
      <w:pPr>
        <w:ind w:left="2552" w:hanging="2125"/>
      </w:pPr>
      <w:r w:rsidRPr="005F1087">
        <w:rPr>
          <w:i/>
          <w:iCs/>
        </w:rPr>
        <w:t>IREC_RP</w:t>
      </w:r>
      <w:r w:rsidRPr="005F1087">
        <w:rPr>
          <w:i/>
          <w:iCs/>
          <w:vertAlign w:val="subscript"/>
        </w:rPr>
        <w:t>j,n,l,t-1</w:t>
      </w:r>
      <w:r w:rsidRPr="005F1087">
        <w:t>:</w:t>
      </w:r>
      <w:r w:rsidRPr="005F1087">
        <w:tab/>
      </w:r>
      <w:r w:rsidRPr="005F1087">
        <w:rPr>
          <w:iCs/>
        </w:rPr>
        <w:t xml:space="preserve">Inversión en activos puestos en operación en los proyectos de expansión de cobertura del OR </w:t>
      </w:r>
      <w:r w:rsidRPr="005F1087">
        <w:rPr>
          <w:i/>
          <w:iCs/>
        </w:rPr>
        <w:t>j</w:t>
      </w:r>
      <w:r w:rsidRPr="005F1087">
        <w:rPr>
          <w:iCs/>
        </w:rPr>
        <w:t xml:space="preserve"> en el nivel de tensión </w:t>
      </w:r>
      <w:r w:rsidRPr="005F1087">
        <w:rPr>
          <w:i/>
          <w:iCs/>
        </w:rPr>
        <w:t>n</w:t>
      </w:r>
      <w:r w:rsidRPr="005F1087">
        <w:rPr>
          <w:iCs/>
        </w:rPr>
        <w:t xml:space="preserve">, en la categoría de activos </w:t>
      </w:r>
      <w:r w:rsidRPr="005F1087">
        <w:rPr>
          <w:i/>
          <w:iCs/>
        </w:rPr>
        <w:t>l</w:t>
      </w:r>
      <w:r w:rsidRPr="005F1087">
        <w:rPr>
          <w:iCs/>
        </w:rPr>
        <w:t xml:space="preserve">, para el año </w:t>
      </w:r>
      <w:r w:rsidRPr="005F1087">
        <w:rPr>
          <w:i/>
          <w:iCs/>
        </w:rPr>
        <w:t>t-1</w:t>
      </w:r>
      <w:r w:rsidRPr="005F1087">
        <w:rPr>
          <w:iCs/>
        </w:rPr>
        <w:t xml:space="preserve">. Se calcula en forma similar a la variable </w:t>
      </w:r>
      <w:r w:rsidRPr="005F1087">
        <w:rPr>
          <w:i/>
          <w:iCs/>
        </w:rPr>
        <w:t>IREC</w:t>
      </w:r>
      <w:r w:rsidRPr="005F1087">
        <w:rPr>
          <w:i/>
          <w:iCs/>
          <w:vertAlign w:val="subscript"/>
        </w:rPr>
        <w:t>j,n,l,t-1</w:t>
      </w:r>
      <w:r w:rsidRPr="005F1087">
        <w:rPr>
          <w:iCs/>
        </w:rPr>
        <w:t xml:space="preserve">, definida en el numeral </w:t>
      </w:r>
      <w:r w:rsidRPr="005F1087">
        <w:rPr>
          <w:iCs/>
        </w:rPr>
        <w:fldChar w:fldCharType="begin"/>
      </w:r>
      <w:r w:rsidRPr="005F1087">
        <w:rPr>
          <w:iCs/>
        </w:rPr>
        <w:instrText xml:space="preserve"> REF _Ref445134413 \r \h  \* MERGEFORMAT </w:instrText>
      </w:r>
      <w:r w:rsidRPr="005F1087">
        <w:rPr>
          <w:iCs/>
        </w:rPr>
      </w:r>
      <w:r w:rsidRPr="005F1087">
        <w:rPr>
          <w:iCs/>
        </w:rPr>
        <w:fldChar w:fldCharType="separate"/>
      </w:r>
      <w:r w:rsidR="00737178">
        <w:rPr>
          <w:iCs/>
        </w:rPr>
        <w:t>13.7</w:t>
      </w:r>
      <w:r w:rsidRPr="005F1087">
        <w:rPr>
          <w:iCs/>
        </w:rPr>
        <w:fldChar w:fldCharType="end"/>
      </w:r>
      <w:r w:rsidRPr="005F1087">
        <w:t xml:space="preserve">, </w:t>
      </w:r>
      <w:r w:rsidRPr="005F1087">
        <w:rPr>
          <w:iCs/>
        </w:rPr>
        <w:t>pero tomando RPP=0 para todas las UC incluidas en su cálculo</w:t>
      </w:r>
      <w:r w:rsidRPr="004E6CFC">
        <w:t>.</w:t>
      </w:r>
      <w:r w:rsidRPr="004E6CFC">
        <w:rPr>
          <w:iCs/>
        </w:rPr>
        <w:t xml:space="preserve"> </w:t>
      </w:r>
    </w:p>
    <w:p w:rsidR="005F1087" w:rsidRDefault="005F1087" w:rsidP="005F1087">
      <w:pPr>
        <w:tabs>
          <w:tab w:val="left" w:pos="2552"/>
        </w:tabs>
        <w:spacing w:before="120"/>
        <w:ind w:left="2552" w:hanging="2125"/>
      </w:pPr>
      <w:r w:rsidRPr="004E6CFC">
        <w:rPr>
          <w:i/>
          <w:iCs/>
        </w:rPr>
        <w:t>L:</w:t>
      </w:r>
      <w:r w:rsidRPr="004E6CFC">
        <w:rPr>
          <w:i/>
          <w:iCs/>
        </w:rPr>
        <w:tab/>
      </w:r>
      <w:r w:rsidRPr="004E6CFC">
        <w:t>Cantidad de categorías de activos.</w:t>
      </w:r>
    </w:p>
    <w:p w:rsidR="005F1087" w:rsidRDefault="005F1087" w:rsidP="005F1087">
      <w:pPr>
        <w:tabs>
          <w:tab w:val="left" w:pos="1843"/>
        </w:tabs>
        <w:spacing w:before="120"/>
        <w:ind w:left="1843" w:hanging="1701"/>
        <w:rPr>
          <w:iCs/>
        </w:rPr>
      </w:pPr>
      <w:r>
        <w:rPr>
          <w:i/>
          <w:iCs/>
        </w:rPr>
        <w:t>fAMB</w:t>
      </w:r>
      <w:r w:rsidRPr="00B814A0">
        <w:rPr>
          <w:i/>
          <w:iCs/>
          <w:vertAlign w:val="subscript"/>
        </w:rPr>
        <w:t>j</w:t>
      </w:r>
      <w:r>
        <w:rPr>
          <w:iCs/>
        </w:rPr>
        <w:t>:</w:t>
      </w:r>
      <w:r>
        <w:rPr>
          <w:iCs/>
        </w:rPr>
        <w:tab/>
        <w:t xml:space="preserve">Factor ambiental para las nuevas inversiones del OR </w:t>
      </w:r>
      <w:r w:rsidRPr="00B814A0">
        <w:rPr>
          <w:i/>
          <w:iCs/>
        </w:rPr>
        <w:t>j</w:t>
      </w:r>
      <w:r>
        <w:rPr>
          <w:iCs/>
        </w:rPr>
        <w:t>, calculado de la siguiente forma:</w:t>
      </w:r>
    </w:p>
    <w:p w:rsidR="005F1087" w:rsidRDefault="00C9592F" w:rsidP="005F1087">
      <w:pPr>
        <w:tabs>
          <w:tab w:val="left" w:pos="0"/>
        </w:tabs>
        <w:spacing w:before="120"/>
        <w:rPr>
          <w:iCs/>
        </w:rPr>
      </w:pPr>
      <m:oMathPara>
        <m:oMath>
          <m:sSub>
            <m:sSubPr>
              <m:ctrlPr>
                <w:rPr>
                  <w:rFonts w:ascii="Cambria Math" w:hAnsi="Cambria Math"/>
                  <w:i/>
                  <w:iCs/>
                </w:rPr>
              </m:ctrlPr>
            </m:sSubPr>
            <m:e>
              <m:r>
                <w:rPr>
                  <w:rFonts w:ascii="Cambria Math" w:hAnsi="Cambria Math"/>
                </w:rPr>
                <m:t>fAMB</m:t>
              </m:r>
            </m:e>
            <m:sub>
              <m:r>
                <w:rPr>
                  <w:rFonts w:ascii="Cambria Math" w:hAnsi="Cambria Math"/>
                </w:rPr>
                <m:t>j</m:t>
              </m:r>
            </m:sub>
          </m:sSub>
          <m:r>
            <w:rPr>
              <w:rFonts w:ascii="Cambria Math" w:hAnsi="Cambria Math"/>
            </w:rPr>
            <m:t>=</m:t>
          </m:r>
          <m:f>
            <m:fPr>
              <m:ctrlPr>
                <w:rPr>
                  <w:rFonts w:ascii="Cambria Math" w:hAnsi="Cambria Math"/>
                  <w:i/>
                  <w:iCs/>
                </w:rPr>
              </m:ctrlPr>
            </m:fPr>
            <m:num>
              <m:sSub>
                <m:sSubPr>
                  <m:ctrlPr>
                    <w:rPr>
                      <w:rFonts w:ascii="Cambria Math" w:hAnsi="Cambria Math"/>
                      <w:i/>
                      <w:lang w:val="es-MX"/>
                    </w:rPr>
                  </m:ctrlPr>
                </m:sSubPr>
                <m:e>
                  <m:r>
                    <w:rPr>
                      <w:rFonts w:ascii="Cambria Math" w:hAnsi="Cambria Math"/>
                      <w:lang w:val="es-MX"/>
                    </w:rPr>
                    <m:t>AOMbase</m:t>
                  </m:r>
                </m:e>
                <m:sub>
                  <m:r>
                    <w:rPr>
                      <w:rFonts w:ascii="Cambria Math" w:hAnsi="Cambria Math"/>
                      <w:lang w:val="es-MX"/>
                    </w:rPr>
                    <m:t>j</m:t>
                  </m:r>
                </m:sub>
              </m:sSub>
            </m:num>
            <m:den>
              <m:sSub>
                <m:sSubPr>
                  <m:ctrlPr>
                    <w:rPr>
                      <w:rFonts w:ascii="Cambria Math" w:hAnsi="Cambria Math"/>
                      <w:i/>
                      <w:lang w:val="es-MX"/>
                    </w:rPr>
                  </m:ctrlPr>
                </m:sSubPr>
                <m:e>
                  <m:r>
                    <w:rPr>
                      <w:rFonts w:ascii="Cambria Math" w:hAnsi="Cambria Math"/>
                      <w:lang w:val="es-MX"/>
                    </w:rPr>
                    <m:t>AOMbase</m:t>
                  </m:r>
                </m:e>
                <m:sub>
                  <m:r>
                    <w:rPr>
                      <w:rFonts w:ascii="Cambria Math" w:hAnsi="Cambria Math"/>
                      <w:lang w:val="es-MX"/>
                    </w:rPr>
                    <m:t>j</m:t>
                  </m:r>
                </m:sub>
              </m:sSub>
              <m:r>
                <w:rPr>
                  <w:rFonts w:ascii="Cambria Math" w:hAnsi="Cambria Math"/>
                  <w:lang w:val="es-MX"/>
                </w:rPr>
                <m:t>-</m:t>
              </m:r>
              <m:d>
                <m:dPr>
                  <m:ctrlPr>
                    <w:rPr>
                      <w:rFonts w:ascii="Cambria Math" w:hAnsi="Cambria Math"/>
                      <w:i/>
                      <w:lang w:val="es-MX"/>
                    </w:rPr>
                  </m:ctrlPr>
                </m:dPr>
                <m:e>
                  <m:sSub>
                    <m:sSubPr>
                      <m:ctrlPr>
                        <w:rPr>
                          <w:rFonts w:ascii="Cambria Math" w:hAnsi="Cambria Math"/>
                          <w:i/>
                          <w:lang w:val="es-MX"/>
                        </w:rPr>
                      </m:ctrlPr>
                    </m:sSubPr>
                    <m:e>
                      <m:r>
                        <w:rPr>
                          <w:rFonts w:ascii="Cambria Math" w:hAnsi="Cambria Math"/>
                          <w:lang w:val="es-MX"/>
                        </w:rPr>
                        <m:t>AMB</m:t>
                      </m:r>
                    </m:e>
                    <m:sub>
                      <m:r>
                        <w:rPr>
                          <w:rFonts w:ascii="Cambria Math" w:hAnsi="Cambria Math"/>
                          <w:lang w:val="es-MX"/>
                        </w:rPr>
                        <m:t>j</m:t>
                      </m:r>
                    </m:sub>
                  </m:sSub>
                  <m:r>
                    <w:rPr>
                      <w:rFonts w:ascii="Cambria Math" w:hAnsi="Cambria Math"/>
                      <w:lang w:val="es-MX"/>
                    </w:rPr>
                    <m:t>*</m:t>
                  </m:r>
                  <m:f>
                    <m:fPr>
                      <m:ctrlPr>
                        <w:rPr>
                          <w:rFonts w:ascii="Cambria Math" w:hAnsi="Cambria Math"/>
                          <w:i/>
                          <w:lang w:val="es-MX"/>
                        </w:rPr>
                      </m:ctrlPr>
                    </m:fPr>
                    <m:num>
                      <m:sSub>
                        <m:sSubPr>
                          <m:ctrlPr>
                            <w:rPr>
                              <w:rFonts w:ascii="Cambria Math" w:hAnsi="Cambria Math"/>
                              <w:i/>
                              <w:lang w:val="es-MX"/>
                            </w:rPr>
                          </m:ctrlPr>
                        </m:sSubPr>
                        <m:e>
                          <m:r>
                            <w:rPr>
                              <w:rFonts w:ascii="Cambria Math" w:hAnsi="Cambria Math"/>
                              <w:lang w:val="es-MX"/>
                            </w:rPr>
                            <m:t>IPP</m:t>
                          </m:r>
                        </m:e>
                        <m:sub>
                          <m:r>
                            <w:rPr>
                              <w:rFonts w:ascii="Cambria Math" w:hAnsi="Cambria Math"/>
                              <w:lang w:val="es-MX"/>
                            </w:rPr>
                            <m:t>FC</m:t>
                          </m:r>
                        </m:sub>
                      </m:sSub>
                    </m:num>
                    <m:den>
                      <m:sSub>
                        <m:sSubPr>
                          <m:ctrlPr>
                            <w:rPr>
                              <w:rFonts w:ascii="Cambria Math" w:hAnsi="Cambria Math"/>
                              <w:i/>
                              <w:lang w:val="es-MX"/>
                            </w:rPr>
                          </m:ctrlPr>
                        </m:sSubPr>
                        <m:e>
                          <m:r>
                            <w:rPr>
                              <w:rFonts w:ascii="Cambria Math" w:hAnsi="Cambria Math"/>
                              <w:lang w:val="es-MX"/>
                            </w:rPr>
                            <m:t>IPP</m:t>
                          </m:r>
                        </m:e>
                        <m:sub>
                          <m:r>
                            <w:rPr>
                              <w:rFonts w:ascii="Cambria Math" w:hAnsi="Cambria Math"/>
                              <w:lang w:val="es-MX"/>
                            </w:rPr>
                            <m:t>2016</m:t>
                          </m:r>
                        </m:sub>
                      </m:sSub>
                    </m:den>
                  </m:f>
                </m:e>
              </m:d>
            </m:den>
          </m:f>
        </m:oMath>
      </m:oMathPara>
    </w:p>
    <w:p w:rsidR="005F1087" w:rsidRPr="004E6CFC" w:rsidRDefault="005F1087" w:rsidP="005F1087">
      <w:pPr>
        <w:ind w:left="2127" w:hanging="1560"/>
        <w:rPr>
          <w:lang w:val="es-MX"/>
        </w:rPr>
      </w:pPr>
      <w:r w:rsidRPr="004E6CFC">
        <w:rPr>
          <w:i/>
        </w:rPr>
        <w:t>AOMbase</w:t>
      </w:r>
      <w:r w:rsidRPr="004E6CFC">
        <w:rPr>
          <w:i/>
          <w:vertAlign w:val="subscript"/>
        </w:rPr>
        <w:t>j</w:t>
      </w:r>
      <w:r w:rsidRPr="004E6CFC">
        <w:rPr>
          <w:lang w:val="es-MX"/>
        </w:rPr>
        <w:t>:</w:t>
      </w:r>
      <w:r w:rsidRPr="004E6CFC">
        <w:rPr>
          <w:lang w:val="es-MX"/>
        </w:rPr>
        <w:tab/>
        <w:t xml:space="preserve">Valor del AOM base del OR </w:t>
      </w:r>
      <w:r w:rsidRPr="004E6CFC">
        <w:rPr>
          <w:i/>
          <w:lang w:val="es-MX"/>
        </w:rPr>
        <w:t>j</w:t>
      </w:r>
      <w:r w:rsidRPr="004E6CFC">
        <w:rPr>
          <w:lang w:val="es-MX"/>
        </w:rPr>
        <w:t xml:space="preserve">, calculado de acuerdo con lo previsto en el numeral </w:t>
      </w:r>
      <w:r w:rsidRPr="004E6CFC">
        <w:rPr>
          <w:lang w:val="es-MX"/>
        </w:rPr>
        <w:fldChar w:fldCharType="begin"/>
      </w:r>
      <w:r w:rsidRPr="004E6CFC">
        <w:rPr>
          <w:lang w:val="es-MX"/>
        </w:rPr>
        <w:instrText xml:space="preserve"> REF _Ref444698515 \r \h  \* MERGEFORMAT </w:instrText>
      </w:r>
      <w:r w:rsidRPr="004E6CFC">
        <w:rPr>
          <w:lang w:val="es-MX"/>
        </w:rPr>
      </w:r>
      <w:r w:rsidRPr="004E6CFC">
        <w:rPr>
          <w:lang w:val="es-MX"/>
        </w:rPr>
        <w:fldChar w:fldCharType="separate"/>
      </w:r>
      <w:r w:rsidR="00737178">
        <w:rPr>
          <w:lang w:val="es-MX"/>
        </w:rPr>
        <w:t>4.1</w:t>
      </w:r>
      <w:r w:rsidRPr="004E6CFC">
        <w:rPr>
          <w:lang w:val="es-MX"/>
        </w:rPr>
        <w:fldChar w:fldCharType="end"/>
      </w:r>
      <w:r w:rsidRPr="004E6CFC">
        <w:rPr>
          <w:lang w:val="es-MX"/>
        </w:rPr>
        <w:t>.</w:t>
      </w:r>
    </w:p>
    <w:p w:rsidR="005F1087" w:rsidRPr="004E6CFC" w:rsidRDefault="005F1087" w:rsidP="005F1087">
      <w:pPr>
        <w:ind w:left="2127" w:hanging="1560"/>
        <w:rPr>
          <w:i/>
        </w:rPr>
      </w:pPr>
      <w:r w:rsidRPr="004E6CFC">
        <w:rPr>
          <w:i/>
        </w:rPr>
        <w:t>AMB</w:t>
      </w:r>
      <w:r w:rsidRPr="004E6CFC">
        <w:rPr>
          <w:i/>
          <w:vertAlign w:val="subscript"/>
        </w:rPr>
        <w:t>j</w:t>
      </w:r>
      <w:r w:rsidRPr="004E6CFC">
        <w:rPr>
          <w:lang w:val="es-MX"/>
        </w:rPr>
        <w:t>:</w:t>
      </w:r>
      <w:r w:rsidRPr="004E6CFC">
        <w:rPr>
          <w:lang w:val="es-MX"/>
        </w:rPr>
        <w:tab/>
      </w:r>
      <w:r>
        <w:rPr>
          <w:lang w:val="es-MX"/>
        </w:rPr>
        <w:t>Valor</w:t>
      </w:r>
      <w:r w:rsidRPr="004E6CFC">
        <w:rPr>
          <w:lang w:val="es-MX"/>
        </w:rPr>
        <w:t xml:space="preserve"> de AOM a reconocer al OR </w:t>
      </w:r>
      <w:r w:rsidRPr="004E6CFC">
        <w:rPr>
          <w:i/>
          <w:lang w:val="es-MX"/>
        </w:rPr>
        <w:t>j</w:t>
      </w:r>
      <w:r w:rsidRPr="004E6CFC">
        <w:rPr>
          <w:lang w:val="es-MX"/>
        </w:rPr>
        <w:t xml:space="preserve"> por condiciones ambientales, calculado de acuerdo con lo previsto en el numeral </w:t>
      </w:r>
      <w:r w:rsidRPr="004E6CFC">
        <w:rPr>
          <w:lang w:val="es-MX"/>
        </w:rPr>
        <w:fldChar w:fldCharType="begin"/>
      </w:r>
      <w:r w:rsidRPr="004E6CFC">
        <w:rPr>
          <w:lang w:val="es-MX"/>
        </w:rPr>
        <w:instrText xml:space="preserve"> REF _Ref460521511 \r \h  \* MERGEFORMAT </w:instrText>
      </w:r>
      <w:r w:rsidRPr="004E6CFC">
        <w:rPr>
          <w:lang w:val="es-MX"/>
        </w:rPr>
      </w:r>
      <w:r w:rsidRPr="004E6CFC">
        <w:rPr>
          <w:lang w:val="es-MX"/>
        </w:rPr>
        <w:fldChar w:fldCharType="separate"/>
      </w:r>
      <w:r w:rsidR="00737178">
        <w:rPr>
          <w:lang w:val="es-MX"/>
        </w:rPr>
        <w:t>4.1.5</w:t>
      </w:r>
      <w:r w:rsidRPr="004E6CFC">
        <w:rPr>
          <w:lang w:val="es-MX"/>
        </w:rPr>
        <w:fldChar w:fldCharType="end"/>
      </w:r>
      <w:r w:rsidRPr="004E6CFC">
        <w:rPr>
          <w:lang w:val="es-MX"/>
        </w:rPr>
        <w:t>.</w:t>
      </w:r>
    </w:p>
    <w:p w:rsidR="005F1087" w:rsidRPr="004E6CFC" w:rsidRDefault="005F1087" w:rsidP="005F1087">
      <w:pPr>
        <w:ind w:left="2127" w:hanging="1560"/>
      </w:pPr>
      <w:r w:rsidRPr="004E6CFC">
        <w:rPr>
          <w:i/>
          <w:iCs/>
        </w:rPr>
        <w:t>IPP</w:t>
      </w:r>
      <w:r w:rsidRPr="004E6CFC">
        <w:rPr>
          <w:i/>
          <w:iCs/>
          <w:vertAlign w:val="subscript"/>
        </w:rPr>
        <w:t>FC</w:t>
      </w:r>
      <w:r w:rsidRPr="004E6CFC">
        <w:t>:</w:t>
      </w:r>
      <w:r w:rsidRPr="004E6CFC">
        <w:tab/>
        <w:t>Índice de precios del productor</w:t>
      </w:r>
      <w:r w:rsidRPr="004E6CFC" w:rsidDel="004B5F5F">
        <w:t xml:space="preserve"> </w:t>
      </w:r>
      <w:r w:rsidRPr="004E6CFC">
        <w:t>correspondiente a la fecha de corte.</w:t>
      </w:r>
    </w:p>
    <w:p w:rsidR="005F1087" w:rsidRPr="00B814A0" w:rsidRDefault="005F1087" w:rsidP="005F1087">
      <w:pPr>
        <w:ind w:left="2127" w:hanging="1560"/>
        <w:rPr>
          <w:lang w:val="es-MX"/>
        </w:rPr>
      </w:pPr>
      <w:r w:rsidRPr="004E6CFC">
        <w:rPr>
          <w:i/>
          <w:iCs/>
        </w:rPr>
        <w:t>IPP</w:t>
      </w:r>
      <w:r w:rsidRPr="004E6CFC">
        <w:rPr>
          <w:i/>
          <w:iCs/>
          <w:vertAlign w:val="subscript"/>
        </w:rPr>
        <w:t>201</w:t>
      </w:r>
      <w:r>
        <w:rPr>
          <w:i/>
          <w:iCs/>
          <w:vertAlign w:val="subscript"/>
        </w:rPr>
        <w:t>6</w:t>
      </w:r>
      <w:r w:rsidRPr="004E6CFC">
        <w:t>:</w:t>
      </w:r>
      <w:r w:rsidRPr="004E6CFC">
        <w:tab/>
        <w:t>Índice de precios del productor correspondiente a diciembre de 201</w:t>
      </w:r>
      <w:r>
        <w:t>6</w:t>
      </w:r>
      <w:r w:rsidRPr="004E6CFC">
        <w:t>.</w:t>
      </w:r>
    </w:p>
    <w:p w:rsidR="005F1087" w:rsidRPr="004E6CFC" w:rsidRDefault="005F1087" w:rsidP="005F1087">
      <w:pPr>
        <w:pStyle w:val="Ttulo2"/>
      </w:pPr>
      <w:bookmarkStart w:id="280" w:name="_Toc408493151"/>
      <w:bookmarkStart w:id="281" w:name="_Toc443655686"/>
      <w:bookmarkStart w:id="282" w:name="_Ref465847277"/>
      <w:bookmarkStart w:id="283" w:name="_Ref465847282"/>
      <w:bookmarkStart w:id="284" w:name="_Toc476824146"/>
      <w:bookmarkStart w:id="285" w:name="_Toc505335926"/>
      <w:r w:rsidRPr="004E6CFC">
        <w:t>VERIFICACIÓN DEL VALOR ANUAL DE AOM</w:t>
      </w:r>
      <w:bookmarkEnd w:id="280"/>
      <w:bookmarkEnd w:id="281"/>
      <w:bookmarkEnd w:id="282"/>
      <w:bookmarkEnd w:id="283"/>
      <w:bookmarkEnd w:id="284"/>
      <w:bookmarkEnd w:id="285"/>
    </w:p>
    <w:p w:rsidR="005F1087" w:rsidRPr="004E6CFC" w:rsidRDefault="005F1087" w:rsidP="005F1087">
      <w:r w:rsidRPr="004E6CFC">
        <w:t xml:space="preserve">Con el propósito de verificar la información de AOM, los OR deberán reportarla cada año adjuntado un concepto por parte de </w:t>
      </w:r>
      <w:r w:rsidRPr="004E6CFC">
        <w:rPr>
          <w:spacing w:val="-3"/>
        </w:rPr>
        <w:t>una firma verificadora.</w:t>
      </w:r>
    </w:p>
    <w:p w:rsidR="005F1087" w:rsidRPr="004E6CFC" w:rsidRDefault="005F1087" w:rsidP="005F1087">
      <w:r w:rsidRPr="004E6CFC">
        <w:t>El informe que entregue el verificador sobre la revisión de la información de AOM debe incluir, entre otros, el formulario debidamente diligenciado y su concepto de visto bueno o de salvedad sobre la información entregada por el OR.</w:t>
      </w:r>
    </w:p>
    <w:p w:rsidR="00193054" w:rsidRPr="004E6CFC" w:rsidRDefault="005F1087" w:rsidP="003B0E42">
      <w:bookmarkStart w:id="286" w:name="_Ref257126074"/>
      <w:r w:rsidRPr="004E6CFC">
        <w:t>Los OR deben entregar a la SSPD, la información de AOM del año anterior junto con el informe del verificador contratado</w:t>
      </w:r>
      <w:bookmarkEnd w:id="286"/>
      <w:r w:rsidR="00401E00">
        <w:t>.</w:t>
      </w:r>
      <w:r w:rsidRPr="004E6CFC">
        <w:t xml:space="preserve"> La información a entregar, los plazos y los demás requisitos de los informes serán dados a conoce</w:t>
      </w:r>
      <w:r>
        <w:t>r por la CREG en forma separada</w:t>
      </w:r>
      <w:r w:rsidR="00AA31A5" w:rsidRPr="004E6CFC">
        <w:t>.</w:t>
      </w:r>
    </w:p>
    <w:p w:rsidR="00193054" w:rsidRPr="004E6CFC" w:rsidRDefault="00193054" w:rsidP="00193054">
      <w:pPr>
        <w:spacing w:before="0" w:after="0"/>
        <w:jc w:val="left"/>
      </w:pPr>
      <w:r w:rsidRPr="004E6CFC">
        <w:br w:type="page"/>
      </w:r>
    </w:p>
    <w:p w:rsidR="00193054" w:rsidRPr="004E77B3" w:rsidRDefault="00193054" w:rsidP="00193054">
      <w:pPr>
        <w:pStyle w:val="Ttulo1"/>
      </w:pPr>
      <w:bookmarkStart w:id="287" w:name="_Ref403650856"/>
      <w:bookmarkStart w:id="288" w:name="_Toc408493160"/>
      <w:bookmarkStart w:id="289" w:name="_Ref460399206"/>
      <w:bookmarkStart w:id="290" w:name="_Toc505335927"/>
      <w:r w:rsidRPr="004E77B3">
        <w:lastRenderedPageBreak/>
        <w:t>CALIDAD DEL SERVICIO</w:t>
      </w:r>
      <w:bookmarkEnd w:id="287"/>
      <w:bookmarkEnd w:id="288"/>
      <w:bookmarkEnd w:id="289"/>
      <w:bookmarkEnd w:id="290"/>
    </w:p>
    <w:p w:rsidR="00407449" w:rsidRPr="004E6CFC" w:rsidRDefault="00407449" w:rsidP="00407449">
      <w:pPr>
        <w:rPr>
          <w:lang w:val="es-CO"/>
        </w:rPr>
      </w:pPr>
      <w:bookmarkStart w:id="291" w:name="_Toc460840596"/>
      <w:r w:rsidRPr="004E6CFC">
        <w:rPr>
          <w:lang w:val="es-CO"/>
        </w:rPr>
        <w:t>En este capítulo se establecen las características que se deben cumplir en cuanto a la calidad en la prestación del servicio de distribución de energía eléctrica en los STR y los SDL que hacen parte del SIN y las disposiciones que serán aplicables en el caso de presentarse variaciones en dichas características.</w:t>
      </w:r>
    </w:p>
    <w:p w:rsidR="00407449" w:rsidRPr="004E6CFC" w:rsidRDefault="00407449" w:rsidP="00407449">
      <w:pPr>
        <w:pStyle w:val="Ttulo2"/>
      </w:pPr>
      <w:bookmarkStart w:id="292" w:name="_Toc505070072"/>
      <w:bookmarkStart w:id="293" w:name="_Toc505335928"/>
      <w:r w:rsidRPr="004E6CFC">
        <w:t>CALIDAD DEL SERVICIO EN LOS STR</w:t>
      </w:r>
      <w:bookmarkEnd w:id="292"/>
      <w:bookmarkEnd w:id="293"/>
    </w:p>
    <w:p w:rsidR="00407449" w:rsidRPr="004E6CFC" w:rsidRDefault="00407449" w:rsidP="00407449">
      <w:r w:rsidRPr="004E6CFC">
        <w:t>Sin perjuicio de la responsabilidad a cargo del OR o del TR por los daños y perjuicios causados a usuarios o terceros, el incumplimiento de la calidad definida en esta resolución dará lugar a la aplicación de las disposiciones que se establecen en este capítulo.</w:t>
      </w:r>
    </w:p>
    <w:p w:rsidR="00407449" w:rsidRPr="004E6CFC" w:rsidRDefault="00407449" w:rsidP="00407449">
      <w:r w:rsidRPr="004E6CFC">
        <w:t>La regulación contenida en este capítulo también le aplica a los TR que representan ante el LAC los activos del STR construidos a través de procesos de libre concurrencia, de acuerdo con lo establecido en la Resolución CREG 024 de 2013 o la que la modifique o sustituya. Por lo tanto, en el texto de este capítulo cuando se hace mención al OR debe entenderse que también se refiere a los TR adjudicatarios de los proyectos construidos a través de procesos de libre concurrencia.</w:t>
      </w:r>
    </w:p>
    <w:p w:rsidR="00407449" w:rsidRPr="004E6CFC" w:rsidRDefault="00407449" w:rsidP="00407449">
      <w:r w:rsidRPr="004E6CFC">
        <w:t>La aplicación de las disposiciones de calidad del servicio en los STR se da a partir de</w:t>
      </w:r>
      <w:r w:rsidR="004E77B3">
        <w:t xml:space="preserve"> la entrada en vigencia de la primera resolución particular aprobada con base en esta metodología</w:t>
      </w:r>
      <w:r>
        <w:t>.</w:t>
      </w:r>
      <w:r w:rsidRPr="004E6CFC">
        <w:t xml:space="preserve"> No obstante, los valores de compensaciones generados por la regulación de calidad de la Resolución CREG 097 de 2008 que se encuentren pendientes de definición a través de un acto administrativo de la SSPD, deben ser restados del ingreso del respectivo OR en el mes siguiente a que el mencionado acto quede en firme, junto con las compensaciones que se generen para ese mes por la aplicación de la presente resolución. </w:t>
      </w:r>
    </w:p>
    <w:p w:rsidR="00407449" w:rsidRPr="004E6CFC" w:rsidRDefault="00407449" w:rsidP="00407449">
      <w:pPr>
        <w:pStyle w:val="Ttulo3"/>
      </w:pPr>
      <w:bookmarkStart w:id="294" w:name="_Toc476824149"/>
      <w:bookmarkStart w:id="295" w:name="_Toc505070073"/>
      <w:bookmarkStart w:id="296" w:name="_Toc505335929"/>
      <w:r w:rsidRPr="004E6CFC">
        <w:t>Características de calidad a la que está asociado el ingreso</w:t>
      </w:r>
      <w:bookmarkEnd w:id="294"/>
      <w:bookmarkEnd w:id="295"/>
      <w:bookmarkEnd w:id="296"/>
      <w:r w:rsidRPr="004E6CFC">
        <w:t xml:space="preserve"> </w:t>
      </w:r>
    </w:p>
    <w:p w:rsidR="00407449" w:rsidRPr="004E6CFC" w:rsidRDefault="00407449" w:rsidP="00407449">
      <w:r w:rsidRPr="004E6CFC">
        <w:t>El ingreso de cada agente</w:t>
      </w:r>
      <w:r>
        <w:t>, por el uso de los activos del STR de los cuales es responsable</w:t>
      </w:r>
      <w:r w:rsidRPr="004E6CFC">
        <w:t>, calculado de acuerdo con lo previsto en esta resolución, estará asociado a una calidad con las siguientes características:</w:t>
      </w:r>
    </w:p>
    <w:p w:rsidR="00407449" w:rsidRPr="004E6CFC" w:rsidRDefault="00407449" w:rsidP="00407449">
      <w:r w:rsidRPr="004E6CFC">
        <w:t>La duración de las indisponibilidades de los activos utilizados en la prestación del servicio no deberá superar las máximas horas anuales de indisponibilidad ajustadas.</w:t>
      </w:r>
    </w:p>
    <w:p w:rsidR="00407449" w:rsidRPr="004E6CFC" w:rsidRDefault="00407449" w:rsidP="00407449">
      <w:r w:rsidRPr="004E6CFC">
        <w:t>Las indisponibilidades máximas permitidas de un activo, originadas en catástrofes naturales tales como erosión (volcánica, fluvial o glacial), terremotos, maremotos, huracanes, ciclones y/o tornados, y las debidas a actos de terrorismo, no deberán superar los seis meses, contados desde la fecha de ocurrencia de la catástrofe.</w:t>
      </w:r>
    </w:p>
    <w:p w:rsidR="00407449" w:rsidRPr="004E6CFC" w:rsidRDefault="00407449" w:rsidP="00407449">
      <w:r w:rsidRPr="004E6CFC">
        <w:t>La estimación de la energía no suministrada por la indisponibilidad de un activo no deberá superar el porcentaje límite definido para tal fin.</w:t>
      </w:r>
    </w:p>
    <w:p w:rsidR="00407449" w:rsidRPr="004E6CFC" w:rsidRDefault="00407449" w:rsidP="00407449">
      <w:r w:rsidRPr="004E6CFC">
        <w:t>A partir del momento en que las horas de indisponibilidad acumulada de un activo sean mayores que las máximas horas anuales de indisponibilidad ajustadas, no deberá permitirse que la indisponibilidad de este activo deje no operativos otros activos.</w:t>
      </w:r>
    </w:p>
    <w:p w:rsidR="00407449" w:rsidRPr="004E6CFC" w:rsidRDefault="00407449" w:rsidP="00407449">
      <w:bookmarkStart w:id="297" w:name="_GoBack"/>
      <w:bookmarkEnd w:id="297"/>
      <w:r w:rsidRPr="004E6CFC">
        <w:lastRenderedPageBreak/>
        <w:t xml:space="preserve">La variación en estas </w:t>
      </w:r>
      <w:r w:rsidRPr="00637274">
        <w:t>características de calidad del servicio de transporte de energía eléctrica en los STR que exceda o supere los límites señalados</w:t>
      </w:r>
      <w:r w:rsidRPr="00794D1D">
        <w:t xml:space="preserve">, generará una reducción o compensación en el ingreso del </w:t>
      </w:r>
      <w:r w:rsidRPr="00065256">
        <w:t>OR</w:t>
      </w:r>
      <w:r w:rsidRPr="00637274">
        <w:t xml:space="preserve"> que se calculará y aplicará en </w:t>
      </w:r>
      <w:r w:rsidRPr="00C6363A">
        <w:t>la forma prevista en este capítulo.</w:t>
      </w:r>
    </w:p>
    <w:p w:rsidR="00407449" w:rsidRPr="004E6CFC" w:rsidRDefault="00407449" w:rsidP="00407449">
      <w:pPr>
        <w:pStyle w:val="Ttulo3"/>
      </w:pPr>
      <w:bookmarkStart w:id="298" w:name="_Ref404019473"/>
      <w:bookmarkStart w:id="299" w:name="_Toc404020403"/>
      <w:bookmarkStart w:id="300" w:name="_Toc408230745"/>
      <w:bookmarkStart w:id="301" w:name="_Toc408385056"/>
      <w:bookmarkStart w:id="302" w:name="_Toc408493162"/>
      <w:bookmarkStart w:id="303" w:name="_Toc440439829"/>
      <w:bookmarkStart w:id="304" w:name="_Toc460840597"/>
      <w:bookmarkStart w:id="305" w:name="_Toc476824150"/>
      <w:bookmarkStart w:id="306" w:name="_Toc505070074"/>
      <w:bookmarkStart w:id="307" w:name="_Toc505335930"/>
      <w:r w:rsidRPr="004E6CFC">
        <w:t>Activos sujetos al esquema de calidad</w:t>
      </w:r>
      <w:bookmarkEnd w:id="298"/>
      <w:bookmarkEnd w:id="299"/>
      <w:bookmarkEnd w:id="300"/>
      <w:bookmarkEnd w:id="301"/>
      <w:bookmarkEnd w:id="302"/>
      <w:bookmarkEnd w:id="303"/>
      <w:bookmarkEnd w:id="304"/>
      <w:bookmarkEnd w:id="305"/>
      <w:bookmarkEnd w:id="306"/>
      <w:bookmarkEnd w:id="307"/>
    </w:p>
    <w:p w:rsidR="00407449" w:rsidRPr="004E6CFC" w:rsidRDefault="00407449" w:rsidP="00407449">
      <w:r w:rsidRPr="004E6CFC">
        <w:t>Las disposiciones sobre calidad en los STR aplicarán a los agentes que realizan la actividad de distribución en estos sistemas, y a todos aquellos agentes responsables de la información necesaria para la aplicación del esquema de calidad del servicio en los STR, establecido en esta resolución.</w:t>
      </w:r>
    </w:p>
    <w:p w:rsidR="00407449" w:rsidRPr="004E6CFC" w:rsidRDefault="00407449" w:rsidP="00407449">
      <w:r w:rsidRPr="004E6CFC">
        <w:t xml:space="preserve">Los activos del STR sobre los que aplica el esquema de calidad del servicio son los que: i) hacen parte del inventario reconocido a cada OR, ii) están en operación comercial y podrán hacer parte de este inventario, o iii) son construidos como resultado de procesos de libre concurrencia. </w:t>
      </w:r>
      <w:r w:rsidR="009C207F">
        <w:t xml:space="preserve">Para los activos nuevos que incorporen ZNI al SIN, la aplicación </w:t>
      </w:r>
      <w:r w:rsidR="00816E82">
        <w:t xml:space="preserve">de las disposiciones de calidad en el STR </w:t>
      </w:r>
      <w:r w:rsidR="009C207F">
        <w:t>iniciar</w:t>
      </w:r>
      <w:r w:rsidR="005910C6">
        <w:t>á</w:t>
      </w:r>
      <w:r w:rsidR="009C207F">
        <w:t xml:space="preserve"> una vez hayan transcurrido cinco (5) años desde su conexión al SIN.</w:t>
      </w:r>
    </w:p>
    <w:p w:rsidR="00407449" w:rsidRPr="004E6CFC" w:rsidRDefault="00407449" w:rsidP="00407449">
      <w:r w:rsidRPr="004E6CFC">
        <w:t xml:space="preserve">Para el caso de los proyectos adjudicados mediante procesos de libre concurrencia, la clasificación de los activos </w:t>
      </w:r>
      <w:r>
        <w:t xml:space="preserve">que puedan generar compensaciones </w:t>
      </w:r>
      <w:r w:rsidRPr="004E6CFC">
        <w:t>deberá actualizarse</w:t>
      </w:r>
      <w:r>
        <w:t>,</w:t>
      </w:r>
      <w:r w:rsidRPr="004E6CFC">
        <w:t xml:space="preserve"> </w:t>
      </w:r>
      <w:r>
        <w:t xml:space="preserve">por parte del OR o TR, </w:t>
      </w:r>
      <w:r w:rsidRPr="004E6CFC">
        <w:t>cada vez que entre en vigencia la resolución que defina las nuevas UC para remunerar la actividad de distribución</w:t>
      </w:r>
      <w:r w:rsidRPr="004E6CFC">
        <w:rPr>
          <w:szCs w:val="22"/>
        </w:rPr>
        <w:t>.</w:t>
      </w:r>
    </w:p>
    <w:p w:rsidR="00407449" w:rsidRPr="004E6CFC" w:rsidRDefault="00407449" w:rsidP="00407449">
      <w:pPr>
        <w:pStyle w:val="Ttulo3"/>
      </w:pPr>
      <w:bookmarkStart w:id="308" w:name="_Ref184808303"/>
      <w:bookmarkStart w:id="309" w:name="_Toc195670133"/>
      <w:bookmarkStart w:id="310" w:name="_Toc195686826"/>
      <w:bookmarkStart w:id="311" w:name="_Toc195781004"/>
      <w:bookmarkStart w:id="312" w:name="_Toc210616092"/>
      <w:bookmarkStart w:id="313" w:name="_Toc408493163"/>
      <w:bookmarkStart w:id="314" w:name="_Toc440439830"/>
      <w:bookmarkStart w:id="315" w:name="_Toc460840598"/>
      <w:bookmarkStart w:id="316" w:name="_Toc476824151"/>
      <w:bookmarkStart w:id="317" w:name="_Toc505070075"/>
      <w:bookmarkStart w:id="318" w:name="_Toc505335931"/>
      <w:r w:rsidRPr="004E6CFC">
        <w:t>Bases de datos</w:t>
      </w:r>
      <w:bookmarkEnd w:id="308"/>
      <w:bookmarkEnd w:id="309"/>
      <w:bookmarkEnd w:id="310"/>
      <w:bookmarkEnd w:id="311"/>
      <w:bookmarkEnd w:id="312"/>
      <w:bookmarkEnd w:id="313"/>
      <w:bookmarkEnd w:id="314"/>
      <w:bookmarkEnd w:id="315"/>
      <w:bookmarkEnd w:id="316"/>
      <w:bookmarkEnd w:id="317"/>
      <w:bookmarkEnd w:id="318"/>
    </w:p>
    <w:p w:rsidR="00407449" w:rsidRPr="004E6CFC" w:rsidRDefault="00407449" w:rsidP="00407449">
      <w:r w:rsidRPr="004E6CFC">
        <w:rPr>
          <w:rFonts w:cs="Arial"/>
        </w:rPr>
        <w:t xml:space="preserve">El CND será el responsable de centralizar, almacenar y procesar la información de eventos, que permita calcular los indicadores de indisponibilidad de los grupos de activos definidos en el numeral </w:t>
      </w:r>
      <w:r w:rsidRPr="004E6CFC">
        <w:rPr>
          <w:rFonts w:cs="Arial"/>
        </w:rPr>
        <w:fldChar w:fldCharType="begin"/>
      </w:r>
      <w:r w:rsidRPr="004E6CFC">
        <w:rPr>
          <w:rFonts w:cs="Arial"/>
        </w:rPr>
        <w:instrText xml:space="preserve"> REF _Ref334445728 \r \h  \* MERGEFORMAT </w:instrText>
      </w:r>
      <w:r w:rsidRPr="004E6CFC">
        <w:rPr>
          <w:rFonts w:cs="Arial"/>
        </w:rPr>
      </w:r>
      <w:r w:rsidRPr="004E6CFC">
        <w:rPr>
          <w:rFonts w:cs="Arial"/>
        </w:rPr>
        <w:fldChar w:fldCharType="separate"/>
      </w:r>
      <w:r w:rsidR="00737178">
        <w:rPr>
          <w:rFonts w:cs="Arial"/>
        </w:rPr>
        <w:t>5.1.4.2</w:t>
      </w:r>
      <w:r w:rsidRPr="004E6CFC">
        <w:rPr>
          <w:rFonts w:cs="Arial"/>
        </w:rPr>
        <w:fldChar w:fldCharType="end"/>
      </w:r>
      <w:r w:rsidRPr="004E6CFC">
        <w:rPr>
          <w:rFonts w:cs="Arial"/>
        </w:rPr>
        <w:t>.</w:t>
      </w:r>
    </w:p>
    <w:p w:rsidR="00407449" w:rsidRPr="004E6CFC" w:rsidRDefault="00407449" w:rsidP="00407449">
      <w:r w:rsidRPr="004E6CFC">
        <w:t>La información de eventos deberá mantenerse actualizada en la base de datos creada por el CND para su reporte. Esta información será utilizada, entre otros, para calcular las variables relacionadas con la calidad del servicio, las compensaciones, las remuneraciones de los activos y también será insumo para la determinación de la ENS.</w:t>
      </w:r>
    </w:p>
    <w:p w:rsidR="00407449" w:rsidRPr="004E6CFC" w:rsidRDefault="00407449" w:rsidP="00407449">
      <w:r w:rsidRPr="004E6CFC">
        <w:t xml:space="preserve">El CND deberá mantener almacenada la información de eventos, en medio digital o de última tecnología, por un periodo no inferior a cinco años y deberá elaborar </w:t>
      </w:r>
      <w:r w:rsidRPr="004E6CFC">
        <w:rPr>
          <w:rFonts w:cs="Arial"/>
        </w:rPr>
        <w:t>un resumen mensual de los eventos registrados en la base de datos, identificando el activo con el código asignado por el CND, el grupo de activos al que pertenece, la duración del evento, la causa y la fecha y hora de ocurrencia</w:t>
      </w:r>
      <w:r w:rsidRPr="004E6CFC">
        <w:t>.</w:t>
      </w:r>
    </w:p>
    <w:p w:rsidR="00407449" w:rsidRPr="004E6CFC" w:rsidRDefault="00407449" w:rsidP="00407449">
      <w:r w:rsidRPr="004E6CFC">
        <w:t>Tanto la información reportada como el resumen deberán estar disponibles para consulta de la Unidad de Planeación Minero Energética, UPME, SSPD, y la CREG. Si el CND cambia la forma de identificar los activos, deberá preverse la forma de recuperar la información histórica de cada uno de los activos.</w:t>
      </w:r>
      <w:bookmarkStart w:id="319" w:name="_Toc334454905"/>
    </w:p>
    <w:p w:rsidR="00407449" w:rsidRPr="004E6CFC" w:rsidRDefault="00407449" w:rsidP="00407449">
      <w:pPr>
        <w:pStyle w:val="Ttulo3"/>
      </w:pPr>
      <w:bookmarkStart w:id="320" w:name="_Toc408493164"/>
      <w:bookmarkStart w:id="321" w:name="_Toc440439831"/>
      <w:bookmarkStart w:id="322" w:name="_Toc460840599"/>
      <w:bookmarkStart w:id="323" w:name="_Toc466009859"/>
      <w:bookmarkStart w:id="324" w:name="_Toc476824152"/>
      <w:bookmarkStart w:id="325" w:name="_Toc505070076"/>
      <w:bookmarkStart w:id="326" w:name="_Toc505335932"/>
      <w:r w:rsidRPr="004E6CFC">
        <w:t>Reglamento para el reporte de eventos</w:t>
      </w:r>
      <w:bookmarkEnd w:id="319"/>
      <w:bookmarkEnd w:id="320"/>
      <w:bookmarkEnd w:id="321"/>
      <w:bookmarkEnd w:id="322"/>
      <w:bookmarkEnd w:id="323"/>
      <w:bookmarkEnd w:id="324"/>
      <w:bookmarkEnd w:id="325"/>
      <w:bookmarkEnd w:id="326"/>
    </w:p>
    <w:p w:rsidR="00407449" w:rsidRPr="004E6CFC" w:rsidRDefault="00407449" w:rsidP="00407449">
      <w:pPr>
        <w:rPr>
          <w:szCs w:val="22"/>
        </w:rPr>
      </w:pPr>
      <w:r w:rsidRPr="004E6CFC">
        <w:rPr>
          <w:szCs w:val="22"/>
        </w:rPr>
        <w:t>El reporte de eventos debe realizarse teniendo en cuenta las disposiciones que a continuación se establecen.</w:t>
      </w:r>
    </w:p>
    <w:p w:rsidR="00407449" w:rsidRPr="004E6CFC" w:rsidRDefault="00407449" w:rsidP="00407449">
      <w:pPr>
        <w:pStyle w:val="Ttulo4"/>
        <w:ind w:left="864" w:hanging="864"/>
      </w:pPr>
      <w:bookmarkStart w:id="327" w:name="_Toc334454908"/>
      <w:r w:rsidRPr="004E6CFC">
        <w:lastRenderedPageBreak/>
        <w:t>Responsabilidad del reporte de información</w:t>
      </w:r>
      <w:bookmarkEnd w:id="327"/>
    </w:p>
    <w:p w:rsidR="00407449" w:rsidRPr="004E6CFC" w:rsidRDefault="00407449" w:rsidP="00407449">
      <w:r w:rsidRPr="004E6CFC">
        <w:t xml:space="preserve">Los agentes deberán realizar el reporte de eventos de acuerdo con lo establecido en el artículo </w:t>
      </w:r>
      <w:r w:rsidRPr="004E6CFC">
        <w:fldChar w:fldCharType="begin"/>
      </w:r>
      <w:r w:rsidRPr="004E6CFC">
        <w:instrText xml:space="preserve"> REF _Ref465865749 \r \h \t \* MERGEFORMAT </w:instrText>
      </w:r>
      <w:r w:rsidRPr="004E6CFC">
        <w:fldChar w:fldCharType="separate"/>
      </w:r>
      <w:r w:rsidR="00737178">
        <w:t>11</w:t>
      </w:r>
      <w:r w:rsidRPr="004E6CFC">
        <w:fldChar w:fldCharType="end"/>
      </w:r>
      <w:r w:rsidRPr="004E6CFC">
        <w:t>. En caso de que un agente no notifique la ocurrencia de cualquier evento, o la finalización de la ejecución de maniobras en los plazos señalados en el mencionado artículo se ajustará el número máximo de horas anuales de indisponibilidad del activo correspondiente, de acuerdo con lo establecido en este capítulo.</w:t>
      </w:r>
    </w:p>
    <w:p w:rsidR="00407449" w:rsidRPr="004E6CFC" w:rsidRDefault="00407449" w:rsidP="00407449">
      <w:r w:rsidRPr="004E6CFC">
        <w:t xml:space="preserve">Los OR son los responsables de la recolección y el reporte de la información de eventos. Cuando el OR no opere los activos directamente, la información será reportada por quien los opera, y en el respectivo contrato de operación podrán precisarse los mecanismos para que el OR conozca la información reportada al CND. En todo caso, el responsable de la calidad y la oportunidad de la información reportada, a través del sistema dispuesto por el CND para este fin, es el agente a quien se le están remunerando los activos. </w:t>
      </w:r>
    </w:p>
    <w:p w:rsidR="00407449" w:rsidRPr="004E6CFC" w:rsidRDefault="00407449" w:rsidP="00407449">
      <w:pPr>
        <w:rPr>
          <w:szCs w:val="22"/>
        </w:rPr>
      </w:pPr>
      <w:r w:rsidRPr="004E6CFC">
        <w:t>Para activos nuevos, el OR, o quien los opere, deberá reportar los eventos en la forma dispuesta en la presente resolución, a partir de su fecha de entrada en operación comercial.</w:t>
      </w:r>
    </w:p>
    <w:p w:rsidR="00407449" w:rsidRPr="004E6CFC" w:rsidRDefault="00407449" w:rsidP="00407449">
      <w:pPr>
        <w:pStyle w:val="Ttulo4"/>
        <w:ind w:left="864" w:hanging="864"/>
      </w:pPr>
      <w:bookmarkStart w:id="328" w:name="_Ref334445728"/>
      <w:bookmarkStart w:id="329" w:name="_Toc334454906"/>
      <w:bookmarkStart w:id="330" w:name="_Ref403653850"/>
      <w:r w:rsidRPr="004E6CFC">
        <w:t>Activos del STR a reportar</w:t>
      </w:r>
      <w:bookmarkEnd w:id="328"/>
      <w:bookmarkEnd w:id="329"/>
      <w:bookmarkEnd w:id="330"/>
    </w:p>
    <w:p w:rsidR="00407449" w:rsidRPr="004E6CFC" w:rsidRDefault="00407449" w:rsidP="00407449">
      <w:pPr>
        <w:rPr>
          <w:bCs/>
          <w:szCs w:val="22"/>
        </w:rPr>
      </w:pPr>
      <w:r w:rsidRPr="004E6CFC">
        <w:rPr>
          <w:bCs/>
          <w:szCs w:val="22"/>
        </w:rPr>
        <w:t>Para los STR se deberán reportar los eventos sobre los activos que conforman los siguientes grupos de activos:</w:t>
      </w:r>
    </w:p>
    <w:p w:rsidR="00407449" w:rsidRPr="004E6CFC" w:rsidRDefault="00407449" w:rsidP="008943A1">
      <w:pPr>
        <w:numPr>
          <w:ilvl w:val="0"/>
          <w:numId w:val="36"/>
        </w:numPr>
        <w:spacing w:before="0" w:after="0"/>
        <w:ind w:left="357" w:hanging="357"/>
        <w:rPr>
          <w:bCs/>
          <w:szCs w:val="22"/>
        </w:rPr>
      </w:pPr>
      <w:r w:rsidRPr="004E6CFC">
        <w:rPr>
          <w:bCs/>
          <w:szCs w:val="22"/>
        </w:rPr>
        <w:t>Conexión del OR al STN</w:t>
      </w:r>
      <w:r w:rsidRPr="004E6CFC">
        <w:rPr>
          <w:rStyle w:val="Refdecomentario"/>
          <w:lang w:val="es-CO"/>
        </w:rPr>
        <w:t>:</w:t>
      </w:r>
      <w:r w:rsidRPr="004E6CFC">
        <w:rPr>
          <w:bCs/>
          <w:szCs w:val="22"/>
        </w:rPr>
        <w:t xml:space="preserve"> constituido por el transformador que se conecta al STN, incluye todas las bahías de transformador que lo conectan al SIN siempre que estas estén siendo remuneradas en la actividad de distribución. Además se consideran dentro de este grupo los transformadores que, aunque no se conectan al STN, por lo menos tienen dos devanados operando en el nivel de tensión 4, junto con las bahías de transformador en este mismo nivel.</w:t>
      </w:r>
    </w:p>
    <w:p w:rsidR="00407449" w:rsidRPr="004E6CFC" w:rsidRDefault="00407449" w:rsidP="008943A1">
      <w:pPr>
        <w:numPr>
          <w:ilvl w:val="0"/>
          <w:numId w:val="36"/>
        </w:numPr>
        <w:spacing w:before="0" w:after="0"/>
        <w:ind w:left="357" w:hanging="357"/>
        <w:rPr>
          <w:bCs/>
          <w:szCs w:val="22"/>
        </w:rPr>
      </w:pPr>
      <w:r w:rsidRPr="004E6CFC">
        <w:rPr>
          <w:bCs/>
          <w:szCs w:val="22"/>
        </w:rPr>
        <w:t>Equipos de compensación: constituido por el respectivo equipo de compensación y las bahías que lo conectan al STR.</w:t>
      </w:r>
    </w:p>
    <w:p w:rsidR="00407449" w:rsidRPr="004E6CFC" w:rsidRDefault="00407449" w:rsidP="008943A1">
      <w:pPr>
        <w:numPr>
          <w:ilvl w:val="0"/>
          <w:numId w:val="36"/>
        </w:numPr>
        <w:spacing w:before="0" w:after="0"/>
        <w:ind w:left="357" w:hanging="357"/>
        <w:rPr>
          <w:bCs/>
          <w:szCs w:val="22"/>
        </w:rPr>
      </w:pPr>
      <w:r w:rsidRPr="004E6CFC">
        <w:rPr>
          <w:bCs/>
          <w:szCs w:val="22"/>
        </w:rPr>
        <w:t>Línea del STR: constituido por el circuito que conecta dos subestaciones del STR (o más de dos subestaciones si hay conexiones en T). Incluye las bahías de línea con las que se opera su conexión al STR. Si una línea está conformada por más de un circuito, deberán reportarse por separado los eventos de cada uno de los circuitos.</w:t>
      </w:r>
    </w:p>
    <w:p w:rsidR="00407449" w:rsidRDefault="00407449" w:rsidP="008943A1">
      <w:pPr>
        <w:numPr>
          <w:ilvl w:val="0"/>
          <w:numId w:val="36"/>
        </w:numPr>
        <w:spacing w:before="0" w:after="0"/>
        <w:ind w:left="357" w:hanging="357"/>
        <w:rPr>
          <w:bCs/>
          <w:szCs w:val="22"/>
        </w:rPr>
      </w:pPr>
      <w:r w:rsidRPr="004E6CFC">
        <w:rPr>
          <w:bCs/>
          <w:szCs w:val="22"/>
        </w:rPr>
        <w:t>Barraje: constituido por el módulo de barraje y las bahías de acople, transferencia o seccionamiento, en caso de que cuente con estas.</w:t>
      </w:r>
    </w:p>
    <w:p w:rsidR="00407449" w:rsidRDefault="00407449" w:rsidP="00407449">
      <w:pPr>
        <w:spacing w:before="120" w:after="0"/>
        <w:rPr>
          <w:bCs/>
          <w:szCs w:val="22"/>
        </w:rPr>
      </w:pPr>
      <w:r>
        <w:rPr>
          <w:bCs/>
          <w:szCs w:val="22"/>
        </w:rPr>
        <w:t xml:space="preserve">A partir </w:t>
      </w:r>
      <w:r w:rsidR="004E77B3" w:rsidRPr="004E6CFC">
        <w:t>de</w:t>
      </w:r>
      <w:r w:rsidR="004E77B3">
        <w:t xml:space="preserve"> la entrada en vigencia de la primera resolución particular aprobada con base en esta metodología</w:t>
      </w:r>
      <w:r>
        <w:rPr>
          <w:bCs/>
          <w:szCs w:val="22"/>
        </w:rPr>
        <w:t>, el CND empezará a llevar un registro para cada uno de los activos mencionados arriba a los que les haga supervisión remota, donde se identifique el tiempo que para esos activos no fue posible hacer la supervisión, ya sea por fallas en los canales de comunicación o en los equipos que adquieren los datos para transmitirlos. Si la supervisión no es directa sino mediante acceso al sistema de supervisión del OR, se deberán registrar los casos en los que no se pueda tener acceso a este sistema.</w:t>
      </w:r>
    </w:p>
    <w:p w:rsidR="00407449" w:rsidRPr="004E6CFC" w:rsidRDefault="00407449" w:rsidP="00407449">
      <w:pPr>
        <w:spacing w:before="120" w:after="0"/>
        <w:rPr>
          <w:bCs/>
          <w:szCs w:val="22"/>
        </w:rPr>
      </w:pPr>
      <w:r>
        <w:rPr>
          <w:bCs/>
          <w:szCs w:val="22"/>
        </w:rPr>
        <w:t>Antes de la mencionada fecha, el CND publicará un documento donde indique cómo se llevará a cabo la verificación y se muestre una lista con las posibles causas que servirán para clasificar las fallas que se incluyan en ese registro.</w:t>
      </w:r>
    </w:p>
    <w:p w:rsidR="00407449" w:rsidRPr="004E6CFC" w:rsidRDefault="00407449" w:rsidP="00407449">
      <w:pPr>
        <w:pStyle w:val="Ttulo4"/>
        <w:ind w:left="864" w:hanging="864"/>
      </w:pPr>
      <w:bookmarkStart w:id="331" w:name="_Toc334454907"/>
      <w:r w:rsidRPr="004E6CFC">
        <w:lastRenderedPageBreak/>
        <w:t>Información del reporte de eventos</w:t>
      </w:r>
      <w:bookmarkEnd w:id="331"/>
    </w:p>
    <w:p w:rsidR="00407449" w:rsidRPr="004E6CFC" w:rsidRDefault="00407449" w:rsidP="00407449">
      <w:pPr>
        <w:rPr>
          <w:szCs w:val="22"/>
        </w:rPr>
      </w:pPr>
      <w:r w:rsidRPr="004E6CFC">
        <w:rPr>
          <w:szCs w:val="22"/>
        </w:rPr>
        <w:t>El reporte de eventos deberá contener como mínimo lo siguiente:</w:t>
      </w:r>
    </w:p>
    <w:p w:rsidR="00407449" w:rsidRPr="004E6CFC" w:rsidRDefault="00407449" w:rsidP="009C086B">
      <w:pPr>
        <w:pStyle w:val="Prrafodelista"/>
        <w:numPr>
          <w:ilvl w:val="0"/>
          <w:numId w:val="37"/>
        </w:numPr>
        <w:spacing w:before="0" w:after="120"/>
        <w:rPr>
          <w:szCs w:val="22"/>
        </w:rPr>
      </w:pPr>
      <w:r w:rsidRPr="004E6CFC">
        <w:rPr>
          <w:szCs w:val="22"/>
        </w:rPr>
        <w:t>activo sobre el cual se presenta el evento,</w:t>
      </w:r>
    </w:p>
    <w:p w:rsidR="00407449" w:rsidRPr="004E6CFC" w:rsidRDefault="00407449" w:rsidP="009C086B">
      <w:pPr>
        <w:pStyle w:val="Prrafodelista"/>
        <w:numPr>
          <w:ilvl w:val="0"/>
          <w:numId w:val="37"/>
        </w:numPr>
        <w:spacing w:before="0" w:after="120"/>
        <w:rPr>
          <w:szCs w:val="22"/>
        </w:rPr>
      </w:pPr>
      <w:r w:rsidRPr="004E6CFC">
        <w:rPr>
          <w:szCs w:val="22"/>
        </w:rPr>
        <w:t>fecha y hora de ocurrencia del evento,</w:t>
      </w:r>
    </w:p>
    <w:p w:rsidR="00407449" w:rsidRPr="004E6CFC" w:rsidRDefault="00407449" w:rsidP="009C086B">
      <w:pPr>
        <w:pStyle w:val="Prrafodelista"/>
        <w:numPr>
          <w:ilvl w:val="0"/>
          <w:numId w:val="37"/>
        </w:numPr>
        <w:spacing w:before="0" w:after="120"/>
        <w:rPr>
          <w:szCs w:val="22"/>
        </w:rPr>
      </w:pPr>
      <w:r w:rsidRPr="004E6CFC">
        <w:rPr>
          <w:szCs w:val="22"/>
        </w:rPr>
        <w:t>duración del evento teniendo en cuenta los tiempos de ejecución de maniobras establecidos por la regulación y los procedimientos que el CNO defina para tal fin,</w:t>
      </w:r>
    </w:p>
    <w:p w:rsidR="00407449" w:rsidRPr="004E6CFC" w:rsidRDefault="00407449" w:rsidP="009C086B">
      <w:pPr>
        <w:pStyle w:val="Prrafodelista"/>
        <w:numPr>
          <w:ilvl w:val="0"/>
          <w:numId w:val="37"/>
        </w:numPr>
        <w:spacing w:before="0" w:after="120"/>
        <w:rPr>
          <w:szCs w:val="22"/>
        </w:rPr>
      </w:pPr>
      <w:r w:rsidRPr="004E6CFC">
        <w:rPr>
          <w:szCs w:val="22"/>
        </w:rPr>
        <w:t xml:space="preserve">la capacidad disponible del activo durante el evento, con base en la estimación de la capacidad disponible de que trata el numeral  </w:t>
      </w:r>
      <w:r w:rsidRPr="004E6CFC">
        <w:rPr>
          <w:szCs w:val="22"/>
        </w:rPr>
        <w:fldChar w:fldCharType="begin"/>
      </w:r>
      <w:r w:rsidRPr="004E6CFC">
        <w:rPr>
          <w:szCs w:val="22"/>
        </w:rPr>
        <w:instrText xml:space="preserve"> REF _Ref445124654 \r \h  \* MERGEFORMAT </w:instrText>
      </w:r>
      <w:r w:rsidRPr="004E6CFC">
        <w:rPr>
          <w:szCs w:val="22"/>
        </w:rPr>
      </w:r>
      <w:r w:rsidRPr="004E6CFC">
        <w:rPr>
          <w:szCs w:val="22"/>
        </w:rPr>
        <w:fldChar w:fldCharType="separate"/>
      </w:r>
      <w:r w:rsidR="00737178">
        <w:rPr>
          <w:szCs w:val="22"/>
        </w:rPr>
        <w:t>5.1.8</w:t>
      </w:r>
      <w:r w:rsidRPr="004E6CFC">
        <w:rPr>
          <w:szCs w:val="22"/>
        </w:rPr>
        <w:fldChar w:fldCharType="end"/>
      </w:r>
      <w:r w:rsidRPr="004E6CFC">
        <w:rPr>
          <w:szCs w:val="22"/>
        </w:rPr>
        <w:t>,</w:t>
      </w:r>
    </w:p>
    <w:p w:rsidR="00407449" w:rsidRPr="004E6CFC" w:rsidRDefault="00407449" w:rsidP="009C086B">
      <w:pPr>
        <w:pStyle w:val="Prrafodelista"/>
        <w:numPr>
          <w:ilvl w:val="0"/>
          <w:numId w:val="37"/>
        </w:numPr>
        <w:spacing w:before="0" w:after="120"/>
        <w:rPr>
          <w:szCs w:val="22"/>
        </w:rPr>
      </w:pPr>
      <w:r w:rsidRPr="004E6CFC">
        <w:rPr>
          <w:szCs w:val="22"/>
        </w:rPr>
        <w:t>causa que origina el evento, precisando si corresponde a alguna de las excluidas,</w:t>
      </w:r>
    </w:p>
    <w:p w:rsidR="00407449" w:rsidRPr="004E6CFC" w:rsidRDefault="00407449" w:rsidP="009C086B">
      <w:pPr>
        <w:pStyle w:val="Prrafodelista"/>
        <w:numPr>
          <w:ilvl w:val="0"/>
          <w:numId w:val="37"/>
        </w:numPr>
        <w:spacing w:before="0" w:after="120"/>
        <w:rPr>
          <w:szCs w:val="22"/>
        </w:rPr>
      </w:pPr>
      <w:r w:rsidRPr="004E6CFC">
        <w:rPr>
          <w:szCs w:val="22"/>
        </w:rPr>
        <w:t>cuando el activo quede no operativo, informar el activo causante,</w:t>
      </w:r>
    </w:p>
    <w:p w:rsidR="00407449" w:rsidRPr="004E6CFC" w:rsidRDefault="00407449" w:rsidP="009C086B">
      <w:pPr>
        <w:pStyle w:val="Prrafodelista"/>
        <w:numPr>
          <w:ilvl w:val="0"/>
          <w:numId w:val="37"/>
        </w:numPr>
        <w:spacing w:before="0" w:after="120"/>
        <w:rPr>
          <w:szCs w:val="22"/>
        </w:rPr>
      </w:pPr>
      <w:r w:rsidRPr="004E6CFC">
        <w:rPr>
          <w:szCs w:val="22"/>
        </w:rPr>
        <w:t>señalar si el evento obedece a la operación de un esquema suplementario, identificando el respectivo esquema,</w:t>
      </w:r>
    </w:p>
    <w:p w:rsidR="00407449" w:rsidRPr="004E6CFC" w:rsidRDefault="00407449" w:rsidP="009C086B">
      <w:pPr>
        <w:pStyle w:val="Prrafodelista"/>
        <w:numPr>
          <w:ilvl w:val="0"/>
          <w:numId w:val="37"/>
        </w:numPr>
        <w:spacing w:before="0" w:after="120"/>
        <w:rPr>
          <w:szCs w:val="22"/>
        </w:rPr>
      </w:pPr>
      <w:r w:rsidRPr="004E6CFC">
        <w:rPr>
          <w:szCs w:val="22"/>
        </w:rPr>
        <w:t>diferenciación entre eventos programados y no programados,</w:t>
      </w:r>
    </w:p>
    <w:p w:rsidR="00407449" w:rsidRPr="004E6CFC" w:rsidRDefault="00407449" w:rsidP="009C086B">
      <w:pPr>
        <w:pStyle w:val="Prrafodelista"/>
        <w:numPr>
          <w:ilvl w:val="0"/>
          <w:numId w:val="37"/>
        </w:numPr>
        <w:spacing w:before="0" w:after="120"/>
        <w:rPr>
          <w:szCs w:val="22"/>
        </w:rPr>
      </w:pPr>
      <w:r w:rsidRPr="004E6CFC">
        <w:rPr>
          <w:szCs w:val="22"/>
        </w:rPr>
        <w:t>número de consignación, cuando aplique,</w:t>
      </w:r>
    </w:p>
    <w:p w:rsidR="00407449" w:rsidRPr="004E6CFC" w:rsidRDefault="00407449" w:rsidP="009C086B">
      <w:pPr>
        <w:pStyle w:val="Prrafodelista"/>
        <w:numPr>
          <w:ilvl w:val="0"/>
          <w:numId w:val="37"/>
        </w:numPr>
        <w:spacing w:before="0" w:after="120"/>
        <w:rPr>
          <w:szCs w:val="22"/>
        </w:rPr>
      </w:pPr>
      <w:bookmarkStart w:id="332" w:name="_Ref403639258"/>
      <w:r w:rsidRPr="004E6CFC">
        <w:rPr>
          <w:szCs w:val="22"/>
        </w:rPr>
        <w:t>clasificación según las causas detalladas, acordadas y publicadas por el Consejo Nacional de Operación, CNO,</w:t>
      </w:r>
      <w:bookmarkEnd w:id="332"/>
    </w:p>
    <w:p w:rsidR="00407449" w:rsidRPr="004E6CFC" w:rsidRDefault="00407449" w:rsidP="009C086B">
      <w:pPr>
        <w:pStyle w:val="Prrafodelista"/>
        <w:numPr>
          <w:ilvl w:val="0"/>
          <w:numId w:val="37"/>
        </w:numPr>
        <w:spacing w:before="0" w:after="120"/>
        <w:rPr>
          <w:szCs w:val="22"/>
        </w:rPr>
      </w:pPr>
      <w:r w:rsidRPr="004E6CFC">
        <w:rPr>
          <w:szCs w:val="22"/>
        </w:rPr>
        <w:t>descripción del evento,</w:t>
      </w:r>
    </w:p>
    <w:p w:rsidR="00407449" w:rsidRPr="004E6CFC" w:rsidRDefault="00407449" w:rsidP="009C086B">
      <w:pPr>
        <w:pStyle w:val="Prrafodelista"/>
        <w:numPr>
          <w:ilvl w:val="0"/>
          <w:numId w:val="37"/>
        </w:numPr>
        <w:spacing w:before="0" w:after="120"/>
        <w:rPr>
          <w:szCs w:val="22"/>
        </w:rPr>
      </w:pPr>
      <w:r w:rsidRPr="004E6CFC">
        <w:rPr>
          <w:szCs w:val="22"/>
        </w:rPr>
        <w:t>señalar si se presentó demanda no atendida.</w:t>
      </w:r>
    </w:p>
    <w:p w:rsidR="00407449" w:rsidRPr="004E6CFC" w:rsidRDefault="00407449" w:rsidP="00407449">
      <w:r w:rsidRPr="004E6CFC">
        <w:t>El reporte deberá hacerse únicamente sobre el activo en el que recaiga el evento, por lo tanto, por el mismo evento no debe reportarse indisponibilidades sobre los otros activos que hacen parte de su grupo de activos.</w:t>
      </w:r>
    </w:p>
    <w:p w:rsidR="00407449" w:rsidRPr="004E6CFC" w:rsidRDefault="00407449" w:rsidP="00407449">
      <w:r w:rsidRPr="004E6CFC">
        <w:t xml:space="preserve">El CNO deberá mantener publicada y actualizada la lista de causas detalladas, necesarias para que los agentes entreguen la información solicitada en el literal </w:t>
      </w:r>
      <w:r w:rsidRPr="004E6CFC">
        <w:fldChar w:fldCharType="begin"/>
      </w:r>
      <w:r w:rsidRPr="004E6CFC">
        <w:instrText xml:space="preserve"> REF _Ref403639258 \r \h  \* MERGEFORMAT </w:instrText>
      </w:r>
      <w:r w:rsidRPr="004E6CFC">
        <w:fldChar w:fldCharType="separate"/>
      </w:r>
      <w:r w:rsidR="00737178">
        <w:t>j</w:t>
      </w:r>
      <w:r w:rsidRPr="004E6CFC">
        <w:fldChar w:fldCharType="end"/>
      </w:r>
      <w:r w:rsidRPr="004E6CFC">
        <w:t>. Si bien el reporte de eventos debe hacerse en el plazo que para tal fin se establece, la causa detallada podrá ser modificada dentro del plazo que establezca el CND, ya que corresponde a un dato informativo que no se utiliza en el cálculo de las compensaciones ni de los indicadores de calidad establecidos en este anexo.</w:t>
      </w:r>
    </w:p>
    <w:p w:rsidR="00407449" w:rsidRPr="004E6CFC" w:rsidRDefault="00407449" w:rsidP="00407449">
      <w:r w:rsidRPr="004E6CFC">
        <w:rPr>
          <w:rFonts w:cs="Arial"/>
          <w:szCs w:val="22"/>
        </w:rPr>
        <w:t xml:space="preserve">Cuando se presenten eventos ocasionados por la actuación de esquemas suplementarios de protección instalados para </w:t>
      </w:r>
      <w:r w:rsidRPr="004E6CFC">
        <w:t>evitar la sobrecarga de circuitos o transformadores remunerados en el nivel de tensión 4</w:t>
      </w:r>
      <w:r w:rsidRPr="004E6CFC">
        <w:rPr>
          <w:rFonts w:cs="Arial"/>
          <w:szCs w:val="22"/>
        </w:rPr>
        <w:t>, su duración deberá asignarse a los activos que originaron su instalación, sin importar que los activos desconectados por la actuación del esquema pertenezcan a niveles de tensión diferentes al 4. La duración de estos eventos deberá ser igual al mayor de los tiempos de interrupción de cualquiera de los activos que fueron desconectados. El CND deberá mantener publicada en su página web la lista con los esquemas suplementarios existentes en el SIN, identificando los activos que operarían por la actuación del mismo y precisando cuáles se instalaron para evitar sobrecargas en circuitos o transformadores remunerados en el nivel de tensión 4.</w:t>
      </w:r>
    </w:p>
    <w:p w:rsidR="00407449" w:rsidRPr="004E6CFC" w:rsidRDefault="00407449" w:rsidP="00407449">
      <w:r w:rsidRPr="004E6CFC">
        <w:rPr>
          <w:szCs w:val="22"/>
        </w:rPr>
        <w:lastRenderedPageBreak/>
        <w:t>El CND deberá mantener publicados en su página web los formatos e instrucciones para el reporte de eventos que tengan en cuenta las disposiciones establecidas en este capítulo.</w:t>
      </w:r>
      <w:r w:rsidRPr="004E6CFC">
        <w:t xml:space="preserve"> Cuando el CND requiera modificar </w:t>
      </w:r>
      <w:r w:rsidRPr="004E6CFC">
        <w:rPr>
          <w:szCs w:val="22"/>
        </w:rPr>
        <w:t>los formatos e instrucciones para el reporte de eventos</w:t>
      </w:r>
      <w:r w:rsidRPr="004E6CFC">
        <w:t xml:space="preserve"> deberá publicarlos para comentarios de los interesados y enviarlos previamente para conocimiento de la CREG.</w:t>
      </w:r>
    </w:p>
    <w:p w:rsidR="00407449" w:rsidRPr="004E6CFC" w:rsidRDefault="00407449" w:rsidP="00407449">
      <w:pPr>
        <w:pStyle w:val="Ttulo4"/>
        <w:ind w:left="864" w:hanging="864"/>
      </w:pPr>
      <w:bookmarkStart w:id="333" w:name="_Toc334454909"/>
      <w:r w:rsidRPr="004E6CFC">
        <w:t>Validación de la información</w:t>
      </w:r>
      <w:bookmarkEnd w:id="333"/>
    </w:p>
    <w:p w:rsidR="00407449" w:rsidRPr="004E6CFC" w:rsidRDefault="00407449" w:rsidP="00407449">
      <w:pPr>
        <w:rPr>
          <w:szCs w:val="22"/>
        </w:rPr>
      </w:pPr>
      <w:r w:rsidRPr="004E6CFC">
        <w:rPr>
          <w:rFonts w:cs="Bookman Old Style"/>
          <w:color w:val="000000"/>
          <w:lang w:val="es-CO" w:eastAsia="es-CO"/>
        </w:rPr>
        <w:t>El CND confrontará la información de eventos que se ingresa a la base de datos con la información que le haya sido reportada por los operadores de los activos, así como con la información disponible en los registros de señales digitales y análogas ante la ocurrencia de eventos, los registros de las lecturas de energía y potencia en tiempo real para las barras de las subestaciones del STR, los registros de consignaciones y el reporte de fallas en transformadores de medida, entre otros.</w:t>
      </w:r>
      <w:r w:rsidRPr="004E6CFC">
        <w:rPr>
          <w:szCs w:val="22"/>
        </w:rPr>
        <w:t xml:space="preserve"> El CND definirá las fuentes que utilizará y la información que verificará.</w:t>
      </w:r>
    </w:p>
    <w:p w:rsidR="00407449" w:rsidRPr="004E6CFC" w:rsidRDefault="00407449" w:rsidP="00407449">
      <w:pPr>
        <w:rPr>
          <w:rFonts w:cs="Arial"/>
        </w:rPr>
      </w:pPr>
      <w:r w:rsidRPr="004E6CFC">
        <w:rPr>
          <w:rFonts w:cs="Arial"/>
        </w:rPr>
        <w:t>La confrontación mencionada se realizará de la siguiente manera:</w:t>
      </w:r>
    </w:p>
    <w:p w:rsidR="00407449" w:rsidRPr="004E6CFC" w:rsidRDefault="00407449" w:rsidP="009C086B">
      <w:pPr>
        <w:pStyle w:val="Prrafodelista"/>
        <w:numPr>
          <w:ilvl w:val="0"/>
          <w:numId w:val="38"/>
        </w:numPr>
        <w:spacing w:before="120" w:after="0"/>
      </w:pPr>
      <w:r w:rsidRPr="004E6CFC">
        <w:t xml:space="preserve">Si el CND identifica discrepancias en el reporte de un evento en cuanto a su duración, para el cálculo de los indicadores definidos en este anexo deberá asumirse el evento de mayor duración. </w:t>
      </w:r>
    </w:p>
    <w:p w:rsidR="00407449" w:rsidRPr="004E6CFC" w:rsidRDefault="00407449" w:rsidP="009C086B">
      <w:pPr>
        <w:pStyle w:val="Prrafodelista"/>
        <w:numPr>
          <w:ilvl w:val="0"/>
          <w:numId w:val="38"/>
        </w:numPr>
        <w:spacing w:before="120" w:after="0"/>
      </w:pPr>
      <w:r w:rsidRPr="004E6CFC">
        <w:t>Si el agente no reporta información sobre el activo involucrado en el evento, o se constatan discrepancias sobre la identidad del activo reportado, deberá asumirse que la ocurrencia del evento se presentó en todos los activos involucrados, cuya responsabilidad de operación y mantenimiento sea del OR que no reportó correctamente la información.</w:t>
      </w:r>
    </w:p>
    <w:p w:rsidR="00407449" w:rsidRPr="004E6CFC" w:rsidRDefault="00407449" w:rsidP="00407449">
      <w:pPr>
        <w:rPr>
          <w:szCs w:val="22"/>
        </w:rPr>
      </w:pPr>
      <w:r w:rsidRPr="004E6CFC">
        <w:rPr>
          <w:szCs w:val="22"/>
        </w:rPr>
        <w:t xml:space="preserve">En el proceso de validación, si el CND encuentra que la indisponibilidad de un activo dejó como activo </w:t>
      </w:r>
      <w:r w:rsidRPr="004E6CFC">
        <w:rPr>
          <w:bCs/>
          <w:szCs w:val="22"/>
        </w:rPr>
        <w:t>no operativo a otros activos</w:t>
      </w:r>
      <w:r w:rsidRPr="004E6CFC">
        <w:rPr>
          <w:szCs w:val="22"/>
        </w:rPr>
        <w:t>, ingresará los reportes correspondientes sobre estos activos no operativos e informará al agente causante de la no operatividad.</w:t>
      </w:r>
    </w:p>
    <w:p w:rsidR="00407449" w:rsidRPr="004E6CFC" w:rsidRDefault="00407449" w:rsidP="00407449">
      <w:pPr>
        <w:rPr>
          <w:szCs w:val="22"/>
        </w:rPr>
      </w:pPr>
      <w:r w:rsidRPr="004E6CFC">
        <w:rPr>
          <w:szCs w:val="22"/>
        </w:rPr>
        <w:t>Después de finalizado el proceso de validación, en el sistema de consulta que habilite el CND, los agentes podrán revisar la información validada y el listado de las inconsistencias encontradas. En caso de ser necesario, el agente podrá solicitar ajustes a la información publicada y el CND responderá a los agentes las solicitudes presentadas, de acuerdo con los procedimientos que establezca para tal fin.</w:t>
      </w:r>
    </w:p>
    <w:p w:rsidR="00407449" w:rsidRPr="004E6CFC" w:rsidRDefault="00407449" w:rsidP="00407449">
      <w:pPr>
        <w:rPr>
          <w:szCs w:val="22"/>
        </w:rPr>
      </w:pPr>
      <w:r w:rsidRPr="004E6CFC">
        <w:rPr>
          <w:szCs w:val="22"/>
        </w:rPr>
        <w:t>La información validada por el CND y, de ser el caso, ajustada según los comentarios de los agentes, será la que deberá quedar registrada en la base de datos de reporte de eventos de que trata este anexo.</w:t>
      </w:r>
    </w:p>
    <w:p w:rsidR="00407449" w:rsidRPr="004E6CFC" w:rsidRDefault="00407449" w:rsidP="00407449">
      <w:pPr>
        <w:pStyle w:val="Ttulo4"/>
        <w:ind w:left="864" w:hanging="864"/>
      </w:pPr>
      <w:bookmarkStart w:id="334" w:name="_Toc334454910"/>
      <w:r w:rsidRPr="004E6CFC">
        <w:t>Supervisión de activos del STR</w:t>
      </w:r>
      <w:bookmarkEnd w:id="334"/>
    </w:p>
    <w:p w:rsidR="00407449" w:rsidRPr="004E6CFC" w:rsidRDefault="00407449" w:rsidP="00407449">
      <w:pPr>
        <w:rPr>
          <w:szCs w:val="22"/>
        </w:rPr>
      </w:pPr>
      <w:r w:rsidRPr="004E6CFC">
        <w:rPr>
          <w:szCs w:val="22"/>
        </w:rPr>
        <w:t xml:space="preserve">Los OR deberán contar con supervisión en tiempo real de los activos del STR a reportar, un sistema de secuencia de eventos, SOE, un enlace de comunicación principal y otro de respaldo y el protocolo acordado con el CND. </w:t>
      </w:r>
    </w:p>
    <w:p w:rsidR="00407449" w:rsidRPr="004E6CFC" w:rsidRDefault="00407449" w:rsidP="00407449">
      <w:pPr>
        <w:rPr>
          <w:szCs w:val="22"/>
        </w:rPr>
      </w:pPr>
      <w:r w:rsidRPr="004E6CFC">
        <w:rPr>
          <w:szCs w:val="22"/>
        </w:rPr>
        <w:t xml:space="preserve">Las características mínimas de la información a suministrar en tiempo real y de los sistemas de comunicaciones son las que para tal fin haya definido el CND. </w:t>
      </w:r>
    </w:p>
    <w:p w:rsidR="00407449" w:rsidRPr="004E6CFC" w:rsidRDefault="00407449" w:rsidP="00407449">
      <w:pPr>
        <w:rPr>
          <w:rFonts w:cs="Arial"/>
        </w:rPr>
      </w:pPr>
      <w:r w:rsidRPr="004E6CFC">
        <w:rPr>
          <w:rFonts w:cs="Arial"/>
        </w:rPr>
        <w:lastRenderedPageBreak/>
        <w:t>Con la frecuencia que el CND determine, el OR deberá permitirle acceder a la información registrada en su sistema de supervisión, con el fin de obtener las mediciones de potencia en los barrajes del nivel de tensión 4 o, en el caso en el que el OR no tenga este nivel en su sistema, en los puntos de conexión con los sistemas de otros OR.</w:t>
      </w:r>
    </w:p>
    <w:p w:rsidR="00407449" w:rsidRPr="004E6CFC" w:rsidRDefault="00401E00" w:rsidP="00407449">
      <w:pPr>
        <w:pStyle w:val="Ttulo4"/>
        <w:ind w:left="864" w:hanging="864"/>
      </w:pPr>
      <w:bookmarkStart w:id="335" w:name="_Ref334446639"/>
      <w:bookmarkStart w:id="336" w:name="_Ref334446985"/>
      <w:bookmarkStart w:id="337" w:name="_Toc334454911"/>
      <w:r>
        <w:t xml:space="preserve"> </w:t>
      </w:r>
      <w:r w:rsidR="00407449" w:rsidRPr="004E6CFC">
        <w:t>Plazos</w:t>
      </w:r>
      <w:bookmarkEnd w:id="335"/>
      <w:bookmarkEnd w:id="336"/>
      <w:bookmarkEnd w:id="337"/>
      <w:r w:rsidR="00407449" w:rsidRPr="004E6CFC">
        <w:t xml:space="preserve"> </w:t>
      </w:r>
    </w:p>
    <w:p w:rsidR="00407449" w:rsidRPr="004E6CFC" w:rsidRDefault="00407449" w:rsidP="00407449">
      <w:pPr>
        <w:rPr>
          <w:szCs w:val="22"/>
        </w:rPr>
      </w:pPr>
      <w:r w:rsidRPr="004E6CFC">
        <w:rPr>
          <w:szCs w:val="22"/>
        </w:rPr>
        <w:t xml:space="preserve">Para realizar los procedimientos descritos en el presente capítulo se tendrán en cuenta los siguientes plazos, cada uno contado a partir de las 24:00 horas del día de operación: </w:t>
      </w:r>
    </w:p>
    <w:p w:rsidR="00407449" w:rsidRPr="004E6CFC" w:rsidRDefault="00407449" w:rsidP="00407449">
      <w:pPr>
        <w:pStyle w:val="Descripcin"/>
        <w:rPr>
          <w:szCs w:val="22"/>
        </w:rPr>
      </w:pPr>
      <w:r w:rsidRPr="004E6CFC">
        <w:t xml:space="preserve">Tabla </w:t>
      </w:r>
      <w:r w:rsidRPr="004E6CFC">
        <w:fldChar w:fldCharType="begin"/>
      </w:r>
      <w:r w:rsidRPr="004E6CFC">
        <w:instrText xml:space="preserve"> SEQ Tabla \* ARABIC </w:instrText>
      </w:r>
      <w:r w:rsidRPr="004E6CFC">
        <w:fldChar w:fldCharType="separate"/>
      </w:r>
      <w:r w:rsidR="00737178">
        <w:rPr>
          <w:noProof/>
        </w:rPr>
        <w:t>4</w:t>
      </w:r>
      <w:r w:rsidRPr="004E6CFC">
        <w:fldChar w:fldCharType="end"/>
      </w:r>
      <w:r w:rsidRPr="004E6CFC">
        <w:t xml:space="preserve"> Plazos para realizar procedimientos</w:t>
      </w:r>
    </w:p>
    <w:tbl>
      <w:tblPr>
        <w:tblStyle w:val="Tablaconcuadrcula"/>
        <w:tblW w:w="9322" w:type="dxa"/>
        <w:tblLook w:val="04A0" w:firstRow="1" w:lastRow="0" w:firstColumn="1" w:lastColumn="0" w:noHBand="0" w:noVBand="1"/>
      </w:tblPr>
      <w:tblGrid>
        <w:gridCol w:w="6345"/>
        <w:gridCol w:w="1701"/>
        <w:gridCol w:w="1276"/>
      </w:tblGrid>
      <w:tr w:rsidR="00407449" w:rsidRPr="004E6CFC" w:rsidTr="00407449">
        <w:tc>
          <w:tcPr>
            <w:tcW w:w="6345" w:type="dxa"/>
          </w:tcPr>
          <w:p w:rsidR="00407449" w:rsidRPr="004E6CFC" w:rsidRDefault="00407449" w:rsidP="00407449">
            <w:pPr>
              <w:spacing w:before="0" w:after="0"/>
              <w:jc w:val="center"/>
              <w:rPr>
                <w:b/>
                <w:sz w:val="22"/>
                <w:szCs w:val="22"/>
              </w:rPr>
            </w:pPr>
            <w:r w:rsidRPr="004E6CFC">
              <w:rPr>
                <w:b/>
                <w:sz w:val="22"/>
                <w:szCs w:val="22"/>
              </w:rPr>
              <w:t>Actividad</w:t>
            </w:r>
          </w:p>
        </w:tc>
        <w:tc>
          <w:tcPr>
            <w:tcW w:w="1701" w:type="dxa"/>
          </w:tcPr>
          <w:p w:rsidR="00407449" w:rsidRPr="004E6CFC" w:rsidRDefault="00407449" w:rsidP="00407449">
            <w:pPr>
              <w:spacing w:before="0" w:after="0"/>
              <w:jc w:val="center"/>
              <w:rPr>
                <w:b/>
                <w:sz w:val="22"/>
                <w:szCs w:val="22"/>
              </w:rPr>
            </w:pPr>
            <w:r w:rsidRPr="004E6CFC">
              <w:rPr>
                <w:b/>
                <w:sz w:val="22"/>
                <w:szCs w:val="22"/>
              </w:rPr>
              <w:t>Responsable</w:t>
            </w:r>
          </w:p>
        </w:tc>
        <w:tc>
          <w:tcPr>
            <w:tcW w:w="1276" w:type="dxa"/>
          </w:tcPr>
          <w:p w:rsidR="00407449" w:rsidRPr="004E6CFC" w:rsidRDefault="00407449" w:rsidP="00407449">
            <w:pPr>
              <w:spacing w:before="0" w:after="0"/>
              <w:jc w:val="center"/>
              <w:rPr>
                <w:b/>
                <w:sz w:val="22"/>
                <w:szCs w:val="22"/>
              </w:rPr>
            </w:pPr>
            <w:r w:rsidRPr="004E6CFC">
              <w:rPr>
                <w:b/>
                <w:sz w:val="22"/>
                <w:szCs w:val="22"/>
              </w:rPr>
              <w:t>Plazo (h)</w:t>
            </w:r>
          </w:p>
        </w:tc>
      </w:tr>
      <w:tr w:rsidR="00407449" w:rsidRPr="004E6CFC" w:rsidTr="00407449">
        <w:tc>
          <w:tcPr>
            <w:tcW w:w="6345" w:type="dxa"/>
          </w:tcPr>
          <w:p w:rsidR="00407449" w:rsidRPr="004E6CFC" w:rsidRDefault="00407449" w:rsidP="00407449">
            <w:pPr>
              <w:spacing w:before="0" w:after="0"/>
              <w:rPr>
                <w:sz w:val="22"/>
                <w:szCs w:val="22"/>
              </w:rPr>
            </w:pPr>
            <w:r w:rsidRPr="004E6CFC">
              <w:rPr>
                <w:sz w:val="22"/>
                <w:szCs w:val="22"/>
              </w:rPr>
              <w:t>Ingreso de reporte de eventos</w:t>
            </w:r>
          </w:p>
        </w:tc>
        <w:tc>
          <w:tcPr>
            <w:tcW w:w="1701" w:type="dxa"/>
            <w:vAlign w:val="center"/>
          </w:tcPr>
          <w:p w:rsidR="00407449" w:rsidRPr="004E6CFC" w:rsidRDefault="00407449" w:rsidP="00407449">
            <w:pPr>
              <w:spacing w:before="0" w:after="0"/>
              <w:jc w:val="center"/>
              <w:rPr>
                <w:sz w:val="22"/>
                <w:szCs w:val="22"/>
              </w:rPr>
            </w:pPr>
            <w:r w:rsidRPr="004E6CFC">
              <w:rPr>
                <w:sz w:val="22"/>
                <w:szCs w:val="22"/>
              </w:rPr>
              <w:t>Agente</w:t>
            </w:r>
          </w:p>
        </w:tc>
        <w:tc>
          <w:tcPr>
            <w:tcW w:w="1276" w:type="dxa"/>
            <w:vAlign w:val="center"/>
          </w:tcPr>
          <w:p w:rsidR="00407449" w:rsidRPr="004E6CFC" w:rsidRDefault="00407449" w:rsidP="00407449">
            <w:pPr>
              <w:spacing w:before="0" w:after="0"/>
              <w:jc w:val="center"/>
              <w:rPr>
                <w:sz w:val="22"/>
                <w:szCs w:val="22"/>
              </w:rPr>
            </w:pPr>
            <w:r w:rsidRPr="004E6CFC">
              <w:rPr>
                <w:sz w:val="22"/>
                <w:szCs w:val="22"/>
              </w:rPr>
              <w:t>12</w:t>
            </w:r>
          </w:p>
        </w:tc>
      </w:tr>
      <w:tr w:rsidR="00407449" w:rsidRPr="004E6CFC" w:rsidTr="00407449">
        <w:tc>
          <w:tcPr>
            <w:tcW w:w="6345" w:type="dxa"/>
          </w:tcPr>
          <w:p w:rsidR="00407449" w:rsidRPr="004E6CFC" w:rsidRDefault="00407449" w:rsidP="00407449">
            <w:pPr>
              <w:spacing w:before="0" w:after="0"/>
              <w:rPr>
                <w:sz w:val="22"/>
                <w:szCs w:val="22"/>
              </w:rPr>
            </w:pPr>
            <w:r w:rsidRPr="004E6CFC">
              <w:rPr>
                <w:sz w:val="22"/>
                <w:szCs w:val="22"/>
              </w:rPr>
              <w:t>Validación y publicación de listado de inconsistencias</w:t>
            </w:r>
          </w:p>
        </w:tc>
        <w:tc>
          <w:tcPr>
            <w:tcW w:w="1701" w:type="dxa"/>
            <w:vAlign w:val="center"/>
          </w:tcPr>
          <w:p w:rsidR="00407449" w:rsidRPr="004E6CFC" w:rsidRDefault="00407449" w:rsidP="00407449">
            <w:pPr>
              <w:spacing w:before="0" w:after="0"/>
              <w:jc w:val="center"/>
              <w:rPr>
                <w:sz w:val="22"/>
                <w:szCs w:val="22"/>
              </w:rPr>
            </w:pPr>
            <w:r w:rsidRPr="004E6CFC">
              <w:rPr>
                <w:sz w:val="22"/>
                <w:szCs w:val="22"/>
              </w:rPr>
              <w:t>CND</w:t>
            </w:r>
          </w:p>
        </w:tc>
        <w:tc>
          <w:tcPr>
            <w:tcW w:w="1276" w:type="dxa"/>
            <w:vAlign w:val="center"/>
          </w:tcPr>
          <w:p w:rsidR="00407449" w:rsidRPr="004E6CFC" w:rsidRDefault="00407449" w:rsidP="00407449">
            <w:pPr>
              <w:spacing w:before="0" w:after="0"/>
              <w:jc w:val="center"/>
              <w:rPr>
                <w:sz w:val="22"/>
                <w:szCs w:val="22"/>
              </w:rPr>
            </w:pPr>
            <w:r w:rsidRPr="004E6CFC">
              <w:rPr>
                <w:sz w:val="22"/>
                <w:szCs w:val="22"/>
              </w:rPr>
              <w:t>36</w:t>
            </w:r>
          </w:p>
        </w:tc>
      </w:tr>
      <w:tr w:rsidR="00407449" w:rsidRPr="004E6CFC" w:rsidTr="00407449">
        <w:tc>
          <w:tcPr>
            <w:tcW w:w="6345" w:type="dxa"/>
          </w:tcPr>
          <w:p w:rsidR="00407449" w:rsidRPr="004E6CFC" w:rsidRDefault="00407449" w:rsidP="00407449">
            <w:pPr>
              <w:spacing w:before="0" w:after="0"/>
              <w:rPr>
                <w:sz w:val="22"/>
                <w:szCs w:val="22"/>
              </w:rPr>
            </w:pPr>
            <w:r w:rsidRPr="004E6CFC">
              <w:rPr>
                <w:sz w:val="22"/>
                <w:szCs w:val="22"/>
              </w:rPr>
              <w:t>Solicitud de modificación de información</w:t>
            </w:r>
          </w:p>
        </w:tc>
        <w:tc>
          <w:tcPr>
            <w:tcW w:w="1701" w:type="dxa"/>
            <w:vAlign w:val="center"/>
          </w:tcPr>
          <w:p w:rsidR="00407449" w:rsidRPr="004E6CFC" w:rsidRDefault="00407449" w:rsidP="00407449">
            <w:pPr>
              <w:spacing w:before="0" w:after="0"/>
              <w:jc w:val="center"/>
              <w:rPr>
                <w:sz w:val="22"/>
                <w:szCs w:val="22"/>
              </w:rPr>
            </w:pPr>
            <w:r w:rsidRPr="004E6CFC">
              <w:rPr>
                <w:sz w:val="22"/>
                <w:szCs w:val="22"/>
              </w:rPr>
              <w:t>Agente</w:t>
            </w:r>
          </w:p>
        </w:tc>
        <w:tc>
          <w:tcPr>
            <w:tcW w:w="1276" w:type="dxa"/>
            <w:vAlign w:val="center"/>
          </w:tcPr>
          <w:p w:rsidR="00407449" w:rsidRPr="004E6CFC" w:rsidRDefault="00407449" w:rsidP="00407449">
            <w:pPr>
              <w:spacing w:before="0" w:after="0"/>
              <w:jc w:val="center"/>
              <w:rPr>
                <w:sz w:val="22"/>
                <w:szCs w:val="22"/>
              </w:rPr>
            </w:pPr>
            <w:r w:rsidRPr="004E6CFC">
              <w:rPr>
                <w:sz w:val="22"/>
                <w:szCs w:val="22"/>
              </w:rPr>
              <w:t>60</w:t>
            </w:r>
          </w:p>
        </w:tc>
      </w:tr>
      <w:tr w:rsidR="00407449" w:rsidRPr="004E6CFC" w:rsidTr="00407449">
        <w:tc>
          <w:tcPr>
            <w:tcW w:w="6345" w:type="dxa"/>
          </w:tcPr>
          <w:p w:rsidR="00407449" w:rsidRPr="004E6CFC" w:rsidRDefault="00407449" w:rsidP="00407449">
            <w:pPr>
              <w:spacing w:before="0" w:after="0"/>
              <w:rPr>
                <w:sz w:val="22"/>
                <w:szCs w:val="22"/>
              </w:rPr>
            </w:pPr>
            <w:r w:rsidRPr="004E6CFC">
              <w:rPr>
                <w:sz w:val="22"/>
                <w:szCs w:val="22"/>
              </w:rPr>
              <w:t>Respuesta a solicitudes de modificación</w:t>
            </w:r>
          </w:p>
        </w:tc>
        <w:tc>
          <w:tcPr>
            <w:tcW w:w="1701" w:type="dxa"/>
            <w:vAlign w:val="center"/>
          </w:tcPr>
          <w:p w:rsidR="00407449" w:rsidRPr="004E6CFC" w:rsidRDefault="00407449" w:rsidP="00407449">
            <w:pPr>
              <w:spacing w:before="0" w:after="0"/>
              <w:jc w:val="center"/>
              <w:rPr>
                <w:sz w:val="22"/>
                <w:szCs w:val="22"/>
              </w:rPr>
            </w:pPr>
            <w:r w:rsidRPr="004E6CFC">
              <w:rPr>
                <w:sz w:val="22"/>
                <w:szCs w:val="22"/>
              </w:rPr>
              <w:t>CND</w:t>
            </w:r>
          </w:p>
        </w:tc>
        <w:tc>
          <w:tcPr>
            <w:tcW w:w="1276" w:type="dxa"/>
            <w:vAlign w:val="center"/>
          </w:tcPr>
          <w:p w:rsidR="00407449" w:rsidRPr="004E6CFC" w:rsidRDefault="00407449" w:rsidP="00407449">
            <w:pPr>
              <w:spacing w:before="0" w:after="0"/>
              <w:jc w:val="center"/>
              <w:rPr>
                <w:sz w:val="22"/>
                <w:szCs w:val="22"/>
              </w:rPr>
            </w:pPr>
            <w:r w:rsidRPr="004E6CFC">
              <w:rPr>
                <w:sz w:val="22"/>
                <w:szCs w:val="22"/>
              </w:rPr>
              <w:t>72</w:t>
            </w:r>
          </w:p>
        </w:tc>
      </w:tr>
    </w:tbl>
    <w:p w:rsidR="00407449" w:rsidRDefault="00407449" w:rsidP="00407449">
      <w:r w:rsidRPr="004E6CFC">
        <w:t>El CND precisará, en su página web, mayores plazos para el “Ingreso de reporte de eventos” de aquellos ocasionados por catástrofes naturales o por actos de terrorismo y para los que causen desatención de la demanda de energía cuya magnitud sea superior al 10% de la demanda del SIN.</w:t>
      </w:r>
    </w:p>
    <w:p w:rsidR="00407449" w:rsidRPr="004E6CFC" w:rsidRDefault="00407449" w:rsidP="00407449">
      <w:r>
        <w:t xml:space="preserve">Para modificación de reportes de eventos, solamente se atenderán las solicitudes presentadas dentro de los plazos establecidos en este numeral. </w:t>
      </w:r>
    </w:p>
    <w:p w:rsidR="00407449" w:rsidRPr="004E6CFC" w:rsidRDefault="00407449" w:rsidP="00407449">
      <w:pPr>
        <w:pStyle w:val="Ttulo3"/>
      </w:pPr>
      <w:bookmarkStart w:id="338" w:name="_Ref185756700"/>
      <w:bookmarkStart w:id="339" w:name="_Ref185761747"/>
      <w:bookmarkStart w:id="340" w:name="_Toc195670134"/>
      <w:bookmarkStart w:id="341" w:name="_Toc195686827"/>
      <w:bookmarkStart w:id="342" w:name="_Toc195781005"/>
      <w:bookmarkStart w:id="343" w:name="_Toc210616093"/>
      <w:bookmarkStart w:id="344" w:name="_Ref403629136"/>
      <w:bookmarkStart w:id="345" w:name="_Toc408493165"/>
      <w:bookmarkStart w:id="346" w:name="_Toc440439832"/>
      <w:bookmarkStart w:id="347" w:name="_Toc460840600"/>
      <w:bookmarkStart w:id="348" w:name="_Toc476824153"/>
      <w:bookmarkStart w:id="349" w:name="_Toc505070077"/>
      <w:bookmarkStart w:id="350" w:name="_Toc505335933"/>
      <w:r w:rsidRPr="004E6CFC">
        <w:t>Máximas horas anuales de indisponibilidad</w:t>
      </w:r>
      <w:bookmarkEnd w:id="338"/>
      <w:bookmarkEnd w:id="339"/>
      <w:bookmarkEnd w:id="340"/>
      <w:bookmarkEnd w:id="341"/>
      <w:bookmarkEnd w:id="342"/>
      <w:bookmarkEnd w:id="343"/>
      <w:bookmarkEnd w:id="344"/>
      <w:bookmarkEnd w:id="345"/>
      <w:bookmarkEnd w:id="346"/>
      <w:bookmarkEnd w:id="347"/>
      <w:bookmarkEnd w:id="348"/>
      <w:bookmarkEnd w:id="349"/>
      <w:bookmarkEnd w:id="350"/>
    </w:p>
    <w:p w:rsidR="00407449" w:rsidRPr="004E6CFC" w:rsidRDefault="00407449" w:rsidP="00407449">
      <w:r w:rsidRPr="004E6CFC">
        <w:t xml:space="preserve">Los siguientes grupos de activos utilizados en la prestación del servicio de distribución de energía eléctrica en el STR, no deberán superar, en una ventana móvil de doce meses, el número de máximas horas anuales de indisponibilidad, MHAI, que se definen para los grupos de activos identificados en la </w:t>
      </w:r>
      <w:r w:rsidRPr="004E6CFC">
        <w:fldChar w:fldCharType="begin"/>
      </w:r>
      <w:r w:rsidRPr="004E6CFC">
        <w:instrText xml:space="preserve"> REF _Ref406594548 \h  \* MERGEFORMAT </w:instrText>
      </w:r>
      <w:r w:rsidRPr="004E6CFC">
        <w:fldChar w:fldCharType="separate"/>
      </w:r>
      <w:r w:rsidR="00737178" w:rsidRPr="004E6CFC">
        <w:t xml:space="preserve">Tabla </w:t>
      </w:r>
      <w:r w:rsidR="00737178">
        <w:rPr>
          <w:noProof/>
        </w:rPr>
        <w:t>5</w:t>
      </w:r>
      <w:r w:rsidRPr="004E6CFC">
        <w:fldChar w:fldCharType="end"/>
      </w:r>
      <w:r w:rsidRPr="004E6CFC">
        <w:t>.</w:t>
      </w:r>
    </w:p>
    <w:p w:rsidR="00407449" w:rsidRPr="004E6CFC" w:rsidRDefault="00407449" w:rsidP="00407449">
      <w:pPr>
        <w:pStyle w:val="Descripcin"/>
      </w:pPr>
      <w:bookmarkStart w:id="351" w:name="_Ref406594548"/>
      <w:r w:rsidRPr="004E6CFC">
        <w:t xml:space="preserve">Tabla </w:t>
      </w:r>
      <w:r w:rsidRPr="004E6CFC">
        <w:fldChar w:fldCharType="begin"/>
      </w:r>
      <w:r w:rsidRPr="004E6CFC">
        <w:instrText xml:space="preserve"> SEQ Tabla \* ARABIC </w:instrText>
      </w:r>
      <w:r w:rsidRPr="004E6CFC">
        <w:fldChar w:fldCharType="separate"/>
      </w:r>
      <w:r w:rsidR="00737178">
        <w:rPr>
          <w:noProof/>
        </w:rPr>
        <w:t>5</w:t>
      </w:r>
      <w:r w:rsidRPr="004E6CFC">
        <w:fldChar w:fldCharType="end"/>
      </w:r>
      <w:bookmarkEnd w:id="351"/>
      <w:r w:rsidRPr="004E6CFC">
        <w:t xml:space="preserve"> Máximas horas anuales de indisponibilidad</w:t>
      </w:r>
    </w:p>
    <w:tbl>
      <w:tblPr>
        <w:tblW w:w="307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70" w:type="dxa"/>
          <w:right w:w="70" w:type="dxa"/>
        </w:tblCellMar>
        <w:tblLook w:val="0000" w:firstRow="0" w:lastRow="0" w:firstColumn="0" w:lastColumn="0" w:noHBand="0" w:noVBand="0"/>
      </w:tblPr>
      <w:tblGrid>
        <w:gridCol w:w="4081"/>
        <w:gridCol w:w="1657"/>
      </w:tblGrid>
      <w:tr w:rsidR="00407449" w:rsidRPr="004E6CFC" w:rsidTr="00407449">
        <w:trPr>
          <w:cantSplit/>
          <w:trHeight w:val="280"/>
          <w:tblHeader/>
          <w:jc w:val="center"/>
        </w:trPr>
        <w:tc>
          <w:tcPr>
            <w:tcW w:w="3556" w:type="pct"/>
            <w:vAlign w:val="center"/>
          </w:tcPr>
          <w:p w:rsidR="00407449" w:rsidRPr="004E6CFC" w:rsidRDefault="00407449" w:rsidP="00407449">
            <w:pPr>
              <w:keepNext/>
              <w:adjustRightInd w:val="0"/>
              <w:snapToGrid w:val="0"/>
              <w:spacing w:before="0" w:after="0"/>
              <w:ind w:right="425"/>
              <w:jc w:val="center"/>
              <w:textAlignment w:val="baseline"/>
              <w:rPr>
                <w:rFonts w:cs="Arial"/>
                <w:b/>
                <w:sz w:val="22"/>
              </w:rPr>
            </w:pPr>
            <w:r w:rsidRPr="004E6CFC">
              <w:rPr>
                <w:rFonts w:cs="Arial"/>
                <w:b/>
                <w:sz w:val="22"/>
              </w:rPr>
              <w:t>Grupos de Activos</w:t>
            </w:r>
          </w:p>
        </w:tc>
        <w:tc>
          <w:tcPr>
            <w:tcW w:w="1444" w:type="pct"/>
            <w:vAlign w:val="center"/>
          </w:tcPr>
          <w:p w:rsidR="00407449" w:rsidRPr="004E6CFC" w:rsidRDefault="00407449" w:rsidP="00407449">
            <w:pPr>
              <w:keepNext/>
              <w:adjustRightInd w:val="0"/>
              <w:snapToGrid w:val="0"/>
              <w:spacing w:before="0" w:after="0"/>
              <w:ind w:right="10"/>
              <w:jc w:val="center"/>
              <w:textAlignment w:val="baseline"/>
              <w:rPr>
                <w:rFonts w:cs="Arial"/>
                <w:b/>
                <w:sz w:val="22"/>
              </w:rPr>
            </w:pPr>
            <w:r w:rsidRPr="004E6CFC">
              <w:rPr>
                <w:rFonts w:cs="Arial"/>
                <w:b/>
                <w:sz w:val="22"/>
              </w:rPr>
              <w:t>MHAI</w:t>
            </w:r>
          </w:p>
        </w:tc>
      </w:tr>
      <w:tr w:rsidR="00407449" w:rsidRPr="004E6CFC" w:rsidTr="00407449">
        <w:trPr>
          <w:trHeight w:val="280"/>
          <w:jc w:val="center"/>
        </w:trPr>
        <w:tc>
          <w:tcPr>
            <w:tcW w:w="3556" w:type="pct"/>
          </w:tcPr>
          <w:p w:rsidR="00407449" w:rsidRPr="004E6CFC" w:rsidRDefault="00407449" w:rsidP="00407449">
            <w:pPr>
              <w:keepNext/>
              <w:adjustRightInd w:val="0"/>
              <w:spacing w:before="0" w:after="0"/>
              <w:ind w:right="425"/>
              <w:textAlignment w:val="baseline"/>
              <w:rPr>
                <w:rFonts w:cs="Arial"/>
                <w:sz w:val="22"/>
              </w:rPr>
            </w:pPr>
            <w:r w:rsidRPr="004E6CFC">
              <w:rPr>
                <w:rFonts w:cs="Arial"/>
                <w:sz w:val="22"/>
              </w:rPr>
              <w:t>Conexión del OR al STN</w:t>
            </w:r>
          </w:p>
        </w:tc>
        <w:tc>
          <w:tcPr>
            <w:tcW w:w="1444" w:type="pct"/>
            <w:vAlign w:val="center"/>
          </w:tcPr>
          <w:p w:rsidR="00407449" w:rsidRPr="004E6CFC" w:rsidRDefault="00407449" w:rsidP="00407449">
            <w:pPr>
              <w:keepNext/>
              <w:adjustRightInd w:val="0"/>
              <w:spacing w:before="0" w:after="0"/>
              <w:jc w:val="center"/>
              <w:textAlignment w:val="baseline"/>
              <w:rPr>
                <w:rFonts w:cs="Arial"/>
                <w:sz w:val="22"/>
              </w:rPr>
            </w:pPr>
            <w:r w:rsidRPr="004E6CFC">
              <w:rPr>
                <w:rFonts w:cs="Arial"/>
                <w:sz w:val="22"/>
              </w:rPr>
              <w:t>65</w:t>
            </w:r>
          </w:p>
        </w:tc>
      </w:tr>
      <w:tr w:rsidR="00407449" w:rsidRPr="004E6CFC" w:rsidTr="00407449">
        <w:trPr>
          <w:trHeight w:val="280"/>
          <w:jc w:val="center"/>
        </w:trPr>
        <w:tc>
          <w:tcPr>
            <w:tcW w:w="3556" w:type="pct"/>
          </w:tcPr>
          <w:p w:rsidR="00407449" w:rsidRPr="004E6CFC" w:rsidRDefault="00407449" w:rsidP="00407449">
            <w:pPr>
              <w:keepNext/>
              <w:adjustRightInd w:val="0"/>
              <w:spacing w:before="0" w:after="0"/>
              <w:ind w:right="425"/>
              <w:textAlignment w:val="baseline"/>
              <w:rPr>
                <w:rFonts w:cs="Arial"/>
                <w:sz w:val="22"/>
              </w:rPr>
            </w:pPr>
            <w:r w:rsidRPr="004E6CFC">
              <w:rPr>
                <w:rFonts w:cs="Arial"/>
                <w:sz w:val="22"/>
              </w:rPr>
              <w:t>Equipo de compensación</w:t>
            </w:r>
          </w:p>
        </w:tc>
        <w:tc>
          <w:tcPr>
            <w:tcW w:w="1444" w:type="pct"/>
            <w:vAlign w:val="center"/>
          </w:tcPr>
          <w:p w:rsidR="00407449" w:rsidRPr="004E6CFC" w:rsidRDefault="00407449" w:rsidP="00407449">
            <w:pPr>
              <w:keepNext/>
              <w:adjustRightInd w:val="0"/>
              <w:spacing w:before="0" w:after="0"/>
              <w:jc w:val="center"/>
              <w:textAlignment w:val="baseline"/>
              <w:rPr>
                <w:rFonts w:cs="Arial"/>
                <w:sz w:val="22"/>
              </w:rPr>
            </w:pPr>
            <w:r w:rsidRPr="004E6CFC">
              <w:rPr>
                <w:rFonts w:cs="Arial"/>
                <w:sz w:val="22"/>
              </w:rPr>
              <w:t>18</w:t>
            </w:r>
          </w:p>
        </w:tc>
      </w:tr>
      <w:tr w:rsidR="00407449" w:rsidRPr="004E6CFC" w:rsidTr="00407449">
        <w:trPr>
          <w:trHeight w:val="280"/>
          <w:jc w:val="center"/>
        </w:trPr>
        <w:tc>
          <w:tcPr>
            <w:tcW w:w="3556" w:type="pct"/>
          </w:tcPr>
          <w:p w:rsidR="00407449" w:rsidRPr="004E6CFC" w:rsidRDefault="00407449" w:rsidP="00407449">
            <w:pPr>
              <w:keepNext/>
              <w:adjustRightInd w:val="0"/>
              <w:spacing w:before="0" w:after="0"/>
              <w:ind w:right="425"/>
              <w:textAlignment w:val="baseline"/>
              <w:rPr>
                <w:rFonts w:cs="Arial"/>
                <w:sz w:val="22"/>
              </w:rPr>
            </w:pPr>
            <w:r w:rsidRPr="004E6CFC">
              <w:rPr>
                <w:rFonts w:cs="Arial"/>
                <w:sz w:val="22"/>
              </w:rPr>
              <w:t>Línea del STR</w:t>
            </w:r>
          </w:p>
        </w:tc>
        <w:tc>
          <w:tcPr>
            <w:tcW w:w="1444" w:type="pct"/>
            <w:vAlign w:val="center"/>
          </w:tcPr>
          <w:p w:rsidR="00407449" w:rsidRPr="004E6CFC" w:rsidRDefault="00407449" w:rsidP="00407449">
            <w:pPr>
              <w:keepNext/>
              <w:adjustRightInd w:val="0"/>
              <w:spacing w:before="0" w:after="0"/>
              <w:jc w:val="center"/>
              <w:textAlignment w:val="baseline"/>
              <w:rPr>
                <w:rFonts w:cs="Arial"/>
                <w:sz w:val="22"/>
              </w:rPr>
            </w:pPr>
            <w:r w:rsidRPr="004E6CFC">
              <w:rPr>
                <w:rFonts w:cs="Arial"/>
                <w:sz w:val="22"/>
              </w:rPr>
              <w:t>38</w:t>
            </w:r>
          </w:p>
        </w:tc>
      </w:tr>
      <w:tr w:rsidR="00407449" w:rsidRPr="004E6CFC" w:rsidTr="00407449">
        <w:trPr>
          <w:trHeight w:val="280"/>
          <w:jc w:val="center"/>
        </w:trPr>
        <w:tc>
          <w:tcPr>
            <w:tcW w:w="3556" w:type="pct"/>
          </w:tcPr>
          <w:p w:rsidR="00407449" w:rsidRPr="004E6CFC" w:rsidRDefault="00407449" w:rsidP="00407449">
            <w:pPr>
              <w:keepNext/>
              <w:adjustRightInd w:val="0"/>
              <w:spacing w:before="0" w:after="0"/>
              <w:ind w:right="425"/>
              <w:textAlignment w:val="baseline"/>
              <w:rPr>
                <w:rFonts w:cs="Arial"/>
                <w:sz w:val="22"/>
              </w:rPr>
            </w:pPr>
            <w:r w:rsidRPr="004E6CFC">
              <w:rPr>
                <w:rFonts w:cs="Arial"/>
                <w:sz w:val="22"/>
              </w:rPr>
              <w:t>Barraje sin bahías de maniobra</w:t>
            </w:r>
          </w:p>
        </w:tc>
        <w:tc>
          <w:tcPr>
            <w:tcW w:w="1444" w:type="pct"/>
            <w:vAlign w:val="center"/>
          </w:tcPr>
          <w:p w:rsidR="00407449" w:rsidRPr="004E6CFC" w:rsidRDefault="00407449" w:rsidP="00407449">
            <w:pPr>
              <w:keepNext/>
              <w:adjustRightInd w:val="0"/>
              <w:spacing w:before="0" w:after="0"/>
              <w:jc w:val="center"/>
              <w:textAlignment w:val="baseline"/>
              <w:rPr>
                <w:rFonts w:cs="Arial"/>
                <w:sz w:val="22"/>
              </w:rPr>
            </w:pPr>
            <w:r w:rsidRPr="004E6CFC">
              <w:rPr>
                <w:rFonts w:cs="Arial"/>
                <w:sz w:val="22"/>
              </w:rPr>
              <w:t>15</w:t>
            </w:r>
          </w:p>
        </w:tc>
      </w:tr>
      <w:tr w:rsidR="00407449" w:rsidRPr="004E6CFC" w:rsidTr="00407449">
        <w:trPr>
          <w:trHeight w:val="280"/>
          <w:jc w:val="center"/>
        </w:trPr>
        <w:tc>
          <w:tcPr>
            <w:tcW w:w="3556" w:type="pct"/>
          </w:tcPr>
          <w:p w:rsidR="00407449" w:rsidRPr="004E6CFC" w:rsidRDefault="00407449" w:rsidP="00407449">
            <w:pPr>
              <w:adjustRightInd w:val="0"/>
              <w:spacing w:before="0" w:after="0"/>
              <w:ind w:right="425"/>
              <w:textAlignment w:val="baseline"/>
              <w:rPr>
                <w:rFonts w:cs="Arial"/>
                <w:sz w:val="22"/>
              </w:rPr>
            </w:pPr>
            <w:r w:rsidRPr="004E6CFC">
              <w:rPr>
                <w:rFonts w:cs="Arial"/>
                <w:sz w:val="22"/>
              </w:rPr>
              <w:t>Barraje con bahías de maniobra</w:t>
            </w:r>
          </w:p>
        </w:tc>
        <w:tc>
          <w:tcPr>
            <w:tcW w:w="1444" w:type="pct"/>
            <w:vAlign w:val="center"/>
          </w:tcPr>
          <w:p w:rsidR="00407449" w:rsidRPr="004E6CFC" w:rsidRDefault="00407449" w:rsidP="00407449">
            <w:pPr>
              <w:adjustRightInd w:val="0"/>
              <w:spacing w:before="0" w:after="0"/>
              <w:jc w:val="center"/>
              <w:textAlignment w:val="baseline"/>
              <w:rPr>
                <w:rFonts w:cs="Arial"/>
                <w:sz w:val="22"/>
              </w:rPr>
            </w:pPr>
            <w:r w:rsidRPr="004E6CFC">
              <w:rPr>
                <w:rFonts w:cs="Arial"/>
                <w:sz w:val="22"/>
              </w:rPr>
              <w:t>30</w:t>
            </w:r>
          </w:p>
        </w:tc>
      </w:tr>
    </w:tbl>
    <w:p w:rsidR="00407449" w:rsidRPr="004E6CFC" w:rsidRDefault="00407449" w:rsidP="00407449">
      <w:r w:rsidRPr="004E6CFC">
        <w:t xml:space="preserve">Para los grupos de activos “conexión del OR al STN”, “equipo de compensación” y “línea del STR” se consideran incluidas las respectivas bahías. Para el grupo de activos de barraje se diferencian las máximas horas permitidas para barrajes que cuentan con bahías de maniobra y para barrajes que no cuentan con estas. </w:t>
      </w:r>
    </w:p>
    <w:p w:rsidR="00407449" w:rsidRPr="004E6CFC" w:rsidRDefault="00407449" w:rsidP="00407449">
      <w:r w:rsidRPr="004E6CFC">
        <w:t>El máximo permitido se debe comparar con la suma de las indisponi</w:t>
      </w:r>
      <w:r w:rsidRPr="004E6CFC">
        <w:softHyphen/>
        <w:t xml:space="preserve">bilidades de los activos que hacen parte del grupo de activos. </w:t>
      </w:r>
      <w:r w:rsidRPr="004E6CFC">
        <w:rPr>
          <w:rFonts w:cs="Arial"/>
        </w:rPr>
        <w:t xml:space="preserve">En subestaciones con configuración de interruptor y medio hacen parte del grupo de activos tanto el interruptor del lado del barraje como el corte central. En subestaciones con configuración en anillo hacen parte del grupo de activos los dos interruptores </w:t>
      </w:r>
      <w:r w:rsidRPr="004E6CFC">
        <w:rPr>
          <w:rFonts w:cs="Arial"/>
        </w:rPr>
        <w:lastRenderedPageBreak/>
        <w:t>relacionados con el respectivo activo. Para las subestaciones con estas dos configuraciones se requiere que los activos estén siendo remunerados en la actividad de distribución.</w:t>
      </w:r>
    </w:p>
    <w:p w:rsidR="00407449" w:rsidRPr="004E6CFC" w:rsidRDefault="00407449" w:rsidP="00407449">
      <w:pPr>
        <w:pStyle w:val="Ttulo3"/>
      </w:pPr>
      <w:bookmarkStart w:id="352" w:name="_Ref184806792"/>
      <w:bookmarkStart w:id="353" w:name="_Toc195670135"/>
      <w:bookmarkStart w:id="354" w:name="_Toc195686828"/>
      <w:bookmarkStart w:id="355" w:name="_Toc195781006"/>
      <w:bookmarkStart w:id="356" w:name="_Toc210616094"/>
      <w:bookmarkStart w:id="357" w:name="_Toc408493166"/>
      <w:bookmarkStart w:id="358" w:name="_Toc440439833"/>
      <w:bookmarkStart w:id="359" w:name="_Toc460840601"/>
      <w:bookmarkStart w:id="360" w:name="_Toc476824154"/>
      <w:bookmarkStart w:id="361" w:name="_Toc505070078"/>
      <w:bookmarkStart w:id="362" w:name="_Toc505335934"/>
      <w:r w:rsidRPr="004E6CFC">
        <w:t>Ajuste de máximas horas de indisponibilidad.</w:t>
      </w:r>
      <w:bookmarkEnd w:id="352"/>
      <w:bookmarkEnd w:id="353"/>
      <w:bookmarkEnd w:id="354"/>
      <w:bookmarkEnd w:id="355"/>
      <w:bookmarkEnd w:id="356"/>
      <w:bookmarkEnd w:id="357"/>
      <w:bookmarkEnd w:id="358"/>
      <w:bookmarkEnd w:id="359"/>
      <w:bookmarkEnd w:id="360"/>
      <w:bookmarkEnd w:id="361"/>
      <w:bookmarkEnd w:id="362"/>
      <w:r w:rsidRPr="004E6CFC">
        <w:t xml:space="preserve"> </w:t>
      </w:r>
    </w:p>
    <w:p w:rsidR="00407449" w:rsidRPr="004E6CFC" w:rsidRDefault="00407449" w:rsidP="00407449">
      <w:r w:rsidRPr="004E6CFC">
        <w:t>Para cada grupo de activos, las máximas horas anuales de indisponibilidad se reducirán en 0,5 horas cada vez que se presente alguna de estas situaciones: i)</w:t>
      </w:r>
      <w:r>
        <w:t> </w:t>
      </w:r>
      <w:r w:rsidRPr="004E6CFC">
        <w:t xml:space="preserve">consignación de emergencia solicitada, ii) modificación al programa </w:t>
      </w:r>
      <w:r>
        <w:t xml:space="preserve">de </w:t>
      </w:r>
      <w:r w:rsidRPr="004E6CFC">
        <w:t>mante</w:t>
      </w:r>
      <w:r>
        <w:softHyphen/>
      </w:r>
      <w:r w:rsidRPr="004E6CFC">
        <w:t>nimientos, iii) retraso en reporte de eventos de cualquiera de los activos que conforman el grupo. El CND calculará mensualmente la meta ajustada, de acuerdo con la siguiente fórmula:</w:t>
      </w:r>
    </w:p>
    <w:p w:rsidR="00407449" w:rsidRPr="004E6CFC" w:rsidRDefault="00C9592F" w:rsidP="00407449">
      <w:pPr>
        <w:rPr>
          <w:rFonts w:cs="Arial"/>
        </w:rPr>
      </w:pPr>
      <m:oMathPara>
        <m:oMathParaPr>
          <m:jc m:val="center"/>
        </m:oMathParaPr>
        <m:oMath>
          <m:sSub>
            <m:sSubPr>
              <m:ctrlPr>
                <w:rPr>
                  <w:rFonts w:ascii="Cambria Math" w:hAnsi="Cambria Math" w:cs="Arial"/>
                  <w:i/>
                </w:rPr>
              </m:ctrlPr>
            </m:sSubPr>
            <m:e>
              <m:r>
                <w:rPr>
                  <w:rFonts w:ascii="Cambria Math" w:hAnsi="Cambria Math" w:cs="Arial"/>
                </w:rPr>
                <m:t>MHAIA</m:t>
              </m:r>
            </m:e>
            <m:sub>
              <m:r>
                <w:rPr>
                  <w:rFonts w:ascii="Cambria Math" w:hAnsi="Cambria Math" w:cs="Arial"/>
                </w:rPr>
                <m:t>m</m:t>
              </m:r>
              <m:r>
                <w:rPr>
                  <w:rFonts w:ascii="Cambria Math" w:cs="Arial"/>
                </w:rPr>
                <m:t>,g</m:t>
              </m:r>
              <m:r>
                <w:rPr>
                  <w:rFonts w:ascii="Cambria Math" w:hAnsi="Cambria Math" w:cs="Arial"/>
                </w:rPr>
                <m:t>u</m:t>
              </m:r>
            </m:sub>
          </m:sSub>
          <m:r>
            <w:rPr>
              <w:rFonts w:ascii="Cambria Math" w:cs="Arial"/>
            </w:rPr>
            <m:t>=</m:t>
          </m:r>
          <m:sSub>
            <m:sSubPr>
              <m:ctrlPr>
                <w:rPr>
                  <w:rFonts w:ascii="Cambria Math" w:hAnsi="Cambria Math" w:cs="Arial"/>
                  <w:i/>
                </w:rPr>
              </m:ctrlPr>
            </m:sSubPr>
            <m:e>
              <m:r>
                <w:rPr>
                  <w:rFonts w:ascii="Cambria Math" w:hAnsi="Cambria Math" w:cs="Arial"/>
                </w:rPr>
                <m:t>MHAI</m:t>
              </m:r>
            </m:e>
            <m:sub>
              <m:r>
                <w:rPr>
                  <w:rFonts w:ascii="Cambria Math" w:hAnsi="Cambria Math" w:cs="Arial"/>
                </w:rPr>
                <m:t>gu</m:t>
              </m:r>
            </m:sub>
          </m:sSub>
          <m:r>
            <w:rPr>
              <w:rFonts w:ascii="Cambria Math" w:hAnsi="Cambria Math" w:cs="Arial"/>
            </w:rPr>
            <m:t>-</m:t>
          </m:r>
          <m:r>
            <w:rPr>
              <w:rFonts w:ascii="Cambria Math" w:cs="Arial"/>
            </w:rPr>
            <m:t>0,5</m:t>
          </m:r>
          <m:r>
            <w:rPr>
              <w:rFonts w:ascii="Cambria Math" w:hAnsi="Cambria Math" w:cs="Arial"/>
            </w:rPr>
            <m:t>*</m:t>
          </m:r>
          <m:d>
            <m:dPr>
              <m:ctrlPr>
                <w:rPr>
                  <w:rFonts w:ascii="Cambria Math" w:hAnsi="Cambria Math" w:cs="Arial"/>
                  <w:i/>
                </w:rPr>
              </m:ctrlPr>
            </m:dPr>
            <m:e>
              <m:nary>
                <m:naryPr>
                  <m:chr m:val="∑"/>
                  <m:limLoc m:val="undOvr"/>
                  <m:ctrlPr>
                    <w:rPr>
                      <w:rFonts w:ascii="Cambria Math" w:hAnsi="Cambria Math" w:cs="Arial"/>
                      <w:i/>
                    </w:rPr>
                  </m:ctrlPr>
                </m:naryPr>
                <m:sub>
                  <m:r>
                    <w:rPr>
                      <w:rFonts w:ascii="Cambria Math" w:hAnsi="Cambria Math" w:cs="Arial"/>
                    </w:rPr>
                    <m:t>u=1</m:t>
                  </m:r>
                </m:sub>
                <m:sup>
                  <m:r>
                    <w:rPr>
                      <w:rFonts w:ascii="Cambria Math" w:hAnsi="Cambria Math" w:cs="Arial"/>
                    </w:rPr>
                    <m:t>NGU</m:t>
                  </m:r>
                </m:sup>
                <m:e>
                  <m:sSub>
                    <m:sSubPr>
                      <m:ctrlPr>
                        <w:rPr>
                          <w:rFonts w:ascii="Cambria Math" w:hAnsi="Cambria Math" w:cs="Arial"/>
                          <w:i/>
                        </w:rPr>
                      </m:ctrlPr>
                    </m:sSubPr>
                    <m:e>
                      <m:r>
                        <w:rPr>
                          <w:rFonts w:ascii="Cambria Math" w:hAnsi="Cambria Math" w:cs="Arial"/>
                        </w:rPr>
                        <m:t>SCE</m:t>
                      </m:r>
                    </m:e>
                    <m:sub>
                      <m:r>
                        <w:rPr>
                          <w:rFonts w:ascii="Cambria Math" w:hAnsi="Cambria Math" w:cs="Arial"/>
                        </w:rPr>
                        <m:t>m,u</m:t>
                      </m:r>
                    </m:sub>
                  </m:sSub>
                </m:e>
              </m:nary>
              <m:r>
                <w:rPr>
                  <w:rFonts w:ascii="Cambria Math" w:hAnsi="Cambria Math" w:cs="Arial"/>
                </w:rPr>
                <m:t>+</m:t>
              </m:r>
              <m:nary>
                <m:naryPr>
                  <m:chr m:val="∑"/>
                  <m:limLoc m:val="undOvr"/>
                  <m:ctrlPr>
                    <w:rPr>
                      <w:rFonts w:ascii="Cambria Math" w:hAnsi="Cambria Math" w:cs="Arial"/>
                      <w:i/>
                    </w:rPr>
                  </m:ctrlPr>
                </m:naryPr>
                <m:sub>
                  <m:r>
                    <w:rPr>
                      <w:rFonts w:ascii="Cambria Math" w:hAnsi="Cambria Math" w:cs="Arial"/>
                    </w:rPr>
                    <m:t>u=1</m:t>
                  </m:r>
                </m:sub>
                <m:sup>
                  <m:r>
                    <w:rPr>
                      <w:rFonts w:ascii="Cambria Math" w:hAnsi="Cambria Math" w:cs="Arial"/>
                    </w:rPr>
                    <m:t>NGU</m:t>
                  </m:r>
                </m:sup>
                <m:e>
                  <m:sSub>
                    <m:sSubPr>
                      <m:ctrlPr>
                        <w:rPr>
                          <w:rFonts w:ascii="Cambria Math" w:hAnsi="Cambria Math" w:cs="Arial"/>
                          <w:i/>
                        </w:rPr>
                      </m:ctrlPr>
                    </m:sSubPr>
                    <m:e>
                      <m:r>
                        <w:rPr>
                          <w:rFonts w:ascii="Cambria Math" w:hAnsi="Cambria Math" w:cs="Arial"/>
                        </w:rPr>
                        <m:t>CPM</m:t>
                      </m:r>
                    </m:e>
                    <m:sub>
                      <m:r>
                        <w:rPr>
                          <w:rFonts w:ascii="Cambria Math" w:hAnsi="Cambria Math" w:cs="Arial"/>
                        </w:rPr>
                        <m:t>m,u</m:t>
                      </m:r>
                    </m:sub>
                  </m:sSub>
                </m:e>
              </m:nary>
              <m:r>
                <w:rPr>
                  <w:rFonts w:ascii="Cambria Math" w:hAnsi="Cambria Math" w:cs="Arial"/>
                </w:rPr>
                <m:t>+</m:t>
              </m:r>
              <m:nary>
                <m:naryPr>
                  <m:chr m:val="∑"/>
                  <m:limLoc m:val="undOvr"/>
                  <m:ctrlPr>
                    <w:rPr>
                      <w:rFonts w:ascii="Cambria Math" w:hAnsi="Cambria Math" w:cs="Arial"/>
                      <w:i/>
                    </w:rPr>
                  </m:ctrlPr>
                </m:naryPr>
                <m:sub>
                  <m:r>
                    <w:rPr>
                      <w:rFonts w:ascii="Cambria Math" w:hAnsi="Cambria Math" w:cs="Arial"/>
                    </w:rPr>
                    <m:t>u=1</m:t>
                  </m:r>
                </m:sub>
                <m:sup>
                  <m:r>
                    <w:rPr>
                      <w:rFonts w:ascii="Cambria Math" w:hAnsi="Cambria Math" w:cs="Arial"/>
                    </w:rPr>
                    <m:t>NGU</m:t>
                  </m:r>
                </m:sup>
                <m:e>
                  <m:sSub>
                    <m:sSubPr>
                      <m:ctrlPr>
                        <w:rPr>
                          <w:rFonts w:ascii="Cambria Math" w:hAnsi="Cambria Math" w:cs="Arial"/>
                          <w:i/>
                        </w:rPr>
                      </m:ctrlPr>
                    </m:sSubPr>
                    <m:e>
                      <m:r>
                        <w:rPr>
                          <w:rFonts w:ascii="Cambria Math" w:hAnsi="Cambria Math" w:cs="Arial"/>
                        </w:rPr>
                        <m:t>ENR</m:t>
                      </m:r>
                    </m:e>
                    <m:sub>
                      <m:r>
                        <w:rPr>
                          <w:rFonts w:ascii="Cambria Math" w:hAnsi="Cambria Math" w:cs="Arial"/>
                        </w:rPr>
                        <m:t>m,u</m:t>
                      </m:r>
                    </m:sub>
                  </m:sSub>
                </m:e>
              </m:nary>
            </m:e>
          </m:d>
        </m:oMath>
      </m:oMathPara>
    </w:p>
    <w:p w:rsidR="00407449" w:rsidRPr="004E6CFC" w:rsidRDefault="00407449" w:rsidP="00407449">
      <w:pPr>
        <w:ind w:left="842" w:hanging="851"/>
        <w:rPr>
          <w:rFonts w:cs="Arial"/>
        </w:rPr>
      </w:pPr>
      <w:r w:rsidRPr="004E6CFC">
        <w:rPr>
          <w:rFonts w:cs="Arial"/>
        </w:rPr>
        <w:t>Donde:</w:t>
      </w:r>
    </w:p>
    <w:p w:rsidR="00407449" w:rsidRPr="004E6CFC" w:rsidRDefault="00407449" w:rsidP="00407449">
      <w:pPr>
        <w:spacing w:before="120"/>
        <w:ind w:left="1418" w:hanging="1418"/>
        <w:rPr>
          <w:rFonts w:cs="Arial"/>
        </w:rPr>
      </w:pPr>
      <w:r w:rsidRPr="004E6CFC">
        <w:rPr>
          <w:rFonts w:cs="Arial"/>
          <w:i/>
        </w:rPr>
        <w:t>MHAIA</w:t>
      </w:r>
      <w:r w:rsidRPr="004E6CFC">
        <w:rPr>
          <w:rFonts w:cs="Arial"/>
          <w:i/>
          <w:vertAlign w:val="subscript"/>
        </w:rPr>
        <w:t>m,gu</w:t>
      </w:r>
      <w:r w:rsidRPr="004E6CFC">
        <w:rPr>
          <w:rFonts w:cs="Arial"/>
        </w:rPr>
        <w:t>:</w:t>
      </w:r>
      <w:r w:rsidRPr="004E6CFC">
        <w:rPr>
          <w:rFonts w:cs="Arial"/>
        </w:rPr>
        <w:tab/>
        <w:t xml:space="preserve">Máximas horas anuales de indisponibilidad ajustadas del grupo de activos </w:t>
      </w:r>
      <w:r w:rsidRPr="004E6CFC">
        <w:rPr>
          <w:rFonts w:cs="Arial"/>
          <w:i/>
        </w:rPr>
        <w:t>gu</w:t>
      </w:r>
      <w:r w:rsidRPr="004E6CFC">
        <w:rPr>
          <w:rFonts w:cs="Arial"/>
        </w:rPr>
        <w:t xml:space="preserve">, calculadas para el mes </w:t>
      </w:r>
      <w:r w:rsidRPr="004E6CFC">
        <w:rPr>
          <w:rFonts w:cs="Arial"/>
          <w:i/>
        </w:rPr>
        <w:t>m</w:t>
      </w:r>
      <w:r w:rsidRPr="004E6CFC">
        <w:rPr>
          <w:rFonts w:cs="Arial"/>
        </w:rPr>
        <w:t>.</w:t>
      </w:r>
    </w:p>
    <w:p w:rsidR="00407449" w:rsidRPr="004E6CFC" w:rsidRDefault="00407449" w:rsidP="00407449">
      <w:pPr>
        <w:spacing w:before="120"/>
        <w:ind w:left="1418" w:hanging="1418"/>
        <w:rPr>
          <w:rFonts w:cs="Arial"/>
        </w:rPr>
      </w:pPr>
      <w:r w:rsidRPr="004E6CFC">
        <w:rPr>
          <w:rFonts w:cs="Arial"/>
          <w:i/>
        </w:rPr>
        <w:t>MHAI</w:t>
      </w:r>
      <w:r w:rsidRPr="004E6CFC">
        <w:rPr>
          <w:rFonts w:cs="Arial"/>
          <w:i/>
          <w:vertAlign w:val="subscript"/>
        </w:rPr>
        <w:t>gu</w:t>
      </w:r>
      <w:r w:rsidRPr="004E6CFC">
        <w:rPr>
          <w:rFonts w:cs="Arial"/>
        </w:rPr>
        <w:t>:</w:t>
      </w:r>
      <w:r w:rsidRPr="004E6CFC">
        <w:rPr>
          <w:rFonts w:cs="Arial"/>
        </w:rPr>
        <w:tab/>
        <w:t>Máximas horas anuales de indisponibilidad del grupo de activos </w:t>
      </w:r>
      <w:r w:rsidRPr="004E6CFC">
        <w:rPr>
          <w:rFonts w:cs="Arial"/>
          <w:i/>
        </w:rPr>
        <w:t>gu</w:t>
      </w:r>
      <w:r w:rsidRPr="004E6CFC">
        <w:rPr>
          <w:rFonts w:cs="Arial"/>
        </w:rPr>
        <w:t>.</w:t>
      </w:r>
    </w:p>
    <w:p w:rsidR="00407449" w:rsidRPr="004E6CFC" w:rsidRDefault="00407449" w:rsidP="00407449">
      <w:pPr>
        <w:spacing w:before="120"/>
        <w:ind w:left="1418" w:hanging="1418"/>
        <w:rPr>
          <w:rFonts w:cs="Arial"/>
          <w:i/>
        </w:rPr>
      </w:pPr>
      <w:r w:rsidRPr="004E6CFC">
        <w:rPr>
          <w:rFonts w:cs="Arial"/>
          <w:i/>
        </w:rPr>
        <w:t>SCE</w:t>
      </w:r>
      <w:r w:rsidRPr="004E6CFC">
        <w:rPr>
          <w:rFonts w:cs="Arial"/>
          <w:i/>
          <w:vertAlign w:val="subscript"/>
        </w:rPr>
        <w:t>m,u</w:t>
      </w:r>
      <w:r w:rsidRPr="004E6CFC">
        <w:rPr>
          <w:rFonts w:cs="Arial"/>
          <w:i/>
        </w:rPr>
        <w:t>:</w:t>
      </w:r>
      <w:r w:rsidRPr="004E6CFC">
        <w:rPr>
          <w:rFonts w:cs="Arial"/>
          <w:i/>
        </w:rPr>
        <w:tab/>
      </w:r>
      <w:r w:rsidRPr="004E6CFC">
        <w:rPr>
          <w:rFonts w:cs="Arial"/>
        </w:rPr>
        <w:t xml:space="preserve">Número acumulado de solicitudes de </w:t>
      </w:r>
      <w:r w:rsidRPr="00407449">
        <w:rPr>
          <w:rFonts w:cs="Arial"/>
        </w:rPr>
        <w:t xml:space="preserve">consignaciones de emergencia, exceptuando las excluidas, para cada uno de los activos </w:t>
      </w:r>
      <w:r w:rsidRPr="00407449">
        <w:rPr>
          <w:rFonts w:cs="Arial"/>
          <w:i/>
        </w:rPr>
        <w:t>u</w:t>
      </w:r>
      <w:r w:rsidRPr="00407449">
        <w:rPr>
          <w:rFonts w:cs="Arial"/>
        </w:rPr>
        <w:t xml:space="preserve"> que</w:t>
      </w:r>
      <w:r w:rsidRPr="004E6CFC">
        <w:rPr>
          <w:rFonts w:cs="Arial"/>
        </w:rPr>
        <w:t xml:space="preserve"> conforman el grupo de activos </w:t>
      </w:r>
      <w:r w:rsidRPr="004E6CFC">
        <w:rPr>
          <w:rFonts w:cs="Arial"/>
          <w:i/>
        </w:rPr>
        <w:t>gu</w:t>
      </w:r>
      <w:r w:rsidRPr="004E6CFC">
        <w:rPr>
          <w:rFonts w:cs="Arial"/>
        </w:rPr>
        <w:t xml:space="preserve"> durante una ventana móvil de doce meses que termina en el mes </w:t>
      </w:r>
      <w:r w:rsidRPr="004E6CFC">
        <w:rPr>
          <w:rFonts w:cs="Arial"/>
          <w:i/>
        </w:rPr>
        <w:t>m</w:t>
      </w:r>
      <w:r w:rsidRPr="004E6CFC">
        <w:rPr>
          <w:rFonts w:cs="Arial"/>
        </w:rPr>
        <w:t xml:space="preserve">. </w:t>
      </w:r>
    </w:p>
    <w:p w:rsidR="00407449" w:rsidRPr="004E6CFC" w:rsidRDefault="00407449" w:rsidP="00407449">
      <w:pPr>
        <w:spacing w:before="120"/>
        <w:ind w:left="1418" w:hanging="1418"/>
        <w:rPr>
          <w:rFonts w:cs="Arial"/>
          <w:i/>
        </w:rPr>
      </w:pPr>
      <w:r w:rsidRPr="004E6CFC">
        <w:rPr>
          <w:rFonts w:cs="Arial"/>
          <w:i/>
        </w:rPr>
        <w:t>CPM</w:t>
      </w:r>
      <w:r w:rsidRPr="004E6CFC">
        <w:rPr>
          <w:rFonts w:cs="Arial"/>
          <w:i/>
          <w:vertAlign w:val="subscript"/>
        </w:rPr>
        <w:t>m,u</w:t>
      </w:r>
      <w:r w:rsidRPr="004E6CFC">
        <w:rPr>
          <w:rFonts w:cs="Arial"/>
          <w:i/>
        </w:rPr>
        <w:t>:</w:t>
      </w:r>
      <w:r w:rsidRPr="004E6CFC">
        <w:rPr>
          <w:rFonts w:cs="Arial"/>
          <w:i/>
        </w:rPr>
        <w:tab/>
      </w:r>
      <w:r w:rsidRPr="004E6CFC">
        <w:rPr>
          <w:rFonts w:cs="Arial"/>
        </w:rPr>
        <w:t xml:space="preserve">Número acumulado de cambios al programa de mantenimientos, exceptuando los excluidos, para cada uno de los activos </w:t>
      </w:r>
      <w:r w:rsidRPr="004E6CFC">
        <w:rPr>
          <w:rFonts w:cs="Arial"/>
          <w:i/>
        </w:rPr>
        <w:t>u</w:t>
      </w:r>
      <w:r w:rsidRPr="004E6CFC">
        <w:rPr>
          <w:rFonts w:cs="Arial"/>
        </w:rPr>
        <w:t xml:space="preserve"> que conforman el grupo de activos </w:t>
      </w:r>
      <w:r w:rsidRPr="004E6CFC">
        <w:rPr>
          <w:rFonts w:cs="Arial"/>
          <w:i/>
        </w:rPr>
        <w:t>gu</w:t>
      </w:r>
      <w:r w:rsidRPr="004E6CFC">
        <w:rPr>
          <w:rFonts w:cs="Arial"/>
        </w:rPr>
        <w:t xml:space="preserve"> durante una ventana móvil de doce meses que termina en el mes </w:t>
      </w:r>
      <w:r w:rsidRPr="004E6CFC">
        <w:rPr>
          <w:rFonts w:cs="Arial"/>
          <w:i/>
        </w:rPr>
        <w:t>m</w:t>
      </w:r>
      <w:r w:rsidRPr="004E6CFC">
        <w:rPr>
          <w:rFonts w:cs="Arial"/>
        </w:rPr>
        <w:t xml:space="preserve">. </w:t>
      </w:r>
    </w:p>
    <w:p w:rsidR="00407449" w:rsidRPr="004E6CFC" w:rsidRDefault="00407449" w:rsidP="00407449">
      <w:pPr>
        <w:spacing w:before="120"/>
        <w:ind w:left="1418" w:hanging="1418"/>
        <w:rPr>
          <w:rFonts w:cs="Arial"/>
          <w:i/>
        </w:rPr>
      </w:pPr>
      <w:r w:rsidRPr="004E6CFC">
        <w:rPr>
          <w:rFonts w:cs="Arial"/>
          <w:i/>
        </w:rPr>
        <w:t>ENR</w:t>
      </w:r>
      <w:r w:rsidRPr="004E6CFC">
        <w:rPr>
          <w:rFonts w:cs="Arial"/>
          <w:i/>
          <w:vertAlign w:val="subscript"/>
        </w:rPr>
        <w:t>m,u</w:t>
      </w:r>
      <w:r w:rsidRPr="004E6CFC">
        <w:rPr>
          <w:rFonts w:cs="Arial"/>
          <w:i/>
        </w:rPr>
        <w:t>:</w:t>
      </w:r>
      <w:r w:rsidRPr="004E6CFC">
        <w:rPr>
          <w:rFonts w:cs="Arial"/>
          <w:i/>
        </w:rPr>
        <w:tab/>
      </w:r>
      <w:r w:rsidRPr="004E6CFC">
        <w:rPr>
          <w:rFonts w:cs="Arial"/>
        </w:rPr>
        <w:t xml:space="preserve">Número acumulado de eventos o finalización de maniobras no reportados en los plazos establecidos en esta resolución, para cada uno de los activos </w:t>
      </w:r>
      <w:r w:rsidRPr="004E6CFC">
        <w:rPr>
          <w:rFonts w:cs="Arial"/>
          <w:i/>
        </w:rPr>
        <w:t>u</w:t>
      </w:r>
      <w:r w:rsidRPr="004E6CFC">
        <w:rPr>
          <w:rFonts w:cs="Arial"/>
        </w:rPr>
        <w:t xml:space="preserve"> que conforman el grupo de activos </w:t>
      </w:r>
      <w:r w:rsidRPr="004E6CFC">
        <w:rPr>
          <w:rFonts w:cs="Arial"/>
          <w:i/>
        </w:rPr>
        <w:t>gu</w:t>
      </w:r>
      <w:r w:rsidRPr="004E6CFC">
        <w:rPr>
          <w:rFonts w:cs="Arial"/>
        </w:rPr>
        <w:t xml:space="preserve"> durante una ventana móvil de doce meses que termina en el mes </w:t>
      </w:r>
      <w:r w:rsidRPr="004E6CFC">
        <w:rPr>
          <w:rFonts w:cs="Arial"/>
          <w:i/>
        </w:rPr>
        <w:t>m</w:t>
      </w:r>
      <w:r w:rsidRPr="004E6CFC">
        <w:rPr>
          <w:rFonts w:cs="Arial"/>
        </w:rPr>
        <w:t xml:space="preserve">. </w:t>
      </w:r>
    </w:p>
    <w:p w:rsidR="00407449" w:rsidRPr="004E6CFC" w:rsidRDefault="00407449" w:rsidP="00407449">
      <w:pPr>
        <w:spacing w:before="120"/>
        <w:ind w:left="1418" w:hanging="1418"/>
        <w:rPr>
          <w:rFonts w:cs="Arial"/>
        </w:rPr>
      </w:pPr>
      <w:r w:rsidRPr="004E6CFC">
        <w:rPr>
          <w:rFonts w:cs="Arial"/>
          <w:i/>
        </w:rPr>
        <w:t>NGU</w:t>
      </w:r>
      <w:r w:rsidRPr="004E6CFC">
        <w:rPr>
          <w:rFonts w:cs="Arial"/>
        </w:rPr>
        <w:t>:</w:t>
      </w:r>
      <w:r w:rsidRPr="004E6CFC">
        <w:rPr>
          <w:rFonts w:cs="Arial"/>
        </w:rPr>
        <w:tab/>
        <w:t xml:space="preserve">Número de activos que conforman el grupo de activos </w:t>
      </w:r>
      <w:r w:rsidRPr="004E6CFC">
        <w:rPr>
          <w:rFonts w:cs="Arial"/>
          <w:i/>
        </w:rPr>
        <w:t>gu.</w:t>
      </w:r>
    </w:p>
    <w:p w:rsidR="00407449" w:rsidRPr="004E6CFC" w:rsidRDefault="00407449" w:rsidP="00407449">
      <w:pPr>
        <w:pStyle w:val="Ttulo3"/>
      </w:pPr>
      <w:bookmarkStart w:id="363" w:name="_Ref185916412"/>
      <w:bookmarkStart w:id="364" w:name="_Toc195670136"/>
      <w:bookmarkStart w:id="365" w:name="_Ref195685204"/>
      <w:bookmarkStart w:id="366" w:name="_Toc195686829"/>
      <w:bookmarkStart w:id="367" w:name="_Toc195781007"/>
      <w:bookmarkStart w:id="368" w:name="_Toc210616095"/>
      <w:bookmarkStart w:id="369" w:name="_Ref403573910"/>
      <w:bookmarkStart w:id="370" w:name="_Toc408493167"/>
      <w:bookmarkStart w:id="371" w:name="_Toc440439834"/>
      <w:bookmarkStart w:id="372" w:name="_Toc460840602"/>
      <w:bookmarkStart w:id="373" w:name="_Toc476824155"/>
      <w:bookmarkStart w:id="374" w:name="_Toc505070079"/>
      <w:bookmarkStart w:id="375" w:name="_Toc505335935"/>
      <w:r w:rsidRPr="004E6CFC">
        <w:t>Indisponibilidad de los activos de uso del ST</w:t>
      </w:r>
      <w:bookmarkEnd w:id="363"/>
      <w:r w:rsidRPr="004E6CFC">
        <w:t>R</w:t>
      </w:r>
      <w:bookmarkEnd w:id="364"/>
      <w:bookmarkEnd w:id="365"/>
      <w:bookmarkEnd w:id="366"/>
      <w:bookmarkEnd w:id="367"/>
      <w:bookmarkEnd w:id="368"/>
      <w:bookmarkEnd w:id="369"/>
      <w:bookmarkEnd w:id="370"/>
      <w:bookmarkEnd w:id="371"/>
      <w:bookmarkEnd w:id="372"/>
      <w:bookmarkEnd w:id="373"/>
      <w:bookmarkEnd w:id="374"/>
      <w:bookmarkEnd w:id="375"/>
    </w:p>
    <w:p w:rsidR="00407449" w:rsidRPr="004E6CFC" w:rsidRDefault="00407449" w:rsidP="00407449">
      <w:r w:rsidRPr="004E6CFC">
        <w:t>La duración de las indisponibilidades de los activos del STR se medirá en horas, aproximadas al segundo decimal y se agruparán por mes calendario. Un evento cuya duración pase de un mes calendario al siguiente se deberá dividir en dos eventos: uno que finaliza a las veinticuatro (24:00) horas del último día del mes calendario y otro evento que inicia a las cero (0:00) horas del primer día del nuevo mes.</w:t>
      </w:r>
    </w:p>
    <w:p w:rsidR="00407449" w:rsidRPr="004E6CFC" w:rsidRDefault="00407449" w:rsidP="00407449">
      <w:r w:rsidRPr="004E6CFC">
        <w:t xml:space="preserve">Las horas de indisponibilidad de cada uno de los activos que hacen parte de los </w:t>
      </w:r>
      <w:r w:rsidRPr="004E6CFC">
        <w:rPr>
          <w:rFonts w:cs="Arial"/>
        </w:rPr>
        <w:t xml:space="preserve">grupos de activos </w:t>
      </w:r>
      <w:r w:rsidRPr="004E6CFC">
        <w:t xml:space="preserve">establecidos en este </w:t>
      </w:r>
      <w:r>
        <w:t>capítulo</w:t>
      </w:r>
      <w:r w:rsidRPr="004E6CFC">
        <w:t xml:space="preserve"> la calcula mensualmente el CND mediante la siguiente expresión:</w:t>
      </w:r>
    </w:p>
    <w:p w:rsidR="00407449" w:rsidRPr="004E6CFC" w:rsidRDefault="00C9592F" w:rsidP="00407449">
      <w:pPr>
        <w:rPr>
          <w:rFonts w:cs="Arial"/>
        </w:rPr>
      </w:pPr>
      <m:oMathPara>
        <m:oMath>
          <m:sSub>
            <m:sSubPr>
              <m:ctrlPr>
                <w:rPr>
                  <w:rFonts w:ascii="Cambria Math" w:hAnsi="Cambria Math" w:cs="Arial"/>
                  <w:i/>
                </w:rPr>
              </m:ctrlPr>
            </m:sSubPr>
            <m:e>
              <m:r>
                <w:rPr>
                  <w:rFonts w:ascii="Cambria Math" w:hAnsi="Cambria Math" w:cs="Arial"/>
                </w:rPr>
                <m:t>HID</m:t>
              </m:r>
            </m:e>
            <m:sub>
              <m:r>
                <w:rPr>
                  <w:rFonts w:ascii="Cambria Math" w:hAnsi="Cambria Math" w:cs="Arial"/>
                </w:rPr>
                <m:t>m,u</m:t>
              </m:r>
            </m:sub>
          </m:sSub>
          <m:r>
            <w:rPr>
              <w:rFonts w:ascii="Cambria Math" w:hAnsi="Cambria Math" w:cs="Arial"/>
            </w:rPr>
            <m:t>=</m:t>
          </m:r>
          <m:nary>
            <m:naryPr>
              <m:chr m:val="∑"/>
              <m:limLoc m:val="undOvr"/>
              <m:ctrlPr>
                <w:rPr>
                  <w:rFonts w:ascii="Cambria Math" w:hAnsi="Cambria Math" w:cs="Arial"/>
                  <w:i/>
                </w:rPr>
              </m:ctrlPr>
            </m:naryPr>
            <m:sub>
              <m:r>
                <w:rPr>
                  <w:rFonts w:ascii="Cambria Math" w:hAnsi="Cambria Math" w:cs="Arial"/>
                </w:rPr>
                <m:t>i=1</m:t>
              </m:r>
            </m:sub>
            <m:sup>
              <m:r>
                <w:rPr>
                  <w:rFonts w:ascii="Cambria Math" w:hAnsi="Cambria Math" w:cs="Arial"/>
                </w:rPr>
                <m:t>n</m:t>
              </m:r>
            </m:sup>
            <m:e>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H</m:t>
                      </m:r>
                    </m:e>
                    <m:sub>
                      <m:r>
                        <w:rPr>
                          <w:rFonts w:ascii="Cambria Math" w:hAnsi="Cambria Math" w:cs="Arial"/>
                        </w:rPr>
                        <m:t>i,u</m:t>
                      </m:r>
                    </m:sub>
                  </m:sSub>
                  <m:r>
                    <w:rPr>
                      <w:rFonts w:ascii="Cambria Math" w:hAnsi="Cambria Math" w:cs="Arial"/>
                    </w:rPr>
                    <m:t>*</m:t>
                  </m:r>
                  <m:d>
                    <m:dPr>
                      <m:ctrlPr>
                        <w:rPr>
                          <w:rFonts w:ascii="Cambria Math" w:hAnsi="Cambria Math" w:cs="Arial"/>
                          <w:i/>
                        </w:rPr>
                      </m:ctrlPr>
                    </m:dPr>
                    <m:e>
                      <m:r>
                        <w:rPr>
                          <w:rFonts w:ascii="Cambria Math" w:hAnsi="Cambria Math" w:cs="Arial"/>
                        </w:rPr>
                        <m:t>1-</m:t>
                      </m:r>
                      <m:sSub>
                        <m:sSubPr>
                          <m:ctrlPr>
                            <w:rPr>
                              <w:rFonts w:ascii="Cambria Math" w:hAnsi="Cambria Math" w:cs="Arial"/>
                              <w:i/>
                            </w:rPr>
                          </m:ctrlPr>
                        </m:sSubPr>
                        <m:e>
                          <m:r>
                            <w:rPr>
                              <w:rFonts w:ascii="Cambria Math" w:hAnsi="Cambria Math" w:cs="Arial"/>
                            </w:rPr>
                            <m:t>CAPD</m:t>
                          </m:r>
                        </m:e>
                        <m:sub>
                          <m:r>
                            <w:rPr>
                              <w:rFonts w:ascii="Cambria Math" w:hAnsi="Cambria Math" w:cs="Arial"/>
                            </w:rPr>
                            <m:t>i,u</m:t>
                          </m:r>
                        </m:sub>
                      </m:sSub>
                    </m:e>
                  </m:d>
                </m:e>
              </m:d>
            </m:e>
          </m:nary>
        </m:oMath>
      </m:oMathPara>
    </w:p>
    <w:p w:rsidR="00407449" w:rsidRPr="004E6CFC" w:rsidRDefault="00407449" w:rsidP="00407449">
      <w:pPr>
        <w:rPr>
          <w:rFonts w:cs="Arial"/>
        </w:rPr>
      </w:pPr>
      <w:r w:rsidRPr="004E6CFC">
        <w:rPr>
          <w:rFonts w:cs="Arial"/>
        </w:rPr>
        <w:t>Donde:</w:t>
      </w:r>
    </w:p>
    <w:p w:rsidR="00407449" w:rsidRPr="004E6CFC" w:rsidRDefault="00407449" w:rsidP="00407449">
      <w:pPr>
        <w:spacing w:before="120"/>
        <w:ind w:left="1418" w:hanging="1418"/>
      </w:pPr>
      <w:r w:rsidRPr="004E6CFC">
        <w:rPr>
          <w:i/>
        </w:rPr>
        <w:t>HID</w:t>
      </w:r>
      <w:r w:rsidRPr="004E6CFC">
        <w:rPr>
          <w:i/>
          <w:vertAlign w:val="subscript"/>
        </w:rPr>
        <w:t>m,u</w:t>
      </w:r>
      <w:r w:rsidRPr="004E6CFC">
        <w:t>:</w:t>
      </w:r>
      <w:r w:rsidRPr="004E6CFC">
        <w:tab/>
        <w:t xml:space="preserve">Horas de Indisponibilidad del activo </w:t>
      </w:r>
      <w:r w:rsidRPr="004E6CFC">
        <w:rPr>
          <w:i/>
        </w:rPr>
        <w:t>u</w:t>
      </w:r>
      <w:r w:rsidRPr="004E6CFC">
        <w:t xml:space="preserve">, durante el mes </w:t>
      </w:r>
      <w:r w:rsidRPr="004E6CFC">
        <w:rPr>
          <w:i/>
        </w:rPr>
        <w:t>m</w:t>
      </w:r>
      <w:r w:rsidRPr="004E6CFC">
        <w:t>.</w:t>
      </w:r>
    </w:p>
    <w:p w:rsidR="00407449" w:rsidRPr="004E6CFC" w:rsidRDefault="00407449" w:rsidP="00407449">
      <w:pPr>
        <w:spacing w:before="120"/>
        <w:ind w:left="1418" w:hanging="1418"/>
      </w:pPr>
      <w:r w:rsidRPr="004E6CFC">
        <w:rPr>
          <w:i/>
        </w:rPr>
        <w:t>i</w:t>
      </w:r>
      <w:r w:rsidRPr="004E6CFC">
        <w:t>:</w:t>
      </w:r>
      <w:r w:rsidRPr="004E6CFC">
        <w:tab/>
        <w:t xml:space="preserve">Identificador de la indisponibilidad. </w:t>
      </w:r>
    </w:p>
    <w:p w:rsidR="00407449" w:rsidRPr="004E6CFC" w:rsidRDefault="00407449" w:rsidP="00407449">
      <w:pPr>
        <w:spacing w:before="120"/>
        <w:ind w:left="1418" w:hanging="1418"/>
      </w:pPr>
      <w:r w:rsidRPr="004E6CFC">
        <w:rPr>
          <w:i/>
        </w:rPr>
        <w:t>n</w:t>
      </w:r>
      <w:r w:rsidRPr="004E6CFC">
        <w:t>:</w:t>
      </w:r>
      <w:r w:rsidRPr="004E6CFC">
        <w:tab/>
        <w:t xml:space="preserve">Número total de indisponibilidades del activo </w:t>
      </w:r>
      <w:r w:rsidRPr="004E6CFC">
        <w:rPr>
          <w:i/>
        </w:rPr>
        <w:t>u</w:t>
      </w:r>
      <w:r w:rsidRPr="004E6CFC">
        <w:t xml:space="preserve">, durante el mes </w:t>
      </w:r>
      <w:r w:rsidRPr="004E6CFC">
        <w:rPr>
          <w:i/>
        </w:rPr>
        <w:t>m</w:t>
      </w:r>
      <w:r w:rsidRPr="004E6CFC">
        <w:t xml:space="preserve">. </w:t>
      </w:r>
    </w:p>
    <w:p w:rsidR="00407449" w:rsidRPr="004E6CFC" w:rsidRDefault="00407449" w:rsidP="00407449">
      <w:pPr>
        <w:spacing w:before="120"/>
        <w:ind w:left="1418" w:hanging="1418"/>
      </w:pPr>
      <w:r w:rsidRPr="004E6CFC">
        <w:rPr>
          <w:i/>
        </w:rPr>
        <w:t>H</w:t>
      </w:r>
      <w:r w:rsidRPr="004E6CFC">
        <w:rPr>
          <w:i/>
          <w:vertAlign w:val="subscript"/>
        </w:rPr>
        <w:t>i,u</w:t>
      </w:r>
      <w:r w:rsidRPr="004E6CFC">
        <w:t>:</w:t>
      </w:r>
      <w:r w:rsidRPr="004E6CFC">
        <w:tab/>
        <w:t xml:space="preserve">Duración de la indisponibilidad </w:t>
      </w:r>
      <w:r w:rsidRPr="004E6CFC">
        <w:rPr>
          <w:i/>
        </w:rPr>
        <w:t>i</w:t>
      </w:r>
      <w:r w:rsidRPr="004E6CFC">
        <w:t xml:space="preserve">, para el activo </w:t>
      </w:r>
      <w:r w:rsidRPr="004E6CFC">
        <w:rPr>
          <w:i/>
        </w:rPr>
        <w:t>u</w:t>
      </w:r>
      <w:r w:rsidRPr="004E6CFC">
        <w:t>.</w:t>
      </w:r>
      <w:r>
        <w:t xml:space="preserve"> Para los mantenimientos programados esta duración se cuenta desde la hora programada de inicio hasta la hora programada de finalización. </w:t>
      </w:r>
    </w:p>
    <w:p w:rsidR="00407449" w:rsidRPr="004E6CFC" w:rsidRDefault="00407449" w:rsidP="00407449">
      <w:pPr>
        <w:spacing w:before="120"/>
        <w:ind w:left="1418" w:hanging="1418"/>
      </w:pPr>
      <w:r w:rsidRPr="004E6CFC">
        <w:rPr>
          <w:i/>
        </w:rPr>
        <w:t>CAPD</w:t>
      </w:r>
      <w:r w:rsidRPr="004E6CFC">
        <w:rPr>
          <w:i/>
          <w:vertAlign w:val="subscript"/>
        </w:rPr>
        <w:t>i,u</w:t>
      </w:r>
      <w:r w:rsidRPr="004E6CFC">
        <w:t xml:space="preserve"> :</w:t>
      </w:r>
      <w:r w:rsidRPr="004E6CFC">
        <w:tab/>
        <w:t xml:space="preserve">Capacidad disponible del activo </w:t>
      </w:r>
      <w:r w:rsidRPr="004E6CFC">
        <w:rPr>
          <w:i/>
        </w:rPr>
        <w:t>u</w:t>
      </w:r>
      <w:r w:rsidRPr="004E6CFC">
        <w:t xml:space="preserve"> expresada en porcentaje de la capacidad nominal, durante la indisponibilidad </w:t>
      </w:r>
      <w:r w:rsidRPr="004E6CFC">
        <w:rPr>
          <w:i/>
        </w:rPr>
        <w:t>i</w:t>
      </w:r>
      <w:r w:rsidRPr="004E6CFC">
        <w:t>.</w:t>
      </w:r>
    </w:p>
    <w:p w:rsidR="00407449" w:rsidRPr="004E6CFC" w:rsidRDefault="00407449" w:rsidP="00407449">
      <w:r w:rsidRPr="004E6CFC">
        <w:t xml:space="preserve">Para la aplicación de esta metodología, se tendrá en cuenta la historia de las indisponibilidades del activo </w:t>
      </w:r>
      <w:r w:rsidRPr="004E6CFC">
        <w:rPr>
          <w:i/>
        </w:rPr>
        <w:t>u</w:t>
      </w:r>
      <w:r w:rsidRPr="004E6CFC">
        <w:t>, presentadas con anterioridad a la entrada en vigencia de esta resolución.</w:t>
      </w:r>
    </w:p>
    <w:p w:rsidR="00407449" w:rsidRPr="004E6CFC" w:rsidRDefault="00407449" w:rsidP="00407449">
      <w:r w:rsidRPr="004E6CFC">
        <w:t xml:space="preserve">Las horas programadas para el mantenimiento de un activo que no sean utilizadas para dicha actividad se contarán como horas de indisponibilidad del activo. </w:t>
      </w:r>
    </w:p>
    <w:p w:rsidR="00407449" w:rsidRPr="004E6CFC" w:rsidRDefault="00407449" w:rsidP="00407449">
      <w:r w:rsidRPr="004E6CFC">
        <w:t>El CND llevará un registro de las horas efectivamente utilizadas en el mantenimiento de cada activo y de las horas adicionales contabilizadas como indisponibilidad de acuerdo con lo previsto en el párrafo anterior.</w:t>
      </w:r>
    </w:p>
    <w:p w:rsidR="00407449" w:rsidRPr="004E6CFC" w:rsidRDefault="00407449" w:rsidP="00407449">
      <w:r w:rsidRPr="004E6CFC">
        <w:t>Un mantenimiento puede ser cancelado o reprogramado hasta las 08:00 horas del día anterior de la operación, para que esta información pueda ser tenida en cuenta en el despacho.</w:t>
      </w:r>
    </w:p>
    <w:p w:rsidR="00407449" w:rsidRPr="004E6CFC" w:rsidRDefault="00407449" w:rsidP="00407449">
      <w:pPr>
        <w:pStyle w:val="Ttulo3"/>
      </w:pPr>
      <w:bookmarkStart w:id="376" w:name="_Toc404020415"/>
      <w:bookmarkStart w:id="377" w:name="_Toc408230756"/>
      <w:bookmarkStart w:id="378" w:name="_Toc408385062"/>
      <w:bookmarkStart w:id="379" w:name="_Toc408493168"/>
      <w:bookmarkStart w:id="380" w:name="_Toc440439835"/>
      <w:bookmarkStart w:id="381" w:name="_Ref445124654"/>
      <w:bookmarkStart w:id="382" w:name="_Toc460840603"/>
      <w:bookmarkStart w:id="383" w:name="_Toc466009863"/>
      <w:bookmarkStart w:id="384" w:name="_Toc476824156"/>
      <w:bookmarkStart w:id="385" w:name="_Toc505070080"/>
      <w:bookmarkStart w:id="386" w:name="_Toc505335936"/>
      <w:r w:rsidRPr="004E6CFC">
        <w:t>Estimación de la capacidad disponible</w:t>
      </w:r>
      <w:bookmarkEnd w:id="376"/>
      <w:bookmarkEnd w:id="377"/>
      <w:bookmarkEnd w:id="378"/>
      <w:bookmarkEnd w:id="379"/>
      <w:bookmarkEnd w:id="380"/>
      <w:bookmarkEnd w:id="381"/>
      <w:bookmarkEnd w:id="382"/>
      <w:r w:rsidRPr="004E6CFC">
        <w:t xml:space="preserve"> por un evento</w:t>
      </w:r>
      <w:bookmarkEnd w:id="383"/>
      <w:bookmarkEnd w:id="384"/>
      <w:bookmarkEnd w:id="385"/>
      <w:bookmarkEnd w:id="386"/>
    </w:p>
    <w:p w:rsidR="00407449" w:rsidRPr="004E6CFC" w:rsidRDefault="00407449" w:rsidP="00407449">
      <w:r w:rsidRPr="004E6CFC">
        <w:rPr>
          <w:rFonts w:cs="Arial"/>
          <w:spacing w:val="-3"/>
        </w:rPr>
        <w:t>Para determinar la capacidad disponible de un activo tras la ocurrencia de un evento debe</w:t>
      </w:r>
      <w:r>
        <w:rPr>
          <w:rFonts w:cs="Arial"/>
          <w:spacing w:val="-3"/>
        </w:rPr>
        <w:t>n</w:t>
      </w:r>
      <w:r w:rsidRPr="004E6CFC">
        <w:rPr>
          <w:rFonts w:cs="Arial"/>
          <w:spacing w:val="-3"/>
        </w:rPr>
        <w:t xml:space="preserve"> tenerse </w:t>
      </w:r>
      <w:r w:rsidRPr="004E6CFC">
        <w:t>en cuenta las siguientes condiciones, para cada tipo de activo:</w:t>
      </w:r>
    </w:p>
    <w:p w:rsidR="00407449" w:rsidRPr="004E6CFC" w:rsidRDefault="00407449" w:rsidP="009C086B">
      <w:pPr>
        <w:numPr>
          <w:ilvl w:val="0"/>
          <w:numId w:val="59"/>
        </w:numPr>
        <w:spacing w:before="120" w:after="120"/>
        <w:rPr>
          <w:bCs/>
        </w:rPr>
      </w:pPr>
      <w:r w:rsidRPr="004E6CFC">
        <w:rPr>
          <w:bCs/>
        </w:rPr>
        <w:t>módulo de barraje: si la unidad constructiva queda parcialmente disponible se considera que la capacidad disponible es el 50 % de la capacidad nominal,</w:t>
      </w:r>
    </w:p>
    <w:p w:rsidR="00407449" w:rsidRPr="004E6CFC" w:rsidRDefault="00407449" w:rsidP="009C086B">
      <w:pPr>
        <w:numPr>
          <w:ilvl w:val="0"/>
          <w:numId w:val="59"/>
        </w:numPr>
        <w:spacing w:before="120" w:after="120"/>
        <w:rPr>
          <w:bCs/>
        </w:rPr>
      </w:pPr>
      <w:r w:rsidRPr="004E6CFC">
        <w:rPr>
          <w:bCs/>
        </w:rPr>
        <w:t>líneas, transformadores, unidades de compensación: la capacidad disponible es la capacidad real disponible del activo, medida en las mismas unidades de la capacidad nominal. Para los casos de líneas con conexiones en T, la capacidad disponible de la línea equivale a la proporción que representa la longitud que queda en servicio frente a la longitud total de la línea, multiplicada por la capacidad nominal de la línea,</w:t>
      </w:r>
    </w:p>
    <w:p w:rsidR="00407449" w:rsidRPr="004E6CFC" w:rsidRDefault="00407449" w:rsidP="009C086B">
      <w:pPr>
        <w:pStyle w:val="Prrafodelista"/>
        <w:numPr>
          <w:ilvl w:val="0"/>
          <w:numId w:val="59"/>
        </w:numPr>
        <w:rPr>
          <w:bCs/>
          <w:szCs w:val="24"/>
          <w:lang w:val="es-ES"/>
        </w:rPr>
      </w:pPr>
      <w:r w:rsidRPr="004E6CFC">
        <w:rPr>
          <w:bCs/>
          <w:szCs w:val="24"/>
          <w:lang w:val="es-ES"/>
        </w:rPr>
        <w:t xml:space="preserve">bahías de interruptor y medio: la capacidad disponible de las bahías del diámetro se determina así: i) ante la indisponibilidad de uno de los interruptores diferentes al corte central del diámetro, la capacidad disponible de la bahía respectiva es el 33% de la capacidad nominal; ii) ante la </w:t>
      </w:r>
      <w:r w:rsidRPr="004E6CFC">
        <w:rPr>
          <w:bCs/>
          <w:szCs w:val="24"/>
          <w:lang w:val="es-ES"/>
        </w:rPr>
        <w:lastRenderedPageBreak/>
        <w:t>indisponibilidad del corte central, la capacidad disponible de cada una de las dos bahías asociadas al diámetro es el 67% de la capacidad nominal; iii) ante la indisponibilidad del corte central y de uno de los interruptores del diámetro, la respectiva bahía se considera completamente indisponible, iv)</w:t>
      </w:r>
      <w:r>
        <w:rPr>
          <w:bCs/>
          <w:szCs w:val="24"/>
          <w:lang w:val="es-ES"/>
        </w:rPr>
        <w:t> </w:t>
      </w:r>
      <w:r w:rsidRPr="004E6CFC">
        <w:rPr>
          <w:bCs/>
          <w:szCs w:val="24"/>
          <w:lang w:val="es-ES"/>
        </w:rPr>
        <w:t>ante la indisponibilidad simultánea de los dos interruptores diferentes al corte central, que forman parte de un mismo diámetro, se considera que las dos bahías asociadas a ese diámetro se encuentran completamente indisponibles,</w:t>
      </w:r>
    </w:p>
    <w:p w:rsidR="00407449" w:rsidRPr="004E6CFC" w:rsidRDefault="00407449" w:rsidP="009C086B">
      <w:pPr>
        <w:numPr>
          <w:ilvl w:val="0"/>
          <w:numId w:val="59"/>
        </w:numPr>
        <w:spacing w:before="120" w:after="120"/>
        <w:rPr>
          <w:bCs/>
        </w:rPr>
      </w:pPr>
      <w:r w:rsidRPr="004E6CFC">
        <w:rPr>
          <w:bCs/>
        </w:rPr>
        <w:t>Para los demás activos se considera que la capacidad disponible es el 0 % o el 100 % de la capacidad nominal, dependiendo de si el equipo está en falla o está en funcionamiento normal.</w:t>
      </w:r>
    </w:p>
    <w:p w:rsidR="00407449" w:rsidRPr="004E6CFC" w:rsidRDefault="00407449" w:rsidP="00407449">
      <w:pPr>
        <w:pStyle w:val="Ttulo3"/>
      </w:pPr>
      <w:bookmarkStart w:id="387" w:name="_Ref184147568"/>
      <w:bookmarkStart w:id="388" w:name="_Toc195670137"/>
      <w:bookmarkStart w:id="389" w:name="_Toc195686830"/>
      <w:bookmarkStart w:id="390" w:name="_Toc195781008"/>
      <w:bookmarkStart w:id="391" w:name="_Toc210616096"/>
      <w:bookmarkStart w:id="392" w:name="_Ref403633065"/>
      <w:bookmarkStart w:id="393" w:name="_Toc408493169"/>
      <w:bookmarkStart w:id="394" w:name="_Toc440439836"/>
      <w:bookmarkStart w:id="395" w:name="_Toc460840604"/>
      <w:bookmarkStart w:id="396" w:name="_Toc476824157"/>
      <w:bookmarkStart w:id="397" w:name="_Toc505070081"/>
      <w:bookmarkStart w:id="398" w:name="_Toc505335937"/>
      <w:r w:rsidRPr="004E6CFC">
        <w:t>Eventos excluidos</w:t>
      </w:r>
      <w:bookmarkEnd w:id="387"/>
      <w:bookmarkEnd w:id="388"/>
      <w:bookmarkEnd w:id="389"/>
      <w:bookmarkEnd w:id="390"/>
      <w:bookmarkEnd w:id="391"/>
      <w:bookmarkEnd w:id="392"/>
      <w:bookmarkEnd w:id="393"/>
      <w:bookmarkEnd w:id="394"/>
      <w:bookmarkEnd w:id="395"/>
      <w:bookmarkEnd w:id="396"/>
      <w:bookmarkEnd w:id="397"/>
      <w:bookmarkEnd w:id="398"/>
    </w:p>
    <w:p w:rsidR="00407449" w:rsidRPr="004E6CFC" w:rsidRDefault="00407449" w:rsidP="00407449">
      <w:r w:rsidRPr="004E6CFC">
        <w:t xml:space="preserve">No se incluirán en el cálculo de las horas de indisponibilidad, </w:t>
      </w:r>
      <w:r w:rsidRPr="004E6CFC">
        <w:rPr>
          <w:i/>
        </w:rPr>
        <w:t>HID</w:t>
      </w:r>
      <w:r w:rsidRPr="004E6CFC">
        <w:rPr>
          <w:i/>
          <w:vertAlign w:val="subscript"/>
        </w:rPr>
        <w:t>m,u</w:t>
      </w:r>
      <w:r w:rsidRPr="004E6CFC">
        <w:t xml:space="preserve">, del activo ni de la variable </w:t>
      </w:r>
      <w:r w:rsidRPr="004E6CFC">
        <w:rPr>
          <w:i/>
        </w:rPr>
        <w:t>CNE</w:t>
      </w:r>
      <w:r w:rsidRPr="004E6CFC">
        <w:rPr>
          <w:i/>
          <w:vertAlign w:val="subscript"/>
        </w:rPr>
        <w:t>m,u</w:t>
      </w:r>
      <w:r w:rsidRPr="004E6CFC">
        <w:t>, los eventos que hayan sido causados por alguna de las situaciones que se enumeran a continuación, siempre y cuando se cumplan las reglas que se establecen en este numeral.</w:t>
      </w:r>
    </w:p>
    <w:p w:rsidR="00407449" w:rsidRPr="004E6CFC" w:rsidRDefault="00407449" w:rsidP="009C086B">
      <w:pPr>
        <w:pStyle w:val="Prrafodelista"/>
        <w:numPr>
          <w:ilvl w:val="0"/>
          <w:numId w:val="39"/>
        </w:numPr>
        <w:tabs>
          <w:tab w:val="left" w:pos="-360"/>
          <w:tab w:val="left" w:pos="345"/>
          <w:tab w:val="left" w:pos="426"/>
        </w:tabs>
        <w:suppressAutoHyphens/>
        <w:spacing w:before="120" w:after="0"/>
        <w:rPr>
          <w:rFonts w:cs="Arial"/>
        </w:rPr>
      </w:pPr>
      <w:r w:rsidRPr="004E6CFC">
        <w:rPr>
          <w:rFonts w:cs="Arial"/>
        </w:rPr>
        <w:t xml:space="preserve">Eventos programados por trabajos de expansión o reposición en la red, tal como se definen en el artículo </w:t>
      </w:r>
      <w:r w:rsidRPr="004E6CFC">
        <w:rPr>
          <w:rFonts w:cs="Arial"/>
        </w:rPr>
        <w:fldChar w:fldCharType="begin"/>
      </w:r>
      <w:r w:rsidRPr="004E6CFC">
        <w:rPr>
          <w:rFonts w:cs="Arial"/>
        </w:rPr>
        <w:instrText xml:space="preserve"> REF _Ref445135063 \r \h\t  \* MERGEFORMAT </w:instrText>
      </w:r>
      <w:r w:rsidRPr="004E6CFC">
        <w:rPr>
          <w:rFonts w:cs="Arial"/>
        </w:rPr>
      </w:r>
      <w:r w:rsidRPr="004E6CFC">
        <w:rPr>
          <w:rFonts w:cs="Arial"/>
        </w:rPr>
        <w:fldChar w:fldCharType="separate"/>
      </w:r>
      <w:r w:rsidR="00737178">
        <w:rPr>
          <w:rFonts w:cs="Arial"/>
        </w:rPr>
        <w:t>3</w:t>
      </w:r>
      <w:r w:rsidRPr="004E6CFC">
        <w:rPr>
          <w:rFonts w:cs="Arial"/>
        </w:rPr>
        <w:fldChar w:fldCharType="end"/>
      </w:r>
      <w:r w:rsidRPr="004E6CFC">
        <w:rPr>
          <w:rFonts w:cs="Arial"/>
        </w:rPr>
        <w:t>. Para que estos sean excluidos del cálculo se requiere que se cumplan las siguientes reglas:</w:t>
      </w:r>
    </w:p>
    <w:p w:rsidR="00407449" w:rsidRPr="004E6CFC" w:rsidRDefault="00407449" w:rsidP="009C086B">
      <w:pPr>
        <w:pStyle w:val="Prrafodelista"/>
        <w:numPr>
          <w:ilvl w:val="0"/>
          <w:numId w:val="50"/>
        </w:numPr>
        <w:spacing w:before="120" w:after="0"/>
      </w:pPr>
      <w:r w:rsidRPr="004E6CFC">
        <w:t xml:space="preserve">El OR informa por escrito al CND acerca de la conexión de los nuevos activos con una anticipación mínima de 90 días calendario. </w:t>
      </w:r>
    </w:p>
    <w:p w:rsidR="00407449" w:rsidRPr="004E6CFC" w:rsidRDefault="00407449" w:rsidP="009C086B">
      <w:pPr>
        <w:pStyle w:val="Prrafodelista"/>
        <w:numPr>
          <w:ilvl w:val="0"/>
          <w:numId w:val="50"/>
        </w:numPr>
        <w:spacing w:before="120" w:after="0"/>
      </w:pPr>
      <w:r w:rsidRPr="004E6CFC">
        <w:t xml:space="preserve">Junto con la solicitud, el agente informa al CND sobre los activos requeridos para la incorporación o conexión del nuevo proyecto al SIN, coordinando con los responsables de los equipos que se requiera desconectar para que </w:t>
      </w:r>
      <w:r>
        <w:t>e</w:t>
      </w:r>
      <w:r w:rsidRPr="004E6CFC">
        <w:t>stos soliciten las consignaciones necesarias al CND, si se requiere. Para dichas consignaciones se debe cumplir con los plazos y procedimientos previstos en la regulación vigente para la coordinación de consignaciones en el SIN, y declarar como causa la incorporación de nuevos activos al SIN, e indicando el proyecto respectivo.</w:t>
      </w:r>
    </w:p>
    <w:p w:rsidR="00407449" w:rsidRPr="004E6CFC" w:rsidRDefault="00407449" w:rsidP="009C086B">
      <w:pPr>
        <w:pStyle w:val="Prrafodelista"/>
        <w:numPr>
          <w:ilvl w:val="0"/>
          <w:numId w:val="50"/>
        </w:numPr>
        <w:spacing w:before="120" w:after="0"/>
      </w:pPr>
      <w:r w:rsidRPr="004E6CFC">
        <w:t>El tiempo máximo reconocido sin afectar la disponibilidad de los activos relacionados, diferentes a los asociados con el proyecto que se incorpora, será igual a los tiempos asociados a las maniobras de conexión del activo al SIN más el tiempo durante el cual el proyecto se encuentre en pruebas antes de su entrada en operación comercial.</w:t>
      </w:r>
    </w:p>
    <w:p w:rsidR="00407449" w:rsidRPr="004E6CFC" w:rsidRDefault="00407449" w:rsidP="009C086B">
      <w:pPr>
        <w:pStyle w:val="Prrafodelista"/>
        <w:numPr>
          <w:ilvl w:val="0"/>
          <w:numId w:val="39"/>
        </w:numPr>
        <w:tabs>
          <w:tab w:val="left" w:pos="-360"/>
          <w:tab w:val="left" w:pos="345"/>
          <w:tab w:val="left" w:pos="426"/>
        </w:tabs>
        <w:suppressAutoHyphens/>
        <w:spacing w:before="120" w:after="0"/>
        <w:rPr>
          <w:rFonts w:cs="Arial"/>
        </w:rPr>
      </w:pPr>
      <w:r w:rsidRPr="004E6CFC">
        <w:rPr>
          <w:rFonts w:cs="Arial"/>
        </w:rPr>
        <w:t xml:space="preserve">Indisponibilidades de activos </w:t>
      </w:r>
      <w:r>
        <w:rPr>
          <w:rFonts w:cs="Arial"/>
        </w:rPr>
        <w:t xml:space="preserve">que surjan a partir de instrucciones dadas por </w:t>
      </w:r>
      <w:r w:rsidRPr="004E6CFC">
        <w:rPr>
          <w:rFonts w:cs="Arial"/>
        </w:rPr>
        <w:t xml:space="preserve">el CND, por razones operativas o consideraciones de calidad o confiabilidad del SIN. El CND indicará los casos en los que imparte instrucción directa para ejecutar maniobras en los activos del STR. </w:t>
      </w:r>
    </w:p>
    <w:p w:rsidR="00407449" w:rsidRPr="004E6CFC" w:rsidRDefault="00407449" w:rsidP="009C086B">
      <w:pPr>
        <w:pStyle w:val="Prrafodelista"/>
        <w:numPr>
          <w:ilvl w:val="0"/>
          <w:numId w:val="39"/>
        </w:numPr>
        <w:tabs>
          <w:tab w:val="left" w:pos="-360"/>
          <w:tab w:val="left" w:pos="345"/>
          <w:tab w:val="left" w:pos="426"/>
        </w:tabs>
        <w:suppressAutoHyphens/>
        <w:spacing w:before="120" w:after="0"/>
        <w:rPr>
          <w:rFonts w:cs="Arial"/>
        </w:rPr>
      </w:pPr>
      <w:r w:rsidRPr="004E6CFC">
        <w:rPr>
          <w:rFonts w:cs="Arial"/>
        </w:rPr>
        <w:t>Esquemas suplementarios de protección diferentes a los instalados para evitar la sobrecarga de circuitos o transformadores remunerados en el nivel de tensión 4. Esto, siempre que para su instalación se haya dado cumplimiento a lo previsto en la regulación.</w:t>
      </w:r>
    </w:p>
    <w:p w:rsidR="00407449" w:rsidRPr="004E6CFC" w:rsidRDefault="00407449" w:rsidP="009C086B">
      <w:pPr>
        <w:pStyle w:val="Prrafodelista"/>
        <w:numPr>
          <w:ilvl w:val="0"/>
          <w:numId w:val="39"/>
        </w:numPr>
        <w:tabs>
          <w:tab w:val="left" w:pos="-360"/>
          <w:tab w:val="left" w:pos="345"/>
          <w:tab w:val="left" w:pos="426"/>
        </w:tabs>
        <w:suppressAutoHyphens/>
        <w:spacing w:before="120" w:after="0"/>
        <w:rPr>
          <w:rFonts w:cs="Arial"/>
        </w:rPr>
      </w:pPr>
      <w:r w:rsidRPr="004E6CFC">
        <w:rPr>
          <w:rFonts w:cs="Arial"/>
        </w:rPr>
        <w:t>Indisponibilidades originadas en catástrofes naturales, tales como erosión (volcánica, fluvial o glacial), terremotos, maremotos, huracanes, ciclones y/o tornados y las debidas a actos de terrorismo, siempre que se cumplan las siguientes reglas:</w:t>
      </w:r>
    </w:p>
    <w:p w:rsidR="00407449" w:rsidRPr="004E6CFC" w:rsidRDefault="00407449" w:rsidP="009C086B">
      <w:pPr>
        <w:pStyle w:val="Prrafodelista"/>
        <w:numPr>
          <w:ilvl w:val="0"/>
          <w:numId w:val="51"/>
        </w:numPr>
        <w:spacing w:before="120" w:after="0"/>
      </w:pPr>
      <w:r w:rsidRPr="004E6CFC">
        <w:lastRenderedPageBreak/>
        <w:t xml:space="preserve">El OR afectado por el evento deberá declarar oficialmente ante el CND la ocurrencia del mismo y será responsable por tal declaración. Esta declaración deberá ser por escrito, anexando la información de los activos afectados y la manifestación de que cumplió con las demás reglas exigidas para excluir este evento. Asimismo, si se prevé que el evento tendrá una duración superior a los tres (3) días a partir de su ocurrencia, el agente tendrá que informar a los usuarios finales que puedan resultar afectados, dentro de las 48 horas siguientes a la ocurrencia del evento, a través de cualquier medio de comunicación masivo disponible en la región o área afectada que garantice su adecuada difusión. </w:t>
      </w:r>
    </w:p>
    <w:p w:rsidR="00407449" w:rsidRPr="004E6CFC" w:rsidRDefault="00407449" w:rsidP="009C086B">
      <w:pPr>
        <w:pStyle w:val="Prrafodelista"/>
        <w:numPr>
          <w:ilvl w:val="0"/>
          <w:numId w:val="51"/>
        </w:numPr>
        <w:spacing w:before="120" w:after="0"/>
      </w:pPr>
      <w:r w:rsidRPr="004E6CFC">
        <w:t>El OR afectado por el evento deberá establecer el plazo para la puesta en operación de los activos afectados, para lo cual deberá entregar al CND y al CNO un cronograma y presentarles los respectivos informes de avance del mismo.</w:t>
      </w:r>
    </w:p>
    <w:p w:rsidR="00407449" w:rsidRPr="004E6CFC" w:rsidRDefault="00407449" w:rsidP="009C086B">
      <w:pPr>
        <w:pStyle w:val="Prrafodelista"/>
        <w:numPr>
          <w:ilvl w:val="0"/>
          <w:numId w:val="39"/>
        </w:numPr>
        <w:tabs>
          <w:tab w:val="left" w:pos="-360"/>
          <w:tab w:val="left" w:pos="345"/>
          <w:tab w:val="left" w:pos="426"/>
        </w:tabs>
        <w:suppressAutoHyphens/>
        <w:spacing w:before="120" w:after="0"/>
        <w:rPr>
          <w:rFonts w:cs="Arial"/>
        </w:rPr>
      </w:pPr>
      <w:r w:rsidRPr="004E6CFC">
        <w:rPr>
          <w:rFonts w:cs="Arial"/>
          <w:szCs w:val="24"/>
        </w:rPr>
        <w:t>Las solicitudes de consignaciones de emergencia, las modificaciones al programa de mantenimientos o los incumplimientos en los tiempos de ejecución de maniobras, originados en los eventos definidos en el literal anterior.</w:t>
      </w:r>
    </w:p>
    <w:p w:rsidR="00407449" w:rsidRPr="004E6CFC" w:rsidRDefault="00407449" w:rsidP="009C086B">
      <w:pPr>
        <w:pStyle w:val="Prrafodelista"/>
        <w:numPr>
          <w:ilvl w:val="0"/>
          <w:numId w:val="39"/>
        </w:numPr>
        <w:tabs>
          <w:tab w:val="left" w:pos="-360"/>
          <w:tab w:val="left" w:pos="345"/>
          <w:tab w:val="left" w:pos="426"/>
        </w:tabs>
        <w:suppressAutoHyphens/>
        <w:spacing w:before="120" w:after="0"/>
        <w:rPr>
          <w:rFonts w:cs="Arial"/>
        </w:rPr>
      </w:pPr>
      <w:r w:rsidRPr="004E6CFC">
        <w:rPr>
          <w:rFonts w:cs="Arial"/>
        </w:rPr>
        <w:t>Las indisponibilidades debidas a mantenimientos mayores que se hayan efectuado con sujeción al procedimiento establecido para tal fin.</w:t>
      </w:r>
    </w:p>
    <w:p w:rsidR="00407449" w:rsidRPr="004E6CFC" w:rsidRDefault="00407449" w:rsidP="009C086B">
      <w:pPr>
        <w:pStyle w:val="Prrafodelista"/>
        <w:numPr>
          <w:ilvl w:val="0"/>
          <w:numId w:val="39"/>
        </w:numPr>
        <w:tabs>
          <w:tab w:val="left" w:pos="-360"/>
          <w:tab w:val="left" w:pos="345"/>
          <w:tab w:val="left" w:pos="426"/>
        </w:tabs>
        <w:suppressAutoHyphens/>
        <w:spacing w:before="120" w:after="0"/>
        <w:rPr>
          <w:rFonts w:cs="Arial"/>
        </w:rPr>
      </w:pPr>
      <w:r w:rsidRPr="004E6CFC">
        <w:rPr>
          <w:rFonts w:cs="Arial"/>
        </w:rPr>
        <w:t>Las indisponibilidades necesarias para enfrentar las situaciones acontecidas de riesgo de la vida humana. Para su exclusión el OR deberá elaborar un informe en el que documente y soporte esta situación.</w:t>
      </w:r>
    </w:p>
    <w:p w:rsidR="00407449" w:rsidRPr="004E6CFC" w:rsidRDefault="00407449" w:rsidP="009C086B">
      <w:pPr>
        <w:pStyle w:val="Prrafodelista"/>
        <w:numPr>
          <w:ilvl w:val="0"/>
          <w:numId w:val="39"/>
        </w:numPr>
        <w:tabs>
          <w:tab w:val="left" w:pos="-360"/>
          <w:tab w:val="left" w:pos="345"/>
          <w:tab w:val="left" w:pos="426"/>
        </w:tabs>
        <w:suppressAutoHyphens/>
        <w:spacing w:before="120" w:after="0"/>
        <w:rPr>
          <w:rFonts w:cs="Arial"/>
        </w:rPr>
      </w:pPr>
      <w:r w:rsidRPr="004E6CFC">
        <w:rPr>
          <w:rFonts w:cs="Arial"/>
        </w:rPr>
        <w:t xml:space="preserve">Las indisponibilidades originadas en exigencias de traslados, adecuaciones, </w:t>
      </w:r>
      <w:r w:rsidRPr="004E6CFC">
        <w:rPr>
          <w:rFonts w:cs="Arial"/>
          <w:szCs w:val="24"/>
        </w:rPr>
        <w:t>desconexiones e intervenciones</w:t>
      </w:r>
      <w:r w:rsidRPr="004E6CFC">
        <w:rPr>
          <w:rFonts w:cs="Arial"/>
        </w:rPr>
        <w:t xml:space="preserve"> de la infraestructura eléctrica por parte de entidades distritales, municipales, departamentales, organismos estatales competentes en temas de infraestructura y medio ambiente, o demás autoridades, o por proyectos de desarrollo en concordancia con planes de ordenamiento territorial; siempre que se cumplan las siguientes reglas:</w:t>
      </w:r>
    </w:p>
    <w:p w:rsidR="00407449" w:rsidRPr="004E6CFC" w:rsidRDefault="00407449" w:rsidP="009C086B">
      <w:pPr>
        <w:pStyle w:val="Prrafodelista"/>
        <w:numPr>
          <w:ilvl w:val="0"/>
          <w:numId w:val="52"/>
        </w:numPr>
        <w:spacing w:before="120" w:after="0"/>
      </w:pPr>
      <w:r w:rsidRPr="004E6CFC">
        <w:t xml:space="preserve">El OR afectado deberá declarar oficialmente al CND, mediante comunicación escrita, la fecha de inicio de intervención de activos por la ejecución de las obras o sobre las modificaciones a las instalaciones existentes, detallando los activos afectados, el número de días calendario de la indisponibilidad. </w:t>
      </w:r>
    </w:p>
    <w:p w:rsidR="00407449" w:rsidRPr="004E6CFC" w:rsidRDefault="00407449" w:rsidP="009C086B">
      <w:pPr>
        <w:pStyle w:val="Prrafodelista"/>
        <w:numPr>
          <w:ilvl w:val="0"/>
          <w:numId w:val="52"/>
        </w:numPr>
        <w:spacing w:before="120" w:after="0"/>
      </w:pPr>
      <w:r w:rsidRPr="004E6CFC">
        <w:t>Si se presentan cambios en la duración prevista, el OR lo informará por escrito al CND y anexará la correspondiente certificación.</w:t>
      </w:r>
    </w:p>
    <w:p w:rsidR="00407449" w:rsidRPr="004E6CFC" w:rsidRDefault="00407449" w:rsidP="009C086B">
      <w:pPr>
        <w:pStyle w:val="Prrafodelista"/>
        <w:numPr>
          <w:ilvl w:val="0"/>
          <w:numId w:val="39"/>
        </w:numPr>
        <w:tabs>
          <w:tab w:val="left" w:pos="-360"/>
          <w:tab w:val="left" w:pos="345"/>
          <w:tab w:val="left" w:pos="426"/>
        </w:tabs>
        <w:suppressAutoHyphens/>
        <w:spacing w:before="120" w:after="0"/>
        <w:rPr>
          <w:rFonts w:cs="Arial"/>
        </w:rPr>
      </w:pPr>
      <w:r w:rsidRPr="004E6CFC">
        <w:rPr>
          <w:rFonts w:cs="Arial"/>
        </w:rPr>
        <w:t xml:space="preserve">Indisponibilidades debidas a eventos causados por activos del STN. </w:t>
      </w:r>
    </w:p>
    <w:p w:rsidR="00407449" w:rsidRPr="004E6CFC" w:rsidRDefault="00407449" w:rsidP="00407449">
      <w:pPr>
        <w:rPr>
          <w:szCs w:val="22"/>
        </w:rPr>
      </w:pPr>
      <w:r w:rsidRPr="004E6CFC">
        <w:rPr>
          <w:szCs w:val="22"/>
        </w:rPr>
        <w:t>Las comunicaciones mencionadas en este numeral deberán presentarse dentro del plazo que para tales fines determine el CND. En todo caso, el CND deberá contar con la información en forma oportuna para que el LAC calcule las compensaciones correspondientes al mes a facturar.</w:t>
      </w:r>
    </w:p>
    <w:p w:rsidR="00407449" w:rsidRPr="004E6CFC" w:rsidRDefault="00407449" w:rsidP="00407449">
      <w:r w:rsidRPr="004E6CFC">
        <w:t>Cuando los eventos de que trata este numeral ocurran en el mismo periodo horario con eventos ocasionados por indisponibilidades no excluidas y se determine que hubo ENS, se deberá seguir el procedimiento descrito para tal fin en la Resolución CREG 094 de 2012, o la que la adicione, modifique o sustituya.</w:t>
      </w:r>
    </w:p>
    <w:p w:rsidR="00407449" w:rsidRPr="004E6CFC" w:rsidRDefault="00407449" w:rsidP="00407449">
      <w:pPr>
        <w:pStyle w:val="Ttulo3"/>
      </w:pPr>
      <w:bookmarkStart w:id="399" w:name="_Toc195686831"/>
      <w:bookmarkStart w:id="400" w:name="_Toc195781009"/>
      <w:bookmarkStart w:id="401" w:name="_Toc210616097"/>
      <w:bookmarkStart w:id="402" w:name="_Toc408493170"/>
      <w:bookmarkStart w:id="403" w:name="_Toc440439837"/>
      <w:bookmarkStart w:id="404" w:name="_Toc460840605"/>
      <w:bookmarkStart w:id="405" w:name="_Toc476824158"/>
      <w:bookmarkStart w:id="406" w:name="_Toc505070082"/>
      <w:bookmarkStart w:id="407" w:name="_Toc505335938"/>
      <w:r w:rsidRPr="004E6CFC">
        <w:lastRenderedPageBreak/>
        <w:t>Procedimiento para los mantenimientos mayores.</w:t>
      </w:r>
      <w:bookmarkEnd w:id="399"/>
      <w:bookmarkEnd w:id="400"/>
      <w:bookmarkEnd w:id="401"/>
      <w:bookmarkEnd w:id="402"/>
      <w:bookmarkEnd w:id="403"/>
      <w:bookmarkEnd w:id="404"/>
      <w:bookmarkEnd w:id="405"/>
      <w:bookmarkEnd w:id="406"/>
      <w:bookmarkEnd w:id="407"/>
    </w:p>
    <w:p w:rsidR="00407449" w:rsidRPr="004E6CFC" w:rsidRDefault="00407449" w:rsidP="00407449">
      <w:r w:rsidRPr="004E6CFC">
        <w:t>El mantenimiento mayor de un activo es el que se realiza por una vez cada seis años y requiere un tiempo mayor a las máximas horas anuales de indisponibilidad fijadas para el grupo de activos al que pertenece ese activo.</w:t>
      </w:r>
    </w:p>
    <w:p w:rsidR="00407449" w:rsidRPr="004E6CFC" w:rsidRDefault="00407449" w:rsidP="00407449">
      <w:r w:rsidRPr="004E6CFC">
        <w:t xml:space="preserve">Los mantenimientos mayores deberán ser reportados en el programa de mantenimientos y ajustarse a los procedimientos aquí establecidos. </w:t>
      </w:r>
    </w:p>
    <w:p w:rsidR="00407449" w:rsidRPr="004E6CFC" w:rsidRDefault="00407449" w:rsidP="00407449">
      <w:r w:rsidRPr="004E6CFC">
        <w:t>E</w:t>
      </w:r>
      <w:r w:rsidRPr="004E6CFC">
        <w:rPr>
          <w:rFonts w:cs="Arial"/>
        </w:rPr>
        <w:t xml:space="preserve">l tiempo máximo permitido </w:t>
      </w:r>
      <w:r w:rsidRPr="004E6CFC">
        <w:rPr>
          <w:rFonts w:cs="Arial"/>
          <w:spacing w:val="-3"/>
        </w:rPr>
        <w:t xml:space="preserve">para el mantenimiento mayor de un activo es de 96 horas cada 6 años y este periodo se cuenta a partir del 1 de abril de 2013. Se </w:t>
      </w:r>
      <w:r w:rsidRPr="004E6CFC">
        <w:t>exceptúan los activos asociados a UC tipo encapsuladas cuyo mantenimiento mayor contará con un tiempo máximo reconocido de 288 horas que podrán utilizarse una vez cada 18 años o fraccionarse y utilizarse una vez cada 6 años, contados a partir del 1 de abril de 2013. La cantidad de horas que sobrepase las definidas para el mantenimiento mayor no se considerará indisponibilidad excluida.</w:t>
      </w:r>
    </w:p>
    <w:p w:rsidR="00407449" w:rsidRPr="004E6CFC" w:rsidRDefault="00407449" w:rsidP="00407449">
      <w:r w:rsidRPr="004E6CFC">
        <w:t>El número permitido de horas se puede distribuir a solicitud del OR. La distribución debe hacerse de tal forma que, desde el día de inicio hasta el último día del mantenimiento, no se sobrepase un total de 30 días calendario. La duración mínima de indisponibilidad solicitada por esta causa debe ser de 32 horas.</w:t>
      </w:r>
    </w:p>
    <w:p w:rsidR="00407449" w:rsidRPr="004E6CFC" w:rsidRDefault="00407449" w:rsidP="00407449">
      <w:pPr>
        <w:rPr>
          <w:szCs w:val="22"/>
        </w:rPr>
      </w:pPr>
      <w:r w:rsidRPr="004E6CFC">
        <w:rPr>
          <w:szCs w:val="22"/>
        </w:rPr>
        <w:t>Para cada día de trabajo, la duración mínima de cada indisponibilidad solicitada deberá ser de ocho horas de trabajo; tratándose del último día de los programados para el mantenimiento mayor, esta duración puede ser menor. Sin embargo, si por las condiciones de seguridad del SIN se requiere la disminución de este número de horas para un día determinado, el CND lo podrá solicitar al operador del activo, ante lo cual este último evaluará y tomará la decisión de disminuir la duración o mantener la inicialmente programada. Lo anterior sin perjuicio de la responsabilidad del operador del activo por la gestión del mantenimiento mayor.</w:t>
      </w:r>
    </w:p>
    <w:p w:rsidR="00407449" w:rsidRPr="004E6CFC" w:rsidRDefault="00407449" w:rsidP="00407449">
      <w:r w:rsidRPr="004E6CFC">
        <w:t>Para el caso de un banco de transformadores, el tiempo máximo permitido por mantenimiento mayor puede dividirse de tal forma que el mantenimiento de cada unidad se pueda programar en fechas diferentes. En este caso, sólo una de las tres indisponibilidades solicitadas podrá ser inferior a 32 horas, y cada una de las tres puede ser inferior a las máximas horas anuales de indisponibilidad establecidas para el grupo de activos denominado conexión del OR al STN.</w:t>
      </w:r>
    </w:p>
    <w:p w:rsidR="00407449" w:rsidRPr="004E6CFC" w:rsidRDefault="00407449" w:rsidP="00407449">
      <w:pPr>
        <w:rPr>
          <w:rFonts w:cs="Arial"/>
        </w:rPr>
      </w:pPr>
      <w:r w:rsidRPr="004E6CFC">
        <w:rPr>
          <w:rFonts w:cs="Arial"/>
        </w:rPr>
        <w:t>Sin perjuicio de lo anterior, un mantenimiento mayor podrá suspenderse por orden del CND si encuentra que las condiciones de seguridad del SIN lo requieren o por orden de una autoridad competente.</w:t>
      </w:r>
    </w:p>
    <w:p w:rsidR="00407449" w:rsidRPr="004E6CFC" w:rsidRDefault="00407449" w:rsidP="00407449">
      <w:pPr>
        <w:pStyle w:val="Ttulo3"/>
      </w:pPr>
      <w:bookmarkStart w:id="408" w:name="_Toc408493171"/>
      <w:bookmarkStart w:id="409" w:name="_Toc440439838"/>
      <w:bookmarkStart w:id="410" w:name="_Toc460840606"/>
      <w:bookmarkStart w:id="411" w:name="_Toc466009866"/>
      <w:bookmarkStart w:id="412" w:name="_Toc476824159"/>
      <w:bookmarkStart w:id="413" w:name="_Toc505070083"/>
      <w:bookmarkStart w:id="414" w:name="_Toc505335939"/>
      <w:r w:rsidRPr="004E6CFC">
        <w:t>Activos que entran en operación comercial.</w:t>
      </w:r>
      <w:bookmarkEnd w:id="408"/>
      <w:bookmarkEnd w:id="409"/>
      <w:bookmarkEnd w:id="410"/>
      <w:bookmarkEnd w:id="411"/>
      <w:bookmarkEnd w:id="412"/>
      <w:bookmarkEnd w:id="413"/>
      <w:bookmarkEnd w:id="414"/>
      <w:r w:rsidRPr="004E6CFC">
        <w:t xml:space="preserve"> </w:t>
      </w:r>
    </w:p>
    <w:p w:rsidR="00407449" w:rsidRPr="004E6CFC" w:rsidRDefault="00407449" w:rsidP="00407449">
      <w:r w:rsidRPr="004E6CFC">
        <w:t xml:space="preserve">A partir de la fecha de entrada en operación comercial de activos del STR y hasta que se inicie su remuneración al respectivo agente a través de cargos por uso, este agente será el responsable por la ocurrencia de eventos en estos activos que ocasionen ENS. </w:t>
      </w:r>
    </w:p>
    <w:p w:rsidR="00407449" w:rsidRPr="004E6CFC" w:rsidRDefault="00407449" w:rsidP="00407449">
      <w:pPr>
        <w:rPr>
          <w:lang w:val="es-CO"/>
        </w:rPr>
      </w:pPr>
      <w:r w:rsidRPr="004E6CFC">
        <w:t xml:space="preserve">En consecuencia, a partir de la fecha de entrada en operación comercial de los activos se deberán reportar los eventos en la forma dispuesta en la presente </w:t>
      </w:r>
      <w:r w:rsidRPr="004E6CFC">
        <w:lastRenderedPageBreak/>
        <w:t xml:space="preserve">resolución. Cuando se presente ENS, </w:t>
      </w:r>
      <w:r w:rsidRPr="004E6CFC">
        <w:rPr>
          <w:lang w:val="es-CO"/>
        </w:rPr>
        <w:t xml:space="preserve">se estimará su magnitud en la forma descrita en la </w:t>
      </w:r>
      <w:r w:rsidRPr="004E6CFC">
        <w:rPr>
          <w:rFonts w:cs="Arial"/>
        </w:rPr>
        <w:t xml:space="preserve">Resolución CREG 094 de 2012, o aquella que la adicione, modifique o sustituya, </w:t>
      </w:r>
      <w:r w:rsidRPr="004E6CFC">
        <w:rPr>
          <w:lang w:val="es-CO"/>
        </w:rPr>
        <w:t>y se aplicará la respectiva compensación.</w:t>
      </w:r>
    </w:p>
    <w:p w:rsidR="00407449" w:rsidRPr="004E6CFC" w:rsidRDefault="00407449" w:rsidP="00407449">
      <w:r w:rsidRPr="004E6CFC">
        <w:t xml:space="preserve">El LAC incluirá esta compensación dentro del cálculo de la variable </w:t>
      </w:r>
      <w:r w:rsidRPr="004E6CFC">
        <w:rPr>
          <w:i/>
        </w:rPr>
        <w:t>CNE</w:t>
      </w:r>
      <w:r w:rsidRPr="004E6CFC">
        <w:rPr>
          <w:i/>
          <w:vertAlign w:val="subscript"/>
        </w:rPr>
        <w:t>m,u</w:t>
      </w:r>
      <w:r w:rsidRPr="004E6CFC">
        <w:t xml:space="preserve">  descrita en el numeral </w:t>
      </w:r>
      <w:r w:rsidRPr="004E6CFC">
        <w:fldChar w:fldCharType="begin"/>
      </w:r>
      <w:r w:rsidRPr="004E6CFC">
        <w:instrText xml:space="preserve"> REF _Ref476821897 \r \h  \* MERGEFORMAT </w:instrText>
      </w:r>
      <w:r w:rsidRPr="004E6CFC">
        <w:fldChar w:fldCharType="separate"/>
      </w:r>
      <w:r w:rsidR="00737178">
        <w:t>5.1.14.2</w:t>
      </w:r>
      <w:r w:rsidRPr="004E6CFC">
        <w:fldChar w:fldCharType="end"/>
      </w:r>
      <w:r w:rsidRPr="004E6CFC">
        <w:t xml:space="preserve">, a aplicarse para el mes </w:t>
      </w:r>
      <w:r w:rsidRPr="004E6CFC">
        <w:rPr>
          <w:i/>
        </w:rPr>
        <w:t>m</w:t>
      </w:r>
      <w:r w:rsidRPr="004E6CFC">
        <w:t xml:space="preserve"> siguiente al mes de publicación del informe de ENS.</w:t>
      </w:r>
    </w:p>
    <w:p w:rsidR="00407449" w:rsidRPr="004E6CFC" w:rsidRDefault="00407449" w:rsidP="00407449">
      <w:r w:rsidRPr="004E6CFC">
        <w:t>En todo caso, cuando los activos estén incluidos en la remuneración del STR a través de cargos por uso, el agente que recibe la remuneración será responsable por el cumplimiento de todos los indicadores de calidad establecidos en este anexo. Para el cálculo de las horas de indisponibilidad del activo, sólo se tendrán en cuenta las reportadas desde el primer mes de remuneración.</w:t>
      </w:r>
    </w:p>
    <w:p w:rsidR="00407449" w:rsidRPr="004E6CFC" w:rsidRDefault="00407449" w:rsidP="00407449">
      <w:pPr>
        <w:pStyle w:val="Ttulo3"/>
      </w:pPr>
      <w:bookmarkStart w:id="415" w:name="_Toc408493172"/>
      <w:bookmarkStart w:id="416" w:name="_Ref439944081"/>
      <w:bookmarkStart w:id="417" w:name="_Toc440439839"/>
      <w:bookmarkStart w:id="418" w:name="_Toc460840607"/>
      <w:bookmarkStart w:id="419" w:name="_Toc466009867"/>
      <w:bookmarkStart w:id="420" w:name="_Toc476824160"/>
      <w:bookmarkStart w:id="421" w:name="_Toc505070084"/>
      <w:bookmarkStart w:id="422" w:name="_Toc505335940"/>
      <w:r w:rsidRPr="004E6CFC">
        <w:t>Valor de referencia para compensación</w:t>
      </w:r>
      <w:bookmarkEnd w:id="415"/>
      <w:bookmarkEnd w:id="416"/>
      <w:bookmarkEnd w:id="417"/>
      <w:bookmarkEnd w:id="418"/>
      <w:bookmarkEnd w:id="419"/>
      <w:bookmarkEnd w:id="420"/>
      <w:bookmarkEnd w:id="421"/>
      <w:bookmarkEnd w:id="422"/>
    </w:p>
    <w:p w:rsidR="00407449" w:rsidRPr="004E6CFC" w:rsidRDefault="00407449" w:rsidP="00407449">
      <w:r w:rsidRPr="004E6CFC">
        <w:t>Para calcular el valor de las compensaciones, en caso de requerirse, se utilizará la siguiente referencia:</w:t>
      </w:r>
    </w:p>
    <w:p w:rsidR="00407449" w:rsidRPr="004E6CFC" w:rsidRDefault="00C9592F" w:rsidP="00407449">
      <m:oMathPara>
        <m:oMath>
          <m:sSub>
            <m:sSubPr>
              <m:ctrlPr>
                <w:rPr>
                  <w:rFonts w:ascii="Cambria Math" w:eastAsiaTheme="minorEastAsia" w:hAnsi="Cambria Math" w:cstheme="minorBidi"/>
                  <w:i/>
                </w:rPr>
              </m:ctrlPr>
            </m:sSubPr>
            <m:e>
              <m:r>
                <w:rPr>
                  <w:rFonts w:ascii="Cambria Math" w:hAnsi="Cambria Math" w:cstheme="minorBidi"/>
                </w:rPr>
                <m:t>VHRC</m:t>
              </m:r>
            </m:e>
            <m:sub>
              <m:r>
                <w:rPr>
                  <w:rFonts w:ascii="Cambria Math" w:hAnsi="Cambria Math" w:cstheme="minorBidi"/>
                </w:rPr>
                <m:t>m,u,j</m:t>
              </m:r>
            </m:sub>
          </m:sSub>
          <m:r>
            <w:rPr>
              <w:rFonts w:ascii="Cambria Math" w:hAnsi="Cambria Math" w:cstheme="minorBidi"/>
            </w:rPr>
            <m:t>=</m:t>
          </m:r>
          <m:f>
            <m:fPr>
              <m:ctrlPr>
                <w:rPr>
                  <w:rFonts w:ascii="Cambria Math" w:eastAsiaTheme="minorEastAsia" w:hAnsi="Cambria Math" w:cstheme="minorBidi"/>
                  <w:i/>
                </w:rPr>
              </m:ctrlPr>
            </m:fPr>
            <m:num>
              <m:r>
                <w:rPr>
                  <w:rFonts w:ascii="Cambria Math" w:hAnsi="Cambria Math" w:cstheme="minorBidi"/>
                </w:rPr>
                <m:t>r</m:t>
              </m:r>
            </m:num>
            <m:den>
              <m:r>
                <w:rPr>
                  <w:rFonts w:ascii="Cambria Math" w:hAnsi="Cambria Math" w:cstheme="minorBidi"/>
                </w:rPr>
                <m:t>6800</m:t>
              </m:r>
            </m:den>
          </m:f>
          <m:r>
            <w:rPr>
              <w:rFonts w:ascii="Cambria Math" w:hAnsi="Cambria Math" w:cstheme="minorBidi"/>
            </w:rPr>
            <m:t>*</m:t>
          </m:r>
          <m:sSub>
            <m:sSubPr>
              <m:ctrlPr>
                <w:rPr>
                  <w:rFonts w:ascii="Cambria Math" w:eastAsiaTheme="minorEastAsia" w:hAnsi="Cambria Math" w:cstheme="minorBidi"/>
                  <w:i/>
                </w:rPr>
              </m:ctrlPr>
            </m:sSubPr>
            <m:e>
              <m:r>
                <w:rPr>
                  <w:rFonts w:ascii="Cambria Math" w:hAnsi="Cambria Math" w:cstheme="minorBidi"/>
                </w:rPr>
                <m:t>CR</m:t>
              </m:r>
            </m:e>
            <m:sub>
              <m:r>
                <w:rPr>
                  <w:rFonts w:ascii="Cambria Math" w:hAnsi="Cambria Math" w:cstheme="minorBidi"/>
                </w:rPr>
                <m:t>u</m:t>
              </m:r>
            </m:sub>
          </m:sSub>
          <m:r>
            <w:rPr>
              <w:rFonts w:ascii="Cambria Math" w:hAnsi="Cambria Math" w:cstheme="minorBidi"/>
            </w:rPr>
            <m:t>*</m:t>
          </m:r>
          <m:sSub>
            <m:sSubPr>
              <m:ctrlPr>
                <w:rPr>
                  <w:rFonts w:ascii="Cambria Math" w:eastAsiaTheme="minorEastAsia" w:hAnsi="Cambria Math" w:cstheme="minorBidi"/>
                  <w:i/>
                </w:rPr>
              </m:ctrlPr>
            </m:sSubPr>
            <m:e>
              <m:r>
                <w:rPr>
                  <w:rFonts w:ascii="Cambria Math" w:hAnsi="Cambria Math" w:cstheme="minorBidi"/>
                </w:rPr>
                <m:t>PU</m:t>
              </m:r>
            </m:e>
            <m:sub>
              <m:r>
                <w:rPr>
                  <w:rFonts w:ascii="Cambria Math" w:hAnsi="Cambria Math" w:cstheme="minorBidi"/>
                </w:rPr>
                <m:t>u,j</m:t>
              </m:r>
            </m:sub>
          </m:sSub>
          <m:r>
            <w:rPr>
              <w:rFonts w:ascii="Cambria Math" w:hAnsi="Cambria Math" w:cstheme="minorBidi"/>
            </w:rPr>
            <m:t>*</m:t>
          </m:r>
          <m:f>
            <m:fPr>
              <m:ctrlPr>
                <w:rPr>
                  <w:rFonts w:ascii="Cambria Math" w:eastAsiaTheme="minorEastAsia" w:hAnsi="Cambria Math" w:cstheme="minorBidi"/>
                  <w:i/>
                </w:rPr>
              </m:ctrlPr>
            </m:fPr>
            <m:num>
              <m:sSub>
                <m:sSubPr>
                  <m:ctrlPr>
                    <w:rPr>
                      <w:rFonts w:ascii="Cambria Math" w:eastAsiaTheme="minorEastAsia" w:hAnsi="Cambria Math" w:cstheme="minorBidi"/>
                      <w:i/>
                    </w:rPr>
                  </m:ctrlPr>
                </m:sSubPr>
                <m:e>
                  <m:r>
                    <w:rPr>
                      <w:rFonts w:ascii="Cambria Math" w:hAnsi="Cambria Math" w:cstheme="minorBidi"/>
                    </w:rPr>
                    <m:t>IPP</m:t>
                  </m:r>
                </m:e>
                <m:sub>
                  <m:r>
                    <w:rPr>
                      <w:rFonts w:ascii="Cambria Math" w:hAnsi="Cambria Math" w:cstheme="minorBidi"/>
                    </w:rPr>
                    <m:t>m-1</m:t>
                  </m:r>
                </m:sub>
              </m:sSub>
            </m:num>
            <m:den>
              <m:sSub>
                <m:sSubPr>
                  <m:ctrlPr>
                    <w:rPr>
                      <w:rFonts w:ascii="Cambria Math" w:eastAsiaTheme="minorEastAsia" w:hAnsi="Cambria Math" w:cstheme="minorBidi"/>
                      <w:i/>
                    </w:rPr>
                  </m:ctrlPr>
                </m:sSubPr>
                <m:e>
                  <m:r>
                    <w:rPr>
                      <w:rFonts w:ascii="Cambria Math" w:hAnsi="Cambria Math" w:cstheme="minorBidi"/>
                    </w:rPr>
                    <m:t>IPP</m:t>
                  </m:r>
                </m:e>
                <m:sub>
                  <m:r>
                    <w:rPr>
                      <w:rFonts w:ascii="Cambria Math" w:hAnsi="Cambria Math" w:cstheme="minorBidi"/>
                    </w:rPr>
                    <m:t>0</m:t>
                  </m:r>
                </m:sub>
              </m:sSub>
            </m:den>
          </m:f>
        </m:oMath>
      </m:oMathPara>
    </w:p>
    <w:p w:rsidR="00407449" w:rsidRPr="004E6CFC" w:rsidRDefault="00407449" w:rsidP="00407449">
      <w:pPr>
        <w:spacing w:before="120"/>
        <w:ind w:left="1418" w:hanging="1418"/>
      </w:pPr>
      <w:r w:rsidRPr="004E6CFC">
        <w:rPr>
          <w:i/>
        </w:rPr>
        <w:t>VHRC</w:t>
      </w:r>
      <w:r w:rsidRPr="004E6CFC">
        <w:rPr>
          <w:i/>
          <w:vertAlign w:val="subscript"/>
        </w:rPr>
        <w:t>m,u,j</w:t>
      </w:r>
      <w:r w:rsidRPr="004E6CFC">
        <w:t>:</w:t>
      </w:r>
      <w:r w:rsidRPr="004E6CFC">
        <w:tab/>
        <w:t xml:space="preserve">Valor horario de referencia para el cálculo de la compensación del activo </w:t>
      </w:r>
      <w:r w:rsidRPr="004E6CFC">
        <w:rPr>
          <w:i/>
        </w:rPr>
        <w:t>u</w:t>
      </w:r>
      <w:r w:rsidRPr="004E6CFC">
        <w:t xml:space="preserve">, del OR </w:t>
      </w:r>
      <w:r w:rsidRPr="004E6CFC">
        <w:rPr>
          <w:i/>
        </w:rPr>
        <w:t>j</w:t>
      </w:r>
      <w:r w:rsidRPr="004E6CFC">
        <w:t xml:space="preserve">, durante el mes </w:t>
      </w:r>
      <w:r w:rsidRPr="004E6CFC">
        <w:rPr>
          <w:i/>
        </w:rPr>
        <w:t>m</w:t>
      </w:r>
      <w:r w:rsidRPr="004E6CFC">
        <w:t>.</w:t>
      </w:r>
    </w:p>
    <w:p w:rsidR="00407449" w:rsidRPr="004E6CFC" w:rsidRDefault="00407449" w:rsidP="00407449">
      <w:pPr>
        <w:tabs>
          <w:tab w:val="left" w:pos="1418"/>
        </w:tabs>
        <w:spacing w:before="120"/>
        <w:ind w:left="1418" w:hanging="1418"/>
        <w:rPr>
          <w:i/>
        </w:rPr>
      </w:pPr>
      <w:r w:rsidRPr="004E6CFC">
        <w:rPr>
          <w:i/>
        </w:rPr>
        <w:t>r:</w:t>
      </w:r>
      <w:r w:rsidRPr="004E6CFC">
        <w:rPr>
          <w:i/>
        </w:rPr>
        <w:tab/>
      </w:r>
      <w:r w:rsidRPr="004E6CFC">
        <w:t>Tasa de retorno para la actividad de distribución.</w:t>
      </w:r>
    </w:p>
    <w:p w:rsidR="00407449" w:rsidRPr="004E6CFC" w:rsidRDefault="00407449" w:rsidP="00407449">
      <w:pPr>
        <w:tabs>
          <w:tab w:val="left" w:pos="1418"/>
        </w:tabs>
        <w:spacing w:before="120"/>
        <w:ind w:left="1418" w:hanging="1418"/>
        <w:rPr>
          <w:i/>
        </w:rPr>
      </w:pPr>
      <w:r w:rsidRPr="004E6CFC">
        <w:rPr>
          <w:i/>
        </w:rPr>
        <w:t>CR</w:t>
      </w:r>
      <w:r w:rsidRPr="004E6CFC">
        <w:rPr>
          <w:i/>
          <w:vertAlign w:val="subscript"/>
        </w:rPr>
        <w:t>u</w:t>
      </w:r>
      <w:r w:rsidRPr="004E6CFC">
        <w:rPr>
          <w:i/>
        </w:rPr>
        <w:t>:</w:t>
      </w:r>
      <w:r w:rsidRPr="004E6CFC">
        <w:rPr>
          <w:i/>
        </w:rPr>
        <w:tab/>
      </w:r>
      <w:r w:rsidRPr="004E6CFC">
        <w:t xml:space="preserve">Costo establecido para el activo </w:t>
      </w:r>
      <w:r w:rsidRPr="004E6CFC">
        <w:rPr>
          <w:i/>
        </w:rPr>
        <w:t>u</w:t>
      </w:r>
      <w:r w:rsidRPr="004E6CFC">
        <w:t xml:space="preserve"> de acuerdo con las UC del capítulo </w:t>
      </w:r>
      <w:r w:rsidRPr="004E6CFC">
        <w:fldChar w:fldCharType="begin"/>
      </w:r>
      <w:r w:rsidRPr="004E6CFC">
        <w:instrText xml:space="preserve"> REF _Ref465979729 \r \h \t \* MERGEFORMAT </w:instrText>
      </w:r>
      <w:r w:rsidRPr="004E6CFC">
        <w:fldChar w:fldCharType="separate"/>
      </w:r>
      <w:r w:rsidR="00737178">
        <w:t>14</w:t>
      </w:r>
      <w:r w:rsidRPr="004E6CFC">
        <w:fldChar w:fldCharType="end"/>
      </w:r>
      <w:r>
        <w:t xml:space="preserve">, para las consideradas en la </w:t>
      </w:r>
      <w:r w:rsidRPr="002C0698">
        <w:rPr>
          <w:i/>
        </w:rPr>
        <w:t>BRAE</w:t>
      </w:r>
      <w:r w:rsidR="002C0698" w:rsidRPr="002C0698">
        <w:rPr>
          <w:i/>
        </w:rPr>
        <w:t>N</w:t>
      </w:r>
      <w:r w:rsidRPr="002C0698">
        <w:rPr>
          <w:i/>
          <w:vertAlign w:val="subscript"/>
        </w:rPr>
        <w:t>j,n,</w:t>
      </w:r>
      <w:r w:rsidR="002C0698" w:rsidRPr="002C0698">
        <w:rPr>
          <w:i/>
          <w:vertAlign w:val="subscript"/>
        </w:rPr>
        <w:t>t</w:t>
      </w:r>
      <w:r>
        <w:t xml:space="preserve">, y las UC del capítulo </w:t>
      </w:r>
      <w:r>
        <w:fldChar w:fldCharType="begin"/>
      </w:r>
      <w:r>
        <w:instrText xml:space="preserve"> REF _Ref476818651 \r \h \t</w:instrText>
      </w:r>
      <w:r>
        <w:fldChar w:fldCharType="separate"/>
      </w:r>
      <w:r w:rsidR="00737178">
        <w:t>15</w:t>
      </w:r>
      <w:r>
        <w:fldChar w:fldCharType="end"/>
      </w:r>
      <w:r>
        <w:t xml:space="preserve">, para las que hagan parte la variable </w:t>
      </w:r>
      <w:r w:rsidRPr="002C0698">
        <w:rPr>
          <w:vertAlign w:val="subscript"/>
        </w:rPr>
        <w:t>BRAEj,n,0</w:t>
      </w:r>
      <w:r>
        <w:t xml:space="preserve">, las dos variables definidas en el numeral </w:t>
      </w:r>
      <w:r>
        <w:fldChar w:fldCharType="begin"/>
      </w:r>
      <w:r>
        <w:instrText xml:space="preserve"> REF _Ref398643025 \r \h </w:instrText>
      </w:r>
      <w:r>
        <w:fldChar w:fldCharType="separate"/>
      </w:r>
      <w:r w:rsidR="00737178">
        <w:t>3.1.1</w:t>
      </w:r>
      <w:r>
        <w:fldChar w:fldCharType="end"/>
      </w:r>
      <w:r w:rsidRPr="004E6CFC">
        <w:t>.</w:t>
      </w:r>
    </w:p>
    <w:p w:rsidR="00407449" w:rsidRPr="004E6CFC" w:rsidRDefault="00407449" w:rsidP="00407449">
      <w:pPr>
        <w:tabs>
          <w:tab w:val="left" w:pos="1418"/>
        </w:tabs>
        <w:spacing w:before="120"/>
        <w:ind w:left="1418" w:hanging="1418"/>
        <w:rPr>
          <w:i/>
          <w:iCs/>
        </w:rPr>
      </w:pPr>
      <w:bookmarkStart w:id="423" w:name="_Toc195670141"/>
      <w:bookmarkStart w:id="424" w:name="_Toc195686835"/>
      <w:bookmarkStart w:id="425" w:name="_Toc195781013"/>
      <w:bookmarkStart w:id="426" w:name="_Toc210616102"/>
      <w:bookmarkStart w:id="427" w:name="_Ref407014194"/>
      <w:r w:rsidRPr="004E6CFC">
        <w:rPr>
          <w:i/>
          <w:iCs/>
        </w:rPr>
        <w:t>PU</w:t>
      </w:r>
      <w:r w:rsidRPr="004E6CFC">
        <w:rPr>
          <w:i/>
          <w:iCs/>
          <w:vertAlign w:val="subscript"/>
        </w:rPr>
        <w:t>u,j</w:t>
      </w:r>
      <w:r w:rsidRPr="004E6CFC">
        <w:rPr>
          <w:i/>
          <w:iCs/>
        </w:rPr>
        <w:t>:</w:t>
      </w:r>
      <w:r w:rsidRPr="004E6CFC">
        <w:rPr>
          <w:i/>
          <w:iCs/>
        </w:rPr>
        <w:tab/>
      </w:r>
      <w:r w:rsidRPr="004E6CFC">
        <w:rPr>
          <w:iCs/>
        </w:rPr>
        <w:t xml:space="preserve">Porcentaje de uso del activo u que se reconoce al OR </w:t>
      </w:r>
      <w:r w:rsidRPr="004E6CFC">
        <w:rPr>
          <w:i/>
          <w:iCs/>
        </w:rPr>
        <w:t>j</w:t>
      </w:r>
      <w:r w:rsidRPr="004E6CFC">
        <w:rPr>
          <w:iCs/>
        </w:rPr>
        <w:t>.</w:t>
      </w:r>
    </w:p>
    <w:p w:rsidR="00407449" w:rsidRPr="004E6CFC" w:rsidRDefault="00407449" w:rsidP="00407449">
      <w:pPr>
        <w:spacing w:before="120"/>
        <w:ind w:left="1418" w:hanging="1418"/>
        <w:rPr>
          <w:i/>
          <w:iCs/>
        </w:rPr>
      </w:pPr>
      <w:r w:rsidRPr="004E6CFC">
        <w:rPr>
          <w:i/>
          <w:iCs/>
        </w:rPr>
        <w:t>IPP</w:t>
      </w:r>
      <w:r w:rsidRPr="004E6CFC">
        <w:rPr>
          <w:i/>
          <w:iCs/>
          <w:vertAlign w:val="subscript"/>
        </w:rPr>
        <w:t>m-1</w:t>
      </w:r>
      <w:r w:rsidRPr="004E6CFC">
        <w:rPr>
          <w:i/>
          <w:iCs/>
        </w:rPr>
        <w:t>:</w:t>
      </w:r>
      <w:r w:rsidRPr="004E6CFC">
        <w:rPr>
          <w:i/>
          <w:iCs/>
        </w:rPr>
        <w:tab/>
      </w:r>
      <w:r w:rsidRPr="004E6CFC">
        <w:rPr>
          <w:iCs/>
        </w:rPr>
        <w:t xml:space="preserve">Índice de precios al productor total nacional correspondiente al mes </w:t>
      </w:r>
      <w:r w:rsidRPr="004E6CFC">
        <w:rPr>
          <w:i/>
          <w:iCs/>
        </w:rPr>
        <w:t>m-1.</w:t>
      </w:r>
    </w:p>
    <w:p w:rsidR="00407449" w:rsidRPr="004E6CFC" w:rsidRDefault="00407449" w:rsidP="00407449">
      <w:pPr>
        <w:spacing w:before="120"/>
        <w:ind w:left="1418" w:hanging="1418"/>
        <w:rPr>
          <w:iCs/>
        </w:rPr>
      </w:pPr>
      <w:r w:rsidRPr="004E6CFC">
        <w:rPr>
          <w:i/>
          <w:iCs/>
        </w:rPr>
        <w:t>IPP</w:t>
      </w:r>
      <w:r w:rsidRPr="004E6CFC">
        <w:rPr>
          <w:i/>
          <w:iCs/>
          <w:vertAlign w:val="subscript"/>
        </w:rPr>
        <w:t>o</w:t>
      </w:r>
      <w:r w:rsidRPr="004E6CFC">
        <w:rPr>
          <w:i/>
          <w:iCs/>
        </w:rPr>
        <w:t>:</w:t>
      </w:r>
      <w:r w:rsidRPr="004E6CFC">
        <w:rPr>
          <w:i/>
          <w:iCs/>
        </w:rPr>
        <w:tab/>
      </w:r>
      <w:r w:rsidRPr="004E6CFC">
        <w:rPr>
          <w:iCs/>
        </w:rPr>
        <w:t>Índice de precios al productor total nacional correspondiente a la fecha de corte.</w:t>
      </w:r>
    </w:p>
    <w:p w:rsidR="00407449" w:rsidRPr="004E6CFC" w:rsidRDefault="00407449" w:rsidP="00407449">
      <w:pPr>
        <w:pStyle w:val="Ttulo3"/>
      </w:pPr>
      <w:bookmarkStart w:id="428" w:name="_Ref184401837"/>
      <w:bookmarkStart w:id="429" w:name="_Toc195670138"/>
      <w:bookmarkStart w:id="430" w:name="_Toc195686832"/>
      <w:bookmarkStart w:id="431" w:name="_Toc195781010"/>
      <w:bookmarkStart w:id="432" w:name="_Toc210616099"/>
      <w:bookmarkStart w:id="433" w:name="_Toc408493173"/>
      <w:bookmarkStart w:id="434" w:name="_Toc440439840"/>
      <w:bookmarkStart w:id="435" w:name="_Toc460840608"/>
      <w:bookmarkStart w:id="436" w:name="_Toc466009868"/>
      <w:bookmarkStart w:id="437" w:name="_Toc476824161"/>
      <w:bookmarkStart w:id="438" w:name="_Toc505070085"/>
      <w:bookmarkStart w:id="439" w:name="_Toc505335941"/>
      <w:r w:rsidRPr="004E6CFC">
        <w:t>Remuneración en algunos casos de indisponibilidad</w:t>
      </w:r>
      <w:bookmarkEnd w:id="428"/>
      <w:bookmarkEnd w:id="429"/>
      <w:bookmarkEnd w:id="430"/>
      <w:bookmarkEnd w:id="431"/>
      <w:bookmarkEnd w:id="432"/>
      <w:bookmarkEnd w:id="433"/>
      <w:bookmarkEnd w:id="434"/>
      <w:bookmarkEnd w:id="435"/>
      <w:bookmarkEnd w:id="436"/>
      <w:bookmarkEnd w:id="437"/>
      <w:bookmarkEnd w:id="438"/>
      <w:bookmarkEnd w:id="439"/>
    </w:p>
    <w:p w:rsidR="00407449" w:rsidRPr="004E6CFC" w:rsidRDefault="00407449" w:rsidP="00407449">
      <w:r w:rsidRPr="004E6CFC">
        <w:t xml:space="preserve">Para los casos de indisponibilidades originadas en </w:t>
      </w:r>
      <w:r w:rsidRPr="004E6CFC">
        <w:rPr>
          <w:rFonts w:cs="Arial"/>
        </w:rPr>
        <w:t>catástrofes naturales, tales como erosión (volcánica, fluvial o glacial), terremotos, maremotos, h</w:t>
      </w:r>
      <w:r w:rsidRPr="004E6CFC">
        <w:t>uracanes, ciclones y/o tornados y l</w:t>
      </w:r>
      <w:r w:rsidRPr="004E6CFC">
        <w:rPr>
          <w:rFonts w:cs="Arial"/>
        </w:rPr>
        <w:t>as debidas a actos de terrorismo</w:t>
      </w:r>
      <w:r w:rsidRPr="004E6CFC">
        <w:t xml:space="preserve">, la remuneración del activo </w:t>
      </w:r>
      <w:r w:rsidRPr="004E6CFC">
        <w:rPr>
          <w:i/>
        </w:rPr>
        <w:t>u</w:t>
      </w:r>
      <w:r w:rsidRPr="004E6CFC">
        <w:t xml:space="preserve"> en el mes </w:t>
      </w:r>
      <w:r w:rsidRPr="004E6CFC">
        <w:rPr>
          <w:i/>
        </w:rPr>
        <w:t>m</w:t>
      </w:r>
      <w:r w:rsidRPr="004E6CFC">
        <w:t xml:space="preserve">, para cada mes </w:t>
      </w:r>
      <w:r w:rsidRPr="004E6CFC">
        <w:rPr>
          <w:i/>
        </w:rPr>
        <w:t>mi</w:t>
      </w:r>
      <w:r w:rsidRPr="004E6CFC">
        <w:t xml:space="preserve"> que este se encuentre indisponible será:</w:t>
      </w:r>
    </w:p>
    <w:p w:rsidR="00407449" w:rsidRPr="004E6CFC" w:rsidRDefault="00C9592F" w:rsidP="00407449">
      <m:oMathPara>
        <m:oMath>
          <m:sSub>
            <m:sSubPr>
              <m:ctrlPr>
                <w:rPr>
                  <w:rFonts w:ascii="Cambria Math" w:hAnsi="Cambria Math"/>
                  <w:i/>
                </w:rPr>
              </m:ctrlPr>
            </m:sSubPr>
            <m:e>
              <m:r>
                <w:rPr>
                  <w:rFonts w:ascii="Cambria Math" w:hAnsi="Cambria Math"/>
                </w:rPr>
                <m:t>IMRT</m:t>
              </m:r>
            </m:e>
            <m:sub>
              <m:r>
                <w:rPr>
                  <w:rFonts w:ascii="Cambria Math" w:hAnsi="Cambria Math"/>
                </w:rPr>
                <m:t>m,u</m:t>
              </m:r>
            </m:sub>
          </m:sSub>
          <m:r>
            <w:rPr>
              <w:rFonts w:ascii="Cambria Math" w:hAnsi="Cambria Math"/>
            </w:rPr>
            <m:t>=</m:t>
          </m:r>
          <m:d>
            <m:dPr>
              <m:begChr m:val="["/>
              <m:endChr m:val="]"/>
              <m:ctrlPr>
                <w:rPr>
                  <w:rFonts w:ascii="Cambria Math" w:hAnsi="Cambria Math"/>
                  <w:i/>
                </w:rPr>
              </m:ctrlPr>
            </m:dPr>
            <m:e>
              <m:r>
                <w:rPr>
                  <w:rFonts w:ascii="Cambria Math" w:hAnsi="Cambria Math"/>
                </w:rPr>
                <m:t>1-max</m:t>
              </m:r>
              <m:d>
                <m:dPr>
                  <m:ctrlPr>
                    <w:rPr>
                      <w:rFonts w:ascii="Cambria Math" w:hAnsi="Cambria Math"/>
                      <w:i/>
                    </w:rPr>
                  </m:ctrlPr>
                </m:dPr>
                <m:e>
                  <m:r>
                    <w:rPr>
                      <w:rFonts w:ascii="Cambria Math" w:hAnsi="Cambria Math"/>
                    </w:rPr>
                    <m:t>0,min</m:t>
                  </m:r>
                  <m:d>
                    <m:dPr>
                      <m:ctrlPr>
                        <w:rPr>
                          <w:rFonts w:ascii="Cambria Math" w:hAnsi="Cambria Math"/>
                          <w:i/>
                        </w:rPr>
                      </m:ctrlPr>
                    </m:dPr>
                    <m:e>
                      <m:r>
                        <w:rPr>
                          <w:rFonts w:ascii="Cambria Math" w:hAnsi="Cambria Math"/>
                        </w:rPr>
                        <m:t>1,</m:t>
                      </m:r>
                      <m:f>
                        <m:fPr>
                          <m:ctrlPr>
                            <w:rPr>
                              <w:rFonts w:ascii="Cambria Math" w:hAnsi="Cambria Math"/>
                              <w:i/>
                            </w:rPr>
                          </m:ctrlPr>
                        </m:fPr>
                        <m:num>
                          <m:r>
                            <w:rPr>
                              <w:rFonts w:ascii="Cambria Math" w:hAnsi="Cambria Math"/>
                            </w:rPr>
                            <m:t>1</m:t>
                          </m:r>
                        </m:num>
                        <m:den>
                          <m:r>
                            <w:rPr>
                              <w:rFonts w:ascii="Cambria Math" w:hAnsi="Cambria Math"/>
                            </w:rPr>
                            <m:t>6</m:t>
                          </m:r>
                        </m:den>
                      </m:f>
                      <m:d>
                        <m:dPr>
                          <m:ctrlPr>
                            <w:rPr>
                              <w:rFonts w:ascii="Cambria Math" w:hAnsi="Cambria Math"/>
                              <w:i/>
                            </w:rPr>
                          </m:ctrlPr>
                        </m:dPr>
                        <m:e>
                          <m:r>
                            <w:rPr>
                              <w:rFonts w:ascii="Cambria Math" w:hAnsi="Cambria Math"/>
                            </w:rPr>
                            <m:t>mi-6</m:t>
                          </m:r>
                        </m:e>
                      </m:d>
                    </m:e>
                  </m:d>
                </m:e>
              </m:d>
            </m:e>
          </m:d>
          <m:r>
            <w:rPr>
              <w:rFonts w:ascii="Cambria Math" w:hAnsi="Cambria Math"/>
            </w:rPr>
            <m:t>*</m:t>
          </m:r>
          <m:sSub>
            <m:sSubPr>
              <m:ctrlPr>
                <w:rPr>
                  <w:rFonts w:ascii="Cambria Math" w:hAnsi="Cambria Math"/>
                  <w:i/>
                </w:rPr>
              </m:ctrlPr>
            </m:sSubPr>
            <m:e>
              <m:r>
                <w:rPr>
                  <w:rFonts w:ascii="Cambria Math" w:hAnsi="Cambria Math"/>
                </w:rPr>
                <m:t>VHRC</m:t>
              </m:r>
            </m:e>
            <m:sub>
              <m:r>
                <w:rPr>
                  <w:rFonts w:ascii="Cambria Math" w:hAnsi="Cambria Math"/>
                </w:rPr>
                <m:t>m,u,j</m:t>
              </m:r>
            </m:sub>
          </m:sSub>
          <m:r>
            <w:rPr>
              <w:rFonts w:ascii="Cambria Math" w:hAnsi="Cambria Math"/>
            </w:rPr>
            <m:t>*720</m:t>
          </m:r>
        </m:oMath>
      </m:oMathPara>
    </w:p>
    <w:p w:rsidR="00407449" w:rsidRPr="004E6CFC" w:rsidRDefault="00407449" w:rsidP="00407449">
      <w:pPr>
        <w:spacing w:before="120"/>
        <w:ind w:left="1418" w:hanging="1418"/>
      </w:pPr>
      <w:r w:rsidRPr="004E6CFC">
        <w:rPr>
          <w:i/>
        </w:rPr>
        <w:t>IMRT</w:t>
      </w:r>
      <w:r w:rsidRPr="004E6CFC">
        <w:rPr>
          <w:i/>
          <w:vertAlign w:val="subscript"/>
        </w:rPr>
        <w:t>m,u</w:t>
      </w:r>
      <w:r w:rsidRPr="004E6CFC">
        <w:t>:</w:t>
      </w:r>
      <w:r w:rsidRPr="004E6CFC">
        <w:tab/>
        <w:t xml:space="preserve">Ingreso mensual temporal para el activo </w:t>
      </w:r>
      <w:r w:rsidRPr="004E6CFC">
        <w:rPr>
          <w:i/>
        </w:rPr>
        <w:t>u</w:t>
      </w:r>
      <w:r w:rsidRPr="004E6CFC">
        <w:t xml:space="preserve">, en el mes </w:t>
      </w:r>
      <w:r w:rsidRPr="004E6CFC">
        <w:rPr>
          <w:i/>
        </w:rPr>
        <w:t>m</w:t>
      </w:r>
      <w:r w:rsidRPr="004E6CFC">
        <w:t xml:space="preserve">, mientras el activo </w:t>
      </w:r>
      <w:r w:rsidRPr="004E6CFC">
        <w:rPr>
          <w:i/>
        </w:rPr>
        <w:t>u</w:t>
      </w:r>
      <w:r w:rsidRPr="004E6CFC">
        <w:t xml:space="preserve"> esté indisponible por las causas citadas en este numeral.</w:t>
      </w:r>
    </w:p>
    <w:p w:rsidR="00407449" w:rsidRPr="004E6CFC" w:rsidRDefault="00407449" w:rsidP="00407449">
      <w:pPr>
        <w:spacing w:before="120"/>
        <w:ind w:left="1418" w:hanging="1418"/>
      </w:pPr>
      <w:r w:rsidRPr="004E6CFC">
        <w:rPr>
          <w:i/>
        </w:rPr>
        <w:lastRenderedPageBreak/>
        <w:t>mi</w:t>
      </w:r>
      <w:r w:rsidRPr="004E6CFC">
        <w:t>:</w:t>
      </w:r>
      <w:r w:rsidRPr="004E6CFC">
        <w:tab/>
        <w:t xml:space="preserve">Número de meses calendario completos transcurridos a partir de la ocurrencia del evento, incluido el mes </w:t>
      </w:r>
      <w:r w:rsidRPr="004E6CFC">
        <w:rPr>
          <w:i/>
        </w:rPr>
        <w:t>m</w:t>
      </w:r>
      <w:r w:rsidRPr="004E6CFC">
        <w:t>, durante los cuales el activo </w:t>
      </w:r>
      <w:r w:rsidRPr="004E6CFC">
        <w:rPr>
          <w:i/>
        </w:rPr>
        <w:t>u</w:t>
      </w:r>
      <w:r w:rsidRPr="004E6CFC">
        <w:t xml:space="preserve"> ha estado indisponible.</w:t>
      </w:r>
    </w:p>
    <w:p w:rsidR="00407449" w:rsidRPr="004E6CFC" w:rsidRDefault="00407449" w:rsidP="00407449">
      <w:pPr>
        <w:spacing w:before="120"/>
        <w:ind w:left="1418" w:hanging="1418"/>
      </w:pPr>
      <w:r w:rsidRPr="004E6CFC">
        <w:rPr>
          <w:i/>
        </w:rPr>
        <w:t>VHRC</w:t>
      </w:r>
      <w:r w:rsidRPr="004E6CFC">
        <w:rPr>
          <w:i/>
          <w:vertAlign w:val="subscript"/>
        </w:rPr>
        <w:t>m,u,j</w:t>
      </w:r>
      <w:r w:rsidRPr="004E6CFC">
        <w:t>:</w:t>
      </w:r>
      <w:r w:rsidRPr="004E6CFC">
        <w:tab/>
        <w:t xml:space="preserve">Valor horario de referencia para el cálculo de la compensación del activo </w:t>
      </w:r>
      <w:r w:rsidRPr="004E6CFC">
        <w:rPr>
          <w:i/>
        </w:rPr>
        <w:t>u</w:t>
      </w:r>
      <w:r w:rsidRPr="004E6CFC">
        <w:t xml:space="preserve">, del OR </w:t>
      </w:r>
      <w:r w:rsidRPr="004E6CFC">
        <w:rPr>
          <w:i/>
        </w:rPr>
        <w:t>j</w:t>
      </w:r>
      <w:r w:rsidRPr="004E6CFC">
        <w:t xml:space="preserve">, durante el mes </w:t>
      </w:r>
      <w:r w:rsidRPr="004E6CFC">
        <w:rPr>
          <w:i/>
        </w:rPr>
        <w:t>m</w:t>
      </w:r>
      <w:r w:rsidRPr="004E6CFC">
        <w:t xml:space="preserve">. </w:t>
      </w:r>
    </w:p>
    <w:p w:rsidR="00407449" w:rsidRPr="004E6CFC" w:rsidRDefault="00407449" w:rsidP="00407449">
      <w:pPr>
        <w:pStyle w:val="Ttulo3"/>
      </w:pPr>
      <w:bookmarkStart w:id="440" w:name="_Ref184402103"/>
      <w:bookmarkStart w:id="441" w:name="_Toc195670139"/>
      <w:bookmarkStart w:id="442" w:name="_Toc195686833"/>
      <w:bookmarkStart w:id="443" w:name="_Toc195781011"/>
      <w:bookmarkStart w:id="444" w:name="_Toc210616100"/>
      <w:bookmarkStart w:id="445" w:name="_Toc408493174"/>
      <w:bookmarkStart w:id="446" w:name="_Toc440439841"/>
      <w:bookmarkStart w:id="447" w:name="_Toc460840609"/>
      <w:bookmarkStart w:id="448" w:name="_Toc466009869"/>
      <w:bookmarkStart w:id="449" w:name="_Toc476824162"/>
      <w:bookmarkStart w:id="450" w:name="_Toc505070086"/>
      <w:bookmarkStart w:id="451" w:name="_Toc505335942"/>
      <w:r w:rsidRPr="004E6CFC">
        <w:t>Compensaciones</w:t>
      </w:r>
      <w:bookmarkEnd w:id="440"/>
      <w:bookmarkEnd w:id="441"/>
      <w:bookmarkEnd w:id="442"/>
      <w:bookmarkEnd w:id="443"/>
      <w:bookmarkEnd w:id="444"/>
      <w:bookmarkEnd w:id="445"/>
      <w:bookmarkEnd w:id="446"/>
      <w:bookmarkEnd w:id="447"/>
      <w:bookmarkEnd w:id="448"/>
      <w:bookmarkEnd w:id="449"/>
      <w:bookmarkEnd w:id="450"/>
      <w:bookmarkEnd w:id="451"/>
      <w:r w:rsidRPr="004E6CFC">
        <w:t xml:space="preserve"> </w:t>
      </w:r>
    </w:p>
    <w:p w:rsidR="00407449" w:rsidRPr="004E6CFC" w:rsidRDefault="00407449" w:rsidP="00407449">
      <w:pPr>
        <w:pStyle w:val="Ttulo4"/>
        <w:ind w:left="864" w:hanging="864"/>
      </w:pPr>
      <w:bookmarkStart w:id="452" w:name="_Ref185743053"/>
      <w:bookmarkStart w:id="453" w:name="_Toc195670140"/>
      <w:bookmarkStart w:id="454" w:name="_Toc195686834"/>
      <w:bookmarkStart w:id="455" w:name="_Toc195781012"/>
      <w:bookmarkStart w:id="456" w:name="_Toc210616101"/>
      <w:r w:rsidRPr="004E6CFC">
        <w:t>Compensaciones por incumplimiento de las metas</w:t>
      </w:r>
      <w:bookmarkEnd w:id="452"/>
      <w:bookmarkEnd w:id="453"/>
      <w:bookmarkEnd w:id="454"/>
      <w:bookmarkEnd w:id="455"/>
      <w:bookmarkEnd w:id="456"/>
    </w:p>
    <w:p w:rsidR="00407449" w:rsidRPr="004E6CFC" w:rsidRDefault="00407449" w:rsidP="00407449">
      <w:r w:rsidRPr="004E6CFC">
        <w:t xml:space="preserve">Las compensaciones que deberán ser asumidas por el OR o los OR responsables de los activos que conforman los grupos de activos con horas de indisponibilidad acumuladas, </w:t>
      </w:r>
      <w:r w:rsidRPr="004E6CFC">
        <w:rPr>
          <w:i/>
        </w:rPr>
        <w:t>HIDA,</w:t>
      </w:r>
      <w:r w:rsidRPr="004E6CFC">
        <w:t xml:space="preserve"> que superen las máximas horas anuales de indisponibilidad ajustadas, </w:t>
      </w:r>
      <w:r w:rsidRPr="004E6CFC">
        <w:rPr>
          <w:i/>
        </w:rPr>
        <w:t>MHAIA</w:t>
      </w:r>
      <w:r w:rsidRPr="004E6CFC">
        <w:t xml:space="preserve">, se calcularán con base en la información obtenida por el CND y conforme a las siguientes fórmulas: </w:t>
      </w:r>
    </w:p>
    <w:p w:rsidR="00407449" w:rsidRPr="004E6CFC" w:rsidRDefault="00C9592F" w:rsidP="00407449">
      <w:pPr>
        <w:jc w:val="center"/>
        <w:rPr>
          <w:rFonts w:cs="Arial"/>
          <w:position w:val="-28"/>
        </w:rPr>
      </w:pPr>
      <m:oMathPara>
        <m:oMath>
          <m:sSub>
            <m:sSubPr>
              <m:ctrlPr>
                <w:rPr>
                  <w:rFonts w:ascii="Cambria Math" w:hAnsi="Cambria Math" w:cs="Arial"/>
                  <w:i/>
                </w:rPr>
              </m:ctrlPr>
            </m:sSubPr>
            <m:e>
              <m:r>
                <w:rPr>
                  <w:rFonts w:ascii="Cambria Math" w:hAnsi="Cambria Math" w:cs="Arial"/>
                </w:rPr>
                <m:t>HIDA</m:t>
              </m:r>
            </m:e>
            <m:sub>
              <m:r>
                <w:rPr>
                  <w:rFonts w:ascii="Cambria Math" w:hAnsi="Cambria Math" w:cs="Arial"/>
                </w:rPr>
                <m:t>m,gu</m:t>
              </m:r>
            </m:sub>
          </m:sSub>
          <m:r>
            <w:rPr>
              <w:rFonts w:ascii="Cambria Math" w:hAnsi="Cambria Math" w:cs="Arial"/>
            </w:rPr>
            <m:t>=</m:t>
          </m:r>
          <m:nary>
            <m:naryPr>
              <m:chr m:val="∑"/>
              <m:limLoc m:val="undOvr"/>
              <m:ctrlPr>
                <w:rPr>
                  <w:rFonts w:ascii="Cambria Math" w:hAnsi="Cambria Math" w:cs="Arial"/>
                  <w:i/>
                </w:rPr>
              </m:ctrlPr>
            </m:naryPr>
            <m:sub>
              <m:r>
                <w:rPr>
                  <w:rFonts w:ascii="Cambria Math" w:hAnsi="Cambria Math" w:cs="Arial"/>
                </w:rPr>
                <m:t>u=1</m:t>
              </m:r>
            </m:sub>
            <m:sup>
              <m:r>
                <w:rPr>
                  <w:rFonts w:ascii="Cambria Math" w:hAnsi="Cambria Math" w:cs="Arial"/>
                </w:rPr>
                <m:t>NGU</m:t>
              </m:r>
            </m:sup>
            <m:e>
              <m:nary>
                <m:naryPr>
                  <m:chr m:val="∑"/>
                  <m:limLoc m:val="undOvr"/>
                  <m:ctrlPr>
                    <w:rPr>
                      <w:rFonts w:ascii="Cambria Math" w:hAnsi="Cambria Math" w:cs="Arial"/>
                      <w:i/>
                    </w:rPr>
                  </m:ctrlPr>
                </m:naryPr>
                <m:sub>
                  <m:r>
                    <w:rPr>
                      <w:rFonts w:ascii="Cambria Math" w:hAnsi="Cambria Math" w:cs="Arial"/>
                    </w:rPr>
                    <m:t>ma=m-11</m:t>
                  </m:r>
                </m:sub>
                <m:sup>
                  <m:r>
                    <w:rPr>
                      <w:rFonts w:ascii="Cambria Math" w:hAnsi="Cambria Math" w:cs="Arial"/>
                    </w:rPr>
                    <m:t>m</m:t>
                  </m:r>
                </m:sup>
                <m:e>
                  <m:sSub>
                    <m:sSubPr>
                      <m:ctrlPr>
                        <w:rPr>
                          <w:rFonts w:ascii="Cambria Math" w:hAnsi="Cambria Math" w:cs="Arial"/>
                          <w:i/>
                        </w:rPr>
                      </m:ctrlPr>
                    </m:sSubPr>
                    <m:e>
                      <m:r>
                        <w:rPr>
                          <w:rFonts w:ascii="Cambria Math" w:hAnsi="Cambria Math" w:cs="Arial"/>
                        </w:rPr>
                        <m:t>HID</m:t>
                      </m:r>
                    </m:e>
                    <m:sub>
                      <m:r>
                        <w:rPr>
                          <w:rFonts w:ascii="Cambria Math" w:hAnsi="Cambria Math" w:cs="Arial"/>
                        </w:rPr>
                        <m:t>ma,u</m:t>
                      </m:r>
                    </m:sub>
                  </m:sSub>
                </m:e>
              </m:nary>
            </m:e>
          </m:nary>
        </m:oMath>
      </m:oMathPara>
    </w:p>
    <w:p w:rsidR="00407449" w:rsidRPr="004E6CFC" w:rsidRDefault="00407449" w:rsidP="00407449">
      <w:pPr>
        <w:rPr>
          <w:rFonts w:cs="Arial"/>
        </w:rPr>
      </w:pPr>
      <w:r w:rsidRPr="004E6CFC">
        <w:rPr>
          <w:rFonts w:cs="Arial"/>
        </w:rPr>
        <w:t xml:space="preserve">Si para el grupo de activos </w:t>
      </w:r>
      <w:r w:rsidRPr="004E6CFC">
        <w:rPr>
          <w:rFonts w:cs="Arial"/>
          <w:i/>
        </w:rPr>
        <w:t>gu</w:t>
      </w:r>
      <w:r w:rsidRPr="004E6CFC">
        <w:rPr>
          <w:rFonts w:cs="Arial"/>
        </w:rPr>
        <w:t xml:space="preserve"> en el mes </w:t>
      </w:r>
      <w:r w:rsidRPr="004E6CFC">
        <w:rPr>
          <w:rFonts w:cs="Arial"/>
          <w:i/>
        </w:rPr>
        <w:t>m</w:t>
      </w:r>
      <w:r w:rsidRPr="004E6CFC">
        <w:rPr>
          <w:rFonts w:cs="Arial"/>
        </w:rPr>
        <w:t xml:space="preserve"> se obtiene que </w:t>
      </w:r>
      <w:r w:rsidRPr="004E6CFC">
        <w:rPr>
          <w:rFonts w:cs="Arial"/>
          <w:i/>
        </w:rPr>
        <w:t>HIDA</w:t>
      </w:r>
      <w:r w:rsidRPr="004E6CFC">
        <w:rPr>
          <w:rFonts w:cs="Arial"/>
          <w:i/>
          <w:vertAlign w:val="subscript"/>
        </w:rPr>
        <w:t>m,gu</w:t>
      </w:r>
      <w:r w:rsidRPr="004E6CFC">
        <w:rPr>
          <w:rFonts w:cs="Arial"/>
        </w:rPr>
        <w:t xml:space="preserve"> ≤ </w:t>
      </w:r>
      <w:r w:rsidRPr="004E6CFC">
        <w:rPr>
          <w:rFonts w:cs="Arial"/>
          <w:i/>
        </w:rPr>
        <w:t>MHAIA</w:t>
      </w:r>
      <w:r w:rsidRPr="004E6CFC">
        <w:rPr>
          <w:rFonts w:cs="Arial"/>
          <w:i/>
          <w:vertAlign w:val="subscript"/>
        </w:rPr>
        <w:t>m,gu</w:t>
      </w:r>
      <w:r w:rsidRPr="004E6CFC">
        <w:rPr>
          <w:rFonts w:cs="Arial"/>
        </w:rPr>
        <w:t xml:space="preserve"> entonces las horas a compensar, </w:t>
      </w:r>
      <w:r w:rsidRPr="004E6CFC">
        <w:rPr>
          <w:rFonts w:cs="Arial"/>
          <w:i/>
        </w:rPr>
        <w:t>HC</w:t>
      </w:r>
      <w:r w:rsidRPr="004E6CFC">
        <w:rPr>
          <w:rFonts w:cs="Arial"/>
          <w:i/>
          <w:vertAlign w:val="subscript"/>
        </w:rPr>
        <w:t>m,gu</w:t>
      </w:r>
      <w:r w:rsidRPr="004E6CFC">
        <w:rPr>
          <w:rFonts w:cs="Arial"/>
        </w:rPr>
        <w:t>, serán iguales a cero.</w:t>
      </w:r>
    </w:p>
    <w:p w:rsidR="00407449" w:rsidRPr="004E6CFC" w:rsidRDefault="00407449" w:rsidP="00407449">
      <w:pPr>
        <w:rPr>
          <w:rFonts w:cs="Arial"/>
        </w:rPr>
      </w:pPr>
      <w:r w:rsidRPr="004E6CFC">
        <w:rPr>
          <w:rFonts w:cs="Arial"/>
        </w:rPr>
        <w:t xml:space="preserve">Por el contrario, si para el grupo de activos </w:t>
      </w:r>
      <w:r w:rsidRPr="004E6CFC">
        <w:rPr>
          <w:rFonts w:cs="Arial"/>
          <w:i/>
        </w:rPr>
        <w:t>gu</w:t>
      </w:r>
      <w:r w:rsidRPr="004E6CFC">
        <w:rPr>
          <w:rFonts w:cs="Arial"/>
        </w:rPr>
        <w:t xml:space="preserve"> en el mes </w:t>
      </w:r>
      <w:r w:rsidRPr="004E6CFC">
        <w:rPr>
          <w:rFonts w:cs="Arial"/>
          <w:i/>
        </w:rPr>
        <w:t>m</w:t>
      </w:r>
      <w:r w:rsidRPr="004E6CFC">
        <w:rPr>
          <w:rFonts w:cs="Arial"/>
        </w:rPr>
        <w:t xml:space="preserve"> se obtiene que </w:t>
      </w:r>
      <w:r w:rsidRPr="004E6CFC">
        <w:rPr>
          <w:rFonts w:cs="Arial"/>
          <w:i/>
        </w:rPr>
        <w:t>HIDA</w:t>
      </w:r>
      <w:r w:rsidRPr="004E6CFC">
        <w:rPr>
          <w:rFonts w:cs="Arial"/>
          <w:i/>
          <w:vertAlign w:val="subscript"/>
        </w:rPr>
        <w:t>m,gu</w:t>
      </w:r>
      <w:r w:rsidRPr="004E6CFC">
        <w:rPr>
          <w:rFonts w:cs="Arial"/>
        </w:rPr>
        <w:t xml:space="preserve"> &gt; </w:t>
      </w:r>
      <w:r w:rsidRPr="004E6CFC">
        <w:rPr>
          <w:rFonts w:cs="Arial"/>
          <w:i/>
        </w:rPr>
        <w:t>MHAIA</w:t>
      </w:r>
      <w:r w:rsidRPr="004E6CFC">
        <w:rPr>
          <w:rFonts w:cs="Arial"/>
          <w:i/>
          <w:vertAlign w:val="subscript"/>
        </w:rPr>
        <w:t>m,gu</w:t>
      </w:r>
      <w:r w:rsidRPr="004E6CFC">
        <w:rPr>
          <w:rFonts w:cs="Arial"/>
        </w:rPr>
        <w:t xml:space="preserve"> entonces las horas a compensar se calcularán como se muestra a continuación:</w:t>
      </w:r>
    </w:p>
    <w:p w:rsidR="00407449" w:rsidRPr="004E6CFC" w:rsidRDefault="00C9592F" w:rsidP="00407449">
      <w:pPr>
        <w:rPr>
          <w:rFonts w:cs="Arial"/>
        </w:rPr>
      </w:pPr>
      <m:oMathPara>
        <m:oMath>
          <m:sSub>
            <m:sSubPr>
              <m:ctrlPr>
                <w:rPr>
                  <w:rFonts w:ascii="Cambria Math" w:hAnsi="Cambria Math" w:cs="Arial"/>
                  <w:i/>
                </w:rPr>
              </m:ctrlPr>
            </m:sSubPr>
            <m:e>
              <m:r>
                <w:rPr>
                  <w:rFonts w:ascii="Cambria Math" w:hAnsi="Cambria Math" w:cs="Arial"/>
                </w:rPr>
                <m:t>HC</m:t>
              </m:r>
            </m:e>
            <m:sub>
              <m:r>
                <w:rPr>
                  <w:rFonts w:ascii="Cambria Math" w:hAnsi="Cambria Math" w:cs="Arial"/>
                </w:rPr>
                <m:t>m,gu</m:t>
              </m:r>
            </m:sub>
          </m:sSub>
          <m:r>
            <w:rPr>
              <w:rFonts w:ascii="Cambria Math" w:hAnsi="Cambria Math" w:cs="Arial"/>
            </w:rPr>
            <m:t>=max</m:t>
          </m:r>
          <m:d>
            <m:dPr>
              <m:ctrlPr>
                <w:rPr>
                  <w:rFonts w:ascii="Cambria Math" w:hAnsi="Cambria Math" w:cs="Arial"/>
                  <w:i/>
                </w:rPr>
              </m:ctrlPr>
            </m:dPr>
            <m:e>
              <m:r>
                <w:rPr>
                  <w:rFonts w:ascii="Cambria Math" w:hAnsi="Cambria Math" w:cs="Arial"/>
                </w:rPr>
                <m:t>0,</m:t>
              </m:r>
              <m:sSub>
                <m:sSubPr>
                  <m:ctrlPr>
                    <w:rPr>
                      <w:rFonts w:ascii="Cambria Math" w:hAnsi="Cambria Math" w:cs="Arial"/>
                      <w:i/>
                    </w:rPr>
                  </m:ctrlPr>
                </m:sSubPr>
                <m:e>
                  <m:r>
                    <w:rPr>
                      <w:rFonts w:ascii="Cambria Math" w:hAnsi="Cambria Math" w:cs="Arial"/>
                    </w:rPr>
                    <m:t>HIDA</m:t>
                  </m:r>
                </m:e>
                <m:sub>
                  <m:r>
                    <w:rPr>
                      <w:rFonts w:ascii="Cambria Math" w:hAnsi="Cambria Math" w:cs="Arial"/>
                    </w:rPr>
                    <m:t>m,gu</m:t>
                  </m:r>
                </m:sub>
              </m:sSub>
              <m:r>
                <w:rPr>
                  <w:rFonts w:ascii="Cambria Math" w:hAnsi="Cambria Math" w:cs="Arial"/>
                </w:rPr>
                <m:t>-</m:t>
              </m:r>
              <m:sSub>
                <m:sSubPr>
                  <m:ctrlPr>
                    <w:rPr>
                      <w:rFonts w:ascii="Cambria Math" w:hAnsi="Cambria Math" w:cs="Arial"/>
                      <w:i/>
                    </w:rPr>
                  </m:ctrlPr>
                </m:sSubPr>
                <m:e>
                  <m:r>
                    <w:rPr>
                      <w:rFonts w:ascii="Cambria Math" w:hAnsi="Cambria Math" w:cs="Arial"/>
                    </w:rPr>
                    <m:t>MHAIA</m:t>
                  </m:r>
                </m:e>
                <m:sub>
                  <m:r>
                    <w:rPr>
                      <w:rFonts w:ascii="Cambria Math" w:hAnsi="Cambria Math" w:cs="Arial"/>
                    </w:rPr>
                    <m:t>m,gu</m:t>
                  </m:r>
                </m:sub>
              </m:sSub>
              <m:r>
                <w:rPr>
                  <w:rFonts w:ascii="Cambria Math" w:hAnsi="Cambria Math" w:cs="Arial"/>
                </w:rPr>
                <m:t>-</m:t>
              </m:r>
              <m:sSub>
                <m:sSubPr>
                  <m:ctrlPr>
                    <w:rPr>
                      <w:rFonts w:ascii="Cambria Math" w:hAnsi="Cambria Math" w:cs="Arial"/>
                      <w:i/>
                    </w:rPr>
                  </m:ctrlPr>
                </m:sSubPr>
                <m:e>
                  <m:r>
                    <w:rPr>
                      <w:rFonts w:ascii="Cambria Math" w:hAnsi="Cambria Math" w:cs="Arial"/>
                    </w:rPr>
                    <m:t>THC</m:t>
                  </m:r>
                </m:e>
                <m:sub>
                  <m:r>
                    <w:rPr>
                      <w:rFonts w:ascii="Cambria Math" w:hAnsi="Cambria Math" w:cs="Arial"/>
                    </w:rPr>
                    <m:t>m-1,gu</m:t>
                  </m:r>
                </m:sub>
              </m:sSub>
            </m:e>
          </m:d>
        </m:oMath>
      </m:oMathPara>
    </w:p>
    <w:p w:rsidR="00407449" w:rsidRPr="004E6CFC" w:rsidRDefault="00C9592F" w:rsidP="00407449">
      <w:pPr>
        <w:jc w:val="center"/>
        <w:rPr>
          <w:rFonts w:cs="Arial"/>
          <w:position w:val="-28"/>
        </w:rPr>
      </w:pPr>
      <m:oMathPara>
        <m:oMath>
          <m:sSub>
            <m:sSubPr>
              <m:ctrlPr>
                <w:rPr>
                  <w:rFonts w:ascii="Cambria Math" w:hAnsi="Cambria Math" w:cs="Arial"/>
                  <w:i/>
                </w:rPr>
              </m:ctrlPr>
            </m:sSubPr>
            <m:e>
              <m:r>
                <w:rPr>
                  <w:rFonts w:ascii="Cambria Math" w:hAnsi="Cambria Math" w:cs="Arial"/>
                </w:rPr>
                <m:t>THC</m:t>
              </m:r>
            </m:e>
            <m:sub>
              <m:r>
                <w:rPr>
                  <w:rFonts w:ascii="Cambria Math" w:hAnsi="Cambria Math" w:cs="Arial"/>
                </w:rPr>
                <m:t>m-1,gu</m:t>
              </m:r>
            </m:sub>
          </m:sSub>
          <m:r>
            <w:rPr>
              <w:rFonts w:ascii="Cambria Math" w:hAnsi="Cambria Math" w:cs="Arial"/>
            </w:rPr>
            <m:t>=</m:t>
          </m:r>
          <m:nary>
            <m:naryPr>
              <m:chr m:val="∑"/>
              <m:limLoc m:val="undOvr"/>
              <m:ctrlPr>
                <w:rPr>
                  <w:rFonts w:ascii="Cambria Math" w:hAnsi="Cambria Math" w:cs="Arial"/>
                  <w:i/>
                </w:rPr>
              </m:ctrlPr>
            </m:naryPr>
            <m:sub>
              <m:r>
                <w:rPr>
                  <w:rFonts w:ascii="Cambria Math" w:hAnsi="Cambria Math" w:cs="Arial"/>
                </w:rPr>
                <m:t>ma=m-11</m:t>
              </m:r>
            </m:sub>
            <m:sup>
              <m:r>
                <w:rPr>
                  <w:rFonts w:ascii="Cambria Math" w:hAnsi="Cambria Math" w:cs="Arial"/>
                </w:rPr>
                <m:t>m-1</m:t>
              </m:r>
            </m:sup>
            <m:e>
              <m:sSub>
                <m:sSubPr>
                  <m:ctrlPr>
                    <w:rPr>
                      <w:rFonts w:ascii="Cambria Math" w:hAnsi="Cambria Math" w:cs="Arial"/>
                      <w:i/>
                    </w:rPr>
                  </m:ctrlPr>
                </m:sSubPr>
                <m:e>
                  <m:r>
                    <w:rPr>
                      <w:rFonts w:ascii="Cambria Math" w:hAnsi="Cambria Math" w:cs="Arial"/>
                    </w:rPr>
                    <m:t>HC</m:t>
                  </m:r>
                </m:e>
                <m:sub>
                  <m:r>
                    <w:rPr>
                      <w:rFonts w:ascii="Cambria Math" w:hAnsi="Cambria Math" w:cs="Arial"/>
                    </w:rPr>
                    <m:t>ma,gu</m:t>
                  </m:r>
                </m:sub>
              </m:sSub>
            </m:e>
          </m:nary>
        </m:oMath>
      </m:oMathPara>
    </w:p>
    <w:p w:rsidR="00407449" w:rsidRPr="004E6CFC" w:rsidRDefault="00407449" w:rsidP="00407449">
      <w:pPr>
        <w:rPr>
          <w:rFonts w:cs="Arial"/>
        </w:rPr>
      </w:pPr>
      <w:r w:rsidRPr="004E6CFC">
        <w:rPr>
          <w:rFonts w:cs="Arial"/>
        </w:rPr>
        <w:t xml:space="preserve">La compensación para cada activo </w:t>
      </w:r>
      <w:r w:rsidRPr="004E6CFC">
        <w:rPr>
          <w:rFonts w:cs="Arial"/>
          <w:i/>
        </w:rPr>
        <w:t>u</w:t>
      </w:r>
      <w:r w:rsidRPr="004E6CFC">
        <w:rPr>
          <w:rFonts w:cs="Arial"/>
        </w:rPr>
        <w:t xml:space="preserve"> por incumplimiento de los máximos permitidos de indisponibilidad se calculará con:</w:t>
      </w:r>
    </w:p>
    <w:p w:rsidR="00407449" w:rsidRPr="004E6CFC" w:rsidRDefault="00C9592F" w:rsidP="00407449">
      <w:pPr>
        <w:jc w:val="center"/>
        <w:rPr>
          <w:rFonts w:cs="Arial"/>
        </w:rPr>
      </w:pPr>
      <m:oMathPara>
        <m:oMath>
          <m:sSub>
            <m:sSubPr>
              <m:ctrlPr>
                <w:rPr>
                  <w:rFonts w:ascii="Cambria Math" w:hAnsi="Cambria Math" w:cs="Arial"/>
                  <w:i/>
                </w:rPr>
              </m:ctrlPr>
            </m:sSubPr>
            <m:e>
              <m:r>
                <w:rPr>
                  <w:rFonts w:ascii="Cambria Math" w:hAnsi="Cambria Math" w:cs="Arial"/>
                </w:rPr>
                <m:t>CIM</m:t>
              </m:r>
            </m:e>
            <m:sub>
              <m:r>
                <w:rPr>
                  <w:rFonts w:ascii="Cambria Math" w:hAnsi="Cambria Math" w:cs="Arial"/>
                </w:rPr>
                <m:t>m,u</m:t>
              </m:r>
            </m:sub>
          </m:sSub>
          <m:r>
            <w:rPr>
              <w:rFonts w:ascii="Cambria Math" w:hAnsi="Cambria Math" w:cs="Arial"/>
            </w:rPr>
            <m:t>=</m:t>
          </m:r>
          <m:sSub>
            <m:sSubPr>
              <m:ctrlPr>
                <w:rPr>
                  <w:rFonts w:ascii="Cambria Math" w:hAnsi="Cambria Math" w:cs="Arial"/>
                  <w:i/>
                </w:rPr>
              </m:ctrlPr>
            </m:sSubPr>
            <m:e>
              <m:r>
                <w:rPr>
                  <w:rFonts w:ascii="Cambria Math" w:hAnsi="Cambria Math" w:cs="Arial"/>
                </w:rPr>
                <m:t>HC</m:t>
              </m:r>
            </m:e>
            <m:sub>
              <m:r>
                <w:rPr>
                  <w:rFonts w:ascii="Cambria Math" w:hAnsi="Cambria Math" w:cs="Arial"/>
                </w:rPr>
                <m:t>m,gu</m:t>
              </m:r>
            </m:sub>
          </m:sSub>
          <m:r>
            <w:rPr>
              <w:rFonts w:ascii="Cambria Math" w:hAnsi="Cambria Math" w:cs="Arial"/>
            </w:rPr>
            <m:t>*</m:t>
          </m:r>
          <m:sSub>
            <m:sSubPr>
              <m:ctrlPr>
                <w:rPr>
                  <w:rFonts w:ascii="Cambria Math" w:hAnsi="Cambria Math" w:cs="Arial"/>
                  <w:i/>
                </w:rPr>
              </m:ctrlPr>
            </m:sSubPr>
            <m:e>
              <m:r>
                <w:rPr>
                  <w:rFonts w:ascii="Cambria Math" w:hAnsi="Cambria Math" w:cs="Arial"/>
                </w:rPr>
                <m:t>VHRC</m:t>
              </m:r>
            </m:e>
            <m:sub>
              <m:r>
                <w:rPr>
                  <w:rFonts w:ascii="Cambria Math" w:hAnsi="Cambria Math" w:cs="Arial"/>
                </w:rPr>
                <m:t>m,u,j</m:t>
              </m:r>
            </m:sub>
          </m:sSub>
        </m:oMath>
      </m:oMathPara>
    </w:p>
    <w:p w:rsidR="00407449" w:rsidRPr="004E6CFC" w:rsidRDefault="00407449" w:rsidP="00407449">
      <w:pPr>
        <w:rPr>
          <w:rFonts w:cs="Arial"/>
        </w:rPr>
      </w:pPr>
      <w:r w:rsidRPr="004E6CFC">
        <w:rPr>
          <w:rFonts w:cs="Arial"/>
        </w:rPr>
        <w:t>Donde:</w:t>
      </w:r>
    </w:p>
    <w:p w:rsidR="00407449" w:rsidRPr="004E6CFC" w:rsidRDefault="00407449" w:rsidP="00407449">
      <w:pPr>
        <w:tabs>
          <w:tab w:val="left" w:pos="1701"/>
        </w:tabs>
        <w:spacing w:before="120"/>
        <w:ind w:left="1418" w:hanging="1418"/>
        <w:rPr>
          <w:rFonts w:cs="Arial"/>
        </w:rPr>
      </w:pPr>
      <w:r w:rsidRPr="004E6CFC">
        <w:rPr>
          <w:rFonts w:cs="Arial"/>
          <w:i/>
        </w:rPr>
        <w:t>HIDA</w:t>
      </w:r>
      <w:r w:rsidRPr="004E6CFC">
        <w:rPr>
          <w:rFonts w:cs="Arial"/>
          <w:i/>
          <w:vertAlign w:val="subscript"/>
        </w:rPr>
        <w:t>m,gu</w:t>
      </w:r>
      <w:r w:rsidRPr="004E6CFC">
        <w:rPr>
          <w:rFonts w:cs="Arial"/>
        </w:rPr>
        <w:t xml:space="preserve">: </w:t>
      </w:r>
      <w:r w:rsidRPr="004E6CFC">
        <w:rPr>
          <w:rFonts w:cs="Arial"/>
        </w:rPr>
        <w:tab/>
        <w:t xml:space="preserve">Horas de indisponibilidad acumulada del grupo de activos </w:t>
      </w:r>
      <w:r w:rsidRPr="004E6CFC">
        <w:rPr>
          <w:rFonts w:cs="Arial"/>
          <w:i/>
        </w:rPr>
        <w:t>gu</w:t>
      </w:r>
      <w:r w:rsidRPr="004E6CFC">
        <w:rPr>
          <w:rFonts w:cs="Arial"/>
        </w:rPr>
        <w:t xml:space="preserve">, en un periodo de doce meses que termina en el mes </w:t>
      </w:r>
      <w:r w:rsidRPr="004E6CFC">
        <w:rPr>
          <w:rFonts w:cs="Arial"/>
          <w:i/>
        </w:rPr>
        <w:t>m</w:t>
      </w:r>
      <w:r w:rsidRPr="004E6CFC">
        <w:rPr>
          <w:rFonts w:cs="Arial"/>
        </w:rPr>
        <w:t>.</w:t>
      </w:r>
    </w:p>
    <w:p w:rsidR="00407449" w:rsidRPr="004E6CFC" w:rsidRDefault="00407449" w:rsidP="00407449">
      <w:pPr>
        <w:tabs>
          <w:tab w:val="left" w:pos="1701"/>
        </w:tabs>
        <w:spacing w:before="120"/>
        <w:ind w:left="1418" w:hanging="1418"/>
        <w:rPr>
          <w:rFonts w:cs="Arial"/>
        </w:rPr>
      </w:pPr>
      <w:r w:rsidRPr="004E6CFC">
        <w:rPr>
          <w:rFonts w:cs="Arial"/>
          <w:i/>
        </w:rPr>
        <w:t>HID</w:t>
      </w:r>
      <w:r w:rsidRPr="004E6CFC">
        <w:rPr>
          <w:rFonts w:cs="Arial"/>
          <w:i/>
          <w:vertAlign w:val="subscript"/>
        </w:rPr>
        <w:t>m,u</w:t>
      </w:r>
      <w:r w:rsidRPr="004E6CFC">
        <w:rPr>
          <w:rFonts w:cs="Arial"/>
        </w:rPr>
        <w:t xml:space="preserve">: </w:t>
      </w:r>
      <w:r w:rsidRPr="004E6CFC">
        <w:rPr>
          <w:rFonts w:cs="Arial"/>
        </w:rPr>
        <w:tab/>
        <w:t xml:space="preserve">Horas de indisponibilidad de cada uno de los activos </w:t>
      </w:r>
      <w:r w:rsidRPr="004E6CFC">
        <w:rPr>
          <w:rFonts w:cs="Arial"/>
          <w:i/>
        </w:rPr>
        <w:t>u</w:t>
      </w:r>
      <w:r w:rsidRPr="004E6CFC">
        <w:rPr>
          <w:rFonts w:cs="Arial"/>
        </w:rPr>
        <w:t xml:space="preserve"> que conforman el grupo de activos </w:t>
      </w:r>
      <w:r w:rsidRPr="004E6CFC">
        <w:rPr>
          <w:rFonts w:cs="Arial"/>
          <w:i/>
        </w:rPr>
        <w:t>gu</w:t>
      </w:r>
      <w:r w:rsidRPr="004E6CFC">
        <w:rPr>
          <w:rFonts w:cs="Arial"/>
        </w:rPr>
        <w:t xml:space="preserve">, durante el mes </w:t>
      </w:r>
      <w:r w:rsidRPr="004E6CFC">
        <w:rPr>
          <w:rFonts w:cs="Arial"/>
          <w:i/>
        </w:rPr>
        <w:t>m</w:t>
      </w:r>
      <w:r w:rsidRPr="004E6CFC">
        <w:rPr>
          <w:rFonts w:cs="Arial"/>
        </w:rPr>
        <w:t>.</w:t>
      </w:r>
    </w:p>
    <w:p w:rsidR="00407449" w:rsidRPr="004E6CFC" w:rsidRDefault="00407449" w:rsidP="00407449">
      <w:pPr>
        <w:tabs>
          <w:tab w:val="left" w:pos="1701"/>
        </w:tabs>
        <w:spacing w:before="120"/>
        <w:ind w:left="1418" w:hanging="1418"/>
        <w:rPr>
          <w:rFonts w:cs="Arial"/>
        </w:rPr>
      </w:pPr>
      <w:r w:rsidRPr="004E6CFC">
        <w:rPr>
          <w:rFonts w:cs="Arial"/>
          <w:i/>
        </w:rPr>
        <w:t>ma</w:t>
      </w:r>
      <w:r w:rsidRPr="004E6CFC">
        <w:rPr>
          <w:rFonts w:cs="Arial"/>
        </w:rPr>
        <w:t>:</w:t>
      </w:r>
      <w:r w:rsidRPr="004E6CFC">
        <w:rPr>
          <w:rFonts w:cs="Arial"/>
        </w:rPr>
        <w:tab/>
        <w:t xml:space="preserve">Mes o meses anteriores al mes m. </w:t>
      </w:r>
    </w:p>
    <w:p w:rsidR="00407449" w:rsidRPr="004E6CFC" w:rsidRDefault="00407449" w:rsidP="00407449">
      <w:pPr>
        <w:spacing w:before="120"/>
        <w:ind w:left="1418" w:hanging="1418"/>
        <w:rPr>
          <w:rFonts w:cs="Arial"/>
        </w:rPr>
      </w:pPr>
      <w:r w:rsidRPr="004E6CFC">
        <w:rPr>
          <w:rFonts w:cs="Arial"/>
          <w:i/>
        </w:rPr>
        <w:t>NGU</w:t>
      </w:r>
      <w:r w:rsidRPr="004E6CFC">
        <w:rPr>
          <w:rFonts w:cs="Arial"/>
        </w:rPr>
        <w:t>:</w:t>
      </w:r>
      <w:r w:rsidRPr="004E6CFC">
        <w:rPr>
          <w:rFonts w:cs="Arial"/>
        </w:rPr>
        <w:tab/>
        <w:t xml:space="preserve">Número de activos que conforman el grupo de activos </w:t>
      </w:r>
      <w:r w:rsidRPr="004E6CFC">
        <w:rPr>
          <w:rFonts w:cs="Arial"/>
          <w:i/>
        </w:rPr>
        <w:t>gu.</w:t>
      </w:r>
    </w:p>
    <w:p w:rsidR="00407449" w:rsidRPr="004E6CFC" w:rsidRDefault="00407449" w:rsidP="00407449">
      <w:pPr>
        <w:tabs>
          <w:tab w:val="left" w:pos="1701"/>
        </w:tabs>
        <w:spacing w:before="120"/>
        <w:ind w:left="1418" w:hanging="1418"/>
        <w:rPr>
          <w:rFonts w:cs="Arial"/>
        </w:rPr>
      </w:pPr>
      <w:r w:rsidRPr="004E6CFC">
        <w:rPr>
          <w:rFonts w:cs="Arial"/>
          <w:i/>
        </w:rPr>
        <w:t>HC</w:t>
      </w:r>
      <w:r w:rsidRPr="004E6CFC">
        <w:rPr>
          <w:rFonts w:cs="Arial"/>
          <w:i/>
          <w:vertAlign w:val="subscript"/>
        </w:rPr>
        <w:t>m,gu</w:t>
      </w:r>
      <w:r w:rsidRPr="004E6CFC">
        <w:rPr>
          <w:rFonts w:cs="Arial"/>
        </w:rPr>
        <w:t>:</w:t>
      </w:r>
      <w:r w:rsidRPr="004E6CFC">
        <w:rPr>
          <w:rFonts w:cs="Arial"/>
        </w:rPr>
        <w:tab/>
        <w:t xml:space="preserve">Horas a compensar por el grupo de activos </w:t>
      </w:r>
      <w:r w:rsidRPr="004E6CFC">
        <w:rPr>
          <w:rFonts w:cs="Arial"/>
          <w:i/>
        </w:rPr>
        <w:t>gu</w:t>
      </w:r>
      <w:r w:rsidRPr="004E6CFC">
        <w:rPr>
          <w:rFonts w:cs="Arial"/>
        </w:rPr>
        <w:t xml:space="preserve"> al cual pertenece el activo </w:t>
      </w:r>
      <w:r w:rsidRPr="004E6CFC">
        <w:rPr>
          <w:rFonts w:cs="Arial"/>
          <w:i/>
        </w:rPr>
        <w:t>u</w:t>
      </w:r>
      <w:r w:rsidRPr="004E6CFC">
        <w:rPr>
          <w:rFonts w:cs="Arial"/>
        </w:rPr>
        <w:t xml:space="preserve">, para el mes </w:t>
      </w:r>
      <w:r w:rsidRPr="004E6CFC">
        <w:rPr>
          <w:rFonts w:cs="Arial"/>
          <w:i/>
        </w:rPr>
        <w:t>m</w:t>
      </w:r>
      <w:r w:rsidRPr="004E6CFC">
        <w:rPr>
          <w:rFonts w:cs="Arial"/>
        </w:rPr>
        <w:t>.</w:t>
      </w:r>
    </w:p>
    <w:p w:rsidR="00407449" w:rsidRPr="004E6CFC" w:rsidRDefault="00407449" w:rsidP="00407449">
      <w:pPr>
        <w:tabs>
          <w:tab w:val="left" w:pos="1701"/>
        </w:tabs>
        <w:spacing w:before="120"/>
        <w:ind w:left="1418" w:hanging="1418"/>
        <w:rPr>
          <w:rFonts w:cs="Arial"/>
        </w:rPr>
      </w:pPr>
      <w:r w:rsidRPr="004E6CFC">
        <w:rPr>
          <w:rFonts w:cs="Arial"/>
          <w:i/>
        </w:rPr>
        <w:lastRenderedPageBreak/>
        <w:t>MHAIA</w:t>
      </w:r>
      <w:r w:rsidRPr="004E6CFC">
        <w:rPr>
          <w:rFonts w:cs="Arial"/>
          <w:i/>
          <w:vertAlign w:val="subscript"/>
        </w:rPr>
        <w:t>m,gu</w:t>
      </w:r>
      <w:r w:rsidRPr="004E6CFC">
        <w:rPr>
          <w:rFonts w:cs="Arial"/>
        </w:rPr>
        <w:t>:</w:t>
      </w:r>
      <w:r w:rsidRPr="004E6CFC">
        <w:rPr>
          <w:rFonts w:cs="Arial"/>
        </w:rPr>
        <w:tab/>
        <w:t xml:space="preserve">Meta de indisponibilidad anual ajustada del grupo de activos </w:t>
      </w:r>
      <w:r w:rsidRPr="004E6CFC">
        <w:rPr>
          <w:rFonts w:cs="Arial"/>
          <w:i/>
        </w:rPr>
        <w:t>gu</w:t>
      </w:r>
      <w:r w:rsidRPr="004E6CFC">
        <w:rPr>
          <w:rFonts w:cs="Arial"/>
        </w:rPr>
        <w:t xml:space="preserve">, calculada para el mes </w:t>
      </w:r>
      <w:r w:rsidRPr="004E6CFC">
        <w:rPr>
          <w:rFonts w:cs="Arial"/>
          <w:i/>
        </w:rPr>
        <w:t>m</w:t>
      </w:r>
      <w:r w:rsidRPr="004E6CFC">
        <w:rPr>
          <w:rFonts w:cs="Arial"/>
        </w:rPr>
        <w:t>.</w:t>
      </w:r>
    </w:p>
    <w:p w:rsidR="00407449" w:rsidRPr="004E6CFC" w:rsidRDefault="00407449" w:rsidP="00407449">
      <w:pPr>
        <w:tabs>
          <w:tab w:val="left" w:pos="1701"/>
        </w:tabs>
        <w:spacing w:before="120"/>
        <w:ind w:left="1418" w:hanging="1418"/>
        <w:rPr>
          <w:rFonts w:cs="Arial"/>
        </w:rPr>
      </w:pPr>
      <w:r w:rsidRPr="004E6CFC">
        <w:rPr>
          <w:rFonts w:cs="Arial"/>
          <w:i/>
        </w:rPr>
        <w:t>THC</w:t>
      </w:r>
      <w:r w:rsidRPr="004E6CFC">
        <w:rPr>
          <w:rFonts w:cs="Arial"/>
          <w:i/>
          <w:vertAlign w:val="subscript"/>
        </w:rPr>
        <w:t>m-1,gu</w:t>
      </w:r>
      <w:r w:rsidRPr="004E6CFC">
        <w:rPr>
          <w:rFonts w:cs="Arial"/>
        </w:rPr>
        <w:t>:</w:t>
      </w:r>
      <w:r w:rsidRPr="004E6CFC">
        <w:rPr>
          <w:rFonts w:cs="Arial"/>
        </w:rPr>
        <w:tab/>
        <w:t xml:space="preserve">Total de horas compensadas por el grupo de activos </w:t>
      </w:r>
      <w:r w:rsidRPr="004E6CFC">
        <w:rPr>
          <w:rFonts w:cs="Arial"/>
          <w:i/>
        </w:rPr>
        <w:t>gu</w:t>
      </w:r>
      <w:r w:rsidRPr="004E6CFC">
        <w:rPr>
          <w:rFonts w:cs="Arial"/>
        </w:rPr>
        <w:t xml:space="preserve">, en un periodo de once meses que termina en el mes </w:t>
      </w:r>
      <w:r w:rsidRPr="004E6CFC">
        <w:rPr>
          <w:rFonts w:cs="Arial"/>
          <w:i/>
        </w:rPr>
        <w:t>m-1</w:t>
      </w:r>
      <w:r w:rsidRPr="004E6CFC">
        <w:rPr>
          <w:rFonts w:cs="Arial"/>
        </w:rPr>
        <w:t>.</w:t>
      </w:r>
    </w:p>
    <w:p w:rsidR="00407449" w:rsidRPr="004E6CFC" w:rsidRDefault="00407449" w:rsidP="00407449">
      <w:pPr>
        <w:tabs>
          <w:tab w:val="left" w:pos="1701"/>
        </w:tabs>
        <w:spacing w:before="120"/>
        <w:ind w:left="1418" w:hanging="1418"/>
        <w:rPr>
          <w:rFonts w:cs="Arial"/>
        </w:rPr>
      </w:pPr>
      <w:r w:rsidRPr="004E6CFC">
        <w:rPr>
          <w:rFonts w:cs="Arial"/>
          <w:i/>
        </w:rPr>
        <w:t>CIM</w:t>
      </w:r>
      <w:r w:rsidRPr="004E6CFC">
        <w:rPr>
          <w:rFonts w:cs="Arial"/>
          <w:i/>
          <w:vertAlign w:val="subscript"/>
        </w:rPr>
        <w:t>m,u</w:t>
      </w:r>
      <w:r w:rsidRPr="004E6CFC">
        <w:rPr>
          <w:rFonts w:cs="Arial"/>
        </w:rPr>
        <w:t xml:space="preserve">: </w:t>
      </w:r>
      <w:r w:rsidRPr="004E6CFC">
        <w:rPr>
          <w:rFonts w:cs="Arial"/>
        </w:rPr>
        <w:tab/>
        <w:t xml:space="preserve">Compensación por incumplimiento de metas, para cada uno de los activos </w:t>
      </w:r>
      <w:r w:rsidRPr="004E6CFC">
        <w:rPr>
          <w:rFonts w:cs="Arial"/>
          <w:i/>
        </w:rPr>
        <w:t>u</w:t>
      </w:r>
      <w:r w:rsidRPr="004E6CFC">
        <w:rPr>
          <w:rFonts w:cs="Arial"/>
        </w:rPr>
        <w:t xml:space="preserve"> que conforman el grupo de activos </w:t>
      </w:r>
      <w:r w:rsidRPr="004E6CFC">
        <w:rPr>
          <w:rFonts w:cs="Arial"/>
          <w:i/>
        </w:rPr>
        <w:t>gu</w:t>
      </w:r>
      <w:r w:rsidRPr="004E6CFC">
        <w:rPr>
          <w:rFonts w:cs="Arial"/>
        </w:rPr>
        <w:t>, en el mes </w:t>
      </w:r>
      <w:r w:rsidRPr="004E6CFC">
        <w:rPr>
          <w:rFonts w:cs="Arial"/>
          <w:i/>
        </w:rPr>
        <w:t>m</w:t>
      </w:r>
      <w:r w:rsidRPr="004E6CFC">
        <w:rPr>
          <w:rFonts w:cs="Arial"/>
        </w:rPr>
        <w:t>.</w:t>
      </w:r>
    </w:p>
    <w:p w:rsidR="00407449" w:rsidRPr="004E6CFC" w:rsidRDefault="00407449" w:rsidP="00407449">
      <w:pPr>
        <w:tabs>
          <w:tab w:val="left" w:pos="1701"/>
        </w:tabs>
        <w:spacing w:before="120"/>
        <w:ind w:left="1418" w:hanging="1418"/>
        <w:rPr>
          <w:rFonts w:cs="Arial"/>
        </w:rPr>
      </w:pPr>
      <w:r w:rsidRPr="004E6CFC">
        <w:rPr>
          <w:i/>
        </w:rPr>
        <w:t>VHRC</w:t>
      </w:r>
      <w:r w:rsidRPr="004E6CFC">
        <w:rPr>
          <w:i/>
          <w:vertAlign w:val="subscript"/>
        </w:rPr>
        <w:t>m,u,j</w:t>
      </w:r>
      <w:r w:rsidRPr="004E6CFC">
        <w:t>:</w:t>
      </w:r>
      <w:r w:rsidRPr="004E6CFC">
        <w:tab/>
        <w:t xml:space="preserve">Valor horario de referencia para el cálculo de la compensación del activo </w:t>
      </w:r>
      <w:r w:rsidRPr="004E6CFC">
        <w:rPr>
          <w:i/>
        </w:rPr>
        <w:t>u</w:t>
      </w:r>
      <w:r w:rsidRPr="004E6CFC">
        <w:t xml:space="preserve">, del OR </w:t>
      </w:r>
      <w:r w:rsidRPr="004E6CFC">
        <w:rPr>
          <w:i/>
        </w:rPr>
        <w:t>j</w:t>
      </w:r>
      <w:r w:rsidRPr="004E6CFC">
        <w:t xml:space="preserve">, durante el mes </w:t>
      </w:r>
      <w:r w:rsidRPr="004E6CFC">
        <w:rPr>
          <w:i/>
        </w:rPr>
        <w:t>m</w:t>
      </w:r>
      <w:r w:rsidRPr="004E6CFC">
        <w:t>.</w:t>
      </w:r>
    </w:p>
    <w:p w:rsidR="00407449" w:rsidRPr="004E6CFC" w:rsidRDefault="00407449" w:rsidP="00407449">
      <w:pPr>
        <w:rPr>
          <w:szCs w:val="22"/>
        </w:rPr>
      </w:pPr>
      <w:r w:rsidRPr="004E6CFC">
        <w:rPr>
          <w:szCs w:val="22"/>
        </w:rPr>
        <w:t xml:space="preserve">Las compensaciones se calculan para los activos enunciados en el numeral </w:t>
      </w:r>
      <w:r w:rsidRPr="004E6CFC">
        <w:rPr>
          <w:szCs w:val="22"/>
        </w:rPr>
        <w:fldChar w:fldCharType="begin"/>
      </w:r>
      <w:r w:rsidRPr="004E6CFC">
        <w:rPr>
          <w:szCs w:val="22"/>
        </w:rPr>
        <w:instrText xml:space="preserve"> REF _Ref404019473 \r \h  \* MERGEFORMAT </w:instrText>
      </w:r>
      <w:r w:rsidRPr="004E6CFC">
        <w:rPr>
          <w:szCs w:val="22"/>
        </w:rPr>
      </w:r>
      <w:r w:rsidRPr="004E6CFC">
        <w:rPr>
          <w:szCs w:val="22"/>
        </w:rPr>
        <w:fldChar w:fldCharType="separate"/>
      </w:r>
      <w:r w:rsidR="00737178">
        <w:rPr>
          <w:szCs w:val="22"/>
        </w:rPr>
        <w:t>5.1.2</w:t>
      </w:r>
      <w:r w:rsidRPr="004E6CFC">
        <w:rPr>
          <w:szCs w:val="22"/>
        </w:rPr>
        <w:fldChar w:fldCharType="end"/>
      </w:r>
    </w:p>
    <w:p w:rsidR="00407449" w:rsidRPr="004E6CFC" w:rsidRDefault="00407449" w:rsidP="00407449">
      <w:pPr>
        <w:pStyle w:val="Ttulo4"/>
        <w:ind w:left="1416" w:hanging="1416"/>
      </w:pPr>
      <w:bookmarkStart w:id="457" w:name="_Ref476821897"/>
      <w:r w:rsidRPr="004E6CFC">
        <w:t>Compensaciones por dejar no operativos otros activos</w:t>
      </w:r>
      <w:bookmarkEnd w:id="423"/>
      <w:bookmarkEnd w:id="424"/>
      <w:bookmarkEnd w:id="425"/>
      <w:bookmarkEnd w:id="426"/>
      <w:r w:rsidRPr="004E6CFC">
        <w:t xml:space="preserve"> o por energía no suministrada</w:t>
      </w:r>
      <w:bookmarkEnd w:id="427"/>
      <w:bookmarkEnd w:id="457"/>
    </w:p>
    <w:p w:rsidR="00407449" w:rsidRPr="004E6CFC" w:rsidRDefault="00407449" w:rsidP="00407449">
      <w:pPr>
        <w:rPr>
          <w:rFonts w:cs="Arial"/>
        </w:rPr>
      </w:pPr>
      <w:r w:rsidRPr="004E6CFC">
        <w:rPr>
          <w:rFonts w:cs="Arial"/>
        </w:rPr>
        <w:t xml:space="preserve">Un evento en un activo puede generar energía no suministrada, </w:t>
      </w:r>
      <w:r w:rsidRPr="004E6CFC">
        <w:rPr>
          <w:rFonts w:cs="Arial"/>
          <w:i/>
        </w:rPr>
        <w:t xml:space="preserve">ENS, </w:t>
      </w:r>
      <w:r w:rsidRPr="004E6CFC">
        <w:rPr>
          <w:rFonts w:cs="Arial"/>
        </w:rPr>
        <w:t xml:space="preserve">o puede dejar otros no operativos, diferentes a los que conforman su grupo de acuerdo a lo previsto en el numeral </w:t>
      </w:r>
      <w:r w:rsidRPr="004E6CFC">
        <w:rPr>
          <w:rFonts w:cs="Arial"/>
        </w:rPr>
        <w:fldChar w:fldCharType="begin"/>
      </w:r>
      <w:r w:rsidRPr="004E6CFC">
        <w:rPr>
          <w:rFonts w:cs="Arial"/>
        </w:rPr>
        <w:instrText xml:space="preserve"> REF _Ref334445728 \r \h  \* MERGEFORMAT </w:instrText>
      </w:r>
      <w:r w:rsidRPr="004E6CFC">
        <w:rPr>
          <w:rFonts w:cs="Arial"/>
        </w:rPr>
      </w:r>
      <w:r w:rsidRPr="004E6CFC">
        <w:rPr>
          <w:rFonts w:cs="Arial"/>
        </w:rPr>
        <w:fldChar w:fldCharType="separate"/>
      </w:r>
      <w:r w:rsidR="00737178">
        <w:rPr>
          <w:rFonts w:cs="Arial"/>
        </w:rPr>
        <w:t>5.1.4.2</w:t>
      </w:r>
      <w:r w:rsidRPr="004E6CFC">
        <w:rPr>
          <w:rFonts w:cs="Arial"/>
        </w:rPr>
        <w:fldChar w:fldCharType="end"/>
      </w:r>
      <w:r w:rsidRPr="004E6CFC">
        <w:rPr>
          <w:rFonts w:cs="Arial"/>
        </w:rPr>
        <w:t xml:space="preserve">, cuando, a pesar de estar disponibles, dichos activos no puedan operar debido a la indisponibilidad del primero.   </w:t>
      </w:r>
    </w:p>
    <w:p w:rsidR="00407449" w:rsidRPr="004E6CFC" w:rsidRDefault="00407449" w:rsidP="00407449">
      <w:pPr>
        <w:rPr>
          <w:rFonts w:cs="Arial"/>
        </w:rPr>
      </w:pPr>
      <w:r w:rsidRPr="004E6CFC">
        <w:rPr>
          <w:rFonts w:cs="Arial"/>
        </w:rPr>
        <w:t xml:space="preserve">La compensación </w:t>
      </w:r>
      <w:r w:rsidRPr="004E6CFC">
        <w:rPr>
          <w:rFonts w:cs="Arial"/>
          <w:i/>
        </w:rPr>
        <w:t>CNE</w:t>
      </w:r>
      <w:r w:rsidRPr="004E6CFC">
        <w:rPr>
          <w:rFonts w:cs="Arial"/>
        </w:rPr>
        <w:t xml:space="preserve"> del activo </w:t>
      </w:r>
      <w:r w:rsidRPr="004E6CFC">
        <w:rPr>
          <w:rFonts w:cs="Arial"/>
          <w:i/>
        </w:rPr>
        <w:t>u</w:t>
      </w:r>
      <w:r w:rsidRPr="004E6CFC">
        <w:rPr>
          <w:rFonts w:cs="Arial"/>
        </w:rPr>
        <w:t xml:space="preserve">, para cada mes </w:t>
      </w:r>
      <w:r w:rsidRPr="004E6CFC">
        <w:rPr>
          <w:rFonts w:cs="Arial"/>
          <w:i/>
        </w:rPr>
        <w:t>m,</w:t>
      </w:r>
      <w:r w:rsidRPr="004E6CFC">
        <w:rPr>
          <w:rFonts w:cs="Arial"/>
        </w:rPr>
        <w:t xml:space="preserve"> que deberá ser asumida por el OR responsable de la operación y mantenimiento de los activos cuya indisponibilidad ocasione que otros activos queden no operativos o que se presente ENS se calcula con:</w:t>
      </w:r>
    </w:p>
    <w:p w:rsidR="00407449" w:rsidRPr="004E6CFC" w:rsidRDefault="00C9592F" w:rsidP="00407449">
      <w:pPr>
        <w:rPr>
          <w:rFonts w:cs="Arial"/>
        </w:rPr>
      </w:pPr>
      <m:oMathPara>
        <m:oMath>
          <m:sSub>
            <m:sSubPr>
              <m:ctrlPr>
                <w:rPr>
                  <w:rFonts w:ascii="Cambria Math" w:hAnsi="Cambria Math" w:cs="Arial"/>
                  <w:i/>
                </w:rPr>
              </m:ctrlPr>
            </m:sSubPr>
            <m:e>
              <m:r>
                <w:rPr>
                  <w:rFonts w:ascii="Cambria Math" w:hAnsi="Cambria Math" w:cs="Arial"/>
                </w:rPr>
                <m:t>CNE</m:t>
              </m:r>
            </m:e>
            <m:sub>
              <m:r>
                <w:rPr>
                  <w:rFonts w:ascii="Cambria Math" w:hAnsi="Cambria Math" w:cs="Arial"/>
                </w:rPr>
                <m:t>m,u</m:t>
              </m:r>
            </m:sub>
          </m:sSub>
          <m:r>
            <w:rPr>
              <w:rFonts w:ascii="Cambria Math" w:hAnsi="Cambria Math" w:cs="Arial"/>
            </w:rPr>
            <m:t>=</m:t>
          </m:r>
          <m:nary>
            <m:naryPr>
              <m:chr m:val="∑"/>
              <m:limLoc m:val="undOvr"/>
              <m:ctrlPr>
                <w:rPr>
                  <w:rFonts w:ascii="Cambria Math" w:hAnsi="Cambria Math" w:cs="Arial"/>
                  <w:i/>
                </w:rPr>
              </m:ctrlPr>
            </m:naryPr>
            <m:sub>
              <m:r>
                <w:rPr>
                  <w:rFonts w:ascii="Cambria Math" w:hAnsi="Cambria Math" w:cs="Arial"/>
                </w:rPr>
                <m:t>i=1</m:t>
              </m:r>
            </m:sub>
            <m:sup>
              <m:r>
                <w:rPr>
                  <w:rFonts w:ascii="Cambria Math" w:hAnsi="Cambria Math" w:cs="Arial"/>
                </w:rPr>
                <m:t>n</m:t>
              </m:r>
            </m:sup>
            <m:e>
              <m:sSub>
                <m:sSubPr>
                  <m:ctrlPr>
                    <w:rPr>
                      <w:rFonts w:ascii="Cambria Math" w:hAnsi="Cambria Math" w:cs="Arial"/>
                      <w:i/>
                    </w:rPr>
                  </m:ctrlPr>
                </m:sSubPr>
                <m:e>
                  <m:r>
                    <w:rPr>
                      <w:rFonts w:ascii="Cambria Math" w:hAnsi="Cambria Math" w:cs="Arial"/>
                    </w:rPr>
                    <m:t>CNE</m:t>
                  </m:r>
                </m:e>
                <m:sub>
                  <m:r>
                    <w:rPr>
                      <w:rFonts w:ascii="Cambria Math" w:hAnsi="Cambria Math" w:cs="Arial"/>
                    </w:rPr>
                    <m:t>i,m,u</m:t>
                  </m:r>
                </m:sub>
              </m:sSub>
            </m:e>
          </m:nary>
        </m:oMath>
      </m:oMathPara>
    </w:p>
    <w:p w:rsidR="00407449" w:rsidRPr="004E6CFC" w:rsidRDefault="00407449" w:rsidP="00407449">
      <w:pPr>
        <w:spacing w:before="120"/>
        <w:ind w:left="1418" w:hanging="1418"/>
        <w:rPr>
          <w:rFonts w:cs="Arial"/>
        </w:rPr>
      </w:pPr>
      <w:r w:rsidRPr="004E6CFC">
        <w:rPr>
          <w:rFonts w:cs="Arial"/>
        </w:rPr>
        <w:t>Donde:</w:t>
      </w:r>
    </w:p>
    <w:p w:rsidR="00407449" w:rsidRPr="004E6CFC" w:rsidRDefault="00407449" w:rsidP="00407449">
      <w:pPr>
        <w:spacing w:before="120"/>
        <w:ind w:left="1418" w:hanging="1418"/>
        <w:rPr>
          <w:rFonts w:cs="Arial"/>
        </w:rPr>
      </w:pPr>
      <w:r w:rsidRPr="004E6CFC">
        <w:rPr>
          <w:rFonts w:cs="Arial"/>
          <w:i/>
        </w:rPr>
        <w:t>CNE</w:t>
      </w:r>
      <w:r w:rsidRPr="004E6CFC">
        <w:rPr>
          <w:rFonts w:cs="Arial"/>
          <w:i/>
          <w:vertAlign w:val="subscript"/>
        </w:rPr>
        <w:t>m,u</w:t>
      </w:r>
      <w:r w:rsidRPr="004E6CFC">
        <w:rPr>
          <w:rFonts w:cs="Arial"/>
        </w:rPr>
        <w:t xml:space="preserve">: </w:t>
      </w:r>
      <w:r w:rsidRPr="004E6CFC">
        <w:rPr>
          <w:rFonts w:cs="Arial"/>
        </w:rPr>
        <w:tab/>
        <w:t xml:space="preserve">Compensación del activo </w:t>
      </w:r>
      <w:r w:rsidRPr="004E6CFC">
        <w:rPr>
          <w:rFonts w:cs="Arial"/>
          <w:i/>
        </w:rPr>
        <w:t>u</w:t>
      </w:r>
      <w:r w:rsidRPr="004E6CFC">
        <w:rPr>
          <w:rFonts w:cs="Arial"/>
        </w:rPr>
        <w:t xml:space="preserve">, en el mes </w:t>
      </w:r>
      <w:r w:rsidRPr="004E6CFC">
        <w:rPr>
          <w:rFonts w:cs="Arial"/>
          <w:i/>
        </w:rPr>
        <w:t>m</w:t>
      </w:r>
      <w:r w:rsidRPr="004E6CFC">
        <w:rPr>
          <w:rFonts w:cs="Arial"/>
        </w:rPr>
        <w:t>, por energía no suministrada y/o por dejar no operativos otros activos.</w:t>
      </w:r>
    </w:p>
    <w:p w:rsidR="00407449" w:rsidRPr="004E6CFC" w:rsidRDefault="00407449" w:rsidP="00407449">
      <w:pPr>
        <w:spacing w:before="120"/>
        <w:ind w:left="1418" w:hanging="1418"/>
        <w:rPr>
          <w:rFonts w:cs="Arial"/>
        </w:rPr>
      </w:pPr>
      <w:r w:rsidRPr="004E6CFC">
        <w:rPr>
          <w:rFonts w:cs="Arial"/>
          <w:i/>
        </w:rPr>
        <w:t>CNE</w:t>
      </w:r>
      <w:r w:rsidRPr="004E6CFC">
        <w:rPr>
          <w:rFonts w:cs="Arial"/>
          <w:i/>
          <w:vertAlign w:val="subscript"/>
        </w:rPr>
        <w:t>i,m,u</w:t>
      </w:r>
      <w:r w:rsidRPr="004E6CFC">
        <w:rPr>
          <w:rFonts w:cs="Arial"/>
        </w:rPr>
        <w:t xml:space="preserve">: </w:t>
      </w:r>
      <w:r w:rsidRPr="004E6CFC">
        <w:rPr>
          <w:rFonts w:cs="Arial"/>
        </w:rPr>
        <w:tab/>
        <w:t xml:space="preserve">Compensación del activo </w:t>
      </w:r>
      <w:r w:rsidRPr="004E6CFC">
        <w:rPr>
          <w:rFonts w:cs="Arial"/>
          <w:i/>
        </w:rPr>
        <w:t>u</w:t>
      </w:r>
      <w:r w:rsidRPr="004E6CFC">
        <w:rPr>
          <w:rFonts w:cs="Arial"/>
        </w:rPr>
        <w:t xml:space="preserve">, por la indisponibilidad </w:t>
      </w:r>
      <w:r w:rsidRPr="004E6CFC">
        <w:rPr>
          <w:rFonts w:cs="Arial"/>
          <w:i/>
        </w:rPr>
        <w:t>i</w:t>
      </w:r>
      <w:r w:rsidRPr="004E6CFC">
        <w:rPr>
          <w:rFonts w:cs="Arial"/>
        </w:rPr>
        <w:t xml:space="preserve">, en el mes </w:t>
      </w:r>
      <w:r w:rsidRPr="004E6CFC">
        <w:rPr>
          <w:rFonts w:cs="Arial"/>
          <w:i/>
        </w:rPr>
        <w:t>m</w:t>
      </w:r>
      <w:r w:rsidRPr="004E6CFC">
        <w:rPr>
          <w:rFonts w:cs="Arial"/>
        </w:rPr>
        <w:t>, por energía no suministrada o por dejar no operativos otros activos.</w:t>
      </w:r>
    </w:p>
    <w:p w:rsidR="00407449" w:rsidRPr="004E6CFC" w:rsidRDefault="00407449" w:rsidP="00407449">
      <w:pPr>
        <w:rPr>
          <w:rFonts w:cs="Arial"/>
        </w:rPr>
      </w:pPr>
      <w:r w:rsidRPr="004E6CFC">
        <w:rPr>
          <w:rFonts w:cs="Arial"/>
        </w:rPr>
        <w:t xml:space="preserve">Para determinar el valor de la compensación </w:t>
      </w:r>
      <w:r w:rsidRPr="004E6CFC">
        <w:rPr>
          <w:rFonts w:cs="Arial"/>
          <w:i/>
        </w:rPr>
        <w:t>CNE</w:t>
      </w:r>
      <w:r w:rsidRPr="004E6CFC">
        <w:rPr>
          <w:rFonts w:cs="Arial"/>
          <w:i/>
          <w:vertAlign w:val="subscript"/>
        </w:rPr>
        <w:t>i,m,u</w:t>
      </w:r>
      <w:r w:rsidRPr="004E6CFC">
        <w:rPr>
          <w:rFonts w:cs="Arial"/>
        </w:rPr>
        <w:t xml:space="preserve"> se utilizará una de las siguientes tres condiciones:</w:t>
      </w:r>
    </w:p>
    <w:p w:rsidR="00407449" w:rsidRPr="004E6CFC" w:rsidRDefault="00407449" w:rsidP="009C086B">
      <w:pPr>
        <w:pStyle w:val="Prrafodelista"/>
        <w:numPr>
          <w:ilvl w:val="0"/>
          <w:numId w:val="40"/>
        </w:numPr>
      </w:pPr>
      <w:r w:rsidRPr="004E6CFC">
        <w:t xml:space="preserve">Si para el grupo de activos </w:t>
      </w:r>
      <w:r w:rsidRPr="004E6CFC">
        <w:rPr>
          <w:i/>
        </w:rPr>
        <w:t>gu</w:t>
      </w:r>
      <w:r w:rsidRPr="004E6CFC">
        <w:t xml:space="preserve"> al que pertenece el activo </w:t>
      </w:r>
      <w:r w:rsidRPr="004E6CFC">
        <w:rPr>
          <w:i/>
        </w:rPr>
        <w:t>u</w:t>
      </w:r>
      <w:r w:rsidRPr="004E6CFC">
        <w:t xml:space="preserve">, en el mes </w:t>
      </w:r>
      <w:r w:rsidRPr="004E6CFC">
        <w:rPr>
          <w:i/>
        </w:rPr>
        <w:t>m</w:t>
      </w:r>
      <w:r w:rsidRPr="004E6CFC">
        <w:t>, las horas de indisponibilidad acumulada son menores o iguales que las máximas horas anuales de indisponibilidad ajustadas (</w:t>
      </w:r>
      <w:r w:rsidRPr="004E6CFC">
        <w:rPr>
          <w:i/>
        </w:rPr>
        <w:t>HIDA</w:t>
      </w:r>
      <w:r w:rsidRPr="004E6CFC">
        <w:rPr>
          <w:i/>
          <w:vertAlign w:val="subscript"/>
        </w:rPr>
        <w:t>m,gu</w:t>
      </w:r>
      <w:r w:rsidRPr="004E6CFC">
        <w:t xml:space="preserve"> ≤ </w:t>
      </w:r>
      <w:r w:rsidRPr="004E6CFC">
        <w:rPr>
          <w:i/>
        </w:rPr>
        <w:t>MHAIA</w:t>
      </w:r>
      <w:r w:rsidRPr="004E6CFC">
        <w:rPr>
          <w:i/>
          <w:vertAlign w:val="subscript"/>
        </w:rPr>
        <w:t>m,gu</w:t>
      </w:r>
      <w:r w:rsidRPr="004E6CFC">
        <w:t xml:space="preserve">) y el porcentaje de energía no suministrada, </w:t>
      </w:r>
      <w:r w:rsidRPr="004E6CFC">
        <w:rPr>
          <w:i/>
        </w:rPr>
        <w:t>PENS</w:t>
      </w:r>
      <w:r w:rsidRPr="004E6CFC">
        <w:rPr>
          <w:i/>
          <w:vertAlign w:val="subscript"/>
        </w:rPr>
        <w:t>j,h</w:t>
      </w:r>
      <w:r w:rsidRPr="004E6CFC">
        <w:t xml:space="preserve">, es inferior al porcentaje definido en el numeral 3.4 de la Resolución CREG 094 de 2012, el valor de la compensación </w:t>
      </w:r>
      <w:r w:rsidRPr="004E6CFC">
        <w:rPr>
          <w:i/>
        </w:rPr>
        <w:t>CNE</w:t>
      </w:r>
      <w:r w:rsidRPr="004E6CFC">
        <w:t xml:space="preserve"> para la indisponibilidad </w:t>
      </w:r>
      <w:r w:rsidRPr="004E6CFC">
        <w:rPr>
          <w:i/>
        </w:rPr>
        <w:t>i</w:t>
      </w:r>
      <w:r w:rsidRPr="004E6CFC">
        <w:t>, es igual a cero.</w:t>
      </w:r>
    </w:p>
    <w:p w:rsidR="00407449" w:rsidRPr="004E6CFC" w:rsidRDefault="00407449" w:rsidP="009C086B">
      <w:pPr>
        <w:pStyle w:val="Prrafodelista"/>
        <w:numPr>
          <w:ilvl w:val="0"/>
          <w:numId w:val="40"/>
        </w:numPr>
      </w:pPr>
      <w:r w:rsidRPr="004E6CFC">
        <w:t xml:space="preserve">Si para el grupo de activos </w:t>
      </w:r>
      <w:r w:rsidRPr="004E6CFC">
        <w:rPr>
          <w:i/>
        </w:rPr>
        <w:t>gu</w:t>
      </w:r>
      <w:r w:rsidRPr="004E6CFC">
        <w:t xml:space="preserve"> al que pertenece el activo </w:t>
      </w:r>
      <w:r w:rsidRPr="004E6CFC">
        <w:rPr>
          <w:i/>
        </w:rPr>
        <w:t>u</w:t>
      </w:r>
      <w:r w:rsidRPr="004E6CFC">
        <w:t xml:space="preserve">, en el mes </w:t>
      </w:r>
      <w:r w:rsidRPr="004E6CFC">
        <w:rPr>
          <w:i/>
        </w:rPr>
        <w:t>m</w:t>
      </w:r>
      <w:r w:rsidRPr="004E6CFC">
        <w:t>, las horas de indisponibilidad acumulada son mayores que las máximas horas anuales de indisponibilidad ajustadas (</w:t>
      </w:r>
      <w:r w:rsidRPr="004E6CFC">
        <w:rPr>
          <w:i/>
        </w:rPr>
        <w:t>HIDA</w:t>
      </w:r>
      <w:r w:rsidRPr="004E6CFC">
        <w:rPr>
          <w:i/>
          <w:vertAlign w:val="subscript"/>
        </w:rPr>
        <w:t>m,gu</w:t>
      </w:r>
      <w:r w:rsidRPr="004E6CFC">
        <w:t xml:space="preserve"> &gt; </w:t>
      </w:r>
      <w:r w:rsidRPr="004E6CFC">
        <w:rPr>
          <w:i/>
        </w:rPr>
        <w:t>MHAIA</w:t>
      </w:r>
      <w:r w:rsidRPr="004E6CFC">
        <w:rPr>
          <w:i/>
          <w:vertAlign w:val="subscript"/>
        </w:rPr>
        <w:t>m,gu</w:t>
      </w:r>
      <w:r w:rsidRPr="004E6CFC">
        <w:t xml:space="preserve">) y el porcentaje de energía no suministrada, </w:t>
      </w:r>
      <w:r w:rsidRPr="004E6CFC">
        <w:rPr>
          <w:i/>
        </w:rPr>
        <w:t>PENS</w:t>
      </w:r>
      <w:r w:rsidRPr="004E6CFC">
        <w:rPr>
          <w:i/>
          <w:vertAlign w:val="subscript"/>
        </w:rPr>
        <w:t>j,h</w:t>
      </w:r>
      <w:r w:rsidRPr="004E6CFC">
        <w:t xml:space="preserve">, es inferior al porcentaje definido en el </w:t>
      </w:r>
      <w:r w:rsidRPr="004E6CFC">
        <w:lastRenderedPageBreak/>
        <w:t xml:space="preserve">numeral 3.4 de la Resolución CREG 094 de 2012, el valor de la compensación </w:t>
      </w:r>
      <w:r w:rsidRPr="004E6CFC">
        <w:rPr>
          <w:i/>
        </w:rPr>
        <w:t>CNE</w:t>
      </w:r>
      <w:r w:rsidRPr="004E6CFC">
        <w:t xml:space="preserve"> se obtiene de la siguiente forma:</w:t>
      </w:r>
    </w:p>
    <w:p w:rsidR="00407449" w:rsidRPr="004E6CFC" w:rsidRDefault="00C9592F" w:rsidP="00407449">
      <w:pPr>
        <w:rPr>
          <w:rFonts w:cs="Arial"/>
        </w:rPr>
      </w:pPr>
      <m:oMathPara>
        <m:oMath>
          <m:sSub>
            <m:sSubPr>
              <m:ctrlPr>
                <w:rPr>
                  <w:rFonts w:ascii="Cambria Math" w:hAnsi="Cambria Math" w:cs="Arial"/>
                  <w:i/>
                </w:rPr>
              </m:ctrlPr>
            </m:sSubPr>
            <m:e>
              <m:r>
                <w:rPr>
                  <w:rFonts w:ascii="Cambria Math" w:hAnsi="Cambria Math" w:cs="Arial"/>
                </w:rPr>
                <m:t>CNE</m:t>
              </m:r>
            </m:e>
            <m:sub>
              <m:r>
                <w:rPr>
                  <w:rFonts w:ascii="Cambria Math" w:hAnsi="Cambria Math" w:cs="Arial"/>
                </w:rPr>
                <m:t>i,m,u</m:t>
              </m:r>
            </m:sub>
          </m:sSub>
          <m:r>
            <w:rPr>
              <w:rFonts w:ascii="Cambria Math" w:hAnsi="Cambria Math" w:cs="Arial"/>
            </w:rPr>
            <m:t>=</m:t>
          </m:r>
          <m:nary>
            <m:naryPr>
              <m:chr m:val="∑"/>
              <m:limLoc m:val="undOvr"/>
              <m:ctrlPr>
                <w:rPr>
                  <w:rFonts w:ascii="Cambria Math" w:hAnsi="Cambria Math" w:cs="Arial"/>
                  <w:i/>
                </w:rPr>
              </m:ctrlPr>
            </m:naryPr>
            <m:sub>
              <m:r>
                <w:rPr>
                  <w:rFonts w:ascii="Cambria Math" w:hAnsi="Cambria Math" w:cs="Arial"/>
                </w:rPr>
                <m:t>r=1</m:t>
              </m:r>
            </m:sub>
            <m:sup>
              <m:r>
                <w:rPr>
                  <w:rFonts w:ascii="Cambria Math" w:hAnsi="Cambria Math" w:cs="Arial"/>
                </w:rPr>
                <m:t>n</m:t>
              </m:r>
            </m:sup>
            <m:e>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VHRC</m:t>
                      </m:r>
                    </m:e>
                    <m:sub>
                      <m:r>
                        <w:rPr>
                          <w:rFonts w:ascii="Cambria Math" w:hAnsi="Cambria Math" w:cs="Arial"/>
                        </w:rPr>
                        <m:t>m,r,j</m:t>
                      </m:r>
                    </m:sub>
                  </m:sSub>
                  <m:r>
                    <w:rPr>
                      <w:rFonts w:ascii="Cambria Math" w:hAnsi="Cambria Math" w:cs="Arial"/>
                    </w:rPr>
                    <m:t>*</m:t>
                  </m:r>
                  <m:sSub>
                    <m:sSubPr>
                      <m:ctrlPr>
                        <w:rPr>
                          <w:rFonts w:ascii="Cambria Math" w:hAnsi="Cambria Math" w:cs="Arial"/>
                          <w:i/>
                        </w:rPr>
                      </m:ctrlPr>
                    </m:sSubPr>
                    <m:e>
                      <m:r>
                        <w:rPr>
                          <w:rFonts w:ascii="Cambria Math" w:hAnsi="Cambria Math" w:cs="Arial"/>
                        </w:rPr>
                        <m:t>H</m:t>
                      </m:r>
                    </m:e>
                    <m:sub>
                      <m:r>
                        <w:rPr>
                          <w:rFonts w:ascii="Cambria Math" w:hAnsi="Cambria Math" w:cs="Arial"/>
                        </w:rPr>
                        <m:t>i,r</m:t>
                      </m:r>
                    </m:sub>
                  </m:sSub>
                </m:e>
              </m:d>
            </m:e>
          </m:nary>
        </m:oMath>
      </m:oMathPara>
    </w:p>
    <w:p w:rsidR="00407449" w:rsidRPr="004E6CFC" w:rsidRDefault="00407449" w:rsidP="009C086B">
      <w:pPr>
        <w:pStyle w:val="Prrafodelista"/>
        <w:numPr>
          <w:ilvl w:val="0"/>
          <w:numId w:val="40"/>
        </w:numPr>
      </w:pPr>
      <w:r w:rsidRPr="004E6CFC">
        <w:t xml:space="preserve">Si durante la indisponibilidad i, del activo u, para alguna de las horas de duración de la indisponibilidad el porcentaje de energía no suministrada, </w:t>
      </w:r>
      <w:r w:rsidRPr="004E6CFC">
        <w:rPr>
          <w:i/>
        </w:rPr>
        <w:t>PENS</w:t>
      </w:r>
      <w:r w:rsidRPr="004E6CFC">
        <w:rPr>
          <w:i/>
          <w:vertAlign w:val="subscript"/>
        </w:rPr>
        <w:t>j,h</w:t>
      </w:r>
      <w:r w:rsidRPr="004E6CFC">
        <w:t>, es mayor que el porcentaje definido en el numeral 3.4 de la Resolución CREG 094 de 2012, el valor de la compensación CNE se obtiene de la siguiente forma:</w:t>
      </w:r>
    </w:p>
    <w:p w:rsidR="00407449" w:rsidRPr="004E6CFC" w:rsidRDefault="00C9592F" w:rsidP="00407449">
      <w:pPr>
        <w:ind w:left="426"/>
        <w:jc w:val="center"/>
        <w:rPr>
          <w:rFonts w:cs="Arial"/>
          <w:sz w:val="28"/>
          <w:szCs w:val="28"/>
        </w:rPr>
      </w:pPr>
      <m:oMathPara>
        <m:oMath>
          <m:sSub>
            <m:sSubPr>
              <m:ctrlPr>
                <w:rPr>
                  <w:rFonts w:ascii="Cambria Math" w:hAnsi="Cambria Math" w:cs="Arial"/>
                  <w:i/>
                  <w:szCs w:val="28"/>
                </w:rPr>
              </m:ctrlPr>
            </m:sSubPr>
            <m:e>
              <m:r>
                <w:rPr>
                  <w:rFonts w:ascii="Cambria Math" w:hAnsi="Cambria Math" w:cs="Arial"/>
                  <w:szCs w:val="28"/>
                </w:rPr>
                <m:t>CNE</m:t>
              </m:r>
            </m:e>
            <m:sub>
              <m:r>
                <w:rPr>
                  <w:rFonts w:ascii="Cambria Math" w:hAnsi="Cambria Math" w:cs="Arial"/>
                  <w:szCs w:val="28"/>
                </w:rPr>
                <m:t>i,m,u</m:t>
              </m:r>
            </m:sub>
          </m:sSub>
          <m:r>
            <w:rPr>
              <w:rFonts w:ascii="Cambria Math" w:hAnsi="Cambria Math" w:cs="Arial"/>
              <w:szCs w:val="28"/>
            </w:rPr>
            <m:t>=max</m:t>
          </m:r>
          <m:d>
            <m:dPr>
              <m:ctrlPr>
                <w:rPr>
                  <w:rFonts w:ascii="Cambria Math" w:hAnsi="Cambria Math" w:cs="Arial"/>
                  <w:i/>
                  <w:szCs w:val="28"/>
                </w:rPr>
              </m:ctrlPr>
            </m:dPr>
            <m:e>
              <m:d>
                <m:dPr>
                  <m:ctrlPr>
                    <w:rPr>
                      <w:rFonts w:ascii="Cambria Math" w:hAnsi="Cambria Math" w:cs="Arial"/>
                      <w:i/>
                      <w:szCs w:val="28"/>
                    </w:rPr>
                  </m:ctrlPr>
                </m:dPr>
                <m:e>
                  <m:sSub>
                    <m:sSubPr>
                      <m:ctrlPr>
                        <w:rPr>
                          <w:rFonts w:ascii="Cambria Math" w:hAnsi="Cambria Math" w:cs="Arial"/>
                          <w:i/>
                          <w:szCs w:val="28"/>
                        </w:rPr>
                      </m:ctrlPr>
                    </m:sSubPr>
                    <m:e>
                      <m:r>
                        <w:rPr>
                          <w:rFonts w:ascii="Cambria Math" w:hAnsi="Cambria Math" w:cs="Arial"/>
                          <w:szCs w:val="28"/>
                        </w:rPr>
                        <m:t>ENS</m:t>
                      </m:r>
                    </m:e>
                    <m:sub>
                      <m:r>
                        <w:rPr>
                          <w:rFonts w:ascii="Cambria Math" w:hAnsi="Cambria Math" w:cs="Arial"/>
                          <w:szCs w:val="28"/>
                        </w:rPr>
                        <m:t>i</m:t>
                      </m:r>
                    </m:sub>
                  </m:sSub>
                  <m:r>
                    <w:rPr>
                      <w:rFonts w:ascii="Cambria Math" w:hAnsi="Cambria Math" w:cs="Arial"/>
                      <w:szCs w:val="28"/>
                    </w:rPr>
                    <m:t>*CRO</m:t>
                  </m:r>
                </m:e>
              </m:d>
              <m:r>
                <w:rPr>
                  <w:rFonts w:ascii="Cambria Math" w:hAnsi="Cambria Math" w:cs="Arial"/>
                  <w:szCs w:val="28"/>
                </w:rPr>
                <m:t>;</m:t>
              </m:r>
              <m:nary>
                <m:naryPr>
                  <m:chr m:val="∑"/>
                  <m:limLoc m:val="undOvr"/>
                  <m:ctrlPr>
                    <w:rPr>
                      <w:rFonts w:ascii="Cambria Math" w:hAnsi="Cambria Math" w:cs="Arial"/>
                      <w:i/>
                    </w:rPr>
                  </m:ctrlPr>
                </m:naryPr>
                <m:sub>
                  <m:r>
                    <w:rPr>
                      <w:rFonts w:ascii="Cambria Math" w:hAnsi="Cambria Math" w:cs="Arial"/>
                    </w:rPr>
                    <m:t>r=1</m:t>
                  </m:r>
                </m:sub>
                <m:sup>
                  <m:r>
                    <w:rPr>
                      <w:rFonts w:ascii="Cambria Math" w:hAnsi="Cambria Math" w:cs="Arial"/>
                    </w:rPr>
                    <m:t>n</m:t>
                  </m:r>
                </m:sup>
                <m:e>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VHRC</m:t>
                          </m:r>
                        </m:e>
                        <m:sub>
                          <m:r>
                            <w:rPr>
                              <w:rFonts w:ascii="Cambria Math" w:hAnsi="Cambria Math" w:cs="Arial"/>
                            </w:rPr>
                            <m:t>m,r,j</m:t>
                          </m:r>
                        </m:sub>
                      </m:sSub>
                      <m:r>
                        <w:rPr>
                          <w:rFonts w:ascii="Cambria Math" w:hAnsi="Cambria Math" w:cs="Arial"/>
                        </w:rPr>
                        <m:t>*</m:t>
                      </m:r>
                      <m:sSub>
                        <m:sSubPr>
                          <m:ctrlPr>
                            <w:rPr>
                              <w:rFonts w:ascii="Cambria Math" w:hAnsi="Cambria Math" w:cs="Arial"/>
                              <w:i/>
                            </w:rPr>
                          </m:ctrlPr>
                        </m:sSubPr>
                        <m:e>
                          <m:r>
                            <w:rPr>
                              <w:rFonts w:ascii="Cambria Math" w:hAnsi="Cambria Math" w:cs="Arial"/>
                            </w:rPr>
                            <m:t>H</m:t>
                          </m:r>
                        </m:e>
                        <m:sub>
                          <m:r>
                            <w:rPr>
                              <w:rFonts w:ascii="Cambria Math" w:hAnsi="Cambria Math" w:cs="Arial"/>
                            </w:rPr>
                            <m:t>i,r</m:t>
                          </m:r>
                        </m:sub>
                      </m:sSub>
                    </m:e>
                  </m:d>
                </m:e>
              </m:nary>
            </m:e>
          </m:d>
        </m:oMath>
      </m:oMathPara>
    </w:p>
    <w:p w:rsidR="00407449" w:rsidRPr="004E6CFC" w:rsidRDefault="00407449" w:rsidP="00407449">
      <w:pPr>
        <w:rPr>
          <w:rFonts w:cs="Arial"/>
        </w:rPr>
      </w:pPr>
      <w:r w:rsidRPr="004E6CFC">
        <w:rPr>
          <w:rFonts w:cs="Arial"/>
        </w:rPr>
        <w:t>En las fórmulas de este numeral se utilizan las siguientes variables:</w:t>
      </w:r>
    </w:p>
    <w:p w:rsidR="00407449" w:rsidRPr="004E6CFC" w:rsidRDefault="00407449" w:rsidP="00407449">
      <w:pPr>
        <w:spacing w:before="120"/>
        <w:ind w:left="1418" w:hanging="1418"/>
        <w:rPr>
          <w:rFonts w:cs="Arial"/>
        </w:rPr>
      </w:pPr>
      <w:r w:rsidRPr="004E6CFC">
        <w:rPr>
          <w:rFonts w:cs="Arial"/>
          <w:i/>
        </w:rPr>
        <w:t>PENS</w:t>
      </w:r>
      <w:r w:rsidRPr="004E6CFC">
        <w:rPr>
          <w:rFonts w:cs="Arial"/>
          <w:i/>
          <w:vertAlign w:val="subscript"/>
        </w:rPr>
        <w:t>j,h</w:t>
      </w:r>
      <w:r w:rsidRPr="004E6CFC">
        <w:rPr>
          <w:rFonts w:cs="Arial"/>
        </w:rPr>
        <w:t>:</w:t>
      </w:r>
      <w:r w:rsidRPr="004E6CFC">
        <w:rPr>
          <w:rFonts w:cs="Arial"/>
        </w:rPr>
        <w:tab/>
        <w:t>Porcentaje de la energía no suministrada, calculado de acuerdo con lo previsto en el numeral 3.4 de la Resolución CREG 094 de 2012.</w:t>
      </w:r>
    </w:p>
    <w:p w:rsidR="00407449" w:rsidRPr="004E6CFC" w:rsidRDefault="00407449" w:rsidP="00407449">
      <w:pPr>
        <w:tabs>
          <w:tab w:val="left" w:pos="1701"/>
        </w:tabs>
        <w:spacing w:before="120"/>
        <w:ind w:left="1418" w:hanging="1418"/>
        <w:rPr>
          <w:rFonts w:cs="Arial"/>
        </w:rPr>
      </w:pPr>
      <w:r w:rsidRPr="004E6CFC">
        <w:rPr>
          <w:i/>
        </w:rPr>
        <w:t>VHRC</w:t>
      </w:r>
      <w:r w:rsidRPr="004E6CFC">
        <w:rPr>
          <w:i/>
          <w:vertAlign w:val="subscript"/>
        </w:rPr>
        <w:t>m,r,j</w:t>
      </w:r>
      <w:r w:rsidRPr="004E6CFC">
        <w:t>:</w:t>
      </w:r>
      <w:r w:rsidRPr="004E6CFC">
        <w:tab/>
        <w:t xml:space="preserve">Valor horario de referencia del activo </w:t>
      </w:r>
      <w:r w:rsidRPr="004E6CFC">
        <w:rPr>
          <w:i/>
        </w:rPr>
        <w:t>r</w:t>
      </w:r>
      <w:r w:rsidRPr="004E6CFC">
        <w:t xml:space="preserve"> que quedó no operativo por la indisponibilidad del activo </w:t>
      </w:r>
      <w:r w:rsidRPr="004E6CFC">
        <w:rPr>
          <w:i/>
        </w:rPr>
        <w:t>u</w:t>
      </w:r>
      <w:r w:rsidRPr="004E6CFC">
        <w:t xml:space="preserve"> del OR </w:t>
      </w:r>
      <w:r w:rsidRPr="004E6CFC">
        <w:rPr>
          <w:i/>
        </w:rPr>
        <w:t>j</w:t>
      </w:r>
      <w:r w:rsidRPr="004E6CFC">
        <w:t xml:space="preserve">, durante el mes </w:t>
      </w:r>
      <w:r w:rsidRPr="004E6CFC">
        <w:rPr>
          <w:i/>
        </w:rPr>
        <w:t>m</w:t>
      </w:r>
      <w:r w:rsidRPr="004E6CFC">
        <w:t xml:space="preserve">, calculado con base en lo establecido en el numeral </w:t>
      </w:r>
      <w:r w:rsidRPr="004E6CFC">
        <w:fldChar w:fldCharType="begin"/>
      </w:r>
      <w:r w:rsidRPr="004E6CFC">
        <w:instrText xml:space="preserve"> REF _Ref439944081 \r \h  \* MERGEFORMAT </w:instrText>
      </w:r>
      <w:r w:rsidRPr="004E6CFC">
        <w:fldChar w:fldCharType="separate"/>
      </w:r>
      <w:r w:rsidR="00737178">
        <w:t>5.1.12</w:t>
      </w:r>
      <w:r w:rsidRPr="004E6CFC">
        <w:fldChar w:fldCharType="end"/>
      </w:r>
      <w:r w:rsidRPr="004E6CFC">
        <w:t>.</w:t>
      </w:r>
    </w:p>
    <w:p w:rsidR="00407449" w:rsidRPr="004E6CFC" w:rsidRDefault="00407449" w:rsidP="00407449">
      <w:pPr>
        <w:spacing w:before="120"/>
        <w:ind w:left="1418" w:hanging="1418"/>
        <w:rPr>
          <w:rFonts w:cs="Arial"/>
        </w:rPr>
      </w:pPr>
      <w:r w:rsidRPr="004E6CFC">
        <w:rPr>
          <w:rFonts w:cs="Arial"/>
          <w:i/>
        </w:rPr>
        <w:t>H</w:t>
      </w:r>
      <w:r w:rsidRPr="004E6CFC">
        <w:rPr>
          <w:rFonts w:cs="Arial"/>
          <w:i/>
          <w:vertAlign w:val="subscript"/>
        </w:rPr>
        <w:t>i,r</w:t>
      </w:r>
      <w:r w:rsidRPr="004E6CFC">
        <w:rPr>
          <w:rFonts w:cs="Arial"/>
        </w:rPr>
        <w:t>:</w:t>
      </w:r>
      <w:r w:rsidRPr="004E6CFC">
        <w:rPr>
          <w:rFonts w:cs="Arial"/>
        </w:rPr>
        <w:tab/>
        <w:t xml:space="preserve">Número de horas de no operatividad del activo </w:t>
      </w:r>
      <w:r w:rsidRPr="004E6CFC">
        <w:rPr>
          <w:rFonts w:cs="Arial"/>
          <w:i/>
        </w:rPr>
        <w:t>r</w:t>
      </w:r>
      <w:r w:rsidRPr="004E6CFC">
        <w:rPr>
          <w:rFonts w:cs="Arial"/>
        </w:rPr>
        <w:t xml:space="preserve"> causadas por la indisponibilidad </w:t>
      </w:r>
      <w:r w:rsidRPr="004E6CFC">
        <w:rPr>
          <w:rFonts w:cs="Arial"/>
          <w:i/>
        </w:rPr>
        <w:t>i</w:t>
      </w:r>
      <w:r w:rsidRPr="004E6CFC">
        <w:rPr>
          <w:rFonts w:cs="Arial"/>
        </w:rPr>
        <w:t xml:space="preserve"> del activo </w:t>
      </w:r>
      <w:r w:rsidRPr="004E6CFC">
        <w:rPr>
          <w:rFonts w:cs="Arial"/>
          <w:i/>
        </w:rPr>
        <w:t>u</w:t>
      </w:r>
      <w:r w:rsidRPr="004E6CFC">
        <w:rPr>
          <w:rFonts w:cs="Arial"/>
        </w:rPr>
        <w:t xml:space="preserve">. </w:t>
      </w:r>
    </w:p>
    <w:p w:rsidR="00407449" w:rsidRPr="004E6CFC" w:rsidRDefault="00407449" w:rsidP="00407449">
      <w:pPr>
        <w:spacing w:before="120"/>
        <w:ind w:left="1418" w:hanging="1418"/>
        <w:rPr>
          <w:rFonts w:cs="Arial"/>
        </w:rPr>
      </w:pPr>
      <w:r w:rsidRPr="004E6CFC">
        <w:rPr>
          <w:rFonts w:cs="Arial"/>
          <w:i/>
        </w:rPr>
        <w:t>ENS</w:t>
      </w:r>
      <w:r w:rsidRPr="004E6CFC">
        <w:rPr>
          <w:rFonts w:cs="Arial"/>
          <w:i/>
          <w:vertAlign w:val="subscript"/>
        </w:rPr>
        <w:t>i</w:t>
      </w:r>
      <w:r w:rsidRPr="004E6CFC">
        <w:rPr>
          <w:rFonts w:cs="Arial"/>
        </w:rPr>
        <w:t>:</w:t>
      </w:r>
      <w:r w:rsidRPr="004E6CFC">
        <w:rPr>
          <w:rFonts w:cs="Arial"/>
        </w:rPr>
        <w:tab/>
        <w:t>Valor de la energía no suministrada de la indisponi</w:t>
      </w:r>
      <w:r w:rsidRPr="004E6CFC">
        <w:rPr>
          <w:rFonts w:cs="Arial"/>
        </w:rPr>
        <w:softHyphen/>
        <w:t xml:space="preserve">bilidad </w:t>
      </w:r>
      <w:r w:rsidRPr="004E6CFC">
        <w:rPr>
          <w:rFonts w:cs="Arial"/>
          <w:i/>
        </w:rPr>
        <w:t>i</w:t>
      </w:r>
      <w:r w:rsidRPr="004E6CFC">
        <w:rPr>
          <w:rFonts w:cs="Arial"/>
        </w:rPr>
        <w:t xml:space="preserve">, corresponde a la variable </w:t>
      </w:r>
      <w:r w:rsidRPr="004E6CFC">
        <w:rPr>
          <w:rFonts w:cs="Arial"/>
          <w:i/>
        </w:rPr>
        <w:t>ENS</w:t>
      </w:r>
      <w:r w:rsidRPr="004E6CFC">
        <w:rPr>
          <w:rFonts w:cs="Arial"/>
          <w:i/>
          <w:vertAlign w:val="subscript"/>
        </w:rPr>
        <w:t>q</w:t>
      </w:r>
      <w:r w:rsidRPr="004E6CFC">
        <w:rPr>
          <w:rFonts w:cs="Arial"/>
        </w:rPr>
        <w:t xml:space="preserve"> calculada de acuerdo con lo previsto en el numeral 3.4 de la Resolución CREG 094 de 2012.</w:t>
      </w:r>
    </w:p>
    <w:p w:rsidR="00407449" w:rsidRPr="004E6CFC" w:rsidRDefault="00407449" w:rsidP="00407449">
      <w:pPr>
        <w:spacing w:before="120"/>
        <w:ind w:left="1418" w:hanging="1418"/>
        <w:rPr>
          <w:rFonts w:cs="Arial"/>
        </w:rPr>
      </w:pPr>
      <w:r w:rsidRPr="004E6CFC">
        <w:rPr>
          <w:i/>
        </w:rPr>
        <w:t>CRO:</w:t>
      </w:r>
      <w:r w:rsidRPr="004E6CFC">
        <w:rPr>
          <w:i/>
        </w:rPr>
        <w:tab/>
      </w:r>
      <w:r w:rsidRPr="004E6CFC">
        <w:t xml:space="preserve">Costo incremental operativo de racionamiento de energía definido y calculado por la UPME, correspondiente al primer escalón, que rija para el mes m en el que se aplique la variable </w:t>
      </w:r>
      <w:r w:rsidRPr="004E6CFC">
        <w:rPr>
          <w:i/>
        </w:rPr>
        <w:t>CNE</w:t>
      </w:r>
      <w:r w:rsidRPr="004E6CFC">
        <w:rPr>
          <w:i/>
          <w:vertAlign w:val="subscript"/>
        </w:rPr>
        <w:t>m,u</w:t>
      </w:r>
      <w:r w:rsidRPr="004E6CFC">
        <w:rPr>
          <w:rFonts w:cs="Arial"/>
        </w:rPr>
        <w:t>.</w:t>
      </w:r>
    </w:p>
    <w:p w:rsidR="00407449" w:rsidRPr="004E6CFC" w:rsidRDefault="00407449" w:rsidP="00407449">
      <w:r w:rsidRPr="004E6CFC">
        <w:t xml:space="preserve">El CND calculará la ENS de cada uno de los eventos que se presentan en los activos del STR y elaborará el informe de ENS de que trata el numeral </w:t>
      </w:r>
      <w:r w:rsidRPr="004E6CFC">
        <w:fldChar w:fldCharType="begin"/>
      </w:r>
      <w:r w:rsidRPr="004E6CFC">
        <w:instrText xml:space="preserve"> REF _Ref334449541 \r \h  \* MERGEFORMAT </w:instrText>
      </w:r>
      <w:r w:rsidRPr="004E6CFC">
        <w:fldChar w:fldCharType="separate"/>
      </w:r>
      <w:r w:rsidR="00737178">
        <w:t>5.1.15</w:t>
      </w:r>
      <w:r w:rsidRPr="004E6CFC">
        <w:fldChar w:fldCharType="end"/>
      </w:r>
      <w:r w:rsidRPr="004E6CFC">
        <w:t xml:space="preserve">. El cálculo de la ENS será hecho con base en las disposiciones que para tal fin se encuentran contenidas en la Resolución CREG 094 de 2012, o la que la modifique o sustituya. </w:t>
      </w:r>
    </w:p>
    <w:p w:rsidR="00407449" w:rsidRPr="004E6CFC" w:rsidRDefault="00407449" w:rsidP="00407449">
      <w:r w:rsidRPr="004E6CFC">
        <w:t xml:space="preserve">Sin perjuicio de lo anterior, </w:t>
      </w:r>
      <w:r>
        <w:t xml:space="preserve">cuando el valor de PENS supere 2%, </w:t>
      </w:r>
      <w:r w:rsidRPr="004E6CFC">
        <w:t>la responsa</w:t>
      </w:r>
      <w:r>
        <w:softHyphen/>
      </w:r>
      <w:r w:rsidRPr="004E6CFC">
        <w:t>bilidad del reporte de la ENS al LAC será del OR, quien podrá reportar el valor publicado por el CND o ajustarlo si: i) encuentra que hubo algún error en el cálculo, según l</w:t>
      </w:r>
      <w:r>
        <w:t xml:space="preserve">o </w:t>
      </w:r>
      <w:r w:rsidRPr="004E6CFC">
        <w:t>disp</w:t>
      </w:r>
      <w:r>
        <w:t>uesto</w:t>
      </w:r>
      <w:r w:rsidRPr="004E6CFC">
        <w:t xml:space="preserve"> para el</w:t>
      </w:r>
      <w:r>
        <w:t>lo</w:t>
      </w:r>
      <w:r w:rsidRPr="004E6CFC">
        <w:t xml:space="preserve"> en la regulación</w:t>
      </w:r>
      <w:r>
        <w:t xml:space="preserve"> vigente</w:t>
      </w:r>
      <w:r w:rsidRPr="004E6CFC">
        <w:t xml:space="preserve">, o ii) si el respectivo evento no generó demanda no atendida, DNA, caso en el cual el </w:t>
      </w:r>
      <w:r>
        <w:t>OR</w:t>
      </w:r>
      <w:r w:rsidRPr="004E6CFC">
        <w:t xml:space="preserve"> podrá reportar una ENS igual a cero. </w:t>
      </w:r>
      <w:r>
        <w:t xml:space="preserve">Siempre que el valor sea ajustado, el OR deberá informar al LAC, junto con el reporte de ENS, la causa respectiva, en los formatos y términos establecidos por este. </w:t>
      </w:r>
    </w:p>
    <w:p w:rsidR="00407449" w:rsidRPr="004E6CFC" w:rsidRDefault="00407449" w:rsidP="00407449">
      <w:r w:rsidRPr="004E6CFC">
        <w:t xml:space="preserve">Cuando el OR reporte un valor del ENS diferente al calculado por el </w:t>
      </w:r>
      <w:r>
        <w:t>CND</w:t>
      </w:r>
      <w:r w:rsidRPr="004E6CFC">
        <w:t xml:space="preserve"> deberá </w:t>
      </w:r>
      <w:r>
        <w:t>subirlo a una plataforma, que elaborará el LAC</w:t>
      </w:r>
      <w:r w:rsidRPr="002219F4">
        <w:t xml:space="preserve"> </w:t>
      </w:r>
      <w:r>
        <w:t xml:space="preserve">con este propósito, que sirva de </w:t>
      </w:r>
      <w:r>
        <w:lastRenderedPageBreak/>
        <w:t>almacenamiento para estos informes y a la cual tenga acceso únicamente la SSPD, para los fines de su competencia</w:t>
      </w:r>
      <w:r w:rsidRPr="004E6CFC">
        <w:t xml:space="preserve">. </w:t>
      </w:r>
    </w:p>
    <w:p w:rsidR="00407449" w:rsidRDefault="00407449" w:rsidP="00407449">
      <w:r>
        <w:t xml:space="preserve">Los reportes recibidos </w:t>
      </w:r>
      <w:r w:rsidR="00CC1B43">
        <w:t>dentro</w:t>
      </w:r>
      <w:r>
        <w:t xml:space="preserve"> de un mes calendario, serán insumo para el cálculo de la CNE que será incluida en la siguiente liquidación que el LAC realice según los plazos establecidos en la regulación.</w:t>
      </w:r>
    </w:p>
    <w:p w:rsidR="00407449" w:rsidRPr="004E6CFC" w:rsidRDefault="00407449" w:rsidP="00407449">
      <w:pPr>
        <w:pStyle w:val="Ttulo4"/>
        <w:ind w:left="864" w:hanging="864"/>
      </w:pPr>
      <w:bookmarkStart w:id="458" w:name="_Ref185867644"/>
      <w:bookmarkStart w:id="459" w:name="_Toc195670142"/>
      <w:bookmarkStart w:id="460" w:name="_Toc195686836"/>
      <w:bookmarkStart w:id="461" w:name="_Toc195781014"/>
      <w:bookmarkStart w:id="462" w:name="_Toc210616105"/>
      <w:r w:rsidRPr="004E6CFC">
        <w:t>Valor total a compensar</w:t>
      </w:r>
      <w:bookmarkEnd w:id="458"/>
      <w:bookmarkEnd w:id="459"/>
      <w:bookmarkEnd w:id="460"/>
      <w:bookmarkEnd w:id="461"/>
      <w:bookmarkEnd w:id="462"/>
    </w:p>
    <w:p w:rsidR="00407449" w:rsidRPr="004E6CFC" w:rsidRDefault="00407449" w:rsidP="00407449">
      <w:r w:rsidRPr="004E6CFC">
        <w:t>El LAC calculará mensualmente el valor total de compensaciones que se descontará del ingreso mensual de cada OR j, tal como se muestra a continuación:</w:t>
      </w:r>
    </w:p>
    <w:p w:rsidR="00407449" w:rsidRPr="004E6CFC" w:rsidRDefault="00C9592F" w:rsidP="00407449">
      <w:pPr>
        <w:rPr>
          <w:sz w:val="22"/>
        </w:rPr>
      </w:pPr>
      <m:oMathPara>
        <m:oMath>
          <m:sSub>
            <m:sSubPr>
              <m:ctrlPr>
                <w:rPr>
                  <w:rFonts w:ascii="Cambria Math" w:hAnsi="Cambria Math"/>
                  <w:i/>
                </w:rPr>
              </m:ctrlPr>
            </m:sSubPr>
            <m:e>
              <m:r>
                <w:rPr>
                  <w:rFonts w:ascii="Cambria Math" w:hAnsi="Cambria Math"/>
                </w:rPr>
                <m:t>CSTR</m:t>
              </m:r>
            </m:e>
            <m:sub>
              <m:r>
                <w:rPr>
                  <w:rFonts w:ascii="Cambria Math" w:hAnsi="Cambria Math"/>
                </w:rPr>
                <m:t>j,m</m:t>
              </m:r>
            </m:sub>
          </m:sSub>
          <m:r>
            <w:rPr>
              <w:rFonts w:ascii="Cambria Math" w:hAnsi="Cambria Math"/>
            </w:rPr>
            <m:t>=</m:t>
          </m:r>
          <m:nary>
            <m:naryPr>
              <m:chr m:val="∑"/>
              <m:limLoc m:val="undOvr"/>
              <m:ctrlPr>
                <w:rPr>
                  <w:rFonts w:ascii="Cambria Math" w:hAnsi="Cambria Math"/>
                  <w:i/>
                </w:rPr>
              </m:ctrlPr>
            </m:naryPr>
            <m:sub>
              <m:r>
                <w:rPr>
                  <w:rFonts w:ascii="Cambria Math" w:hAnsi="Cambria Math"/>
                </w:rPr>
                <m:t>u=1</m:t>
              </m:r>
            </m:sub>
            <m:sup>
              <m:r>
                <w:rPr>
                  <w:rFonts w:ascii="Cambria Math" w:hAnsi="Cambria Math"/>
                </w:rPr>
                <m:t>aj</m:t>
              </m:r>
            </m:sup>
            <m:e>
              <m:d>
                <m:dPr>
                  <m:ctrlPr>
                    <w:rPr>
                      <w:rFonts w:ascii="Cambria Math" w:hAnsi="Cambria Math"/>
                      <w:i/>
                    </w:rPr>
                  </m:ctrlPr>
                </m:dPr>
                <m:e>
                  <m:sSub>
                    <m:sSubPr>
                      <m:ctrlPr>
                        <w:rPr>
                          <w:rFonts w:ascii="Cambria Math" w:hAnsi="Cambria Math"/>
                          <w:i/>
                        </w:rPr>
                      </m:ctrlPr>
                    </m:sSubPr>
                    <m:e>
                      <m:r>
                        <w:rPr>
                          <w:rFonts w:ascii="Cambria Math" w:hAnsi="Cambria Math"/>
                        </w:rPr>
                        <m:t>CIM</m:t>
                      </m:r>
                    </m:e>
                    <m:sub>
                      <m:r>
                        <w:rPr>
                          <w:rFonts w:ascii="Cambria Math" w:hAnsi="Cambria Math"/>
                        </w:rPr>
                        <m:t>m,u</m:t>
                      </m:r>
                    </m:sub>
                  </m:sSub>
                </m:e>
              </m:d>
            </m:e>
          </m:nary>
          <m:r>
            <w:rPr>
              <w:rFonts w:ascii="Cambria Math" w:hAnsi="Cambria Math"/>
            </w:rPr>
            <m:t>+</m:t>
          </m:r>
          <m:nary>
            <m:naryPr>
              <m:chr m:val="∑"/>
              <m:limLoc m:val="undOvr"/>
              <m:ctrlPr>
                <w:rPr>
                  <w:rFonts w:ascii="Cambria Math" w:hAnsi="Cambria Math"/>
                  <w:i/>
                </w:rPr>
              </m:ctrlPr>
            </m:naryPr>
            <m:sub>
              <m:r>
                <w:rPr>
                  <w:rFonts w:ascii="Cambria Math" w:hAnsi="Cambria Math"/>
                </w:rPr>
                <m:t>u=1</m:t>
              </m:r>
            </m:sub>
            <m:sup>
              <m:r>
                <w:rPr>
                  <w:rFonts w:ascii="Cambria Math" w:hAnsi="Cambria Math"/>
                </w:rPr>
                <m:t>aj</m:t>
              </m:r>
            </m:sup>
            <m:e>
              <m:d>
                <m:dPr>
                  <m:begChr m:val="["/>
                  <m:endChr m:val="]"/>
                  <m:ctrlPr>
                    <w:rPr>
                      <w:rFonts w:ascii="Cambria Math" w:hAnsi="Cambria Math"/>
                      <w:i/>
                    </w:rPr>
                  </m:ctrlPr>
                </m:dPr>
                <m:e>
                  <m:d>
                    <m:dPr>
                      <m:ctrlPr>
                        <w:rPr>
                          <w:rFonts w:ascii="Cambria Math" w:hAnsi="Cambria Math"/>
                          <w:i/>
                        </w:rPr>
                      </m:ctrlPr>
                    </m:dPr>
                    <m:e>
                      <m:sSub>
                        <m:sSubPr>
                          <m:ctrlPr>
                            <w:rPr>
                              <w:rFonts w:ascii="Cambria Math" w:hAnsi="Cambria Math"/>
                              <w:i/>
                            </w:rPr>
                          </m:ctrlPr>
                        </m:sSubPr>
                        <m:e>
                          <m:r>
                            <w:rPr>
                              <w:rFonts w:ascii="Cambria Math" w:hAnsi="Cambria Math"/>
                            </w:rPr>
                            <m:t>VHRC</m:t>
                          </m:r>
                        </m:e>
                        <m:sub>
                          <m:r>
                            <w:rPr>
                              <w:rFonts w:ascii="Cambria Math" w:hAnsi="Cambria Math"/>
                            </w:rPr>
                            <m:t>m,u,j</m:t>
                          </m:r>
                        </m:sub>
                      </m:sSub>
                      <m:r>
                        <w:rPr>
                          <w:rFonts w:ascii="Cambria Math" w:hAnsi="Cambria Math"/>
                        </w:rPr>
                        <m:t>*720</m:t>
                      </m:r>
                    </m:e>
                  </m:d>
                  <m:r>
                    <w:rPr>
                      <w:rFonts w:ascii="Cambria Math" w:hAnsi="Cambria Math"/>
                    </w:rPr>
                    <m:t>-</m:t>
                  </m:r>
                  <m:d>
                    <m:dPr>
                      <m:ctrlPr>
                        <w:rPr>
                          <w:rFonts w:ascii="Cambria Math" w:hAnsi="Cambria Math"/>
                          <w:i/>
                        </w:rPr>
                      </m:ctrlPr>
                    </m:dPr>
                    <m:e>
                      <m:sSub>
                        <m:sSubPr>
                          <m:ctrlPr>
                            <w:rPr>
                              <w:rFonts w:ascii="Cambria Math" w:hAnsi="Cambria Math"/>
                              <w:i/>
                            </w:rPr>
                          </m:ctrlPr>
                        </m:sSubPr>
                        <m:e>
                          <m:r>
                            <w:rPr>
                              <w:rFonts w:ascii="Cambria Math" w:hAnsi="Cambria Math"/>
                            </w:rPr>
                            <m:t>IMRT</m:t>
                          </m:r>
                        </m:e>
                        <m:sub>
                          <m:r>
                            <w:rPr>
                              <w:rFonts w:ascii="Cambria Math" w:hAnsi="Cambria Math"/>
                            </w:rPr>
                            <m:t>m,u</m:t>
                          </m:r>
                        </m:sub>
                      </m:sSub>
                    </m:e>
                  </m:d>
                </m:e>
              </m:d>
            </m:e>
          </m:nary>
        </m:oMath>
      </m:oMathPara>
    </w:p>
    <w:p w:rsidR="00407449" w:rsidRPr="004E6CFC" w:rsidRDefault="00407449" w:rsidP="00407449">
      <m:oMathPara>
        <m:oMath>
          <m:r>
            <w:rPr>
              <w:rFonts w:ascii="Cambria Math" w:hAnsi="Cambria Math"/>
            </w:rPr>
            <m:t>+</m:t>
          </m:r>
          <m:nary>
            <m:naryPr>
              <m:chr m:val="∑"/>
              <m:limLoc m:val="undOvr"/>
              <m:ctrlPr>
                <w:rPr>
                  <w:rFonts w:ascii="Cambria Math" w:hAnsi="Cambria Math"/>
                  <w:i/>
                </w:rPr>
              </m:ctrlPr>
            </m:naryPr>
            <m:sub>
              <m:r>
                <w:rPr>
                  <w:rFonts w:ascii="Cambria Math" w:hAnsi="Cambria Math"/>
                </w:rPr>
                <m:t>u=1</m:t>
              </m:r>
            </m:sub>
            <m:sup>
              <m:r>
                <w:rPr>
                  <w:rFonts w:ascii="Cambria Math" w:hAnsi="Cambria Math"/>
                </w:rPr>
                <m:t>aj</m:t>
              </m:r>
            </m:sup>
            <m:e>
              <m:d>
                <m:dPr>
                  <m:ctrlPr>
                    <w:rPr>
                      <w:rFonts w:ascii="Cambria Math" w:hAnsi="Cambria Math"/>
                      <w:i/>
                    </w:rPr>
                  </m:ctrlPr>
                </m:dPr>
                <m:e>
                  <m:sSub>
                    <m:sSubPr>
                      <m:ctrlPr>
                        <w:rPr>
                          <w:rFonts w:ascii="Cambria Math" w:hAnsi="Cambria Math"/>
                          <w:i/>
                        </w:rPr>
                      </m:ctrlPr>
                    </m:sSubPr>
                    <m:e>
                      <m:r>
                        <w:rPr>
                          <w:rFonts w:ascii="Cambria Math" w:hAnsi="Cambria Math"/>
                        </w:rPr>
                        <m:t>CNE</m:t>
                      </m:r>
                    </m:e>
                    <m:sub>
                      <m:r>
                        <w:rPr>
                          <w:rFonts w:ascii="Cambria Math" w:hAnsi="Cambria Math"/>
                        </w:rPr>
                        <m:t>m,u</m:t>
                      </m:r>
                    </m:sub>
                  </m:sSub>
                </m:e>
              </m:d>
            </m:e>
          </m:nary>
          <m:r>
            <w:rPr>
              <w:rFonts w:ascii="Cambria Math" w:hAnsi="Cambria Math"/>
            </w:rPr>
            <m:t>+</m:t>
          </m:r>
          <m:sSub>
            <m:sSubPr>
              <m:ctrlPr>
                <w:rPr>
                  <w:rFonts w:ascii="Cambria Math" w:hAnsi="Cambria Math"/>
                  <w:i/>
                </w:rPr>
              </m:ctrlPr>
            </m:sSubPr>
            <m:e>
              <m:r>
                <w:rPr>
                  <w:rFonts w:ascii="Cambria Math" w:hAnsi="Cambria Math"/>
                </w:rPr>
                <m:t>CSTRP</m:t>
              </m:r>
            </m:e>
            <m:sub>
              <m:r>
                <w:rPr>
                  <w:rFonts w:ascii="Cambria Math" w:hAnsi="Cambria Math"/>
                </w:rPr>
                <m:t>m-1</m:t>
              </m:r>
            </m:sub>
          </m:sSub>
        </m:oMath>
      </m:oMathPara>
    </w:p>
    <w:p w:rsidR="00407449" w:rsidRPr="004E6CFC" w:rsidRDefault="00407449" w:rsidP="00407449">
      <w:pPr>
        <w:ind w:left="1416" w:hanging="1416"/>
      </w:pPr>
      <w:r w:rsidRPr="004E6CFC">
        <w:t>Donde:</w:t>
      </w:r>
    </w:p>
    <w:p w:rsidR="00407449" w:rsidRPr="004E6CFC" w:rsidRDefault="00407449" w:rsidP="00407449">
      <w:pPr>
        <w:ind w:left="1416" w:hanging="1416"/>
      </w:pPr>
      <w:r w:rsidRPr="004E6CFC">
        <w:rPr>
          <w:i/>
        </w:rPr>
        <w:t>CSTR</w:t>
      </w:r>
      <w:r w:rsidRPr="004E6CFC">
        <w:rPr>
          <w:i/>
          <w:vertAlign w:val="subscript"/>
        </w:rPr>
        <w:t>j,m</w:t>
      </w:r>
      <w:r w:rsidRPr="004E6CFC">
        <w:t xml:space="preserve"> :</w:t>
      </w:r>
      <w:r w:rsidRPr="004E6CFC">
        <w:tab/>
        <w:t xml:space="preserve">Suma de los valores que debe compensar en el STR el OR </w:t>
      </w:r>
      <w:r w:rsidRPr="004E6CFC">
        <w:rPr>
          <w:i/>
        </w:rPr>
        <w:t>j</w:t>
      </w:r>
      <w:r w:rsidRPr="004E6CFC">
        <w:t xml:space="preserve"> por incumplimiento de lo establecido en este capítulo, en el mes </w:t>
      </w:r>
      <w:r w:rsidRPr="004E6CFC">
        <w:rPr>
          <w:i/>
        </w:rPr>
        <w:t>m</w:t>
      </w:r>
      <w:r w:rsidRPr="004E6CFC">
        <w:t xml:space="preserve">. </w:t>
      </w:r>
    </w:p>
    <w:p w:rsidR="00407449" w:rsidRPr="004E6CFC" w:rsidRDefault="00407449" w:rsidP="00407449">
      <w:pPr>
        <w:ind w:left="1416" w:hanging="1416"/>
      </w:pPr>
      <w:r w:rsidRPr="004E6CFC">
        <w:rPr>
          <w:i/>
        </w:rPr>
        <w:t>CIM</w:t>
      </w:r>
      <w:r w:rsidRPr="004E6CFC">
        <w:rPr>
          <w:i/>
          <w:vertAlign w:val="subscript"/>
        </w:rPr>
        <w:t>m,u</w:t>
      </w:r>
      <w:r w:rsidRPr="004E6CFC">
        <w:t xml:space="preserve"> :</w:t>
      </w:r>
      <w:r w:rsidRPr="004E6CFC">
        <w:tab/>
        <w:t xml:space="preserve">Compensación por incumplimiento de metas, del activo </w:t>
      </w:r>
      <w:r w:rsidRPr="004E6CFC">
        <w:rPr>
          <w:i/>
        </w:rPr>
        <w:t>u</w:t>
      </w:r>
      <w:r w:rsidRPr="004E6CFC">
        <w:t>, en el mes </w:t>
      </w:r>
      <w:r w:rsidRPr="004E6CFC">
        <w:rPr>
          <w:i/>
        </w:rPr>
        <w:t>m</w:t>
      </w:r>
      <w:r w:rsidRPr="004E6CFC">
        <w:t xml:space="preserve">. </w:t>
      </w:r>
    </w:p>
    <w:p w:rsidR="00407449" w:rsidRPr="004E6CFC" w:rsidRDefault="00407449" w:rsidP="00407449">
      <w:pPr>
        <w:ind w:left="1416" w:hanging="1416"/>
        <w:rPr>
          <w:rFonts w:cs="Arial"/>
        </w:rPr>
      </w:pPr>
      <w:r w:rsidRPr="004E6CFC">
        <w:rPr>
          <w:i/>
        </w:rPr>
        <w:t>VHRC</w:t>
      </w:r>
      <w:r w:rsidRPr="004E6CFC">
        <w:rPr>
          <w:i/>
          <w:vertAlign w:val="subscript"/>
        </w:rPr>
        <w:t>m,u,j</w:t>
      </w:r>
      <w:r w:rsidRPr="004E6CFC">
        <w:t>:</w:t>
      </w:r>
      <w:r w:rsidRPr="004E6CFC">
        <w:tab/>
        <w:t xml:space="preserve">Valor horario de referencia para el cálculo de la compensación del activo </w:t>
      </w:r>
      <w:r w:rsidRPr="004E6CFC">
        <w:rPr>
          <w:i/>
        </w:rPr>
        <w:t>u</w:t>
      </w:r>
      <w:r w:rsidRPr="004E6CFC">
        <w:t xml:space="preserve">, del OR </w:t>
      </w:r>
      <w:r w:rsidRPr="004E6CFC">
        <w:rPr>
          <w:i/>
        </w:rPr>
        <w:t>j</w:t>
      </w:r>
      <w:r w:rsidRPr="004E6CFC">
        <w:t xml:space="preserve">, durante el mes </w:t>
      </w:r>
      <w:r w:rsidRPr="004E6CFC">
        <w:rPr>
          <w:i/>
        </w:rPr>
        <w:t>m</w:t>
      </w:r>
      <w:r w:rsidRPr="004E6CFC">
        <w:t>.</w:t>
      </w:r>
    </w:p>
    <w:p w:rsidR="00407449" w:rsidRPr="004E6CFC" w:rsidRDefault="00407449" w:rsidP="00407449">
      <w:pPr>
        <w:ind w:left="1416" w:hanging="1416"/>
      </w:pPr>
      <w:r w:rsidRPr="004E6CFC">
        <w:rPr>
          <w:i/>
        </w:rPr>
        <w:t>IMRT</w:t>
      </w:r>
      <w:r w:rsidRPr="004E6CFC">
        <w:rPr>
          <w:i/>
          <w:vertAlign w:val="subscript"/>
        </w:rPr>
        <w:t>m,u</w:t>
      </w:r>
      <w:r w:rsidRPr="004E6CFC">
        <w:t>:</w:t>
      </w:r>
      <w:r w:rsidRPr="004E6CFC">
        <w:tab/>
        <w:t xml:space="preserve">Ingreso mensual temporal para el activo </w:t>
      </w:r>
      <w:r w:rsidRPr="004E6CFC">
        <w:rPr>
          <w:i/>
        </w:rPr>
        <w:t>u</w:t>
      </w:r>
      <w:r w:rsidRPr="004E6CFC">
        <w:t xml:space="preserve">, en el mes </w:t>
      </w:r>
      <w:r w:rsidRPr="004E6CFC">
        <w:rPr>
          <w:i/>
        </w:rPr>
        <w:t>m</w:t>
      </w:r>
      <w:r w:rsidRPr="004E6CFC">
        <w:t xml:space="preserve">, mientras el activo </w:t>
      </w:r>
      <w:r w:rsidRPr="004E6CFC">
        <w:rPr>
          <w:i/>
        </w:rPr>
        <w:t>u</w:t>
      </w:r>
      <w:r w:rsidRPr="004E6CFC">
        <w:t xml:space="preserve"> esté indisponible por las causas citadas en el numeral </w:t>
      </w:r>
      <w:r w:rsidRPr="004E6CFC">
        <w:fldChar w:fldCharType="begin"/>
      </w:r>
      <w:r w:rsidRPr="004E6CFC">
        <w:instrText xml:space="preserve"> REF _Ref184401837 \r \h  \* MERGEFORMAT </w:instrText>
      </w:r>
      <w:r w:rsidRPr="004E6CFC">
        <w:fldChar w:fldCharType="separate"/>
      </w:r>
      <w:r w:rsidR="00737178">
        <w:t>5.1.13</w:t>
      </w:r>
      <w:r w:rsidRPr="004E6CFC">
        <w:fldChar w:fldCharType="end"/>
      </w:r>
      <w:r w:rsidRPr="004E6CFC">
        <w:t>.</w:t>
      </w:r>
    </w:p>
    <w:p w:rsidR="00407449" w:rsidRPr="004E6CFC" w:rsidRDefault="00407449" w:rsidP="00407449">
      <w:pPr>
        <w:ind w:left="1416" w:hanging="1416"/>
      </w:pPr>
      <w:r w:rsidRPr="004E6CFC">
        <w:rPr>
          <w:i/>
        </w:rPr>
        <w:t>CNE</w:t>
      </w:r>
      <w:r w:rsidRPr="004E6CFC">
        <w:rPr>
          <w:i/>
          <w:vertAlign w:val="subscript"/>
        </w:rPr>
        <w:t>m,u</w:t>
      </w:r>
      <w:r w:rsidRPr="004E6CFC">
        <w:t xml:space="preserve">: </w:t>
      </w:r>
      <w:r w:rsidRPr="004E6CFC">
        <w:tab/>
        <w:t xml:space="preserve">Compensación del activo </w:t>
      </w:r>
      <w:r w:rsidRPr="004E6CFC">
        <w:rPr>
          <w:i/>
        </w:rPr>
        <w:t>u</w:t>
      </w:r>
      <w:r w:rsidRPr="004E6CFC">
        <w:t xml:space="preserve">, en el mes </w:t>
      </w:r>
      <w:r w:rsidRPr="004E6CFC">
        <w:rPr>
          <w:i/>
        </w:rPr>
        <w:t>m</w:t>
      </w:r>
      <w:r w:rsidRPr="004E6CFC">
        <w:t>, por energía no suministrada o por dejar no operativos otros activos.</w:t>
      </w:r>
    </w:p>
    <w:p w:rsidR="00407449" w:rsidRPr="004E6CFC" w:rsidRDefault="00407449" w:rsidP="00407449">
      <w:pPr>
        <w:ind w:left="1416" w:hanging="1416"/>
      </w:pPr>
      <w:r w:rsidRPr="004E6CFC">
        <w:rPr>
          <w:i/>
        </w:rPr>
        <w:t>C</w:t>
      </w:r>
      <w:r>
        <w:rPr>
          <w:i/>
        </w:rPr>
        <w:t>STR</w:t>
      </w:r>
      <w:r w:rsidRPr="004E6CFC">
        <w:rPr>
          <w:i/>
        </w:rPr>
        <w:t>P</w:t>
      </w:r>
      <w:r w:rsidRPr="004E6CFC">
        <w:rPr>
          <w:i/>
          <w:vertAlign w:val="subscript"/>
        </w:rPr>
        <w:t>m-1</w:t>
      </w:r>
      <w:r w:rsidRPr="004E6CFC">
        <w:t xml:space="preserve">: </w:t>
      </w:r>
      <w:r w:rsidRPr="004E6CFC">
        <w:tab/>
        <w:t>Valor de la</w:t>
      </w:r>
      <w:r>
        <w:t>s</w:t>
      </w:r>
      <w:r w:rsidRPr="004E6CFC">
        <w:t xml:space="preserve"> compensaci</w:t>
      </w:r>
      <w:r>
        <w:t>ones del STR que, de acuerdo con lo establecido en esta resolución,</w:t>
      </w:r>
      <w:r w:rsidRPr="004E6CFC">
        <w:t xml:space="preserve"> qued</w:t>
      </w:r>
      <w:r>
        <w:t>aron</w:t>
      </w:r>
      <w:r w:rsidRPr="004E6CFC">
        <w:t xml:space="preserve"> pendiente</w:t>
      </w:r>
      <w:r>
        <w:t>s</w:t>
      </w:r>
      <w:r w:rsidRPr="004E6CFC">
        <w:t xml:space="preserve"> por descontar en el mes </w:t>
      </w:r>
      <w:r w:rsidRPr="004E6CFC">
        <w:rPr>
          <w:i/>
        </w:rPr>
        <w:t>m-1</w:t>
      </w:r>
      <w:r w:rsidRPr="004E6CFC">
        <w:t>.</w:t>
      </w:r>
    </w:p>
    <w:p w:rsidR="00407449" w:rsidRPr="004E6CFC" w:rsidRDefault="00407449" w:rsidP="00407449">
      <w:pPr>
        <w:ind w:left="1416" w:hanging="1416"/>
      </w:pPr>
      <w:r w:rsidRPr="004E6CFC">
        <w:rPr>
          <w:i/>
        </w:rPr>
        <w:t>aj</w:t>
      </w:r>
      <w:r w:rsidRPr="004E6CFC">
        <w:t>:</w:t>
      </w:r>
      <w:r w:rsidRPr="004E6CFC">
        <w:tab/>
        <w:t xml:space="preserve">Número de activos del OR </w:t>
      </w:r>
      <w:r w:rsidRPr="004E6CFC">
        <w:rPr>
          <w:i/>
        </w:rPr>
        <w:t>j</w:t>
      </w:r>
      <w:r w:rsidRPr="004E6CFC">
        <w:t xml:space="preserve"> que se encuentra en cada una de las situaciones descritas.</w:t>
      </w:r>
    </w:p>
    <w:p w:rsidR="00407449" w:rsidRPr="004E6CFC" w:rsidRDefault="00407449" w:rsidP="00407449">
      <w:pPr>
        <w:pStyle w:val="Ttulo3"/>
      </w:pPr>
      <w:bookmarkStart w:id="463" w:name="_Ref334449541"/>
      <w:bookmarkStart w:id="464" w:name="_Toc334454919"/>
      <w:bookmarkStart w:id="465" w:name="_Toc408493175"/>
      <w:bookmarkStart w:id="466" w:name="_Toc440439842"/>
      <w:bookmarkStart w:id="467" w:name="_Toc460840610"/>
      <w:bookmarkStart w:id="468" w:name="_Toc466009870"/>
      <w:bookmarkStart w:id="469" w:name="_Toc476824163"/>
      <w:bookmarkStart w:id="470" w:name="_Toc505070087"/>
      <w:bookmarkStart w:id="471" w:name="_Toc505335943"/>
      <w:r w:rsidRPr="004E6CFC">
        <w:t>Informe sobre ENS</w:t>
      </w:r>
      <w:bookmarkEnd w:id="463"/>
      <w:bookmarkEnd w:id="464"/>
      <w:bookmarkEnd w:id="465"/>
      <w:bookmarkEnd w:id="466"/>
      <w:bookmarkEnd w:id="467"/>
      <w:bookmarkEnd w:id="468"/>
      <w:bookmarkEnd w:id="469"/>
      <w:bookmarkEnd w:id="470"/>
      <w:bookmarkEnd w:id="471"/>
    </w:p>
    <w:p w:rsidR="00407449" w:rsidRPr="004E6CFC" w:rsidRDefault="00407449" w:rsidP="00407449">
      <w:r w:rsidRPr="004E6CFC">
        <w:t xml:space="preserve">Cuando la variable </w:t>
      </w:r>
      <w:r w:rsidRPr="004E6CFC">
        <w:rPr>
          <w:i/>
        </w:rPr>
        <w:t>PENS</w:t>
      </w:r>
      <w:r w:rsidRPr="004E6CFC">
        <w:rPr>
          <w:i/>
          <w:vertAlign w:val="subscript"/>
        </w:rPr>
        <w:t>j,h</w:t>
      </w:r>
      <w:r w:rsidRPr="004E6CFC">
        <w:t>, supere el porcentaje definido en el numeral 3.4 de la Resolución CREG 094 de 2012 el CND deberá publicar en su página para consulta de las empresas y entidades interesadas, un informe donde se haga el análisis detallado del evento ocurrido y contenga como mínimo lo siguiente:</w:t>
      </w:r>
    </w:p>
    <w:p w:rsidR="00407449" w:rsidRPr="004E6CFC" w:rsidRDefault="00407449" w:rsidP="009C086B">
      <w:pPr>
        <w:pStyle w:val="Prrafodelista"/>
        <w:numPr>
          <w:ilvl w:val="0"/>
          <w:numId w:val="41"/>
        </w:numPr>
      </w:pPr>
      <w:r w:rsidRPr="004E6CFC">
        <w:t>descripción del evento registrado,</w:t>
      </w:r>
    </w:p>
    <w:p w:rsidR="00407449" w:rsidRPr="004E6CFC" w:rsidRDefault="00407449" w:rsidP="009C086B">
      <w:pPr>
        <w:pStyle w:val="Prrafodelista"/>
        <w:numPr>
          <w:ilvl w:val="0"/>
          <w:numId w:val="41"/>
        </w:numPr>
      </w:pPr>
      <w:r w:rsidRPr="004E6CFC">
        <w:lastRenderedPageBreak/>
        <w:t>activo causantes del evento,</w:t>
      </w:r>
    </w:p>
    <w:p w:rsidR="00407449" w:rsidRPr="004E6CFC" w:rsidRDefault="00407449" w:rsidP="009C086B">
      <w:pPr>
        <w:pStyle w:val="Prrafodelista"/>
        <w:numPr>
          <w:ilvl w:val="0"/>
          <w:numId w:val="41"/>
        </w:numPr>
      </w:pPr>
      <w:r w:rsidRPr="004E6CFC">
        <w:t>valores y memoria de cálculo de todas las variables descritas en este capítulo,</w:t>
      </w:r>
    </w:p>
    <w:p w:rsidR="00407449" w:rsidRPr="004E6CFC" w:rsidRDefault="00407449" w:rsidP="009C086B">
      <w:pPr>
        <w:pStyle w:val="Prrafodelista"/>
        <w:numPr>
          <w:ilvl w:val="0"/>
          <w:numId w:val="41"/>
        </w:numPr>
      </w:pPr>
      <w:r w:rsidRPr="004E6CFC">
        <w:t>para los mercados de comercialización afectados, la curva de potencia activa del periodo horario del evento, de los 12 periodos anteriores y de los 12 siguientes a la ocurrencia del mismo, y</w:t>
      </w:r>
    </w:p>
    <w:p w:rsidR="00407449" w:rsidRPr="004E6CFC" w:rsidRDefault="00407449" w:rsidP="009C086B">
      <w:pPr>
        <w:pStyle w:val="Prrafodelista"/>
        <w:numPr>
          <w:ilvl w:val="0"/>
          <w:numId w:val="41"/>
        </w:numPr>
      </w:pPr>
      <w:r w:rsidRPr="004E6CFC">
        <w:t>el informe final del evento previsto en los acuerdos del CNO.</w:t>
      </w:r>
    </w:p>
    <w:p w:rsidR="00407449" w:rsidRPr="004E6CFC" w:rsidRDefault="00407449" w:rsidP="00407449">
      <w:r w:rsidRPr="004E6CFC">
        <w:rPr>
          <w:lang w:val="es-CO"/>
        </w:rPr>
        <w:t xml:space="preserve">El informe sobre ENS será elaborado y publicado por el CND, teniendo en cuenta los plazos establecidos en los acuerdos del CNO para la presentación de los informes de análisis del evento. El CND deberá enviar copia de este informe a la SSPD con el fin de aportar información que sirva como herramienta de análisis </w:t>
      </w:r>
      <w:r w:rsidRPr="004E6CFC">
        <w:t>para lo de su competencia.</w:t>
      </w:r>
    </w:p>
    <w:p w:rsidR="00407449" w:rsidRPr="004E6CFC" w:rsidRDefault="00407449" w:rsidP="00407449">
      <w:pPr>
        <w:pStyle w:val="Ttulo3"/>
      </w:pPr>
      <w:bookmarkStart w:id="472" w:name="_Toc334454902"/>
      <w:bookmarkStart w:id="473" w:name="_Ref403634510"/>
      <w:bookmarkStart w:id="474" w:name="_Toc408493176"/>
      <w:bookmarkStart w:id="475" w:name="_Toc440439843"/>
      <w:bookmarkStart w:id="476" w:name="_Toc460840611"/>
      <w:bookmarkStart w:id="477" w:name="_Toc466009871"/>
      <w:bookmarkStart w:id="478" w:name="_Toc476824164"/>
      <w:bookmarkStart w:id="479" w:name="_Toc505070088"/>
      <w:bookmarkStart w:id="480" w:name="_Toc505335944"/>
      <w:r w:rsidRPr="004E6CFC">
        <w:t xml:space="preserve">Zona excluida de </w:t>
      </w:r>
      <w:bookmarkEnd w:id="472"/>
      <w:r w:rsidRPr="004E6CFC">
        <w:t>CNE</w:t>
      </w:r>
      <w:bookmarkEnd w:id="473"/>
      <w:bookmarkEnd w:id="474"/>
      <w:bookmarkEnd w:id="475"/>
      <w:bookmarkEnd w:id="476"/>
      <w:bookmarkEnd w:id="477"/>
      <w:bookmarkEnd w:id="478"/>
      <w:bookmarkEnd w:id="479"/>
      <w:bookmarkEnd w:id="480"/>
    </w:p>
    <w:p w:rsidR="00407449" w:rsidRPr="004E6CFC" w:rsidRDefault="00407449" w:rsidP="00407449">
      <w:r w:rsidRPr="004E6CFC">
        <w:t xml:space="preserve">Una zona excluida de CNE es la zona del STR que, en condiciones normales de operación, es alimentada sólo por un circuito o sólo por un transformador, de los que conforman el STR. También podrán ser zonas excluidas de CNE, de manera temporal, aquellas zonas que se alimenten sólo por un circuito o sólo por un transformador, de los que conforman el STR, cuando los demás activos que alimentan la zona se encuentren indisponibles por los eventos excluidos de que trata el numeral </w:t>
      </w:r>
      <w:r w:rsidRPr="004E6CFC">
        <w:fldChar w:fldCharType="begin"/>
      </w:r>
      <w:r w:rsidRPr="004E6CFC">
        <w:instrText xml:space="preserve"> REF _Ref184147568 \r \h  \* MERGEFORMAT </w:instrText>
      </w:r>
      <w:r w:rsidRPr="004E6CFC">
        <w:fldChar w:fldCharType="separate"/>
      </w:r>
      <w:r w:rsidR="00737178">
        <w:t>5.1.9</w:t>
      </w:r>
      <w:r w:rsidRPr="004E6CFC">
        <w:fldChar w:fldCharType="end"/>
      </w:r>
      <w:r w:rsidRPr="004E6CFC">
        <w:t>. La zona dejará de ser zona excluida de CNE en el momento en que otro activo del STR alimente dicha zona.</w:t>
      </w:r>
    </w:p>
    <w:p w:rsidR="00407449" w:rsidRPr="004E6CFC" w:rsidRDefault="00407449" w:rsidP="00407449">
      <w:r w:rsidRPr="004E6CFC">
        <w:rPr>
          <w:lang w:val="es-CO"/>
        </w:rPr>
        <w:t>Las</w:t>
      </w:r>
      <w:r w:rsidRPr="004E6CFC">
        <w:t xml:space="preserve"> zonas del STR que cumplan con las condiciones establecidas en este numeral se denominarán zonas excluidas de CNE y para ellas no habrá lugar al cálculo de compensaciones por dejar no operativos otros activos o por ENS, ante eventos ocasionados por los activos que las conforman.</w:t>
      </w:r>
    </w:p>
    <w:p w:rsidR="00407449" w:rsidRPr="004E6CFC" w:rsidRDefault="00407449" w:rsidP="00407449">
      <w:pPr>
        <w:pStyle w:val="Ttulo4"/>
        <w:ind w:left="864" w:hanging="864"/>
      </w:pPr>
      <w:bookmarkStart w:id="481" w:name="_Ref334447551"/>
      <w:bookmarkStart w:id="482" w:name="_Toc334454904"/>
      <w:r w:rsidRPr="004E6CFC">
        <w:t>Lista de zonas excluidas de CNE</w:t>
      </w:r>
      <w:bookmarkEnd w:id="481"/>
      <w:bookmarkEnd w:id="482"/>
      <w:r w:rsidRPr="004E6CFC">
        <w:t xml:space="preserve"> </w:t>
      </w:r>
    </w:p>
    <w:p w:rsidR="00407449" w:rsidRPr="004E6CFC" w:rsidRDefault="00407449" w:rsidP="00407449">
      <w:r w:rsidRPr="004E6CFC">
        <w:t>Para que una zona sea considerada como zona excluida de CNE, el CND verificará que cumple con la definición y los requisitos previstos en el siguiente numeral. El CND deberá publicar en su página web la lista de zonas excluidas de CNE y el conjunto de activos del STR que hacen parte de cada una de ellas. Si varios OR identifican activos que dependen eléctricamente de un mismo activo, el CND los agrupará y conformará una sola zona excluida de CNE.</w:t>
      </w:r>
    </w:p>
    <w:p w:rsidR="00407449" w:rsidRPr="004E6CFC" w:rsidRDefault="00407449" w:rsidP="00407449">
      <w:r w:rsidRPr="004E6CFC">
        <w:t>El CND actualizará la lista cuando se identifique una nueva zona excluida de CNE que cumpla con los requisitos. También actualizará la lista cuando elimine una zona excluida de CNE por una de las siguientes causas: i) entró en operación comercial un proyecto que cambia alguna condición que sirvió para que la zona excluida de CNE fuera identificada previamente como tal, o ii) el proyecto, definido como viable por la UPME, no entró en operación comercial en la fecha prevista por esta entidad.</w:t>
      </w:r>
    </w:p>
    <w:p w:rsidR="00407449" w:rsidRPr="004E6CFC" w:rsidRDefault="00407449" w:rsidP="00407449">
      <w:pPr>
        <w:rPr>
          <w:rFonts w:cs="Arial"/>
        </w:rPr>
      </w:pPr>
      <w:r w:rsidRPr="004E6CFC">
        <w:t>La lista actualizada de zonas excluidas de CNE serán tenidas en cuenta por el LAC en la estimación de las compensaciones, a partir del primer día calendario del mes siguiente a cuando el CND la haya publicado en su página de Internet.</w:t>
      </w:r>
    </w:p>
    <w:p w:rsidR="00407449" w:rsidRPr="004E6CFC" w:rsidRDefault="00407449" w:rsidP="00407449">
      <w:r w:rsidRPr="004E6CFC">
        <w:lastRenderedPageBreak/>
        <w:t xml:space="preserve">Para el caso de las zonas excluidas de CNE de manera temporal, el CND determinará un listado de aquellas zonas que en el mes anterior se ajustaron a la condición que para tal fin se establece en el numeral </w:t>
      </w:r>
      <w:r w:rsidRPr="004E6CFC">
        <w:fldChar w:fldCharType="begin"/>
      </w:r>
      <w:r w:rsidRPr="004E6CFC">
        <w:instrText xml:space="preserve"> REF _Ref403634510 \r \h  \* MERGEFORMAT </w:instrText>
      </w:r>
      <w:r w:rsidRPr="004E6CFC">
        <w:fldChar w:fldCharType="separate"/>
      </w:r>
      <w:r w:rsidR="00737178">
        <w:t>5.1.16</w:t>
      </w:r>
      <w:r w:rsidRPr="004E6CFC">
        <w:fldChar w:fldCharType="end"/>
      </w:r>
      <w:r w:rsidRPr="004E6CFC">
        <w:t>, de acuerdo con la información de eventos registrada en sus bases de datos. Este listado se publicará mensualmente en la página web del CND y será tenido en cuenta por el LAC en la estimación de las compensaciones, a partir de la fecha de su publicación.</w:t>
      </w:r>
    </w:p>
    <w:p w:rsidR="00407449" w:rsidRPr="004E6CFC" w:rsidRDefault="00407449" w:rsidP="00407449">
      <w:pPr>
        <w:pStyle w:val="Ttulo4"/>
        <w:ind w:left="864" w:hanging="864"/>
      </w:pPr>
      <w:bookmarkStart w:id="483" w:name="_Ref403633397"/>
      <w:r w:rsidRPr="004E6CFC">
        <w:t xml:space="preserve">Procedimiento </w:t>
      </w:r>
      <w:bookmarkEnd w:id="483"/>
      <w:r w:rsidRPr="004E6CFC">
        <w:t>para establecer zonas excluidas de CNE</w:t>
      </w:r>
    </w:p>
    <w:p w:rsidR="00407449" w:rsidRPr="004E6CFC" w:rsidRDefault="00407449" w:rsidP="00407449">
      <w:r w:rsidRPr="004E6CFC">
        <w:t xml:space="preserve">El OR identificará la zona excluida de CNE de acuerdo con lo señalado en el numeral </w:t>
      </w:r>
      <w:r w:rsidRPr="004E6CFC">
        <w:fldChar w:fldCharType="begin"/>
      </w:r>
      <w:r w:rsidRPr="004E6CFC">
        <w:instrText xml:space="preserve"> REF _Ref403634510 \r \h  \* MERGEFORMAT </w:instrText>
      </w:r>
      <w:r w:rsidRPr="004E6CFC">
        <w:fldChar w:fldCharType="separate"/>
      </w:r>
      <w:r w:rsidR="00737178">
        <w:t>5.1.16</w:t>
      </w:r>
      <w:r w:rsidRPr="004E6CFC">
        <w:fldChar w:fldCharType="end"/>
      </w:r>
      <w:r w:rsidRPr="004E6CFC">
        <w:t xml:space="preserve"> y para que sea considerada como tal, deberá cumplir con lo siguiente:</w:t>
      </w:r>
    </w:p>
    <w:p w:rsidR="00407449" w:rsidRPr="004E6CFC" w:rsidRDefault="00407449" w:rsidP="009C086B">
      <w:pPr>
        <w:pStyle w:val="Prrafodelista"/>
        <w:numPr>
          <w:ilvl w:val="0"/>
          <w:numId w:val="42"/>
        </w:numPr>
      </w:pPr>
      <w:r w:rsidRPr="004E6CFC">
        <w:t xml:space="preserve">Enviar al CND el diagrama unifilar de la zona excluida de CNE, </w:t>
      </w:r>
    </w:p>
    <w:p w:rsidR="00407449" w:rsidRPr="004E6CFC" w:rsidRDefault="00407449" w:rsidP="009C086B">
      <w:pPr>
        <w:pStyle w:val="Prrafodelista"/>
        <w:numPr>
          <w:ilvl w:val="0"/>
          <w:numId w:val="42"/>
        </w:numPr>
      </w:pPr>
      <w:r w:rsidRPr="004E6CFC">
        <w:t xml:space="preserve">Identificar e informar al </w:t>
      </w:r>
      <w:r>
        <w:t>CND</w:t>
      </w:r>
      <w:r w:rsidRPr="004E6CFC">
        <w:t xml:space="preserve"> los activos del STR que hacen parte de la zona excluida de CNE.</w:t>
      </w:r>
    </w:p>
    <w:p w:rsidR="00407449" w:rsidRPr="004E6CFC" w:rsidRDefault="00407449" w:rsidP="009C086B">
      <w:pPr>
        <w:pStyle w:val="Prrafodelista"/>
        <w:numPr>
          <w:ilvl w:val="0"/>
          <w:numId w:val="42"/>
        </w:numPr>
      </w:pPr>
      <w:bookmarkStart w:id="484" w:name="_Ref403635260"/>
      <w:r w:rsidRPr="004E6CFC">
        <w:t>Presentar a la UPME un estudio de alternativas para mitigar el riesgo de fallas en el suministro de energía en las áreas que se encuentren en la condición citada, dentro del mercado de comercialización atendido por el OR. Para esto se deberá tener en cuenta lo siguiente:</w:t>
      </w:r>
      <w:bookmarkEnd w:id="484"/>
    </w:p>
    <w:p w:rsidR="00407449" w:rsidRPr="004E6CFC" w:rsidRDefault="00407449" w:rsidP="009C086B">
      <w:pPr>
        <w:pStyle w:val="Prrafodelista"/>
        <w:numPr>
          <w:ilvl w:val="0"/>
          <w:numId w:val="53"/>
        </w:numPr>
        <w:spacing w:before="120" w:after="0"/>
      </w:pPr>
      <w:r w:rsidRPr="004E6CFC">
        <w:t>La UPME, con base en los criterios de evaluación para nuevos proyectos en el SIN, definirá la viabilidad de las alternativas planteadas y confirmará el plazo para su ejecución de acuerdo con lo planteado por el OR.</w:t>
      </w:r>
    </w:p>
    <w:p w:rsidR="00407449" w:rsidRPr="004E6CFC" w:rsidRDefault="00407449" w:rsidP="009C086B">
      <w:pPr>
        <w:pStyle w:val="Prrafodelista"/>
        <w:numPr>
          <w:ilvl w:val="0"/>
          <w:numId w:val="53"/>
        </w:numPr>
        <w:spacing w:before="120" w:after="0"/>
      </w:pPr>
      <w:r w:rsidRPr="004E6CFC">
        <w:t>Si la UPME no considera viable ninguna de las alternativas planteadas y no sugiere otra factible, la zona se considerará zona excluida de CNE.</w:t>
      </w:r>
    </w:p>
    <w:p w:rsidR="00407449" w:rsidRPr="004E6CFC" w:rsidRDefault="00407449" w:rsidP="009C086B">
      <w:pPr>
        <w:pStyle w:val="Prrafodelista"/>
        <w:numPr>
          <w:ilvl w:val="0"/>
          <w:numId w:val="53"/>
        </w:numPr>
        <w:spacing w:before="120" w:after="0"/>
      </w:pPr>
      <w:r w:rsidRPr="004E6CFC">
        <w:t>Si se tiene una alternativa con el visto bueno de la UPME, el valor a compensar, CNE, empezará a ser liquidado por el LAC a partir de la fecha que haya confirmado la UPME para la entrada en operación del nuevo proyecto.</w:t>
      </w:r>
    </w:p>
    <w:p w:rsidR="00407449" w:rsidRPr="004E6CFC" w:rsidRDefault="00407449" w:rsidP="009C086B">
      <w:pPr>
        <w:pStyle w:val="Prrafodelista"/>
        <w:numPr>
          <w:ilvl w:val="0"/>
          <w:numId w:val="42"/>
        </w:numPr>
      </w:pPr>
      <w:r w:rsidRPr="004E6CFC">
        <w:t xml:space="preserve">Enviar al CND copia de la comunicación donde la UPME indique, para cada zona, que el OR entregó la información prevista en literal anterior junto con la información que esta entidad requirió para definir la viabilidad de las alternativas presentadas. </w:t>
      </w:r>
    </w:p>
    <w:p w:rsidR="00407449" w:rsidRPr="004E6CFC" w:rsidRDefault="00407449" w:rsidP="00407449">
      <w:r w:rsidRPr="004E6CFC">
        <w:t>Las zonas excluidas de CNE que hayan sido identificadas con anterioridad a la entrada en vigencia de esta resolución no requerirán cumplir de nuevo estos requisitos y se mantendrán en el listado hasta que otro activo del STR alimente dicha zona o hasta la fecha de entrada en operación que apruebe la UPME para un nuevo proyecto que alimente esta zona.</w:t>
      </w:r>
    </w:p>
    <w:p w:rsidR="00407449" w:rsidRPr="004E6CFC" w:rsidRDefault="00407449" w:rsidP="00407449">
      <w:pPr>
        <w:pStyle w:val="Ttulo3"/>
      </w:pPr>
      <w:bookmarkStart w:id="485" w:name="_Toc210616106"/>
      <w:bookmarkStart w:id="486" w:name="_Toc408493177"/>
      <w:bookmarkStart w:id="487" w:name="_Toc440439844"/>
      <w:bookmarkStart w:id="488" w:name="_Toc460840612"/>
      <w:bookmarkStart w:id="489" w:name="_Toc476824165"/>
      <w:bookmarkStart w:id="490" w:name="_Toc505070089"/>
      <w:bookmarkStart w:id="491" w:name="_Toc505335945"/>
      <w:r w:rsidRPr="004E6CFC">
        <w:t>Límite de los valores a compensar</w:t>
      </w:r>
      <w:bookmarkEnd w:id="485"/>
      <w:bookmarkEnd w:id="486"/>
      <w:bookmarkEnd w:id="487"/>
      <w:bookmarkEnd w:id="488"/>
      <w:bookmarkEnd w:id="489"/>
      <w:bookmarkEnd w:id="490"/>
      <w:bookmarkEnd w:id="491"/>
    </w:p>
    <w:p w:rsidR="00407449" w:rsidRPr="004E6CFC" w:rsidRDefault="00407449" w:rsidP="00407449">
      <w:pPr>
        <w:rPr>
          <w:rFonts w:cs="Arial"/>
        </w:rPr>
      </w:pPr>
      <w:r w:rsidRPr="004E6CFC">
        <w:rPr>
          <w:rFonts w:cs="Arial"/>
        </w:rPr>
        <w:t>El LAC deberá tener en cuenta que el valor total a descontar en el mes </w:t>
      </w:r>
      <w:r w:rsidRPr="004E6CFC">
        <w:rPr>
          <w:rFonts w:cs="Arial"/>
          <w:i/>
        </w:rPr>
        <w:t>m</w:t>
      </w:r>
      <w:r w:rsidRPr="004E6CFC">
        <w:rPr>
          <w:rFonts w:cs="Arial"/>
        </w:rPr>
        <w:t>, al OR </w:t>
      </w:r>
      <w:r w:rsidRPr="004E6CFC">
        <w:rPr>
          <w:rFonts w:cs="Arial"/>
          <w:i/>
        </w:rPr>
        <w:t>j</w:t>
      </w:r>
      <w:r w:rsidRPr="004E6CFC">
        <w:rPr>
          <w:rFonts w:cs="Arial"/>
        </w:rPr>
        <w:t>, por concepto de compensaciones en el STR no podrá superar el 60 % de la suma de los ingresos en este sistema antes de compensaciones. Si el valor a descontar fuere mayor a dicho porcentaje, el saldo pendiente se deducirá durante los siguientes meses verificando que no se supere el tope del 60 %.</w:t>
      </w:r>
    </w:p>
    <w:p w:rsidR="00407449" w:rsidRPr="004E6CFC" w:rsidRDefault="00407449" w:rsidP="00407449">
      <w:pPr>
        <w:rPr>
          <w:rFonts w:cs="Arial"/>
        </w:rPr>
      </w:pPr>
      <w:r w:rsidRPr="004E6CFC">
        <w:rPr>
          <w:rFonts w:cs="Arial"/>
        </w:rPr>
        <w:lastRenderedPageBreak/>
        <w:t xml:space="preserve">Además, la suma del valor de las compensaciones en el STR para cada OR </w:t>
      </w:r>
      <w:r w:rsidRPr="004E6CFC">
        <w:rPr>
          <w:rFonts w:cs="Arial"/>
          <w:i/>
        </w:rPr>
        <w:t>j</w:t>
      </w:r>
      <w:r w:rsidRPr="004E6CFC">
        <w:rPr>
          <w:rFonts w:cs="Arial"/>
        </w:rPr>
        <w:t xml:space="preserve">, en un año calendario, estarán limitadas a un valor equivalente al 30 % del ingreso del OR en ese año para el nivel de tensión 4, estimado actualizando la variable </w:t>
      </w:r>
      <w:r w:rsidRPr="004E6CFC">
        <w:rPr>
          <w:rFonts w:cs="Arial"/>
          <w:i/>
        </w:rPr>
        <w:t>IAA</w:t>
      </w:r>
      <w:r w:rsidRPr="004E6CFC">
        <w:rPr>
          <w:rFonts w:cs="Arial"/>
          <w:i/>
          <w:vertAlign w:val="subscript"/>
        </w:rPr>
        <w:t>j,4,t</w:t>
      </w:r>
      <w:r w:rsidRPr="004E6CFC">
        <w:rPr>
          <w:rFonts w:cs="Arial"/>
        </w:rPr>
        <w:t xml:space="preserve">, definida en el capítulo </w:t>
      </w:r>
      <w:r w:rsidRPr="004E6CFC">
        <w:rPr>
          <w:rFonts w:cs="Arial"/>
        </w:rPr>
        <w:fldChar w:fldCharType="begin"/>
      </w:r>
      <w:r w:rsidRPr="004E6CFC">
        <w:rPr>
          <w:rFonts w:cs="Arial"/>
        </w:rPr>
        <w:instrText xml:space="preserve"> REF _Ref398643120 \r \h\t  \* MERGEFORMAT </w:instrText>
      </w:r>
      <w:r w:rsidRPr="004E6CFC">
        <w:rPr>
          <w:rFonts w:cs="Arial"/>
        </w:rPr>
      </w:r>
      <w:r w:rsidRPr="004E6CFC">
        <w:rPr>
          <w:rFonts w:cs="Arial"/>
        </w:rPr>
        <w:fldChar w:fldCharType="separate"/>
      </w:r>
      <w:r w:rsidR="00737178">
        <w:rPr>
          <w:rFonts w:cs="Arial"/>
        </w:rPr>
        <w:t>3</w:t>
      </w:r>
      <w:r w:rsidRPr="004E6CFC">
        <w:rPr>
          <w:rFonts w:cs="Arial"/>
        </w:rPr>
        <w:fldChar w:fldCharType="end"/>
      </w:r>
      <w:r w:rsidRPr="004E6CFC">
        <w:rPr>
          <w:rFonts w:cs="Arial"/>
        </w:rPr>
        <w:t>, con el IPP de diciembre del año anterior.</w:t>
      </w:r>
    </w:p>
    <w:p w:rsidR="00407449" w:rsidRPr="004E6CFC" w:rsidRDefault="00407449" w:rsidP="00407449">
      <w:pPr>
        <w:rPr>
          <w:rFonts w:cs="Arial"/>
        </w:rPr>
      </w:pPr>
      <w:r w:rsidRPr="004E6CFC">
        <w:rPr>
          <w:rFonts w:cs="Arial"/>
        </w:rPr>
        <w:t>Con el objeto de verificar este límite, el LAC calculará mensualmente para cada OR la siguiente variable:</w:t>
      </w:r>
    </w:p>
    <w:p w:rsidR="00407449" w:rsidRPr="004E6CFC" w:rsidRDefault="00C9592F" w:rsidP="00407449">
      <w:pPr>
        <w:rPr>
          <w:rFonts w:cs="Arial"/>
        </w:rPr>
      </w:pPr>
      <m:oMathPara>
        <m:oMath>
          <m:sSub>
            <m:sSubPr>
              <m:ctrlPr>
                <w:rPr>
                  <w:rFonts w:ascii="Cambria Math" w:hAnsi="Cambria Math" w:cs="Arial"/>
                  <w:i/>
                </w:rPr>
              </m:ctrlPr>
            </m:sSubPr>
            <m:e>
              <m:r>
                <w:rPr>
                  <w:rFonts w:ascii="Cambria Math" w:hAnsi="Cambria Math" w:cs="Arial"/>
                </w:rPr>
                <m:t>ACSTR</m:t>
              </m:r>
            </m:e>
            <m:sub>
              <m:r>
                <w:rPr>
                  <w:rFonts w:ascii="Cambria Math" w:hAnsi="Cambria Math" w:cs="Arial"/>
                </w:rPr>
                <m:t>j,m</m:t>
              </m:r>
            </m:sub>
          </m:sSub>
          <m:r>
            <w:rPr>
              <w:rFonts w:ascii="Cambria Math" w:hAnsi="Cambria Math" w:cs="Arial"/>
            </w:rPr>
            <m:t>=</m:t>
          </m:r>
          <m:nary>
            <m:naryPr>
              <m:chr m:val="∑"/>
              <m:limLoc m:val="undOvr"/>
              <m:ctrlPr>
                <w:rPr>
                  <w:rFonts w:ascii="Cambria Math" w:hAnsi="Cambria Math" w:cs="Arial"/>
                  <w:i/>
                </w:rPr>
              </m:ctrlPr>
            </m:naryPr>
            <m:sub>
              <m:r>
                <w:rPr>
                  <w:rFonts w:ascii="Cambria Math" w:hAnsi="Cambria Math" w:cs="Arial"/>
                </w:rPr>
                <m:t>i=1</m:t>
              </m:r>
            </m:sub>
            <m:sup>
              <m:r>
                <w:rPr>
                  <w:rFonts w:ascii="Cambria Math" w:hAnsi="Cambria Math" w:cs="Arial"/>
                </w:rPr>
                <m:t>m</m:t>
              </m:r>
            </m:sup>
            <m:e>
              <m:sSub>
                <m:sSubPr>
                  <m:ctrlPr>
                    <w:rPr>
                      <w:rFonts w:ascii="Cambria Math" w:hAnsi="Cambria Math" w:cs="Arial"/>
                      <w:i/>
                    </w:rPr>
                  </m:ctrlPr>
                </m:sSubPr>
                <m:e>
                  <m:r>
                    <w:rPr>
                      <w:rFonts w:ascii="Cambria Math" w:hAnsi="Cambria Math" w:cs="Arial"/>
                    </w:rPr>
                    <m:t>CSTR</m:t>
                  </m:r>
                </m:e>
                <m:sub>
                  <m:r>
                    <w:rPr>
                      <w:rFonts w:ascii="Cambria Math" w:hAnsi="Cambria Math" w:cs="Arial"/>
                    </w:rPr>
                    <m:t>j,i</m:t>
                  </m:r>
                </m:sub>
              </m:sSub>
            </m:e>
          </m:nary>
        </m:oMath>
      </m:oMathPara>
    </w:p>
    <w:p w:rsidR="00407449" w:rsidRPr="004E6CFC" w:rsidRDefault="00407449" w:rsidP="00407449">
      <w:pPr>
        <w:rPr>
          <w:rFonts w:cs="Arial"/>
        </w:rPr>
      </w:pPr>
      <w:r w:rsidRPr="004E6CFC">
        <w:rPr>
          <w:rFonts w:cs="Arial"/>
        </w:rPr>
        <w:t>Donde:</w:t>
      </w:r>
    </w:p>
    <w:p w:rsidR="00407449" w:rsidRPr="004E6CFC" w:rsidRDefault="00407449" w:rsidP="00407449">
      <w:pPr>
        <w:spacing w:before="120"/>
        <w:ind w:left="1416" w:hanging="1416"/>
        <w:rPr>
          <w:rFonts w:cs="Arial"/>
        </w:rPr>
      </w:pPr>
      <w:r w:rsidRPr="004E6CFC">
        <w:rPr>
          <w:rFonts w:cs="Arial"/>
          <w:i/>
        </w:rPr>
        <w:t>ACSTR</w:t>
      </w:r>
      <w:r w:rsidRPr="004E6CFC">
        <w:rPr>
          <w:rFonts w:cs="Arial"/>
          <w:i/>
          <w:vertAlign w:val="subscript"/>
        </w:rPr>
        <w:t>j,m</w:t>
      </w:r>
      <w:r w:rsidRPr="004E6CFC">
        <w:rPr>
          <w:rFonts w:cs="Arial"/>
        </w:rPr>
        <w:t>:</w:t>
      </w:r>
      <w:r w:rsidRPr="004E6CFC">
        <w:rPr>
          <w:rFonts w:cs="Arial"/>
        </w:rPr>
        <w:tab/>
        <w:t xml:space="preserve">Valor acumulado de las compensaciones en el STR durante los meses transcurridos del año calendario hasta el mes </w:t>
      </w:r>
      <w:r w:rsidRPr="004E6CFC">
        <w:rPr>
          <w:rFonts w:cs="Arial"/>
          <w:i/>
        </w:rPr>
        <w:t>m</w:t>
      </w:r>
      <w:r w:rsidRPr="004E6CFC">
        <w:rPr>
          <w:rFonts w:cs="Arial"/>
        </w:rPr>
        <w:t>.</w:t>
      </w:r>
    </w:p>
    <w:p w:rsidR="00407449" w:rsidRPr="004E6CFC" w:rsidRDefault="00407449" w:rsidP="00407449">
      <w:pPr>
        <w:ind w:left="1416" w:hanging="1416"/>
      </w:pPr>
      <w:r w:rsidRPr="004E6CFC">
        <w:rPr>
          <w:i/>
        </w:rPr>
        <w:t>CSTR</w:t>
      </w:r>
      <w:r w:rsidRPr="004E6CFC">
        <w:rPr>
          <w:i/>
          <w:vertAlign w:val="subscript"/>
        </w:rPr>
        <w:t>j,m</w:t>
      </w:r>
      <w:r w:rsidRPr="004E6CFC">
        <w:t xml:space="preserve"> :</w:t>
      </w:r>
      <w:r w:rsidRPr="004E6CFC">
        <w:tab/>
        <w:t xml:space="preserve">Suma de los valores que debe compensar en el STR el OR </w:t>
      </w:r>
      <w:r w:rsidRPr="004E6CFC">
        <w:rPr>
          <w:i/>
        </w:rPr>
        <w:t>j</w:t>
      </w:r>
      <w:r w:rsidRPr="004E6CFC">
        <w:t xml:space="preserve"> por incumplimiento de lo establecido en este capítulo, en el mes </w:t>
      </w:r>
      <w:r w:rsidRPr="004E6CFC">
        <w:rPr>
          <w:i/>
        </w:rPr>
        <w:t>m</w:t>
      </w:r>
      <w:r w:rsidRPr="004E6CFC">
        <w:t xml:space="preserve">. </w:t>
      </w:r>
    </w:p>
    <w:p w:rsidR="00407449" w:rsidRPr="004E6CFC" w:rsidRDefault="00407449" w:rsidP="00407449">
      <w:pPr>
        <w:rPr>
          <w:rFonts w:cs="Arial"/>
        </w:rPr>
      </w:pPr>
      <w:r w:rsidRPr="004E6CFC">
        <w:rPr>
          <w:rFonts w:cs="Arial"/>
        </w:rPr>
        <w:t xml:space="preserve">Si para un mes </w:t>
      </w:r>
      <w:r w:rsidRPr="004E6CFC">
        <w:rPr>
          <w:rFonts w:cs="Arial"/>
          <w:i/>
        </w:rPr>
        <w:t>m</w:t>
      </w:r>
      <w:r w:rsidRPr="004E6CFC">
        <w:rPr>
          <w:rFonts w:cs="Arial"/>
        </w:rPr>
        <w:t xml:space="preserve"> se obtiene que el valor acumulado supera el 30 % del ingreso del nivel de tensión 4 del OR  para ese año el LAC liquidará al OR </w:t>
      </w:r>
      <w:r w:rsidRPr="004E6CFC">
        <w:rPr>
          <w:rFonts w:cs="Arial"/>
          <w:i/>
        </w:rPr>
        <w:t>j</w:t>
      </w:r>
      <w:r w:rsidRPr="004E6CFC">
        <w:rPr>
          <w:rFonts w:cs="Arial"/>
        </w:rPr>
        <w:t xml:space="preserve">, para ese mes, un valor </w:t>
      </w:r>
      <m:oMath>
        <m:sSub>
          <m:sSubPr>
            <m:ctrlPr>
              <w:rPr>
                <w:rFonts w:ascii="Cambria Math" w:hAnsi="Cambria Math" w:cs="Arial"/>
                <w:i/>
              </w:rPr>
            </m:ctrlPr>
          </m:sSubPr>
          <m:e>
            <m:r>
              <w:rPr>
                <w:rFonts w:ascii="Cambria Math" w:hAnsi="Cambria Math" w:cs="Arial"/>
              </w:rPr>
              <m:t>CSTR</m:t>
            </m:r>
          </m:e>
          <m:sub>
            <m:r>
              <w:rPr>
                <w:rFonts w:ascii="Cambria Math" w:hAnsi="Cambria Math" w:cs="Arial"/>
              </w:rPr>
              <m:t>j,m</m:t>
            </m:r>
          </m:sub>
        </m:sSub>
      </m:oMath>
      <w:r w:rsidRPr="004E6CFC">
        <w:rPr>
          <w:rFonts w:cs="Arial"/>
        </w:rPr>
        <w:t xml:space="preserve"> tal que el ACSTR</w:t>
      </w:r>
      <w:r w:rsidRPr="004E6CFC">
        <w:rPr>
          <w:rFonts w:cs="Arial"/>
          <w:vertAlign w:val="subscript"/>
        </w:rPr>
        <w:t>j,m</w:t>
      </w:r>
      <w:r w:rsidRPr="004E6CFC">
        <w:rPr>
          <w:rFonts w:cs="Arial"/>
        </w:rPr>
        <w:t xml:space="preserve"> no sup</w:t>
      </w:r>
      <w:r w:rsidR="00401E00">
        <w:rPr>
          <w:rFonts w:cs="Arial"/>
        </w:rPr>
        <w:t xml:space="preserve">ere el 30% del ingreso anual y </w:t>
      </w:r>
      <w:r w:rsidRPr="004E6CFC">
        <w:rPr>
          <w:rFonts w:cs="Arial"/>
        </w:rPr>
        <w:t xml:space="preserve">la SSPD podrá considerar </w:t>
      </w:r>
      <w:r w:rsidR="00401E00">
        <w:rPr>
          <w:rFonts w:cs="Arial"/>
        </w:rPr>
        <w:t>que la empresa no está prestando el servicio con la calidad debida</w:t>
      </w:r>
      <w:r w:rsidRPr="004E6CFC">
        <w:rPr>
          <w:rFonts w:cs="Arial"/>
        </w:rPr>
        <w:t>.</w:t>
      </w:r>
    </w:p>
    <w:p w:rsidR="00407449" w:rsidRPr="004E6CFC" w:rsidRDefault="00407449" w:rsidP="00407449">
      <w:pPr>
        <w:pStyle w:val="Ttulo2"/>
      </w:pPr>
      <w:bookmarkStart w:id="492" w:name="_Toc505070090"/>
      <w:bookmarkStart w:id="493" w:name="_Toc505335946"/>
      <w:r w:rsidRPr="004E6CFC">
        <w:t>Calidad del Servicio en los SDL</w:t>
      </w:r>
      <w:bookmarkEnd w:id="492"/>
      <w:bookmarkEnd w:id="493"/>
    </w:p>
    <w:p w:rsidR="00407449" w:rsidRPr="004E6CFC" w:rsidRDefault="00407449" w:rsidP="00407449">
      <w:r w:rsidRPr="004E6CFC">
        <w:rPr>
          <w:lang w:val="es-CO"/>
        </w:rPr>
        <w:t>L</w:t>
      </w:r>
      <w:r w:rsidRPr="004E6CFC">
        <w:t xml:space="preserve">a calidad del servicio brindada por un OR será medida en términos de la duración y la frecuencia de los eventos que perciban los usuarios conectados a sus redes. Para el efecto se adoptan indicadores para establecer la calidad media del </w:t>
      </w:r>
      <w:r w:rsidR="00285A2D">
        <w:t>SDL</w:t>
      </w:r>
      <w:r w:rsidRPr="004E6CFC">
        <w:t xml:space="preserve"> del OR, así como para establecer la calidad individual que perciba cada uno de sus usuarios.  </w:t>
      </w:r>
    </w:p>
    <w:p w:rsidR="00407449" w:rsidRPr="004E6CFC" w:rsidRDefault="00407449" w:rsidP="00407449">
      <w:r w:rsidRPr="004E6CFC">
        <w:t>En función de las mejoras o desmejoras alcanzadas en la calidad media del sistema con respecto a una meta establecida regulatoriamente, el OR será objeto de aplicación de un esquema de incentivos el cual, le permitirá aumentar su ingreso, o disminuirlo, según sea el caso, durante el año inmediatamente siguiente a la evaluación.</w:t>
      </w:r>
    </w:p>
    <w:p w:rsidR="00407449" w:rsidRPr="004E6CFC" w:rsidRDefault="00407449" w:rsidP="00407449">
      <w:r w:rsidRPr="004E6CFC">
        <w:t xml:space="preserve">El esquema de incentivos se complementa con un esquema de compensaciones a los usuarios, el cual busca garantizar un nivel mínimo de calidad individual y dar señales para disminuir la dispersión de la calidad prestada por el OR en torno a la calidad media. </w:t>
      </w:r>
    </w:p>
    <w:p w:rsidR="00407449" w:rsidRPr="004E6CFC" w:rsidRDefault="00407449" w:rsidP="00407449">
      <w:r w:rsidRPr="004E6CFC">
        <w:t xml:space="preserve">En este capítulo se definen todos los conceptos que se requieren para la aplicación del esquema anteriormente descrito. </w:t>
      </w:r>
    </w:p>
    <w:p w:rsidR="00407449" w:rsidRPr="004E6CFC" w:rsidRDefault="00407449" w:rsidP="00407449">
      <w:pPr>
        <w:autoSpaceDE w:val="0"/>
        <w:autoSpaceDN w:val="0"/>
        <w:adjustRightInd w:val="0"/>
        <w:spacing w:before="0" w:after="0"/>
        <w:rPr>
          <w:rFonts w:cs="Bookman Old Style"/>
          <w:lang w:val="es-CO" w:eastAsia="es-CO"/>
        </w:rPr>
      </w:pPr>
      <w:r w:rsidRPr="004E6CFC">
        <w:rPr>
          <w:rFonts w:cs="Bookman Old Style"/>
          <w:lang w:val="es-CO" w:eastAsia="es-CO"/>
        </w:rPr>
        <w:t xml:space="preserve">La aplicación del esquema de incentivos y compensaciones descrito en este numeral no limita los derechos de los usuarios para reclamar ante el OR los perjuicios causados por la discontinuidad del servicio. </w:t>
      </w:r>
    </w:p>
    <w:p w:rsidR="00407449" w:rsidRPr="004E6CFC" w:rsidRDefault="00407449" w:rsidP="00407449">
      <w:pPr>
        <w:autoSpaceDE w:val="0"/>
        <w:autoSpaceDN w:val="0"/>
        <w:adjustRightInd w:val="0"/>
        <w:rPr>
          <w:rFonts w:cs="Bookman Old Style"/>
          <w:lang w:val="es-CO" w:eastAsia="es-CO"/>
        </w:rPr>
      </w:pPr>
      <w:r w:rsidRPr="004E6CFC">
        <w:rPr>
          <w:rFonts w:cs="Bookman Old Style"/>
          <w:lang w:val="es-CO" w:eastAsia="es-CO"/>
        </w:rPr>
        <w:t xml:space="preserve">En caso de presentarse diferencias en la información utilizada para la aplicación del esquema de incentivos y compensaciones, entre la reportada por los agentes </w:t>
      </w:r>
      <w:r w:rsidRPr="004E6CFC">
        <w:rPr>
          <w:rFonts w:cs="Bookman Old Style"/>
          <w:lang w:val="es-CO" w:eastAsia="es-CO"/>
        </w:rPr>
        <w:lastRenderedPageBreak/>
        <w:t>y la contabilizada por los usuarios, estos últimos tienen el derecho que les reconocen los artículos 152 y siguientes de la Ley 142 de 1994 para presentar peticiones, quejas, recursos y reclamaciones.</w:t>
      </w:r>
    </w:p>
    <w:p w:rsidR="00407449" w:rsidRPr="004E6CFC" w:rsidRDefault="00407449" w:rsidP="00407449">
      <w:pPr>
        <w:autoSpaceDE w:val="0"/>
        <w:autoSpaceDN w:val="0"/>
        <w:adjustRightInd w:val="0"/>
        <w:rPr>
          <w:rFonts w:cs="Bookman Old Style"/>
          <w:lang w:val="es-CO" w:eastAsia="es-CO"/>
        </w:rPr>
      </w:pPr>
      <w:r w:rsidRPr="004E6CFC">
        <w:rPr>
          <w:rFonts w:cs="Bookman Old Style"/>
          <w:lang w:val="es-CO" w:eastAsia="es-CO"/>
        </w:rPr>
        <w:t>El esquema de incentivos y compensaciones que se define en esta resolución corresponde al nivel mínimo que deben cumplir las empresas dentro del plan regulatorio de metas para el mejoramiento de la calidad, el cual en concordancia con lo dispuesto por los artículos 58 y 59 de Ley 142 de 1994, estarán sujetos al seguimiento, vigilancia y control de la SSPD.</w:t>
      </w:r>
    </w:p>
    <w:p w:rsidR="00407449" w:rsidRPr="004E6CFC" w:rsidRDefault="00401E00" w:rsidP="00407449">
      <w:pPr>
        <w:autoSpaceDE w:val="0"/>
        <w:autoSpaceDN w:val="0"/>
        <w:adjustRightInd w:val="0"/>
        <w:rPr>
          <w:rFonts w:cs="Bookman Old Style"/>
          <w:lang w:val="es-CO" w:eastAsia="es-CO"/>
        </w:rPr>
      </w:pPr>
      <w:r w:rsidRPr="00401E00">
        <w:rPr>
          <w:rFonts w:cs="Bookman Old Style"/>
          <w:lang w:val="es-CO" w:eastAsia="es-CO"/>
        </w:rPr>
        <w:t>Para efectos de cumplir con la obligación prevista en el artículo 136 de la Ley 142 de 1994, o cualquier norma que la modifique o la adicione, los OR deberán abstenerse de incurrir en cualquiera de los siguientes escenarios</w:t>
      </w:r>
      <w:r w:rsidR="00407449" w:rsidRPr="004E6CFC">
        <w:rPr>
          <w:rFonts w:cs="Bookman Old Style"/>
          <w:lang w:val="es-CO" w:eastAsia="es-CO"/>
        </w:rPr>
        <w:t>:</w:t>
      </w:r>
    </w:p>
    <w:p w:rsidR="00407449" w:rsidRPr="004E6CFC" w:rsidRDefault="00401E00" w:rsidP="008B04A9">
      <w:pPr>
        <w:pStyle w:val="Prrafodelista"/>
        <w:numPr>
          <w:ilvl w:val="0"/>
          <w:numId w:val="98"/>
        </w:numPr>
        <w:spacing w:before="0" w:after="0"/>
      </w:pPr>
      <w:r>
        <w:t>ser</w:t>
      </w:r>
      <w:r w:rsidR="00407449" w:rsidRPr="004E6CFC">
        <w:t xml:space="preserve"> sujeto de incentivo negativo ya sea por no haber alcanzado las metas de calidad media establecidas o por no cumplir los requisitos y plazos establecidos para aplicar el esquema de calidad </w:t>
      </w:r>
    </w:p>
    <w:p w:rsidR="00407449" w:rsidRPr="004E6CFC" w:rsidRDefault="00407449" w:rsidP="008B04A9">
      <w:pPr>
        <w:pStyle w:val="Prrafodelista"/>
        <w:numPr>
          <w:ilvl w:val="0"/>
          <w:numId w:val="98"/>
        </w:numPr>
        <w:spacing w:before="0" w:after="0"/>
      </w:pPr>
      <w:r w:rsidRPr="004E6CFC">
        <w:t>tene</w:t>
      </w:r>
      <w:r w:rsidR="00401E00">
        <w:t>r</w:t>
      </w:r>
      <w:r w:rsidRPr="004E6CFC">
        <w:t xml:space="preserve"> al menos un usuario cuyo DIU o FIU es mayor a 360, horas o 360 veces, según corresponda</w:t>
      </w:r>
    </w:p>
    <w:p w:rsidR="00407449" w:rsidRPr="004E6CFC" w:rsidRDefault="00401E00" w:rsidP="008B04A9">
      <w:pPr>
        <w:pStyle w:val="Prrafodelista"/>
        <w:numPr>
          <w:ilvl w:val="0"/>
          <w:numId w:val="98"/>
        </w:numPr>
        <w:spacing w:before="0" w:after="0"/>
      </w:pPr>
      <w:r>
        <w:t xml:space="preserve">pagar compensaciones totales en un año que </w:t>
      </w:r>
      <w:r w:rsidRPr="004E6CFC">
        <w:t>sobrepas</w:t>
      </w:r>
      <w:r>
        <w:t xml:space="preserve">en </w:t>
      </w:r>
      <w:r w:rsidRPr="004E6CFC">
        <w:t xml:space="preserve">el 5% del ingreso </w:t>
      </w:r>
      <w:r>
        <w:t>de la misma vigencia</w:t>
      </w:r>
      <w:r w:rsidR="00407449" w:rsidRPr="004E6CFC">
        <w:t>, estimada</w:t>
      </w:r>
      <w:r>
        <w:t>s</w:t>
      </w:r>
      <w:r w:rsidR="00407449" w:rsidRPr="004E6CFC">
        <w:t xml:space="preserve"> según lo establecido en el numeral</w:t>
      </w:r>
      <w:r w:rsidR="00407449">
        <w:t xml:space="preserve"> </w:t>
      </w:r>
      <w:r w:rsidR="00407449">
        <w:fldChar w:fldCharType="begin"/>
      </w:r>
      <w:r w:rsidR="00407449">
        <w:instrText xml:space="preserve"> REF _Ref504828894 \r \h </w:instrText>
      </w:r>
      <w:r w:rsidR="00407449">
        <w:fldChar w:fldCharType="separate"/>
      </w:r>
      <w:r w:rsidR="00737178">
        <w:t>5.2.4.3</w:t>
      </w:r>
      <w:r w:rsidR="00407449">
        <w:fldChar w:fldCharType="end"/>
      </w:r>
      <w:r w:rsidR="00407449" w:rsidRPr="004E6CFC">
        <w:t xml:space="preserve">, </w:t>
      </w:r>
    </w:p>
    <w:p w:rsidR="00407449" w:rsidRPr="004E6CFC" w:rsidRDefault="00407449" w:rsidP="008B04A9">
      <w:pPr>
        <w:pStyle w:val="Prrafodelista"/>
        <w:numPr>
          <w:ilvl w:val="0"/>
          <w:numId w:val="98"/>
        </w:numPr>
        <w:spacing w:before="0" w:after="0"/>
      </w:pPr>
      <w:r w:rsidRPr="004E6CFC">
        <w:t>no disminu</w:t>
      </w:r>
      <w:r w:rsidR="00401E00">
        <w:t>ir</w:t>
      </w:r>
      <w:r w:rsidRPr="004E6CFC">
        <w:t xml:space="preserve"> </w:t>
      </w:r>
      <w:r w:rsidR="00401E00" w:rsidRPr="004E6CFC">
        <w:t xml:space="preserve">durante un año </w:t>
      </w:r>
      <w:r w:rsidRPr="004E6CFC">
        <w:t>la cantidad promedio mensual de usuarios sujetos de compensación con respecto al año anterior</w:t>
      </w:r>
    </w:p>
    <w:p w:rsidR="00407449" w:rsidRPr="004E6CFC" w:rsidRDefault="00407449" w:rsidP="008B04A9">
      <w:pPr>
        <w:pStyle w:val="Prrafodelista"/>
        <w:numPr>
          <w:ilvl w:val="0"/>
          <w:numId w:val="98"/>
        </w:numPr>
        <w:spacing w:before="0" w:after="0"/>
      </w:pPr>
      <w:r w:rsidRPr="004E6CFC">
        <w:t>no apr</w:t>
      </w:r>
      <w:r w:rsidR="00401E00">
        <w:t xml:space="preserve">obar </w:t>
      </w:r>
      <w:r w:rsidRPr="004E6CFC">
        <w:t xml:space="preserve">la verificación de la cual trata el numeral </w:t>
      </w:r>
      <w:r w:rsidRPr="004E6CFC">
        <w:fldChar w:fldCharType="begin"/>
      </w:r>
      <w:r w:rsidRPr="004E6CFC">
        <w:instrText xml:space="preserve"> REF _Ref405913308 \r \h  \* MERGEFORMAT </w:instrText>
      </w:r>
      <w:r w:rsidRPr="004E6CFC">
        <w:fldChar w:fldCharType="separate"/>
      </w:r>
      <w:r w:rsidR="00737178">
        <w:t>5.2.12</w:t>
      </w:r>
      <w:r w:rsidRPr="004E6CFC">
        <w:fldChar w:fldCharType="end"/>
      </w:r>
      <w:r w:rsidRPr="004E6CFC">
        <w:t>.</w:t>
      </w:r>
    </w:p>
    <w:p w:rsidR="00407449" w:rsidRPr="004E6CFC" w:rsidRDefault="00407449" w:rsidP="008B04A9">
      <w:pPr>
        <w:pStyle w:val="Prrafodelista"/>
        <w:numPr>
          <w:ilvl w:val="0"/>
          <w:numId w:val="98"/>
        </w:numPr>
        <w:spacing w:before="0" w:after="0"/>
      </w:pPr>
      <w:r w:rsidRPr="004E6CFC">
        <w:t>no certifica</w:t>
      </w:r>
      <w:r w:rsidR="00401E00">
        <w:t>r</w:t>
      </w:r>
      <w:r w:rsidRPr="004E6CFC">
        <w:t xml:space="preserve"> el cumplimiento de requisitos en los términos definidos en el numeral </w:t>
      </w:r>
      <w:r w:rsidRPr="004E6CFC">
        <w:fldChar w:fldCharType="begin"/>
      </w:r>
      <w:r w:rsidRPr="004E6CFC">
        <w:instrText xml:space="preserve"> REF _Ref445106432 \r \h  \* MERGEFORMAT </w:instrText>
      </w:r>
      <w:r w:rsidRPr="004E6CFC">
        <w:fldChar w:fldCharType="separate"/>
      </w:r>
      <w:r w:rsidR="00737178">
        <w:t>5.2.10.1</w:t>
      </w:r>
      <w:r w:rsidRPr="004E6CFC">
        <w:fldChar w:fldCharType="end"/>
      </w:r>
      <w:r w:rsidRPr="004E6CFC">
        <w:t>.</w:t>
      </w:r>
    </w:p>
    <w:p w:rsidR="00407449" w:rsidRPr="004E6CFC" w:rsidRDefault="00407449" w:rsidP="00407449">
      <w:pPr>
        <w:spacing w:before="0" w:after="0"/>
        <w:ind w:left="-13"/>
      </w:pPr>
    </w:p>
    <w:p w:rsidR="00407449" w:rsidRPr="004E6CFC" w:rsidRDefault="00407449" w:rsidP="00407449">
      <w:pPr>
        <w:spacing w:before="0" w:after="0"/>
        <w:ind w:left="-13"/>
      </w:pPr>
      <w:r w:rsidRPr="004E6CFC">
        <w:t>Para la clasificación de los eventos sucedidos en los SDL y la identificación de las exclusiones que se tendrán en cuenta para la aplicación del esquema de incentivos y compensaciones, se aplica lo siguiente:</w:t>
      </w:r>
    </w:p>
    <w:p w:rsidR="00407449" w:rsidRPr="004E6CFC" w:rsidRDefault="00407449" w:rsidP="00407449">
      <w:pPr>
        <w:pStyle w:val="Ttulo3"/>
      </w:pPr>
      <w:bookmarkStart w:id="494" w:name="_Ref403662475"/>
      <w:bookmarkStart w:id="495" w:name="_Toc505070091"/>
      <w:bookmarkStart w:id="496" w:name="_Toc505335947"/>
      <w:r w:rsidRPr="004E6CFC">
        <w:t xml:space="preserve">Clasificación de </w:t>
      </w:r>
      <w:bookmarkEnd w:id="494"/>
      <w:r w:rsidRPr="004E6CFC">
        <w:t>los eventos</w:t>
      </w:r>
      <w:bookmarkEnd w:id="495"/>
      <w:bookmarkEnd w:id="496"/>
    </w:p>
    <w:p w:rsidR="00407449" w:rsidRPr="004E6CFC" w:rsidRDefault="00407449" w:rsidP="00407449">
      <w:r w:rsidRPr="004E6CFC">
        <w:t>Teniendo en cuenta que un evento haya sido previsto o no por el OR, se clasifican así:</w:t>
      </w:r>
    </w:p>
    <w:p w:rsidR="00407449" w:rsidRPr="004E6CFC" w:rsidRDefault="00407449" w:rsidP="009C086B">
      <w:pPr>
        <w:pStyle w:val="Prrafodelista"/>
        <w:numPr>
          <w:ilvl w:val="0"/>
          <w:numId w:val="20"/>
        </w:numPr>
      </w:pPr>
      <w:r w:rsidRPr="004E6CFC">
        <w:t>No programados: Son aquellos eventos en los elementos que componen un SDL que no fueron programados por el OR y que suceden por situaciones no preestablecidas por él.</w:t>
      </w:r>
    </w:p>
    <w:p w:rsidR="00407449" w:rsidRPr="004E6CFC" w:rsidRDefault="00407449" w:rsidP="009C086B">
      <w:pPr>
        <w:pStyle w:val="Prrafodelista"/>
        <w:numPr>
          <w:ilvl w:val="0"/>
          <w:numId w:val="20"/>
        </w:numPr>
      </w:pPr>
      <w:r w:rsidRPr="004E6CFC">
        <w:t xml:space="preserve">Programados: Son aquellos eventos programados por el OR a efectos de realizar expansiones, remodelaciones, ampliaciones, reposiciones, mejoras, mantenimientos preventivos y/o mantenimientos correctivos, etc. en sus redes, instalaciones y/o equipos. Estos eventos deben ser informadas a los usuarios afectados con una antelación mínima de </w:t>
      </w:r>
      <w:r w:rsidRPr="004E6CFC">
        <w:rPr>
          <w:color w:val="000000" w:themeColor="text1"/>
        </w:rPr>
        <w:t xml:space="preserve">48 horas a través de cualquier medio de comunicación masivo que garantice su adecuada información. El OR debe de todas formas garantizar el envío automático de un mensaje de texto o de correo electrónico brindando esta información a todos los usuarios de quienes tenga este tipo de contacto. Cuando los eventos programados afecten cargas industriales, el tiempo de notificación </w:t>
      </w:r>
      <w:r w:rsidRPr="004E6CFC">
        <w:t>no podrá ser inferior a 72 horas y requerirá una comunicación escrita por parte de la empresa.</w:t>
      </w:r>
    </w:p>
    <w:p w:rsidR="00407449" w:rsidRPr="004E6CFC" w:rsidRDefault="00407449" w:rsidP="00407449">
      <w:pPr>
        <w:pStyle w:val="Ttulo3"/>
      </w:pPr>
      <w:bookmarkStart w:id="497" w:name="_Ref404852129"/>
      <w:bookmarkStart w:id="498" w:name="_Toc505070092"/>
      <w:bookmarkStart w:id="499" w:name="_Toc505335948"/>
      <w:r w:rsidRPr="004E6CFC">
        <w:lastRenderedPageBreak/>
        <w:t xml:space="preserve">Exclusión de </w:t>
      </w:r>
      <w:bookmarkEnd w:id="497"/>
      <w:r w:rsidRPr="004E6CFC">
        <w:t>eventos</w:t>
      </w:r>
      <w:bookmarkEnd w:id="498"/>
      <w:bookmarkEnd w:id="499"/>
    </w:p>
    <w:p w:rsidR="00407449" w:rsidRPr="004E6CFC" w:rsidRDefault="00407449" w:rsidP="00407449">
      <w:r w:rsidRPr="004E6CFC">
        <w:t>Para el cálculo de los indicadores de calidad promedio y calidad individual no se tendrán en cuenta los siguientes eventos:</w:t>
      </w:r>
    </w:p>
    <w:p w:rsidR="00407449" w:rsidRPr="004E6CFC" w:rsidRDefault="00407449" w:rsidP="009C086B">
      <w:pPr>
        <w:pStyle w:val="Prrafodelista"/>
        <w:numPr>
          <w:ilvl w:val="0"/>
          <w:numId w:val="21"/>
        </w:numPr>
      </w:pPr>
      <w:r w:rsidRPr="004E6CFC">
        <w:t xml:space="preserve">Los menores o iguales a </w:t>
      </w:r>
      <w:r>
        <w:t>tres</w:t>
      </w:r>
      <w:r w:rsidRPr="004E6CFC">
        <w:t xml:space="preserve"> (</w:t>
      </w:r>
      <w:r>
        <w:t>3</w:t>
      </w:r>
      <w:r w:rsidRPr="004E6CFC">
        <w:t>) minuto</w:t>
      </w:r>
      <w:r>
        <w:t>s</w:t>
      </w:r>
      <w:r w:rsidRPr="004E6CFC">
        <w:t>.</w:t>
      </w:r>
    </w:p>
    <w:p w:rsidR="00407449" w:rsidRPr="004E6CFC" w:rsidRDefault="00407449" w:rsidP="009C086B">
      <w:pPr>
        <w:pStyle w:val="Prrafodelista"/>
        <w:numPr>
          <w:ilvl w:val="0"/>
          <w:numId w:val="21"/>
        </w:numPr>
      </w:pPr>
      <w:r w:rsidRPr="004E6CFC">
        <w:t>Los debidos a racionamiento programado o a racionamiento de emergencia del sistema eléctrico nacional debido a insuficiencia en la generación nacional o por otros eventos en generación, siempre y cuando así hayan sido definidas por el CND de acuerdo con la regulación de la CREG. El CND mantendrá disponible para los OR la información relacionada con los eventos citados anteriormente, con el fin de que los excluyan del cálculo de los indicadores. Esta información será el soporte para la validación de la exclusión durante el proceso de verificación de la información.</w:t>
      </w:r>
    </w:p>
    <w:p w:rsidR="00407449" w:rsidRPr="004E6CFC" w:rsidRDefault="00407449" w:rsidP="009C086B">
      <w:pPr>
        <w:pStyle w:val="Prrafodelista"/>
        <w:numPr>
          <w:ilvl w:val="0"/>
          <w:numId w:val="21"/>
        </w:numPr>
      </w:pPr>
      <w:r w:rsidRPr="004E6CFC">
        <w:t>Los causados por eventos de activos pertenecientes al STN y al STR. El CND mantendrá disponible para los OR la información relacionada con los eventos citados anteriormente, con el fin de que los excluyan del cálculo de los indicadores. Esta información será el soporte para la validación de la exclusión durante el proceso de verificación de la información.</w:t>
      </w:r>
    </w:p>
    <w:p w:rsidR="00407449" w:rsidRPr="004E6CFC" w:rsidRDefault="00407449" w:rsidP="009C086B">
      <w:pPr>
        <w:pStyle w:val="Prrafodelista"/>
        <w:numPr>
          <w:ilvl w:val="0"/>
          <w:numId w:val="21"/>
        </w:numPr>
      </w:pPr>
      <w:r w:rsidRPr="004E6CFC">
        <w:t>Los eventos requeridos por seguridad ciudadana, solicitados por organismos de socorro o autoridades competentes. El OR debe mantener constancia de las solicitudes para la validación de las exclusiones durante el proceso de verificación de la información.</w:t>
      </w:r>
    </w:p>
    <w:p w:rsidR="00407449" w:rsidRPr="004E6CFC" w:rsidRDefault="00407449" w:rsidP="009C086B">
      <w:pPr>
        <w:pStyle w:val="Prrafodelista"/>
        <w:numPr>
          <w:ilvl w:val="0"/>
          <w:numId w:val="21"/>
        </w:numPr>
      </w:pPr>
      <w:r w:rsidRPr="004E6CFC">
        <w:t>Cuando se daña un activo de nivel de tensión 1 de propiedad de un usuario y el usuario informa al OR sobre su decisión de reponerlo, durante el tiempo que transcurra entre el aviso de falla y la reposición.</w:t>
      </w:r>
    </w:p>
    <w:p w:rsidR="00407449" w:rsidRPr="004E6CFC" w:rsidRDefault="00407449" w:rsidP="009C086B">
      <w:pPr>
        <w:pStyle w:val="Prrafodelista"/>
        <w:numPr>
          <w:ilvl w:val="0"/>
          <w:numId w:val="21"/>
        </w:numPr>
      </w:pPr>
      <w:r w:rsidRPr="004E6CFC">
        <w:t xml:space="preserve">Cuando se daña un activo de nivel de tensión 1 de propiedad de un usuario y el OR lo debe reponer, durante el tiempo que transcurra entre el aviso de falla y la reposición, siempre y cuando no se supere el límite establecido para el OR en el literal </w:t>
      </w:r>
      <w:r w:rsidRPr="004E6CFC">
        <w:fldChar w:fldCharType="begin"/>
      </w:r>
      <w:r w:rsidRPr="004E6CFC">
        <w:instrText xml:space="preserve"> REF _Ref408407936 \r \h  \* MERGEFORMAT </w:instrText>
      </w:r>
      <w:r w:rsidRPr="004E6CFC">
        <w:fldChar w:fldCharType="separate"/>
      </w:r>
      <w:r w:rsidR="00737178">
        <w:t>b</w:t>
      </w:r>
      <w:r w:rsidRPr="004E6CFC">
        <w:fldChar w:fldCharType="end"/>
      </w:r>
      <w:r w:rsidRPr="004E6CFC">
        <w:t xml:space="preserve"> del numeral</w:t>
      </w:r>
      <w:r w:rsidR="00DA7FDA">
        <w:t xml:space="preserve"> </w:t>
      </w:r>
      <w:r w:rsidR="00DA7FDA">
        <w:fldChar w:fldCharType="begin"/>
      </w:r>
      <w:r w:rsidR="00DA7FDA">
        <w:instrText xml:space="preserve"> REF _Ref505174789 \r \h </w:instrText>
      </w:r>
      <w:r w:rsidR="00DA7FDA">
        <w:fldChar w:fldCharType="separate"/>
      </w:r>
      <w:r w:rsidR="00737178">
        <w:t>1.1.4</w:t>
      </w:r>
      <w:r w:rsidR="00DA7FDA">
        <w:fldChar w:fldCharType="end"/>
      </w:r>
      <w:r w:rsidRPr="004E6CFC">
        <w:t>.</w:t>
      </w:r>
    </w:p>
    <w:p w:rsidR="00407449" w:rsidRPr="004E6CFC" w:rsidRDefault="00407449" w:rsidP="009C086B">
      <w:pPr>
        <w:pStyle w:val="Prrafodelista"/>
        <w:numPr>
          <w:ilvl w:val="0"/>
          <w:numId w:val="21"/>
        </w:numPr>
      </w:pPr>
      <w:r w:rsidRPr="004E6CFC">
        <w:t>Los debidos a catástrofes naturales, tales como erosión (volcánica, fluvial o glacial), terremotos, maremotos, huracanes, ciclones y/o tornados. El OR debe mantener el soporte dado por la autoridad competente que declaró esta situación para la validación de las exclusiones durante el proceso de verificación de la información. En un término no mayor a 12 horas el OR debe informar al comercializador y este a su vez al usuario, la causa del evento y la fecha y hora estimada de recuperación del suministro del servicio de energía eléctrica.</w:t>
      </w:r>
    </w:p>
    <w:p w:rsidR="00407449" w:rsidRPr="004E6CFC" w:rsidRDefault="00407449" w:rsidP="009C086B">
      <w:pPr>
        <w:pStyle w:val="Prrafodelista"/>
        <w:numPr>
          <w:ilvl w:val="0"/>
          <w:numId w:val="21"/>
        </w:numPr>
      </w:pPr>
      <w:r w:rsidRPr="004E6CFC">
        <w:t>Los debidos a actos de terrorismo. El OR debe mantener el soporte dado por la autoridad competente que declaró esta situación para la validación de las exclusiones durante el proceso de verificación de la información. En un término no mayor a 12 horas el OR debe informar al comercializador y este a su vez al usuario, la causa del evento y la fecha y hora estimada de recuperación del suministro del servicio de energía eléctrica.</w:t>
      </w:r>
    </w:p>
    <w:p w:rsidR="00407449" w:rsidRPr="004E6CFC" w:rsidRDefault="00407449" w:rsidP="009C086B">
      <w:pPr>
        <w:pStyle w:val="Prrafodelista"/>
        <w:numPr>
          <w:ilvl w:val="0"/>
          <w:numId w:val="21"/>
        </w:numPr>
      </w:pPr>
      <w:r w:rsidRPr="004E6CFC">
        <w:t xml:space="preserve">Los ocurridos fuera de las horas correspondientes a los “períodos de continuidad” acordados en las zonas especiales. El OR debe mantener </w:t>
      </w:r>
      <w:r w:rsidRPr="004E6CFC">
        <w:lastRenderedPageBreak/>
        <w:t>constancia de los acuerdos para la validación de las exclusiones durante el proceso de verificación de la información.</w:t>
      </w:r>
    </w:p>
    <w:p w:rsidR="00407449" w:rsidRPr="004E6CFC" w:rsidRDefault="00407449" w:rsidP="009C086B">
      <w:pPr>
        <w:pStyle w:val="Prrafodelista"/>
        <w:numPr>
          <w:ilvl w:val="0"/>
          <w:numId w:val="21"/>
        </w:numPr>
      </w:pPr>
      <w:r w:rsidRPr="004E6CFC">
        <w:t xml:space="preserve">Para efectos de contabilizar la calidad del servicio al usuario de alumbrado público, los que lo afecten entre las 6 a.m. y las 6 p.m. </w:t>
      </w:r>
    </w:p>
    <w:p w:rsidR="00407449" w:rsidRPr="004E6CFC" w:rsidRDefault="00407449" w:rsidP="009C086B">
      <w:pPr>
        <w:pStyle w:val="Prrafodelista"/>
        <w:numPr>
          <w:ilvl w:val="0"/>
          <w:numId w:val="21"/>
        </w:numPr>
      </w:pPr>
      <w:r w:rsidRPr="004E6CFC">
        <w:t>Las suspensiones o cortes del servicio por incumplimiento del contrato de servicios públicos por parte del usuario.</w:t>
      </w:r>
    </w:p>
    <w:p w:rsidR="00407449" w:rsidRPr="004E6CFC" w:rsidRDefault="00407449" w:rsidP="009C086B">
      <w:pPr>
        <w:pStyle w:val="Prrafodelista"/>
        <w:numPr>
          <w:ilvl w:val="0"/>
          <w:numId w:val="21"/>
        </w:numPr>
      </w:pPr>
      <w:r w:rsidRPr="004E6CFC">
        <w:t>Las suspensiones o cortes del servicio por programas de limitación del suministro al comercializador. El CND mantendrá disponible para los OR la información relacionada con los eventos citados anteriormente, con el fin de que los excluyan del cálculo de los indicadores. Esta información será el soporte para la validación de la exclusión durante el proceso de verificación de la información.</w:t>
      </w:r>
    </w:p>
    <w:p w:rsidR="00407449" w:rsidRPr="004E6CFC" w:rsidRDefault="00407449" w:rsidP="009C086B">
      <w:pPr>
        <w:pStyle w:val="Prrafodelista"/>
        <w:numPr>
          <w:ilvl w:val="0"/>
          <w:numId w:val="21"/>
        </w:numPr>
      </w:pPr>
      <w:r w:rsidRPr="004E6CFC">
        <w:t>Eventos originados en exigencias de traslados y adecuaciones de la infraestructura eléctrica por parte de entidades distritales, municipales, departamentales, organismos estatales competentes en temas de infraestructura y medio ambiente, o demás autoridades, o por proyectos de desarrollo en concordancia con planes de ordenamiento territorial. El OR debe mantener constancia de estas exigencias, su programación y ejecución real. Esta información será el soporte para la validación de la exclusión durante el proceso de verificación de la información.</w:t>
      </w:r>
    </w:p>
    <w:p w:rsidR="00407449" w:rsidRPr="004E6CFC" w:rsidRDefault="00407449" w:rsidP="009C086B">
      <w:pPr>
        <w:pStyle w:val="Prrafodelista"/>
        <w:numPr>
          <w:ilvl w:val="0"/>
          <w:numId w:val="21"/>
        </w:numPr>
      </w:pPr>
      <w:bookmarkStart w:id="500" w:name="_Toc408493181"/>
      <w:bookmarkStart w:id="501" w:name="_Toc411243826"/>
      <w:r w:rsidRPr="004E6CFC">
        <w:t xml:space="preserve">Los eventos debidos a trabajos de reposición o modernización en subestaciones, siempre que estos trabajos estén incluidos en </w:t>
      </w:r>
      <w:r>
        <w:t xml:space="preserve">el </w:t>
      </w:r>
      <w:r w:rsidRPr="004E6CFC">
        <w:t>plan de inversiones aprobado por la CREG de acuerdo con lo establecido en el capítulo 7, y s</w:t>
      </w:r>
      <w:r>
        <w:t>o</w:t>
      </w:r>
      <w:r w:rsidRPr="004E6CFC">
        <w:t>lo si estos eventos han</w:t>
      </w:r>
      <w:r>
        <w:t xml:space="preserve"> sido informados a la SSPD y</w:t>
      </w:r>
      <w:r w:rsidRPr="004E6CFC">
        <w:t xml:space="preserve"> </w:t>
      </w:r>
      <w:r>
        <w:t xml:space="preserve">a </w:t>
      </w:r>
      <w:r w:rsidRPr="004E6CFC">
        <w:t xml:space="preserve">los usuarios afectados </w:t>
      </w:r>
      <w:r>
        <w:t>en los siguientes términos:</w:t>
      </w:r>
    </w:p>
    <w:p w:rsidR="00407449" w:rsidRPr="004E6CFC" w:rsidRDefault="00407449" w:rsidP="00407449">
      <w:pPr>
        <w:keepNext/>
        <w:ind w:left="340"/>
      </w:pPr>
      <w:r w:rsidRPr="004E6CFC">
        <w:t>A</w:t>
      </w:r>
      <w:r>
        <w:t xml:space="preserve"> la SSPD</w:t>
      </w:r>
      <w:r w:rsidRPr="004E6CFC">
        <w:t>:</w:t>
      </w:r>
    </w:p>
    <w:p w:rsidR="00407449" w:rsidRDefault="00407449" w:rsidP="009C086B">
      <w:pPr>
        <w:pStyle w:val="Prrafodelista"/>
        <w:numPr>
          <w:ilvl w:val="0"/>
          <w:numId w:val="91"/>
        </w:numPr>
        <w:ind w:hanging="11"/>
      </w:pPr>
      <w:r>
        <w:t>A</w:t>
      </w:r>
      <w:r w:rsidRPr="004E6CFC">
        <w:t xml:space="preserve"> través de los formatos o aplicativos</w:t>
      </w:r>
      <w:r>
        <w:t xml:space="preserve"> y en los plazos </w:t>
      </w:r>
      <w:r w:rsidRPr="004E6CFC">
        <w:t>que la SSPD defin</w:t>
      </w:r>
      <w:r>
        <w:t>a</w:t>
      </w:r>
      <w:r w:rsidRPr="004E6CFC">
        <w:t xml:space="preserve"> para ello</w:t>
      </w:r>
      <w:r>
        <w:t xml:space="preserve">, el OR debe reportar su plan anual de trabajos de reposición o modernización en subestaciones, especificando </w:t>
      </w:r>
      <w:r w:rsidRPr="00CE7BF3">
        <w:t>como mínimo lo siguiente</w:t>
      </w:r>
      <w:r>
        <w:t>:</w:t>
      </w:r>
    </w:p>
    <w:p w:rsidR="00407449" w:rsidRPr="00616096" w:rsidRDefault="00407449" w:rsidP="009C086B">
      <w:pPr>
        <w:pStyle w:val="Prrafodelista"/>
        <w:numPr>
          <w:ilvl w:val="1"/>
          <w:numId w:val="91"/>
        </w:numPr>
      </w:pPr>
      <w:r w:rsidRPr="00616096">
        <w:t xml:space="preserve">El </w:t>
      </w:r>
      <w:r>
        <w:t>programa completo de actividades, incluido en el plan de inversiones aprobado por la CREG de acuerdo a lo establecido en el capítulo</w:t>
      </w:r>
      <w:r w:rsidR="002E72BD">
        <w:t xml:space="preserve"> </w:t>
      </w:r>
      <w:r w:rsidR="002E72BD">
        <w:fldChar w:fldCharType="begin"/>
      </w:r>
      <w:r w:rsidR="002E72BD">
        <w:instrText xml:space="preserve"> REF _Ref406575088 \r \h\t </w:instrText>
      </w:r>
      <w:r w:rsidR="002E72BD">
        <w:fldChar w:fldCharType="separate"/>
      </w:r>
      <w:r w:rsidR="00737178">
        <w:t>6</w:t>
      </w:r>
      <w:r w:rsidR="002E72BD">
        <w:fldChar w:fldCharType="end"/>
      </w:r>
      <w:r>
        <w:t xml:space="preserve">, discriminando las actividades asociadas </w:t>
      </w:r>
      <w:r w:rsidRPr="004E6CFC">
        <w:t>a trabajos de reposición o modernización en subestaciones</w:t>
      </w:r>
      <w:r w:rsidRPr="00616096">
        <w:t>.</w:t>
      </w:r>
    </w:p>
    <w:p w:rsidR="00407449" w:rsidRPr="00616096" w:rsidRDefault="00407449" w:rsidP="009C086B">
      <w:pPr>
        <w:pStyle w:val="Prrafodelista"/>
        <w:numPr>
          <w:ilvl w:val="1"/>
          <w:numId w:val="91"/>
        </w:numPr>
      </w:pPr>
      <w:r w:rsidRPr="00616096">
        <w:t>Los circuitos, transformador</w:t>
      </w:r>
      <w:r>
        <w:t>es y usuarios que se afectarán.</w:t>
      </w:r>
    </w:p>
    <w:p w:rsidR="00407449" w:rsidRPr="00616096" w:rsidRDefault="00407449" w:rsidP="009C086B">
      <w:pPr>
        <w:pStyle w:val="Prrafodelista"/>
        <w:numPr>
          <w:ilvl w:val="1"/>
          <w:numId w:val="91"/>
        </w:numPr>
      </w:pPr>
      <w:r w:rsidRPr="00616096">
        <w:t>Los tiempos previstos de afectación.</w:t>
      </w:r>
    </w:p>
    <w:p w:rsidR="00407449" w:rsidRPr="00616096" w:rsidRDefault="00407449" w:rsidP="009C086B">
      <w:pPr>
        <w:pStyle w:val="Prrafodelista"/>
        <w:numPr>
          <w:ilvl w:val="1"/>
          <w:numId w:val="91"/>
        </w:numPr>
      </w:pPr>
      <w:r w:rsidRPr="00616096">
        <w:t>Reportar las fechas y horas inicial y final estimadas de afectación de la subestación.</w:t>
      </w:r>
      <w:r w:rsidRPr="00CE7BF3">
        <w:t xml:space="preserve"> </w:t>
      </w:r>
      <w:r w:rsidRPr="00F31BB1">
        <w:t>E</w:t>
      </w:r>
      <w:r>
        <w:t xml:space="preserve">l </w:t>
      </w:r>
      <w:r w:rsidRPr="00F31BB1">
        <w:t>tiempo total entre estas fechas será un tiempo máximo de referencia.</w:t>
      </w:r>
    </w:p>
    <w:p w:rsidR="00407449" w:rsidRPr="004E6CFC" w:rsidRDefault="00407449" w:rsidP="009C086B">
      <w:pPr>
        <w:pStyle w:val="Prrafodelista"/>
        <w:numPr>
          <w:ilvl w:val="0"/>
          <w:numId w:val="91"/>
        </w:numPr>
        <w:ind w:hanging="11"/>
      </w:pPr>
      <w:r>
        <w:t>M</w:t>
      </w:r>
      <w:r w:rsidRPr="007B1AB3">
        <w:t xml:space="preserve">ínimo 8 días </w:t>
      </w:r>
      <w:r>
        <w:t>hábiles antes del primer día de cada</w:t>
      </w:r>
      <w:r w:rsidRPr="007B1AB3">
        <w:t xml:space="preserve"> mes</w:t>
      </w:r>
      <w:r>
        <w:t>,</w:t>
      </w:r>
      <w:r w:rsidRPr="007B1AB3">
        <w:t xml:space="preserve"> mediante comunicación escrita o correo electrónico dirigido a la SSPD</w:t>
      </w:r>
      <w:r>
        <w:t>, el OR debe enviar el cronograma actualizado de las actividades que va a ejecutar durante ese mes. Este cronograma debe contener la siguiente información</w:t>
      </w:r>
      <w:r w:rsidRPr="004E6CFC">
        <w:t>:</w:t>
      </w:r>
    </w:p>
    <w:p w:rsidR="00407449" w:rsidRDefault="00407449" w:rsidP="009C086B">
      <w:pPr>
        <w:pStyle w:val="Prrafodelista"/>
        <w:numPr>
          <w:ilvl w:val="1"/>
          <w:numId w:val="91"/>
        </w:numPr>
      </w:pPr>
      <w:r>
        <w:lastRenderedPageBreak/>
        <w:t xml:space="preserve">Listado de actividades asociadas al programa </w:t>
      </w:r>
      <w:r w:rsidRPr="005A7660">
        <w:t>de reposición o modernización en subestaciones</w:t>
      </w:r>
      <w:r>
        <w:t>.</w:t>
      </w:r>
    </w:p>
    <w:p w:rsidR="00407449" w:rsidRDefault="00407449" w:rsidP="009C086B">
      <w:pPr>
        <w:pStyle w:val="Prrafodelista"/>
        <w:numPr>
          <w:ilvl w:val="1"/>
          <w:numId w:val="91"/>
        </w:numPr>
      </w:pPr>
      <w:r>
        <w:t>Objetivo específico de cada una de las actividades.</w:t>
      </w:r>
    </w:p>
    <w:p w:rsidR="00407449" w:rsidRDefault="00407449" w:rsidP="009C086B">
      <w:pPr>
        <w:pStyle w:val="Prrafodelista"/>
        <w:numPr>
          <w:ilvl w:val="1"/>
          <w:numId w:val="91"/>
        </w:numPr>
      </w:pPr>
      <w:r>
        <w:t>Circuitos, transformadores y número de usuarios que se prevé afectar por cada una de las actividades.</w:t>
      </w:r>
    </w:p>
    <w:p w:rsidR="00407449" w:rsidRDefault="00407449" w:rsidP="009C086B">
      <w:pPr>
        <w:pStyle w:val="Prrafodelista"/>
        <w:numPr>
          <w:ilvl w:val="1"/>
          <w:numId w:val="91"/>
        </w:numPr>
      </w:pPr>
      <w:r>
        <w:t xml:space="preserve">Fecha y hora inicial y final prevista para cada una de las actividades. </w:t>
      </w:r>
      <w:r w:rsidRPr="004476B3">
        <w:t xml:space="preserve">El tiempo </w:t>
      </w:r>
      <w:r>
        <w:t>total entre estas fechas no debe superar el tiempo máximo de referencia reportado al SUI.</w:t>
      </w:r>
    </w:p>
    <w:p w:rsidR="00407449" w:rsidRDefault="00407449" w:rsidP="009C086B">
      <w:pPr>
        <w:pStyle w:val="Prrafodelista"/>
        <w:numPr>
          <w:ilvl w:val="0"/>
          <w:numId w:val="91"/>
        </w:numPr>
        <w:ind w:hanging="11"/>
      </w:pPr>
      <w:r>
        <w:t xml:space="preserve">Máximo 3 días hábiles después del último día del mes en el que se finalicen los trabajos, mediante comunicación escrita o correo electrónico dirigido a la SSPD, el OR debe enviar el </w:t>
      </w:r>
      <w:r w:rsidRPr="007B1AB3">
        <w:t>informe de ejecución real del mes de trabajo</w:t>
      </w:r>
      <w:r>
        <w:t>, el cual debe contener lo siguiente:</w:t>
      </w:r>
      <w:r w:rsidRPr="007B1AB3" w:rsidDel="007B1AB3">
        <w:t xml:space="preserve"> </w:t>
      </w:r>
    </w:p>
    <w:p w:rsidR="00407449" w:rsidRDefault="00407449" w:rsidP="009C086B">
      <w:pPr>
        <w:pStyle w:val="Prrafodelista"/>
        <w:numPr>
          <w:ilvl w:val="1"/>
          <w:numId w:val="91"/>
        </w:numPr>
      </w:pPr>
      <w:r>
        <w:t>Listado de actividades realizadas con el respectivo registro fotográfico.</w:t>
      </w:r>
    </w:p>
    <w:p w:rsidR="00407449" w:rsidRDefault="00407449" w:rsidP="009C086B">
      <w:pPr>
        <w:pStyle w:val="Prrafodelista"/>
        <w:numPr>
          <w:ilvl w:val="1"/>
          <w:numId w:val="91"/>
        </w:numPr>
      </w:pPr>
      <w:r>
        <w:t>Circuitos, transformadores y número de usuarios realmente afectados por cada una de las actividades.</w:t>
      </w:r>
    </w:p>
    <w:p w:rsidR="00407449" w:rsidRPr="004476B3" w:rsidRDefault="00407449" w:rsidP="009C086B">
      <w:pPr>
        <w:pStyle w:val="Prrafodelista"/>
        <w:numPr>
          <w:ilvl w:val="1"/>
          <w:numId w:val="91"/>
        </w:numPr>
      </w:pPr>
      <w:r>
        <w:t xml:space="preserve">Fecha y hora real de inicio y fin de cada actividad. </w:t>
      </w:r>
      <w:r w:rsidRPr="004476B3">
        <w:t>El tiempo real total no podrá exceder el tiempo máximo de referencia.</w:t>
      </w:r>
      <w:r>
        <w:t xml:space="preserve"> </w:t>
      </w:r>
      <w:r w:rsidRPr="004476B3">
        <w:t xml:space="preserve">Las duraciones reales </w:t>
      </w:r>
      <w:r>
        <w:t>adicionales que sobrepase</w:t>
      </w:r>
      <w:r w:rsidRPr="004476B3">
        <w:t xml:space="preserve">n </w:t>
      </w:r>
      <w:r>
        <w:t>l</w:t>
      </w:r>
      <w:r w:rsidRPr="004476B3">
        <w:t xml:space="preserve">os tiempos </w:t>
      </w:r>
      <w:r>
        <w:t xml:space="preserve">de referencia </w:t>
      </w:r>
      <w:r w:rsidRPr="004476B3">
        <w:t>no serán excluidas.</w:t>
      </w:r>
    </w:p>
    <w:p w:rsidR="00407449" w:rsidRDefault="00407449" w:rsidP="00407449">
      <w:pPr>
        <w:tabs>
          <w:tab w:val="left" w:pos="360"/>
        </w:tabs>
        <w:ind w:left="284"/>
      </w:pPr>
      <w:r w:rsidRPr="004476B3">
        <w:t xml:space="preserve">En caso de que un OR no reporte a la SSPD </w:t>
      </w:r>
      <w:r>
        <w:t>el cronograma previsto y/o el informe de ejecución real</w:t>
      </w:r>
      <w:r w:rsidRPr="004476B3">
        <w:t>, en los plazos establecidos anteriormente, se entiende que no realizó los trabajos y por lo tanto no podrá excluir eventos por este concepto.</w:t>
      </w:r>
    </w:p>
    <w:p w:rsidR="00407449" w:rsidRDefault="00407449" w:rsidP="00407449">
      <w:pPr>
        <w:tabs>
          <w:tab w:val="left" w:pos="360"/>
        </w:tabs>
        <w:ind w:left="284"/>
      </w:pPr>
      <w:r>
        <w:t>En caso de que la SSPD lo considere necesario, se podrá solicitar información adicional al OR en relación a las actividades ejecutadas.</w:t>
      </w:r>
    </w:p>
    <w:p w:rsidR="00407449" w:rsidRPr="004E6CFC" w:rsidRDefault="00407449" w:rsidP="00407449">
      <w:pPr>
        <w:pStyle w:val="Prrafodelista"/>
        <w:keepNext/>
        <w:tabs>
          <w:tab w:val="left" w:pos="360"/>
        </w:tabs>
        <w:ind w:left="284"/>
      </w:pPr>
      <w:r w:rsidRPr="004E6CFC">
        <w:t>A los usuarios:</w:t>
      </w:r>
    </w:p>
    <w:p w:rsidR="00407449" w:rsidRPr="004E6CFC" w:rsidRDefault="00407449" w:rsidP="00407449">
      <w:pPr>
        <w:tabs>
          <w:tab w:val="left" w:pos="360"/>
        </w:tabs>
        <w:ind w:left="284"/>
      </w:pPr>
      <w:r w:rsidRPr="004E6CFC">
        <w:t xml:space="preserve">Informar a los usuarios afectados con una anticipación no mayor a ocho días y no menor a 48 horas, mediante publicación en un medio de comunicación masivo disponible en la región o área afectada. </w:t>
      </w:r>
      <w:r w:rsidRPr="004476B3">
        <w:rPr>
          <w:color w:val="000000" w:themeColor="text1"/>
        </w:rPr>
        <w:t xml:space="preserve">El OR debe de todas formas garantizar el envío automático de un mensaje de texto o de correo electrónico brindando esta información a todos los usuarios de quienes tenga este tipo de contacto. </w:t>
      </w:r>
      <w:r w:rsidRPr="004E6CFC">
        <w:t>Cuando los eventos programados afecten cargas industriales, el tiempo de notificación no podrá ser inferior a 72 horas y requerirá una comunicación escrita por parte de la empresa.</w:t>
      </w:r>
    </w:p>
    <w:p w:rsidR="00407449" w:rsidRDefault="00407449" w:rsidP="00407449">
      <w:pPr>
        <w:tabs>
          <w:tab w:val="left" w:pos="360"/>
        </w:tabs>
      </w:pPr>
      <w:r w:rsidRPr="004E6CFC">
        <w:t xml:space="preserve">Los soportes de los eventos excluidos y los anuncios correspondientes a eventos programados, excluidos y no excluidos, deberán mantenerse disponibles por el término del período tarifario y </w:t>
      </w:r>
      <w:r>
        <w:t>cinco</w:t>
      </w:r>
      <w:r w:rsidRPr="004E6CFC">
        <w:t xml:space="preserve"> (</w:t>
      </w:r>
      <w:r>
        <w:t>5</w:t>
      </w:r>
      <w:r w:rsidRPr="004E6CFC">
        <w:t xml:space="preserve">) años más para consulta de la CREG y para efectos de seguimiento, control y vigilancia de la SSPD, o para el proceso de verificación de la información de que trata el numeral </w:t>
      </w:r>
      <w:r w:rsidRPr="004E6CFC">
        <w:fldChar w:fldCharType="begin"/>
      </w:r>
      <w:r w:rsidRPr="004E6CFC">
        <w:instrText xml:space="preserve"> REF _Ref405913308 \r \h  \* MERGEFORMAT </w:instrText>
      </w:r>
      <w:r w:rsidRPr="004E6CFC">
        <w:fldChar w:fldCharType="separate"/>
      </w:r>
      <w:r w:rsidR="00737178">
        <w:t>5.2.12</w:t>
      </w:r>
      <w:r w:rsidRPr="004E6CFC">
        <w:fldChar w:fldCharType="end"/>
      </w:r>
      <w:r w:rsidRPr="004E6CFC">
        <w:t>.</w:t>
      </w:r>
    </w:p>
    <w:p w:rsidR="00407449" w:rsidRPr="004E6CFC" w:rsidRDefault="00407449" w:rsidP="00407449">
      <w:pPr>
        <w:tabs>
          <w:tab w:val="left" w:pos="360"/>
        </w:tabs>
      </w:pPr>
      <w:r w:rsidRPr="004E6CFC">
        <w:lastRenderedPageBreak/>
        <w:t>Ningún evento diferente a los anteriores podrá incluirse como exclusión, a</w:t>
      </w:r>
      <w:r>
        <w:t xml:space="preserve"> menos que una autoridad compe</w:t>
      </w:r>
      <w:r w:rsidRPr="004E6CFC">
        <w:t>tente lo declare como fuerza mayor o caso fortuito.</w:t>
      </w:r>
    </w:p>
    <w:p w:rsidR="00407449" w:rsidRPr="004E6CFC" w:rsidRDefault="00407449" w:rsidP="00407449">
      <w:pPr>
        <w:pStyle w:val="Ttulo3"/>
      </w:pPr>
      <w:bookmarkStart w:id="502" w:name="_Toc440382542"/>
      <w:bookmarkStart w:id="503" w:name="_Ref445106795"/>
      <w:bookmarkStart w:id="504" w:name="_Toc445214105"/>
      <w:bookmarkStart w:id="505" w:name="_Ref460928671"/>
      <w:bookmarkStart w:id="506" w:name="_Toc466009876"/>
      <w:bookmarkStart w:id="507" w:name="_Toc505070093"/>
      <w:bookmarkStart w:id="508" w:name="_Toc505335949"/>
      <w:r w:rsidRPr="004E6CFC">
        <w:t>Calidad media del sistema</w:t>
      </w:r>
      <w:bookmarkEnd w:id="502"/>
      <w:bookmarkEnd w:id="503"/>
      <w:bookmarkEnd w:id="504"/>
      <w:bookmarkEnd w:id="505"/>
      <w:bookmarkEnd w:id="506"/>
      <w:bookmarkEnd w:id="507"/>
      <w:bookmarkEnd w:id="508"/>
      <w:r w:rsidRPr="004E6CFC">
        <w:t xml:space="preserve"> </w:t>
      </w:r>
      <w:bookmarkEnd w:id="500"/>
      <w:bookmarkEnd w:id="501"/>
      <w:r w:rsidRPr="004E6CFC">
        <w:t xml:space="preserve"> </w:t>
      </w:r>
    </w:p>
    <w:p w:rsidR="00407449" w:rsidRPr="004E6CFC" w:rsidRDefault="00407449" w:rsidP="00407449">
      <w:r w:rsidRPr="004E6CFC">
        <w:t xml:space="preserve">La calidad media del sistema se refiere a la cantidad y duración de los eventos que en promedio afectan a todos los usuarios conectados a las redes de un OR. </w:t>
      </w:r>
    </w:p>
    <w:p w:rsidR="00407449" w:rsidRPr="004E6CFC" w:rsidRDefault="00407449" w:rsidP="00407449">
      <w:r w:rsidRPr="004E6CFC">
        <w:t xml:space="preserve">La calidad media del sistema se mide a través de los indicadores que se definen en el numeral </w:t>
      </w:r>
      <w:r w:rsidRPr="004E6CFC">
        <w:fldChar w:fldCharType="begin"/>
      </w:r>
      <w:r w:rsidRPr="004E6CFC">
        <w:instrText xml:space="preserve"> REF _Ref460922977 \r \h  \* MERGEFORMAT </w:instrText>
      </w:r>
      <w:r w:rsidRPr="004E6CFC">
        <w:fldChar w:fldCharType="separate"/>
      </w:r>
      <w:r w:rsidR="00737178">
        <w:t>5.2.3.1</w:t>
      </w:r>
      <w:r w:rsidRPr="004E6CFC">
        <w:fldChar w:fldCharType="end"/>
      </w:r>
      <w:r w:rsidRPr="004E6CFC">
        <w:t>.</w:t>
      </w:r>
    </w:p>
    <w:p w:rsidR="00407449" w:rsidRPr="004E6CFC" w:rsidRDefault="00407449" w:rsidP="00407449">
      <w:r w:rsidRPr="004E6CFC">
        <w:t xml:space="preserve">A los OR se les aplicará el esquema de incentivos que se establece en el numeral </w:t>
      </w:r>
      <w:r w:rsidRPr="004E6CFC">
        <w:fldChar w:fldCharType="begin"/>
      </w:r>
      <w:r w:rsidRPr="004E6CFC">
        <w:instrText xml:space="preserve"> REF _Ref460927688 \r \h  \* MERGEFORMAT </w:instrText>
      </w:r>
      <w:r w:rsidRPr="004E6CFC">
        <w:fldChar w:fldCharType="separate"/>
      </w:r>
      <w:r w:rsidR="00737178">
        <w:t>5.2.3.2</w:t>
      </w:r>
      <w:r w:rsidRPr="004E6CFC">
        <w:fldChar w:fldCharType="end"/>
      </w:r>
      <w:r w:rsidRPr="004E6CFC">
        <w:t xml:space="preserve">, a través del cual se evaluará la calidad media entregada con respecto a las metas de calidad anuales de que trata el numeral  </w:t>
      </w:r>
      <w:r w:rsidRPr="004E6CFC">
        <w:fldChar w:fldCharType="begin"/>
      </w:r>
      <w:r w:rsidRPr="004E6CFC">
        <w:instrText xml:space="preserve"> REF _Ref474484823 \r \h  \* MERGEFORMAT </w:instrText>
      </w:r>
      <w:r w:rsidRPr="004E6CFC">
        <w:fldChar w:fldCharType="separate"/>
      </w:r>
      <w:r w:rsidR="00737178">
        <w:t>5.2.3.2.1</w:t>
      </w:r>
      <w:r w:rsidRPr="004E6CFC">
        <w:fldChar w:fldCharType="end"/>
      </w:r>
      <w:r w:rsidRPr="004E6CFC">
        <w:t xml:space="preserve">. </w:t>
      </w:r>
    </w:p>
    <w:p w:rsidR="00407449" w:rsidRPr="004E6CFC" w:rsidRDefault="00407449" w:rsidP="00407449">
      <w:pPr>
        <w:pStyle w:val="Ttulo4"/>
        <w:ind w:left="864" w:hanging="864"/>
      </w:pPr>
      <w:bookmarkStart w:id="509" w:name="_Ref403659732"/>
      <w:bookmarkStart w:id="510" w:name="_Ref444790454"/>
      <w:bookmarkStart w:id="511" w:name="_Ref460922977"/>
      <w:r w:rsidRPr="004E6CFC">
        <w:t xml:space="preserve">Indicadores </w:t>
      </w:r>
      <w:bookmarkEnd w:id="509"/>
      <w:r w:rsidRPr="004E6CFC">
        <w:t xml:space="preserve">de calidad </w:t>
      </w:r>
      <w:bookmarkEnd w:id="510"/>
      <w:r w:rsidRPr="004E6CFC">
        <w:t>media</w:t>
      </w:r>
      <w:bookmarkEnd w:id="511"/>
    </w:p>
    <w:p w:rsidR="00407449" w:rsidRPr="004E6CFC" w:rsidRDefault="00407449" w:rsidP="00407449">
      <w:r w:rsidRPr="004E6CFC">
        <w:t xml:space="preserve">La calidad media anual del OR se mide a través de los indicadores de duración y frecuencia de los eventos sucedidos en los SDL, que se establecen como se describe a continuación. </w:t>
      </w:r>
    </w:p>
    <w:p w:rsidR="00407449" w:rsidRPr="004E6CFC" w:rsidRDefault="00407449" w:rsidP="00407449">
      <w:r w:rsidRPr="004E6CFC">
        <w:t xml:space="preserve">El indicador SAIDI representa la duración total en horas de los eventos que en promedio percibe </w:t>
      </w:r>
      <w:r>
        <w:t>cada</w:t>
      </w:r>
      <w:r w:rsidRPr="004E6CFC">
        <w:t xml:space="preserve"> usuario del SDL de un OR, hayan sido o no afectados por un evento, en un período anual. Se establece mediante la siguiente expresión:</w:t>
      </w:r>
    </w:p>
    <w:p w:rsidR="00407449" w:rsidRPr="004E6CFC" w:rsidRDefault="00C9592F" w:rsidP="00407449">
      <m:oMathPara>
        <m:oMath>
          <m:sSub>
            <m:sSubPr>
              <m:ctrlPr>
                <w:rPr>
                  <w:rFonts w:ascii="Cambria Math" w:hAnsi="Cambria Math"/>
                  <w:i/>
                </w:rPr>
              </m:ctrlPr>
            </m:sSubPr>
            <m:e>
              <m:r>
                <w:rPr>
                  <w:rFonts w:ascii="Cambria Math" w:hAnsi="Cambria Math"/>
                </w:rPr>
                <m:t>SAIDI</m:t>
              </m:r>
            </m:e>
            <m:sub>
              <m:r>
                <w:rPr>
                  <w:rFonts w:ascii="Cambria Math" w:hAnsi="Cambria Math"/>
                </w:rPr>
                <m:t>j,t</m:t>
              </m:r>
            </m:sub>
          </m:sSub>
          <m:r>
            <w:rPr>
              <w:rFonts w:ascii="Cambria Math" w:hAnsi="Cambria Math"/>
            </w:rPr>
            <m:t>=</m:t>
          </m:r>
          <m:nary>
            <m:naryPr>
              <m:chr m:val="∑"/>
              <m:limLoc m:val="undOvr"/>
              <m:ctrlPr>
                <w:rPr>
                  <w:rFonts w:ascii="Cambria Math" w:hAnsi="Cambria Math"/>
                  <w:i/>
                </w:rPr>
              </m:ctrlPr>
            </m:naryPr>
            <m:sub>
              <m:r>
                <w:rPr>
                  <w:rFonts w:ascii="Cambria Math" w:hAnsi="Cambria Math"/>
                </w:rPr>
                <m:t>m=1</m:t>
              </m:r>
            </m:sub>
            <m:sup>
              <m:r>
                <w:rPr>
                  <w:rFonts w:ascii="Cambria Math" w:hAnsi="Cambria Math"/>
                </w:rPr>
                <m:t>12</m:t>
              </m:r>
            </m:sup>
            <m:e>
              <m:f>
                <m:fPr>
                  <m:type m:val="lin"/>
                  <m:ctrlPr>
                    <w:rPr>
                      <w:rFonts w:ascii="Cambria Math" w:hAnsi="Cambria Math"/>
                      <w:i/>
                    </w:rPr>
                  </m:ctrlPr>
                </m:fPr>
                <m:num>
                  <m:f>
                    <m:fPr>
                      <m:ctrlPr>
                        <w:rPr>
                          <w:rFonts w:ascii="Cambria Math" w:hAnsi="Cambria Math"/>
                          <w:i/>
                        </w:rPr>
                      </m:ctrlPr>
                    </m:fPr>
                    <m:num>
                      <m:nary>
                        <m:naryPr>
                          <m:chr m:val="∑"/>
                          <m:limLoc m:val="subSup"/>
                          <m:ctrlPr>
                            <w:rPr>
                              <w:rFonts w:ascii="Cambria Math" w:hAnsi="Cambria Math"/>
                              <w:i/>
                            </w:rPr>
                          </m:ctrlPr>
                        </m:naryPr>
                        <m:sub>
                          <m:r>
                            <w:rPr>
                              <w:rFonts w:ascii="Cambria Math" w:hAnsi="Cambria Math"/>
                            </w:rPr>
                            <m:t>i=1</m:t>
                          </m:r>
                        </m:sub>
                        <m:sup>
                          <m:r>
                            <w:rPr>
                              <w:rFonts w:ascii="Cambria Math" w:hAnsi="Cambria Math"/>
                            </w:rPr>
                            <m:t>n</m:t>
                          </m:r>
                        </m:sup>
                        <m:e>
                          <m:d>
                            <m:dPr>
                              <m:ctrlPr>
                                <w:rPr>
                                  <w:rFonts w:ascii="Cambria Math" w:hAnsi="Cambria Math"/>
                                  <w:i/>
                                </w:rPr>
                              </m:ctrlPr>
                            </m:dPr>
                            <m:e>
                              <m:sSub>
                                <m:sSubPr>
                                  <m:ctrlPr>
                                    <w:rPr>
                                      <w:rFonts w:ascii="Cambria Math" w:hAnsi="Cambria Math"/>
                                      <w:i/>
                                    </w:rPr>
                                  </m:ctrlPr>
                                </m:sSubPr>
                                <m:e>
                                  <m:r>
                                    <w:rPr>
                                      <w:rFonts w:ascii="Cambria Math" w:hAnsi="Cambria Math"/>
                                    </w:rPr>
                                    <m:t>D</m:t>
                                  </m:r>
                                </m:e>
                                <m:sub>
                                  <m:r>
                                    <w:rPr>
                                      <w:rFonts w:ascii="Cambria Math" w:hAnsi="Cambria Math"/>
                                    </w:rPr>
                                    <m:t>i,u,m</m:t>
                                  </m:r>
                                </m:sub>
                              </m:sSub>
                              <m:r>
                                <w:rPr>
                                  <w:rFonts w:ascii="Cambria Math" w:hAnsi="Cambria Math"/>
                                </w:rPr>
                                <m:t>*</m:t>
                              </m:r>
                              <m:sSub>
                                <m:sSubPr>
                                  <m:ctrlPr>
                                    <w:rPr>
                                      <w:rFonts w:ascii="Cambria Math" w:hAnsi="Cambria Math"/>
                                      <w:i/>
                                    </w:rPr>
                                  </m:ctrlPr>
                                </m:sSubPr>
                                <m:e>
                                  <m:r>
                                    <w:rPr>
                                      <w:rFonts w:ascii="Cambria Math" w:hAnsi="Cambria Math"/>
                                    </w:rPr>
                                    <m:t>NU</m:t>
                                  </m:r>
                                </m:e>
                                <m:sub>
                                  <m:r>
                                    <w:rPr>
                                      <w:rFonts w:ascii="Cambria Math" w:hAnsi="Cambria Math"/>
                                    </w:rPr>
                                    <m:t>i,u,m</m:t>
                                  </m:r>
                                </m:sub>
                              </m:sSub>
                            </m:e>
                          </m:d>
                        </m:e>
                      </m:nary>
                    </m:num>
                    <m:den>
                      <m:sSub>
                        <m:sSubPr>
                          <m:ctrlPr>
                            <w:rPr>
                              <w:rFonts w:ascii="Cambria Math" w:hAnsi="Cambria Math"/>
                              <w:i/>
                            </w:rPr>
                          </m:ctrlPr>
                        </m:sSubPr>
                        <m:e>
                          <m:r>
                            <w:rPr>
                              <w:rFonts w:ascii="Cambria Math" w:hAnsi="Cambria Math"/>
                            </w:rPr>
                            <m:t>UT</m:t>
                          </m:r>
                        </m:e>
                        <m:sub>
                          <m:r>
                            <w:rPr>
                              <w:rFonts w:ascii="Cambria Math" w:hAnsi="Cambria Math"/>
                            </w:rPr>
                            <m:t>j,m</m:t>
                          </m:r>
                        </m:sub>
                      </m:sSub>
                    </m:den>
                  </m:f>
                </m:num>
                <m:den>
                  <m:r>
                    <w:rPr>
                      <w:rFonts w:ascii="Cambria Math" w:hAnsi="Cambria Math"/>
                    </w:rPr>
                    <m:t>60</m:t>
                  </m:r>
                </m:den>
              </m:f>
            </m:e>
          </m:nary>
        </m:oMath>
      </m:oMathPara>
    </w:p>
    <w:p w:rsidR="00407449" w:rsidRPr="004E6CFC" w:rsidRDefault="00407449" w:rsidP="00407449">
      <w:pPr>
        <w:rPr>
          <w:lang w:val="es-CO"/>
        </w:rPr>
      </w:pPr>
      <w:r w:rsidRPr="004E6CFC">
        <w:rPr>
          <w:lang w:val="es-CO"/>
        </w:rPr>
        <w:t>Donde:</w:t>
      </w:r>
    </w:p>
    <w:p w:rsidR="00407449" w:rsidRPr="00C354C5" w:rsidRDefault="00407449" w:rsidP="00407449">
      <w:pPr>
        <w:ind w:left="1410" w:hanging="1410"/>
        <w:rPr>
          <w:lang w:val="es-CO"/>
        </w:rPr>
      </w:pPr>
      <w:r w:rsidRPr="004E6CFC">
        <w:rPr>
          <w:i/>
          <w:lang w:val="es-CO"/>
        </w:rPr>
        <w:t>SAIDI</w:t>
      </w:r>
      <w:r w:rsidRPr="004E6CFC">
        <w:rPr>
          <w:i/>
          <w:vertAlign w:val="subscript"/>
          <w:lang w:val="es-CO"/>
        </w:rPr>
        <w:t>j,t</w:t>
      </w:r>
      <w:r w:rsidRPr="004E6CFC">
        <w:rPr>
          <w:i/>
          <w:lang w:val="es-CO"/>
        </w:rPr>
        <w:t>:</w:t>
      </w:r>
      <w:r w:rsidRPr="004E6CFC">
        <w:rPr>
          <w:i/>
          <w:lang w:val="es-CO"/>
        </w:rPr>
        <w:tab/>
      </w:r>
      <w:r w:rsidRPr="004E6CFC">
        <w:rPr>
          <w:lang w:val="es-CO"/>
        </w:rPr>
        <w:t xml:space="preserve">Indicador de duración promedio </w:t>
      </w:r>
      <w:r>
        <w:rPr>
          <w:lang w:val="es-CO"/>
        </w:rPr>
        <w:t xml:space="preserve">por usuario, </w:t>
      </w:r>
      <w:r w:rsidRPr="004E6CFC">
        <w:rPr>
          <w:lang w:val="es-CO"/>
        </w:rPr>
        <w:t xml:space="preserve">de los eventos sucedidos en el SDL del OR </w:t>
      </w:r>
      <w:r w:rsidRPr="004E6CFC">
        <w:rPr>
          <w:i/>
          <w:lang w:val="es-CO"/>
        </w:rPr>
        <w:t>j</w:t>
      </w:r>
      <w:r w:rsidRPr="004E6CFC">
        <w:rPr>
          <w:lang w:val="es-CO"/>
        </w:rPr>
        <w:t xml:space="preserve">, durante el año </w:t>
      </w:r>
      <w:r w:rsidRPr="004E6CFC">
        <w:rPr>
          <w:i/>
          <w:lang w:val="es-CO"/>
        </w:rPr>
        <w:t>t</w:t>
      </w:r>
      <w:r w:rsidRPr="00E72A52">
        <w:rPr>
          <w:lang w:val="es-CO"/>
        </w:rPr>
        <w:t>, medido en horas al año.</w:t>
      </w:r>
    </w:p>
    <w:p w:rsidR="00407449" w:rsidRPr="004E6CFC" w:rsidRDefault="00407449" w:rsidP="00407449">
      <w:pPr>
        <w:ind w:left="1410" w:hanging="1410"/>
        <w:rPr>
          <w:lang w:val="es-CO"/>
        </w:rPr>
      </w:pPr>
      <w:r w:rsidRPr="004E6CFC">
        <w:rPr>
          <w:i/>
          <w:lang w:val="es-CO"/>
        </w:rPr>
        <w:t>D</w:t>
      </w:r>
      <w:r w:rsidRPr="004E6CFC">
        <w:rPr>
          <w:i/>
          <w:vertAlign w:val="subscript"/>
          <w:lang w:val="es-CO"/>
        </w:rPr>
        <w:t>i,u,</w:t>
      </w:r>
      <w:r>
        <w:rPr>
          <w:i/>
          <w:vertAlign w:val="subscript"/>
          <w:lang w:val="es-CO"/>
        </w:rPr>
        <w:t>m</w:t>
      </w:r>
      <w:r w:rsidRPr="004E6CFC">
        <w:rPr>
          <w:i/>
          <w:lang w:val="es-CO"/>
        </w:rPr>
        <w:t>:</w:t>
      </w:r>
      <w:r w:rsidRPr="004E6CFC">
        <w:rPr>
          <w:i/>
          <w:vertAlign w:val="subscript"/>
          <w:lang w:val="es-CO"/>
        </w:rPr>
        <w:tab/>
      </w:r>
      <w:r w:rsidRPr="004E6CFC">
        <w:rPr>
          <w:lang w:val="es-CO"/>
        </w:rPr>
        <w:t xml:space="preserve">Duración en minutos del evento </w:t>
      </w:r>
      <w:r w:rsidRPr="004E6CFC">
        <w:rPr>
          <w:i/>
          <w:lang w:val="es-CO"/>
        </w:rPr>
        <w:t>i</w:t>
      </w:r>
      <w:r w:rsidRPr="004E6CFC">
        <w:rPr>
          <w:lang w:val="es-CO"/>
        </w:rPr>
        <w:t xml:space="preserve">, sucedido durante el </w:t>
      </w:r>
      <w:r>
        <w:rPr>
          <w:lang w:val="es-CO"/>
        </w:rPr>
        <w:t>mes</w:t>
      </w:r>
      <w:r w:rsidRPr="004E6CFC">
        <w:rPr>
          <w:lang w:val="es-CO"/>
        </w:rPr>
        <w:t xml:space="preserve"> </w:t>
      </w:r>
      <w:r>
        <w:rPr>
          <w:i/>
          <w:lang w:val="es-CO"/>
        </w:rPr>
        <w:t>m</w:t>
      </w:r>
      <w:r w:rsidRPr="004E6CFC">
        <w:rPr>
          <w:lang w:val="es-CO"/>
        </w:rPr>
        <w:t xml:space="preserve">, que afectó al activo </w:t>
      </w:r>
      <w:r w:rsidRPr="004E6CFC">
        <w:rPr>
          <w:i/>
          <w:lang w:val="es-CO"/>
        </w:rPr>
        <w:t>u</w:t>
      </w:r>
      <w:r w:rsidRPr="004E6CFC">
        <w:rPr>
          <w:lang w:val="es-CO"/>
        </w:rPr>
        <w:t xml:space="preserve"> perteneciente al SDL del OR </w:t>
      </w:r>
      <w:r w:rsidRPr="004E6CFC">
        <w:rPr>
          <w:i/>
          <w:lang w:val="es-CO"/>
        </w:rPr>
        <w:t>j</w:t>
      </w:r>
      <w:r w:rsidRPr="004E6CFC">
        <w:rPr>
          <w:lang w:val="es-CO"/>
        </w:rPr>
        <w:t>.</w:t>
      </w:r>
    </w:p>
    <w:p w:rsidR="00407449" w:rsidRPr="004E6CFC" w:rsidRDefault="00407449" w:rsidP="00407449">
      <w:pPr>
        <w:ind w:left="1410" w:hanging="1410"/>
        <w:rPr>
          <w:lang w:val="es-CO"/>
        </w:rPr>
      </w:pPr>
      <w:r w:rsidRPr="004E6CFC">
        <w:rPr>
          <w:i/>
          <w:lang w:val="es-CO"/>
        </w:rPr>
        <w:t>NU</w:t>
      </w:r>
      <w:r w:rsidRPr="004E6CFC">
        <w:rPr>
          <w:i/>
          <w:vertAlign w:val="subscript"/>
          <w:lang w:val="es-CO"/>
        </w:rPr>
        <w:t>i,u,</w:t>
      </w:r>
      <w:r>
        <w:rPr>
          <w:i/>
          <w:vertAlign w:val="subscript"/>
          <w:lang w:val="es-CO"/>
        </w:rPr>
        <w:t>m</w:t>
      </w:r>
      <w:r w:rsidRPr="004E6CFC">
        <w:rPr>
          <w:i/>
          <w:lang w:val="es-CO"/>
        </w:rPr>
        <w:t>:</w:t>
      </w:r>
      <w:r w:rsidRPr="004E6CFC">
        <w:rPr>
          <w:i/>
          <w:lang w:val="es-CO"/>
        </w:rPr>
        <w:tab/>
      </w:r>
      <w:r w:rsidRPr="004E6CFC">
        <w:rPr>
          <w:lang w:val="es-CO"/>
        </w:rPr>
        <w:t xml:space="preserve">Número de usuarios que fueron afectados por el evento </w:t>
      </w:r>
      <w:r w:rsidRPr="004E6CFC">
        <w:rPr>
          <w:i/>
          <w:lang w:val="es-CO"/>
        </w:rPr>
        <w:t>i</w:t>
      </w:r>
      <w:r w:rsidRPr="004E6CFC">
        <w:rPr>
          <w:lang w:val="es-CO"/>
        </w:rPr>
        <w:t xml:space="preserve"> sucedido durante el </w:t>
      </w:r>
      <w:r>
        <w:rPr>
          <w:lang w:val="es-CO"/>
        </w:rPr>
        <w:t>mes</w:t>
      </w:r>
      <w:r w:rsidRPr="004E6CFC">
        <w:rPr>
          <w:lang w:val="es-CO"/>
        </w:rPr>
        <w:t xml:space="preserve"> </w:t>
      </w:r>
      <w:r>
        <w:rPr>
          <w:i/>
          <w:lang w:val="es-CO"/>
        </w:rPr>
        <w:t>m</w:t>
      </w:r>
      <w:r w:rsidRPr="004E6CFC">
        <w:rPr>
          <w:i/>
          <w:lang w:val="es-CO"/>
        </w:rPr>
        <w:t>,</w:t>
      </w:r>
      <w:r w:rsidRPr="004E6CFC">
        <w:rPr>
          <w:lang w:val="es-CO"/>
        </w:rPr>
        <w:t xml:space="preserve"> conectados al activo </w:t>
      </w:r>
      <w:r w:rsidRPr="004E6CFC">
        <w:rPr>
          <w:i/>
          <w:lang w:val="es-CO"/>
        </w:rPr>
        <w:t>u</w:t>
      </w:r>
      <w:r w:rsidRPr="004E6CFC">
        <w:rPr>
          <w:lang w:val="es-CO"/>
        </w:rPr>
        <w:t xml:space="preserve">. </w:t>
      </w:r>
    </w:p>
    <w:p w:rsidR="00407449" w:rsidRDefault="00407449" w:rsidP="00407449">
      <w:pPr>
        <w:ind w:left="1410" w:hanging="1410"/>
        <w:rPr>
          <w:i/>
          <w:lang w:val="es-CO"/>
        </w:rPr>
      </w:pPr>
      <w:r w:rsidRPr="004E6CFC">
        <w:rPr>
          <w:i/>
          <w:lang w:val="es-CO"/>
        </w:rPr>
        <w:t>UT</w:t>
      </w:r>
      <w:r w:rsidRPr="004E6CFC">
        <w:rPr>
          <w:i/>
          <w:vertAlign w:val="subscript"/>
          <w:lang w:val="es-CO"/>
        </w:rPr>
        <w:t>j,</w:t>
      </w:r>
      <w:r>
        <w:rPr>
          <w:i/>
          <w:vertAlign w:val="subscript"/>
          <w:lang w:val="es-CO"/>
        </w:rPr>
        <w:t>m</w:t>
      </w:r>
      <w:r w:rsidRPr="004E6CFC">
        <w:rPr>
          <w:i/>
          <w:lang w:val="es-CO"/>
        </w:rPr>
        <w:t xml:space="preserve">: </w:t>
      </w:r>
      <w:r w:rsidRPr="004E6CFC">
        <w:rPr>
          <w:i/>
          <w:lang w:val="es-CO"/>
        </w:rPr>
        <w:tab/>
      </w:r>
      <w:r w:rsidRPr="004E6CFC">
        <w:rPr>
          <w:lang w:val="es-CO"/>
        </w:rPr>
        <w:t xml:space="preserve">Número total de usuarios conectados al SDL del OR </w:t>
      </w:r>
      <w:r w:rsidRPr="004E6CFC">
        <w:rPr>
          <w:i/>
          <w:lang w:val="es-CO"/>
        </w:rPr>
        <w:t>j</w:t>
      </w:r>
      <w:r w:rsidRPr="004E6CFC">
        <w:rPr>
          <w:lang w:val="es-CO"/>
        </w:rPr>
        <w:t xml:space="preserve"> en el </w:t>
      </w:r>
      <w:r>
        <w:rPr>
          <w:lang w:val="es-CO"/>
        </w:rPr>
        <w:t>mes</w:t>
      </w:r>
      <w:r w:rsidRPr="004E6CFC">
        <w:rPr>
          <w:lang w:val="es-CO"/>
        </w:rPr>
        <w:t xml:space="preserve"> </w:t>
      </w:r>
      <w:r>
        <w:rPr>
          <w:i/>
          <w:lang w:val="es-CO"/>
        </w:rPr>
        <w:t>m</w:t>
      </w:r>
      <w:r w:rsidRPr="004E6CFC">
        <w:rPr>
          <w:i/>
          <w:lang w:val="es-CO"/>
        </w:rPr>
        <w:t>.</w:t>
      </w:r>
    </w:p>
    <w:p w:rsidR="00407449" w:rsidRPr="0048204C" w:rsidRDefault="00407449" w:rsidP="00407449">
      <w:pPr>
        <w:ind w:left="1410" w:hanging="1410"/>
        <w:rPr>
          <w:lang w:val="es-CO"/>
        </w:rPr>
      </w:pPr>
      <w:r>
        <w:rPr>
          <w:i/>
          <w:lang w:val="es-CO"/>
        </w:rPr>
        <w:t>m:</w:t>
      </w:r>
      <w:r>
        <w:rPr>
          <w:i/>
          <w:lang w:val="es-CO"/>
        </w:rPr>
        <w:tab/>
      </w:r>
      <w:r w:rsidRPr="0048204C">
        <w:rPr>
          <w:lang w:val="es-CO"/>
        </w:rPr>
        <w:t xml:space="preserve">Mes del año </w:t>
      </w:r>
      <w:r w:rsidRPr="0048204C">
        <w:rPr>
          <w:i/>
          <w:lang w:val="es-CO"/>
        </w:rPr>
        <w:t>t</w:t>
      </w:r>
      <w:r w:rsidRPr="0048204C">
        <w:rPr>
          <w:lang w:val="es-CO"/>
        </w:rPr>
        <w:t>, con enero = 1, …, diciembre =12.</w:t>
      </w:r>
      <w:r w:rsidRPr="0048204C">
        <w:rPr>
          <w:lang w:val="es-CO"/>
        </w:rPr>
        <w:tab/>
      </w:r>
    </w:p>
    <w:p w:rsidR="00407449" w:rsidRPr="004E6CFC" w:rsidRDefault="00407449" w:rsidP="00407449">
      <w:r w:rsidRPr="004E6CFC">
        <w:t>El indicador SAIFI representa la cantidad total de los eventos que en promedio perciben todos los usuarios del SDL de un OR, hayan sido o no afectados por un evento, en un período anual. Se establece mediante la siguiente expresión:</w:t>
      </w:r>
    </w:p>
    <w:p w:rsidR="00407449" w:rsidRPr="004E6CFC" w:rsidRDefault="00C9592F" w:rsidP="00407449">
      <m:oMathPara>
        <m:oMath>
          <m:sSub>
            <m:sSubPr>
              <m:ctrlPr>
                <w:rPr>
                  <w:rFonts w:ascii="Cambria Math" w:hAnsi="Cambria Math"/>
                  <w:i/>
                </w:rPr>
              </m:ctrlPr>
            </m:sSubPr>
            <m:e>
              <m:r>
                <w:rPr>
                  <w:rFonts w:ascii="Cambria Math" w:hAnsi="Cambria Math"/>
                </w:rPr>
                <m:t>SAIFI</m:t>
              </m:r>
            </m:e>
            <m:sub>
              <m:r>
                <w:rPr>
                  <w:rFonts w:ascii="Cambria Math" w:hAnsi="Cambria Math"/>
                </w:rPr>
                <m:t>j,t</m:t>
              </m:r>
            </m:sub>
          </m:sSub>
          <m:r>
            <w:rPr>
              <w:rFonts w:ascii="Cambria Math" w:hAnsi="Cambria Math"/>
            </w:rPr>
            <m:t>=</m:t>
          </m:r>
          <m:nary>
            <m:naryPr>
              <m:chr m:val="∑"/>
              <m:limLoc m:val="undOvr"/>
              <m:ctrlPr>
                <w:rPr>
                  <w:rFonts w:ascii="Cambria Math" w:hAnsi="Cambria Math"/>
                  <w:i/>
                </w:rPr>
              </m:ctrlPr>
            </m:naryPr>
            <m:sub>
              <m:r>
                <w:rPr>
                  <w:rFonts w:ascii="Cambria Math" w:hAnsi="Cambria Math"/>
                </w:rPr>
                <m:t>m=1</m:t>
              </m:r>
            </m:sub>
            <m:sup>
              <m:r>
                <w:rPr>
                  <w:rFonts w:ascii="Cambria Math" w:hAnsi="Cambria Math"/>
                </w:rPr>
                <m:t>12</m:t>
              </m:r>
            </m:sup>
            <m:e>
              <m:f>
                <m:fPr>
                  <m:ctrlPr>
                    <w:rPr>
                      <w:rFonts w:ascii="Cambria Math" w:hAnsi="Cambria Math"/>
                      <w:i/>
                    </w:rPr>
                  </m:ctrlPr>
                </m:fPr>
                <m:num>
                  <m:nary>
                    <m:naryPr>
                      <m:chr m:val="∑"/>
                      <m:limLoc m:val="subSup"/>
                      <m:ctrlPr>
                        <w:rPr>
                          <w:rFonts w:ascii="Cambria Math" w:hAnsi="Cambria Math"/>
                          <w:i/>
                        </w:rPr>
                      </m:ctrlPr>
                    </m:naryPr>
                    <m:sub>
                      <m:r>
                        <w:rPr>
                          <w:rFonts w:ascii="Cambria Math" w:hAnsi="Cambria Math"/>
                        </w:rPr>
                        <m:t>i=1</m:t>
                      </m:r>
                    </m:sub>
                    <m:sup>
                      <m:r>
                        <w:rPr>
                          <w:rFonts w:ascii="Cambria Math" w:hAnsi="Cambria Math"/>
                        </w:rPr>
                        <m:t>n</m:t>
                      </m:r>
                    </m:sup>
                    <m:e>
                      <m:sSub>
                        <m:sSubPr>
                          <m:ctrlPr>
                            <w:rPr>
                              <w:rFonts w:ascii="Cambria Math" w:hAnsi="Cambria Math"/>
                              <w:i/>
                            </w:rPr>
                          </m:ctrlPr>
                        </m:sSubPr>
                        <m:e>
                          <m:r>
                            <w:rPr>
                              <w:rFonts w:ascii="Cambria Math" w:hAnsi="Cambria Math"/>
                            </w:rPr>
                            <m:t>NU</m:t>
                          </m:r>
                        </m:e>
                        <m:sub>
                          <m:r>
                            <w:rPr>
                              <w:rFonts w:ascii="Cambria Math" w:hAnsi="Cambria Math"/>
                            </w:rPr>
                            <m:t>i,u,m</m:t>
                          </m:r>
                        </m:sub>
                      </m:sSub>
                    </m:e>
                  </m:nary>
                </m:num>
                <m:den>
                  <m:sSub>
                    <m:sSubPr>
                      <m:ctrlPr>
                        <w:rPr>
                          <w:rFonts w:ascii="Cambria Math" w:hAnsi="Cambria Math"/>
                          <w:i/>
                        </w:rPr>
                      </m:ctrlPr>
                    </m:sSubPr>
                    <m:e>
                      <m:r>
                        <w:rPr>
                          <w:rFonts w:ascii="Cambria Math" w:hAnsi="Cambria Math"/>
                        </w:rPr>
                        <m:t>UT</m:t>
                      </m:r>
                    </m:e>
                    <m:sub>
                      <m:r>
                        <w:rPr>
                          <w:rFonts w:ascii="Cambria Math" w:hAnsi="Cambria Math"/>
                        </w:rPr>
                        <m:t>j,m</m:t>
                      </m:r>
                    </m:sub>
                  </m:sSub>
                </m:den>
              </m:f>
            </m:e>
          </m:nary>
        </m:oMath>
      </m:oMathPara>
    </w:p>
    <w:p w:rsidR="00407449" w:rsidRPr="004E6CFC" w:rsidRDefault="00407449" w:rsidP="00407449">
      <w:pPr>
        <w:rPr>
          <w:lang w:val="es-CO"/>
        </w:rPr>
      </w:pPr>
      <w:r w:rsidRPr="004E6CFC">
        <w:rPr>
          <w:lang w:val="es-CO"/>
        </w:rPr>
        <w:t>Donde:</w:t>
      </w:r>
    </w:p>
    <w:p w:rsidR="00407449" w:rsidRPr="004E6CFC" w:rsidRDefault="00407449" w:rsidP="00407449">
      <w:pPr>
        <w:ind w:left="1410" w:hanging="1410"/>
        <w:rPr>
          <w:lang w:val="es-CO"/>
        </w:rPr>
      </w:pPr>
      <w:r w:rsidRPr="004E6CFC">
        <w:rPr>
          <w:i/>
          <w:lang w:val="es-CO"/>
        </w:rPr>
        <w:lastRenderedPageBreak/>
        <w:t>SAIFI</w:t>
      </w:r>
      <w:r w:rsidRPr="004E6CFC">
        <w:rPr>
          <w:i/>
          <w:vertAlign w:val="subscript"/>
          <w:lang w:val="es-CO"/>
        </w:rPr>
        <w:t>j,t</w:t>
      </w:r>
      <w:r w:rsidRPr="004E6CFC">
        <w:rPr>
          <w:i/>
          <w:lang w:val="es-CO"/>
        </w:rPr>
        <w:t>:</w:t>
      </w:r>
      <w:r w:rsidRPr="004E6CFC">
        <w:rPr>
          <w:i/>
          <w:lang w:val="es-CO"/>
        </w:rPr>
        <w:tab/>
      </w:r>
      <w:r w:rsidRPr="004E6CFC">
        <w:rPr>
          <w:lang w:val="es-CO"/>
        </w:rPr>
        <w:t xml:space="preserve">Indicador de frecuencia promedio </w:t>
      </w:r>
      <w:r>
        <w:rPr>
          <w:lang w:val="es-CO"/>
        </w:rPr>
        <w:t xml:space="preserve">por usuario, </w:t>
      </w:r>
      <w:r w:rsidRPr="004E6CFC">
        <w:rPr>
          <w:lang w:val="es-CO"/>
        </w:rPr>
        <w:t xml:space="preserve">de los eventos sucedidos en el SDL del OR </w:t>
      </w:r>
      <w:r w:rsidRPr="004E6CFC">
        <w:rPr>
          <w:i/>
          <w:lang w:val="es-CO"/>
        </w:rPr>
        <w:t>j</w:t>
      </w:r>
      <w:r w:rsidRPr="004E6CFC">
        <w:rPr>
          <w:lang w:val="es-CO"/>
        </w:rPr>
        <w:t xml:space="preserve">, durante el año </w:t>
      </w:r>
      <w:r w:rsidRPr="004E6CFC">
        <w:rPr>
          <w:i/>
          <w:lang w:val="es-CO"/>
        </w:rPr>
        <w:t>t</w:t>
      </w:r>
      <w:r>
        <w:rPr>
          <w:lang w:val="es-CO"/>
        </w:rPr>
        <w:t>, medido en cantidad al año.</w:t>
      </w:r>
    </w:p>
    <w:p w:rsidR="00407449" w:rsidRPr="004E6CFC" w:rsidRDefault="00407449" w:rsidP="00407449">
      <w:pPr>
        <w:ind w:left="1410" w:hanging="1410"/>
        <w:rPr>
          <w:lang w:val="es-CO"/>
        </w:rPr>
      </w:pPr>
      <w:r w:rsidRPr="004E6CFC">
        <w:rPr>
          <w:i/>
          <w:lang w:val="es-CO"/>
        </w:rPr>
        <w:t>NU</w:t>
      </w:r>
      <w:r w:rsidRPr="004E6CFC">
        <w:rPr>
          <w:i/>
          <w:vertAlign w:val="subscript"/>
          <w:lang w:val="es-CO"/>
        </w:rPr>
        <w:t>i,u,</w:t>
      </w:r>
      <w:r>
        <w:rPr>
          <w:i/>
          <w:vertAlign w:val="subscript"/>
          <w:lang w:val="es-CO"/>
        </w:rPr>
        <w:t>m</w:t>
      </w:r>
      <w:r w:rsidRPr="004E6CFC">
        <w:rPr>
          <w:i/>
          <w:lang w:val="es-CO"/>
        </w:rPr>
        <w:t>:</w:t>
      </w:r>
      <w:r w:rsidRPr="004E6CFC">
        <w:rPr>
          <w:i/>
          <w:lang w:val="es-CO"/>
        </w:rPr>
        <w:tab/>
      </w:r>
      <w:r w:rsidRPr="004E6CFC">
        <w:rPr>
          <w:lang w:val="es-CO"/>
        </w:rPr>
        <w:t xml:space="preserve">Número de usuarios que fueron afectados por el evento </w:t>
      </w:r>
      <w:r w:rsidRPr="004E6CFC">
        <w:rPr>
          <w:i/>
          <w:lang w:val="es-CO"/>
        </w:rPr>
        <w:t>i</w:t>
      </w:r>
      <w:r w:rsidRPr="004E6CFC">
        <w:rPr>
          <w:lang w:val="es-CO"/>
        </w:rPr>
        <w:t xml:space="preserve"> sucedido durante el </w:t>
      </w:r>
      <w:r>
        <w:rPr>
          <w:lang w:val="es-CO"/>
        </w:rPr>
        <w:t>mes</w:t>
      </w:r>
      <w:r w:rsidRPr="004E6CFC">
        <w:rPr>
          <w:lang w:val="es-CO"/>
        </w:rPr>
        <w:t xml:space="preserve"> </w:t>
      </w:r>
      <w:r>
        <w:rPr>
          <w:i/>
          <w:lang w:val="es-CO"/>
        </w:rPr>
        <w:t>m</w:t>
      </w:r>
      <w:r w:rsidRPr="004E6CFC">
        <w:rPr>
          <w:i/>
          <w:lang w:val="es-CO"/>
        </w:rPr>
        <w:t>,</w:t>
      </w:r>
      <w:r w:rsidRPr="004E6CFC">
        <w:rPr>
          <w:lang w:val="es-CO"/>
        </w:rPr>
        <w:t xml:space="preserve"> por encontrarse conectados al activo </w:t>
      </w:r>
      <w:r w:rsidRPr="004E6CFC">
        <w:rPr>
          <w:i/>
          <w:lang w:val="es-CO"/>
        </w:rPr>
        <w:t>u</w:t>
      </w:r>
      <w:r w:rsidRPr="004E6CFC">
        <w:rPr>
          <w:lang w:val="es-CO"/>
        </w:rPr>
        <w:t xml:space="preserve">. </w:t>
      </w:r>
    </w:p>
    <w:p w:rsidR="00407449" w:rsidRDefault="00407449" w:rsidP="00407449">
      <w:pPr>
        <w:ind w:left="1410" w:hanging="1410"/>
        <w:rPr>
          <w:i/>
          <w:lang w:val="es-CO"/>
        </w:rPr>
      </w:pPr>
      <w:r w:rsidRPr="004E6CFC">
        <w:rPr>
          <w:i/>
          <w:lang w:val="es-CO"/>
        </w:rPr>
        <w:t>UT</w:t>
      </w:r>
      <w:r w:rsidRPr="004E6CFC">
        <w:rPr>
          <w:i/>
          <w:vertAlign w:val="subscript"/>
          <w:lang w:val="es-CO"/>
        </w:rPr>
        <w:t>j,t</w:t>
      </w:r>
      <w:r w:rsidRPr="004E6CFC">
        <w:rPr>
          <w:i/>
          <w:lang w:val="es-CO"/>
        </w:rPr>
        <w:t xml:space="preserve">: </w:t>
      </w:r>
      <w:r w:rsidRPr="004E6CFC">
        <w:rPr>
          <w:i/>
          <w:lang w:val="es-CO"/>
        </w:rPr>
        <w:tab/>
      </w:r>
      <w:r w:rsidRPr="004E6CFC">
        <w:rPr>
          <w:lang w:val="es-CO"/>
        </w:rPr>
        <w:t xml:space="preserve">Número total de usuarios conectados al SDL del OR </w:t>
      </w:r>
      <w:r w:rsidRPr="004E6CFC">
        <w:rPr>
          <w:i/>
          <w:lang w:val="es-CO"/>
        </w:rPr>
        <w:t>j</w:t>
      </w:r>
      <w:r w:rsidRPr="004E6CFC">
        <w:rPr>
          <w:lang w:val="es-CO"/>
        </w:rPr>
        <w:t xml:space="preserve"> en el </w:t>
      </w:r>
      <w:r>
        <w:rPr>
          <w:lang w:val="es-CO"/>
        </w:rPr>
        <w:t>mes</w:t>
      </w:r>
      <w:r w:rsidRPr="004E6CFC">
        <w:rPr>
          <w:lang w:val="es-CO"/>
        </w:rPr>
        <w:t xml:space="preserve"> </w:t>
      </w:r>
      <w:r>
        <w:rPr>
          <w:i/>
          <w:lang w:val="es-CO"/>
        </w:rPr>
        <w:t>m</w:t>
      </w:r>
      <w:r w:rsidRPr="004E6CFC">
        <w:rPr>
          <w:i/>
          <w:lang w:val="es-CO"/>
        </w:rPr>
        <w:t>.</w:t>
      </w:r>
    </w:p>
    <w:p w:rsidR="00407449" w:rsidRPr="0048204C" w:rsidRDefault="00407449" w:rsidP="00407449">
      <w:pPr>
        <w:ind w:left="1410" w:hanging="1410"/>
        <w:rPr>
          <w:lang w:val="es-CO"/>
        </w:rPr>
      </w:pPr>
      <w:r>
        <w:rPr>
          <w:i/>
          <w:lang w:val="es-CO"/>
        </w:rPr>
        <w:t>m:</w:t>
      </w:r>
      <w:r>
        <w:rPr>
          <w:i/>
          <w:lang w:val="es-CO"/>
        </w:rPr>
        <w:tab/>
      </w:r>
      <w:r w:rsidRPr="0048204C">
        <w:rPr>
          <w:lang w:val="es-CO"/>
        </w:rPr>
        <w:t xml:space="preserve">Mes del año </w:t>
      </w:r>
      <w:r w:rsidRPr="0048204C">
        <w:rPr>
          <w:i/>
          <w:lang w:val="es-CO"/>
        </w:rPr>
        <w:t>t</w:t>
      </w:r>
      <w:r w:rsidRPr="0048204C">
        <w:rPr>
          <w:lang w:val="es-CO"/>
        </w:rPr>
        <w:t>, con enero = 1, …, diciembre =12.</w:t>
      </w:r>
      <w:r w:rsidRPr="0048204C">
        <w:rPr>
          <w:lang w:val="es-CO"/>
        </w:rPr>
        <w:tab/>
      </w:r>
    </w:p>
    <w:p w:rsidR="00407449" w:rsidRPr="004E6CFC" w:rsidRDefault="00407449" w:rsidP="00407449">
      <w:r>
        <w:t>Cada OR es responsable del cálculo de estos indicadores y l</w:t>
      </w:r>
      <w:r w:rsidRPr="004E6CFC">
        <w:t xml:space="preserve">a información </w:t>
      </w:r>
      <w:r>
        <w:t xml:space="preserve">que deberá utilizar </w:t>
      </w:r>
      <w:r w:rsidRPr="004E6CFC">
        <w:t xml:space="preserve">para </w:t>
      </w:r>
      <w:r>
        <w:t>ello</w:t>
      </w:r>
      <w:r w:rsidRPr="004E6CFC">
        <w:t xml:space="preserve"> es la reportada con base en lo establecido en el numeral</w:t>
      </w:r>
      <w:r>
        <w:t xml:space="preserve"> </w:t>
      </w:r>
      <w:r>
        <w:fldChar w:fldCharType="begin"/>
      </w:r>
      <w:r>
        <w:instrText xml:space="preserve"> REF _Ref405914767 \r \h </w:instrText>
      </w:r>
      <w:r>
        <w:fldChar w:fldCharType="separate"/>
      </w:r>
      <w:r w:rsidR="00737178">
        <w:t>5.2.11.3.2</w:t>
      </w:r>
      <w:r>
        <w:fldChar w:fldCharType="end"/>
      </w:r>
      <w:r>
        <w:t xml:space="preserve"> y la información de vinculación de que trata el literal </w:t>
      </w:r>
      <w:r>
        <w:fldChar w:fldCharType="begin"/>
      </w:r>
      <w:r>
        <w:instrText xml:space="preserve"> REF _Ref405199276 \r \h </w:instrText>
      </w:r>
      <w:r>
        <w:fldChar w:fldCharType="separate"/>
      </w:r>
      <w:r w:rsidR="00737178">
        <w:t>a</w:t>
      </w:r>
      <w:r>
        <w:fldChar w:fldCharType="end"/>
      </w:r>
      <w:r>
        <w:t xml:space="preserve"> del numeral </w:t>
      </w:r>
      <w:r>
        <w:fldChar w:fldCharType="begin"/>
      </w:r>
      <w:r>
        <w:instrText xml:space="preserve"> REF _Ref405298629 \r \h </w:instrText>
      </w:r>
      <w:r>
        <w:fldChar w:fldCharType="separate"/>
      </w:r>
      <w:r w:rsidR="00737178">
        <w:t>5.2.10</w:t>
      </w:r>
      <w:r>
        <w:fldChar w:fldCharType="end"/>
      </w:r>
      <w:r>
        <w:t>.</w:t>
      </w:r>
    </w:p>
    <w:p w:rsidR="00407449" w:rsidRPr="004E6CFC" w:rsidRDefault="00407449" w:rsidP="00407449">
      <w:pPr>
        <w:pStyle w:val="Ttulo4"/>
        <w:ind w:left="864" w:hanging="864"/>
      </w:pPr>
      <w:bookmarkStart w:id="512" w:name="_Ref403659515"/>
      <w:bookmarkStart w:id="513" w:name="_Ref460927688"/>
      <w:r w:rsidRPr="004E6CFC">
        <w:t xml:space="preserve">Esquema de incentivos a la calidad </w:t>
      </w:r>
      <w:bookmarkEnd w:id="512"/>
      <w:r w:rsidRPr="004E6CFC">
        <w:t>media</w:t>
      </w:r>
      <w:bookmarkEnd w:id="513"/>
    </w:p>
    <w:p w:rsidR="00407449" w:rsidRPr="004E6CFC" w:rsidRDefault="00407449" w:rsidP="00407449">
      <w:r w:rsidRPr="004E6CFC">
        <w:t>Con base en el desempeño anual de la calidad media de cada OR se debe aplicar un incentivo expresado como un valor que se adiciona o se resta del ingreso anual a reconocerle. El OR tendrá incentivo tanto por el desempeño medido con el indicador de duraciones</w:t>
      </w:r>
      <w:r w:rsidRPr="004E6CFC">
        <w:rPr>
          <w:i/>
        </w:rPr>
        <w:t xml:space="preserve"> SAIDI</w:t>
      </w:r>
      <w:r w:rsidRPr="004E6CFC">
        <w:rPr>
          <w:i/>
          <w:vertAlign w:val="subscript"/>
        </w:rPr>
        <w:t>j,t</w:t>
      </w:r>
      <w:r w:rsidRPr="004E6CFC">
        <w:rPr>
          <w:i/>
        </w:rPr>
        <w:t>,</w:t>
      </w:r>
      <w:r w:rsidRPr="004E6CFC">
        <w:t xml:space="preserve"> como por el indicador de frecuencia </w:t>
      </w:r>
      <w:r w:rsidRPr="004E6CFC">
        <w:rPr>
          <w:i/>
        </w:rPr>
        <w:t>SAIFI</w:t>
      </w:r>
      <w:r w:rsidRPr="004E6CFC">
        <w:rPr>
          <w:i/>
          <w:vertAlign w:val="subscript"/>
        </w:rPr>
        <w:t>j,t</w:t>
      </w:r>
      <w:r w:rsidRPr="004E6CFC">
        <w:t>.</w:t>
      </w:r>
    </w:p>
    <w:p w:rsidR="00407449" w:rsidRPr="004E6CFC" w:rsidRDefault="00407449" w:rsidP="00407449">
      <w:r w:rsidRPr="004E6CFC">
        <w:t xml:space="preserve">El desempeño anual de la calidad media de cada OR se mide a partir de la comparación de los indicadores </w:t>
      </w:r>
      <w:r w:rsidRPr="004E6CFC">
        <w:rPr>
          <w:i/>
        </w:rPr>
        <w:t>SAIDI</w:t>
      </w:r>
      <w:r w:rsidRPr="004E6CFC">
        <w:rPr>
          <w:i/>
          <w:vertAlign w:val="subscript"/>
        </w:rPr>
        <w:t>j,t</w:t>
      </w:r>
      <w:r w:rsidRPr="004E6CFC">
        <w:t xml:space="preserve"> y </w:t>
      </w:r>
      <w:r w:rsidRPr="004E6CFC">
        <w:rPr>
          <w:i/>
        </w:rPr>
        <w:t>SAIFI</w:t>
      </w:r>
      <w:r w:rsidRPr="004E6CFC">
        <w:rPr>
          <w:i/>
          <w:vertAlign w:val="subscript"/>
        </w:rPr>
        <w:t>j,t</w:t>
      </w:r>
      <w:r w:rsidRPr="004E6CFC">
        <w:t xml:space="preserve">, con respecto a la meta anual </w:t>
      </w:r>
      <w:r>
        <w:t xml:space="preserve">fijada </w:t>
      </w:r>
      <w:r w:rsidRPr="004E6CFC">
        <w:t>para cada uno de estos indicadores,</w:t>
      </w:r>
      <w:r w:rsidRPr="004E6CFC">
        <w:rPr>
          <w:i/>
          <w:lang w:val="es-ES_tradnl"/>
        </w:rPr>
        <w:t xml:space="preserve"> SAIDI_M</w:t>
      </w:r>
      <w:r w:rsidRPr="004E6CFC">
        <w:rPr>
          <w:i/>
          <w:vertAlign w:val="subscript"/>
          <w:lang w:val="es-ES_tradnl"/>
        </w:rPr>
        <w:t>j,t</w:t>
      </w:r>
      <w:r w:rsidRPr="004E6CFC">
        <w:rPr>
          <w:i/>
          <w:lang w:val="es-ES_tradnl"/>
        </w:rPr>
        <w:t xml:space="preserve"> </w:t>
      </w:r>
      <w:r w:rsidRPr="004E6CFC">
        <w:rPr>
          <w:lang w:val="es-ES_tradnl"/>
        </w:rPr>
        <w:t>y</w:t>
      </w:r>
      <w:r w:rsidRPr="004E6CFC">
        <w:rPr>
          <w:i/>
          <w:lang w:val="es-ES_tradnl"/>
        </w:rPr>
        <w:t xml:space="preserve"> SAIFI_M</w:t>
      </w:r>
      <w:r w:rsidRPr="004E6CFC">
        <w:rPr>
          <w:i/>
          <w:vertAlign w:val="subscript"/>
          <w:lang w:val="es-ES_tradnl"/>
        </w:rPr>
        <w:t>j,t</w:t>
      </w:r>
      <w:r w:rsidRPr="004E6CFC">
        <w:rPr>
          <w:lang w:val="es-ES_tradnl"/>
        </w:rPr>
        <w:t>,</w:t>
      </w:r>
      <w:r w:rsidRPr="004E6CFC">
        <w:rPr>
          <w:i/>
          <w:lang w:val="es-ES_tradnl"/>
        </w:rPr>
        <w:t xml:space="preserve"> </w:t>
      </w:r>
      <w:r w:rsidRPr="004E6CFC">
        <w:t xml:space="preserve">según en lo establecido en el numeral </w:t>
      </w:r>
      <w:r w:rsidRPr="004E6CFC">
        <w:fldChar w:fldCharType="begin"/>
      </w:r>
      <w:r w:rsidRPr="004E6CFC">
        <w:instrText xml:space="preserve"> REF _Ref474484823 \r \h  \* MERGEFORMAT </w:instrText>
      </w:r>
      <w:r w:rsidRPr="004E6CFC">
        <w:fldChar w:fldCharType="separate"/>
      </w:r>
      <w:r w:rsidR="00737178">
        <w:t>5.2.3.2.1</w:t>
      </w:r>
      <w:r w:rsidRPr="004E6CFC">
        <w:fldChar w:fldCharType="end"/>
      </w:r>
      <w:r w:rsidRPr="004E6CFC">
        <w:t>.</w:t>
      </w:r>
      <w:r w:rsidRPr="000C5CEA">
        <w:t xml:space="preserve"> </w:t>
      </w:r>
      <w:r>
        <w:t xml:space="preserve">El cálculo de </w:t>
      </w:r>
      <w:r w:rsidRPr="004E6CFC">
        <w:t xml:space="preserve">los indicadores </w:t>
      </w:r>
      <w:r w:rsidRPr="004E6CFC">
        <w:rPr>
          <w:i/>
        </w:rPr>
        <w:t>SAIDI</w:t>
      </w:r>
      <w:r w:rsidRPr="004E6CFC">
        <w:rPr>
          <w:i/>
          <w:vertAlign w:val="subscript"/>
        </w:rPr>
        <w:t>j,t</w:t>
      </w:r>
      <w:r w:rsidRPr="004E6CFC">
        <w:t xml:space="preserve"> y </w:t>
      </w:r>
      <w:r w:rsidRPr="004E6CFC">
        <w:rPr>
          <w:i/>
        </w:rPr>
        <w:t>SAIFI</w:t>
      </w:r>
      <w:r w:rsidRPr="004E6CFC">
        <w:rPr>
          <w:i/>
          <w:vertAlign w:val="subscript"/>
        </w:rPr>
        <w:t>j,t</w:t>
      </w:r>
      <w:r w:rsidRPr="004E6CFC">
        <w:t xml:space="preserve"> </w:t>
      </w:r>
      <w:r>
        <w:t>debe realizarse con base en la información de l</w:t>
      </w:r>
      <w:r w:rsidRPr="004E6CFC">
        <w:t xml:space="preserve">os eventos sucedidos en </w:t>
      </w:r>
      <w:r>
        <w:t>los circuitos y transformadores</w:t>
      </w:r>
      <w:r w:rsidRPr="004E6CFC">
        <w:t xml:space="preserve"> de los niveles de tensión 2 y 3</w:t>
      </w:r>
      <w:r w:rsidRPr="008C79BC">
        <w:t xml:space="preserve"> </w:t>
      </w:r>
      <w:r>
        <w:t xml:space="preserve">y en los transformadores de nivel de tensión 1, reportada según lo establecido en el numeral </w:t>
      </w:r>
      <w:r>
        <w:fldChar w:fldCharType="begin"/>
      </w:r>
      <w:r>
        <w:instrText xml:space="preserve"> REF _Ref404161161 \r \h </w:instrText>
      </w:r>
      <w:r>
        <w:fldChar w:fldCharType="separate"/>
      </w:r>
      <w:r w:rsidR="00737178">
        <w:t>5.2.11.3</w:t>
      </w:r>
      <w:r>
        <w:fldChar w:fldCharType="end"/>
      </w:r>
      <w:r>
        <w:t>.</w:t>
      </w:r>
    </w:p>
    <w:p w:rsidR="00407449" w:rsidRPr="004E6CFC" w:rsidRDefault="00407449" w:rsidP="00407449">
      <w:r w:rsidRPr="004E6CFC">
        <w:rPr>
          <w:lang w:val="es-ES_tradnl"/>
        </w:rPr>
        <w:t>Los incentivos serán iguales a cero cuando los indicadores anuales de calidad media del sistema se encuentren dentro de la banda de indiferencia de la calidad media definida, para cada indicador y para cada año, como se muestra a continuación:</w:t>
      </w:r>
    </w:p>
    <w:p w:rsidR="00407449" w:rsidRPr="004E6CFC" w:rsidRDefault="00407449" w:rsidP="009C086B">
      <w:pPr>
        <w:pStyle w:val="Prrafodelista"/>
        <w:numPr>
          <w:ilvl w:val="0"/>
          <w:numId w:val="88"/>
        </w:numPr>
      </w:pPr>
      <w:r w:rsidRPr="004E6CFC">
        <w:t xml:space="preserve">Para el indicador de duración: </w:t>
      </w:r>
      <w:r w:rsidRPr="004E6CFC">
        <w:rPr>
          <w:lang w:val="es-ES_tradnl"/>
        </w:rPr>
        <w:t xml:space="preserve">región cuyo límite superior es igual a </w:t>
      </w:r>
      <w:r w:rsidRPr="004E6CFC">
        <w:rPr>
          <w:i/>
          <w:lang w:val="es-ES_tradnl"/>
        </w:rPr>
        <w:t>1.005 * SAIDI_M</w:t>
      </w:r>
      <w:r w:rsidRPr="004E6CFC">
        <w:rPr>
          <w:i/>
          <w:vertAlign w:val="subscript"/>
          <w:lang w:val="es-ES_tradnl"/>
        </w:rPr>
        <w:t>j,t</w:t>
      </w:r>
      <w:r w:rsidRPr="004E6CFC">
        <w:rPr>
          <w:lang w:val="es-ES_tradnl"/>
        </w:rPr>
        <w:t xml:space="preserve"> y límite inferior es igual a </w:t>
      </w:r>
      <w:r w:rsidRPr="004E6CFC">
        <w:rPr>
          <w:i/>
          <w:lang w:val="es-ES_tradnl"/>
        </w:rPr>
        <w:t>0.995 * SAIDI_M</w:t>
      </w:r>
      <w:r w:rsidRPr="004E6CFC">
        <w:rPr>
          <w:i/>
          <w:vertAlign w:val="subscript"/>
          <w:lang w:val="es-ES_tradnl"/>
        </w:rPr>
        <w:t>j,t.</w:t>
      </w:r>
    </w:p>
    <w:p w:rsidR="00407449" w:rsidRPr="004E6CFC" w:rsidRDefault="00407449" w:rsidP="009C086B">
      <w:pPr>
        <w:pStyle w:val="Prrafodelista"/>
        <w:numPr>
          <w:ilvl w:val="0"/>
          <w:numId w:val="88"/>
        </w:numPr>
        <w:rPr>
          <w:i/>
          <w:lang w:val="es-ES_tradnl"/>
        </w:rPr>
      </w:pPr>
      <w:r w:rsidRPr="004E6CFC">
        <w:t xml:space="preserve">Para el indicador de frecuencia: </w:t>
      </w:r>
      <w:r w:rsidRPr="004E6CFC">
        <w:rPr>
          <w:lang w:val="es-ES_tradnl"/>
        </w:rPr>
        <w:t xml:space="preserve">región cuyo límite superior es igual a </w:t>
      </w:r>
      <w:r w:rsidRPr="004E6CFC">
        <w:rPr>
          <w:i/>
          <w:lang w:val="es-ES_tradnl"/>
        </w:rPr>
        <w:t>1.005 * SAIFI_M</w:t>
      </w:r>
      <w:r w:rsidRPr="004E6CFC">
        <w:rPr>
          <w:i/>
          <w:vertAlign w:val="subscript"/>
          <w:lang w:val="es-ES_tradnl"/>
        </w:rPr>
        <w:t>j,t</w:t>
      </w:r>
      <w:r w:rsidRPr="004E6CFC">
        <w:rPr>
          <w:lang w:val="es-ES_tradnl"/>
        </w:rPr>
        <w:t xml:space="preserve"> y límite inferior es igual a </w:t>
      </w:r>
      <w:r w:rsidRPr="004E6CFC">
        <w:rPr>
          <w:i/>
          <w:lang w:val="es-ES_tradnl"/>
        </w:rPr>
        <w:t>0.995 * SAIFI_M</w:t>
      </w:r>
      <w:r w:rsidRPr="004E6CFC">
        <w:rPr>
          <w:i/>
          <w:vertAlign w:val="subscript"/>
          <w:lang w:val="es-ES_tradnl"/>
        </w:rPr>
        <w:t>j,t.</w:t>
      </w:r>
    </w:p>
    <w:p w:rsidR="00407449" w:rsidRPr="004E6CFC" w:rsidRDefault="00407449" w:rsidP="00407449">
      <w:pPr>
        <w:pStyle w:val="Ttulo5"/>
        <w:ind w:left="1008" w:hanging="1008"/>
      </w:pPr>
      <w:bookmarkStart w:id="514" w:name="_Ref474484823"/>
      <w:bookmarkStart w:id="515" w:name="_Ref474852686"/>
      <w:r w:rsidRPr="004E6CFC">
        <w:t xml:space="preserve">Metas de calidad </w:t>
      </w:r>
      <w:bookmarkEnd w:id="514"/>
      <w:r w:rsidRPr="004E6CFC">
        <w:t>media</w:t>
      </w:r>
      <w:bookmarkEnd w:id="515"/>
      <w:r w:rsidRPr="004E6CFC">
        <w:t xml:space="preserve"> </w:t>
      </w:r>
    </w:p>
    <w:p w:rsidR="00407449" w:rsidRPr="004E6CFC" w:rsidRDefault="00407449" w:rsidP="00407449">
      <w:r w:rsidRPr="004E6CFC">
        <w:t>La meta anual con respecto a la calidad promedio del sistema de cada OR será calculada por la CREG como resultado de aplicar una reducción del 8% anual con respecto a los indicadores de referencia de cada OR, que serán establecidos por la CREG en la resolución particular que apruebe los ingresos anuales.</w:t>
      </w:r>
    </w:p>
    <w:p w:rsidR="000E05C8" w:rsidRDefault="000E05C8" w:rsidP="00407449">
      <w:r>
        <w:t>Para efectos de cumplir con la obligación prevista en el primer inciso del artículo 136 de la Ley 142 de 1994 los OR deberán abstenerse de incumplir las metas de calidad media anual a las que se refiere el inciso anterior durante dos períodos consecutivos.</w:t>
      </w:r>
    </w:p>
    <w:p w:rsidR="00407449" w:rsidRPr="004E6CFC" w:rsidRDefault="00407449" w:rsidP="00407449">
      <w:r w:rsidRPr="004E6CFC">
        <w:lastRenderedPageBreak/>
        <w:t>La meta para el indicador de duración de los eventos sucedidos en el SDL de cada OR se obtiene con base en la siguiente expresión:</w:t>
      </w:r>
    </w:p>
    <w:p w:rsidR="00407449" w:rsidRPr="004E6CFC" w:rsidRDefault="00C9592F" w:rsidP="00407449">
      <m:oMathPara>
        <m:oMath>
          <m:sSub>
            <m:sSubPr>
              <m:ctrlPr>
                <w:rPr>
                  <w:rFonts w:ascii="Cambria Math" w:hAnsi="Cambria Math"/>
                  <w:i/>
                </w:rPr>
              </m:ctrlPr>
            </m:sSubPr>
            <m:e>
              <m:r>
                <w:rPr>
                  <w:rFonts w:ascii="Cambria Math" w:hAnsi="Cambria Math"/>
                </w:rPr>
                <m:t>SAIDI_M</m:t>
              </m:r>
            </m:e>
            <m:sub>
              <m:r>
                <w:rPr>
                  <w:rFonts w:ascii="Cambria Math" w:hAnsi="Cambria Math"/>
                </w:rPr>
                <m:t>j,t</m:t>
              </m:r>
            </m:sub>
          </m:sSub>
          <m:r>
            <w:rPr>
              <w:rFonts w:ascii="Cambria Math" w:hAnsi="Cambria Math"/>
            </w:rPr>
            <m:t>=</m:t>
          </m:r>
          <m:d>
            <m:dPr>
              <m:ctrlPr>
                <w:rPr>
                  <w:rFonts w:ascii="Cambria Math" w:hAnsi="Cambria Math"/>
                  <w:i/>
                </w:rPr>
              </m:ctrlPr>
            </m:dPr>
            <m:e>
              <m:r>
                <w:rPr>
                  <w:rFonts w:ascii="Cambria Math" w:hAnsi="Cambria Math"/>
                </w:rPr>
                <m:t>1-0.08</m:t>
              </m:r>
            </m:e>
          </m:d>
          <m:r>
            <w:rPr>
              <w:rFonts w:ascii="Cambria Math" w:hAnsi="Cambria Math"/>
            </w:rPr>
            <m:t>*</m:t>
          </m:r>
          <m:sSub>
            <m:sSubPr>
              <m:ctrlPr>
                <w:rPr>
                  <w:rFonts w:ascii="Cambria Math" w:hAnsi="Cambria Math"/>
                  <w:i/>
                </w:rPr>
              </m:ctrlPr>
            </m:sSubPr>
            <m:e>
              <m:r>
                <w:rPr>
                  <w:rFonts w:ascii="Cambria Math" w:hAnsi="Cambria Math"/>
                </w:rPr>
                <m:t>SAIDI_M</m:t>
              </m:r>
            </m:e>
            <m:sub>
              <m:r>
                <w:rPr>
                  <w:rFonts w:ascii="Cambria Math" w:hAnsi="Cambria Math"/>
                </w:rPr>
                <m:t>j,t-1</m:t>
              </m:r>
            </m:sub>
          </m:sSub>
        </m:oMath>
      </m:oMathPara>
    </w:p>
    <w:p w:rsidR="00407449" w:rsidRPr="004E6CFC" w:rsidRDefault="00407449" w:rsidP="00407449">
      <w:r w:rsidRPr="004E6CFC">
        <w:t>Donde:</w:t>
      </w:r>
    </w:p>
    <w:p w:rsidR="00407449" w:rsidRDefault="00407449" w:rsidP="00407449">
      <w:pPr>
        <w:ind w:left="1410" w:hanging="1410"/>
        <w:rPr>
          <w:lang w:val="es-CO"/>
        </w:rPr>
      </w:pPr>
      <w:r w:rsidRPr="004E6CFC">
        <w:rPr>
          <w:i/>
          <w:lang w:val="es-CO"/>
        </w:rPr>
        <w:t>SAIDI_M</w:t>
      </w:r>
      <w:r w:rsidRPr="004E6CFC">
        <w:rPr>
          <w:i/>
          <w:vertAlign w:val="subscript"/>
          <w:lang w:val="es-CO"/>
        </w:rPr>
        <w:t>j,t</w:t>
      </w:r>
      <w:r w:rsidRPr="004E6CFC">
        <w:rPr>
          <w:i/>
          <w:lang w:val="es-CO"/>
        </w:rPr>
        <w:t>:</w:t>
      </w:r>
      <w:r w:rsidRPr="004E6CFC">
        <w:rPr>
          <w:i/>
          <w:vertAlign w:val="subscript"/>
          <w:lang w:val="es-CO"/>
        </w:rPr>
        <w:tab/>
      </w:r>
      <w:r w:rsidRPr="004E6CFC">
        <w:rPr>
          <w:lang w:val="es-CO"/>
        </w:rPr>
        <w:t xml:space="preserve">Meta del indicador de duración de eventos, en horas al año, a ser alcanzada por el OR </w:t>
      </w:r>
      <w:r w:rsidRPr="004E6CFC">
        <w:rPr>
          <w:i/>
          <w:lang w:val="es-CO"/>
        </w:rPr>
        <w:t>j</w:t>
      </w:r>
      <w:r w:rsidRPr="004E6CFC">
        <w:rPr>
          <w:lang w:val="es-CO"/>
        </w:rPr>
        <w:t xml:space="preserve"> al finalizar el año </w:t>
      </w:r>
      <w:r w:rsidRPr="004E6CFC">
        <w:rPr>
          <w:i/>
          <w:lang w:val="es-CO"/>
        </w:rPr>
        <w:t>t.</w:t>
      </w:r>
      <w:r w:rsidRPr="004E6CFC">
        <w:rPr>
          <w:lang w:val="es-CO"/>
        </w:rPr>
        <w:t xml:space="preserve"> </w:t>
      </w:r>
    </w:p>
    <w:p w:rsidR="00407449" w:rsidRPr="004E6CFC" w:rsidRDefault="00407449" w:rsidP="00407449">
      <w:pPr>
        <w:ind w:left="1410" w:hanging="1410"/>
        <w:rPr>
          <w:lang w:val="es-CO"/>
        </w:rPr>
      </w:pPr>
      <w:r w:rsidRPr="004E6CFC">
        <w:rPr>
          <w:i/>
          <w:lang w:val="es-CO"/>
        </w:rPr>
        <w:t>SAIDI_M</w:t>
      </w:r>
      <w:r w:rsidRPr="004E6CFC">
        <w:rPr>
          <w:i/>
          <w:vertAlign w:val="subscript"/>
          <w:lang w:val="es-CO"/>
        </w:rPr>
        <w:t>j,t</w:t>
      </w:r>
      <w:r>
        <w:rPr>
          <w:i/>
          <w:vertAlign w:val="subscript"/>
          <w:lang w:val="es-CO"/>
        </w:rPr>
        <w:t>-1</w:t>
      </w:r>
      <w:r w:rsidRPr="004E6CFC">
        <w:rPr>
          <w:i/>
          <w:lang w:val="es-CO"/>
        </w:rPr>
        <w:t>:</w:t>
      </w:r>
      <w:r w:rsidRPr="004E6CFC">
        <w:rPr>
          <w:i/>
          <w:vertAlign w:val="subscript"/>
          <w:lang w:val="es-CO"/>
        </w:rPr>
        <w:tab/>
      </w:r>
      <w:r w:rsidRPr="004E6CFC">
        <w:rPr>
          <w:lang w:val="es-CO"/>
        </w:rPr>
        <w:t xml:space="preserve">Meta del indicador de duración de eventos, en horas al año, </w:t>
      </w:r>
      <w:r>
        <w:rPr>
          <w:lang w:val="es-CO"/>
        </w:rPr>
        <w:t>para</w:t>
      </w:r>
      <w:r w:rsidRPr="004E6CFC">
        <w:rPr>
          <w:lang w:val="es-CO"/>
        </w:rPr>
        <w:t xml:space="preserve"> el año </w:t>
      </w:r>
      <w:r w:rsidRPr="004E6CFC">
        <w:rPr>
          <w:i/>
          <w:lang w:val="es-CO"/>
        </w:rPr>
        <w:t>t</w:t>
      </w:r>
      <w:r>
        <w:rPr>
          <w:i/>
          <w:lang w:val="es-CO"/>
        </w:rPr>
        <w:t>-1</w:t>
      </w:r>
      <w:r w:rsidRPr="004E6CFC">
        <w:rPr>
          <w:i/>
          <w:lang w:val="es-CO"/>
        </w:rPr>
        <w:t>.</w:t>
      </w:r>
      <w:r>
        <w:rPr>
          <w:i/>
          <w:lang w:val="es-CO"/>
        </w:rPr>
        <w:t xml:space="preserve"> </w:t>
      </w:r>
      <w:r w:rsidRPr="00E72A52">
        <w:rPr>
          <w:lang w:val="es-CO"/>
        </w:rPr>
        <w:t>Para el primer año de aplicación del esquema de calidad de cada OR esta variable será igual al</w:t>
      </w:r>
      <w:r>
        <w:rPr>
          <w:lang w:val="es-CO"/>
        </w:rPr>
        <w:t xml:space="preserve"> indicador</w:t>
      </w:r>
      <w:r w:rsidRPr="00E72A52">
        <w:rPr>
          <w:lang w:val="es-CO"/>
        </w:rPr>
        <w:t xml:space="preserve"> </w:t>
      </w:r>
      <w:r w:rsidRPr="00A244BB">
        <w:rPr>
          <w:lang w:val="es-CO"/>
        </w:rPr>
        <w:t>de referencia</w:t>
      </w:r>
      <w:r>
        <w:rPr>
          <w:lang w:val="es-CO"/>
        </w:rPr>
        <w:t>,</w:t>
      </w:r>
      <w:r w:rsidRPr="00A244BB">
        <w:rPr>
          <w:lang w:val="es-CO"/>
        </w:rPr>
        <w:t xml:space="preserve"> </w:t>
      </w:r>
      <w:r w:rsidRPr="00B32D31">
        <w:rPr>
          <w:i/>
          <w:lang w:val="es-CO"/>
        </w:rPr>
        <w:t>SAIDI</w:t>
      </w:r>
      <w:r w:rsidRPr="00E72A52">
        <w:rPr>
          <w:i/>
          <w:lang w:val="es-CO"/>
        </w:rPr>
        <w:t>_R</w:t>
      </w:r>
      <w:r w:rsidRPr="00E72A52">
        <w:rPr>
          <w:i/>
          <w:vertAlign w:val="subscript"/>
          <w:lang w:val="es-CO"/>
        </w:rPr>
        <w:t>j</w:t>
      </w:r>
      <w:r w:rsidRPr="00C354C5">
        <w:rPr>
          <w:lang w:val="es-CO"/>
        </w:rPr>
        <w:t>,</w:t>
      </w:r>
      <w:r w:rsidRPr="00E72A52">
        <w:rPr>
          <w:lang w:val="es-CO"/>
        </w:rPr>
        <w:t xml:space="preserve"> de que trata el numeral </w:t>
      </w:r>
      <w:r w:rsidRPr="00E72A52">
        <w:rPr>
          <w:lang w:val="es-CO"/>
        </w:rPr>
        <w:fldChar w:fldCharType="begin"/>
      </w:r>
      <w:r w:rsidRPr="00E72A52">
        <w:rPr>
          <w:lang w:val="es-CO"/>
        </w:rPr>
        <w:instrText xml:space="preserve"> REF _Ref476815612 \r \h </w:instrText>
      </w:r>
      <w:r>
        <w:rPr>
          <w:lang w:val="es-CO"/>
        </w:rPr>
        <w:instrText xml:space="preserve"> \* MERGEFORMAT </w:instrText>
      </w:r>
      <w:r w:rsidRPr="00E72A52">
        <w:rPr>
          <w:lang w:val="es-CO"/>
        </w:rPr>
      </w:r>
      <w:r w:rsidRPr="00E72A52">
        <w:rPr>
          <w:lang w:val="es-CO"/>
        </w:rPr>
        <w:fldChar w:fldCharType="separate"/>
      </w:r>
      <w:r w:rsidR="00737178">
        <w:rPr>
          <w:lang w:val="es-CO"/>
        </w:rPr>
        <w:t>5.2.5</w:t>
      </w:r>
      <w:r w:rsidRPr="00E72A52">
        <w:rPr>
          <w:lang w:val="es-CO"/>
        </w:rPr>
        <w:fldChar w:fldCharType="end"/>
      </w:r>
      <w:r w:rsidRPr="00E72A52">
        <w:rPr>
          <w:lang w:val="es-CO"/>
        </w:rPr>
        <w:t>.</w:t>
      </w:r>
      <w:r w:rsidRPr="004E6CFC">
        <w:rPr>
          <w:lang w:val="es-CO"/>
        </w:rPr>
        <w:t xml:space="preserve"> </w:t>
      </w:r>
    </w:p>
    <w:p w:rsidR="00407449" w:rsidRPr="004E6CFC" w:rsidRDefault="00407449" w:rsidP="00407449">
      <w:r w:rsidRPr="004E6CFC">
        <w:t>La meta para el indicador de frecuencia de los eventos sucedidos en el SDL de cada OR se obtiene con base en la siguiente expresión:</w:t>
      </w:r>
    </w:p>
    <w:p w:rsidR="00407449" w:rsidRPr="004E6CFC" w:rsidRDefault="00C9592F" w:rsidP="00407449">
      <m:oMathPara>
        <m:oMath>
          <m:sSub>
            <m:sSubPr>
              <m:ctrlPr>
                <w:rPr>
                  <w:rFonts w:ascii="Cambria Math" w:hAnsi="Cambria Math"/>
                  <w:i/>
                </w:rPr>
              </m:ctrlPr>
            </m:sSubPr>
            <m:e>
              <m:r>
                <w:rPr>
                  <w:rFonts w:ascii="Cambria Math" w:hAnsi="Cambria Math"/>
                </w:rPr>
                <m:t>SAIFI_M</m:t>
              </m:r>
            </m:e>
            <m:sub>
              <m:r>
                <w:rPr>
                  <w:rFonts w:ascii="Cambria Math" w:hAnsi="Cambria Math"/>
                </w:rPr>
                <m:t>j,t</m:t>
              </m:r>
            </m:sub>
          </m:sSub>
          <m:r>
            <w:rPr>
              <w:rFonts w:ascii="Cambria Math" w:hAnsi="Cambria Math"/>
            </w:rPr>
            <m:t>=</m:t>
          </m:r>
          <m:d>
            <m:dPr>
              <m:ctrlPr>
                <w:rPr>
                  <w:rFonts w:ascii="Cambria Math" w:hAnsi="Cambria Math"/>
                  <w:i/>
                </w:rPr>
              </m:ctrlPr>
            </m:dPr>
            <m:e>
              <m:r>
                <w:rPr>
                  <w:rFonts w:ascii="Cambria Math" w:hAnsi="Cambria Math"/>
                </w:rPr>
                <m:t>1-0.08</m:t>
              </m:r>
            </m:e>
          </m:d>
          <m:r>
            <w:rPr>
              <w:rFonts w:ascii="Cambria Math" w:hAnsi="Cambria Math"/>
            </w:rPr>
            <m:t>*</m:t>
          </m:r>
          <m:sSub>
            <m:sSubPr>
              <m:ctrlPr>
                <w:rPr>
                  <w:rFonts w:ascii="Cambria Math" w:hAnsi="Cambria Math"/>
                  <w:i/>
                </w:rPr>
              </m:ctrlPr>
            </m:sSubPr>
            <m:e>
              <m:r>
                <w:rPr>
                  <w:rFonts w:ascii="Cambria Math" w:hAnsi="Cambria Math"/>
                </w:rPr>
                <m:t>SAIFI_M</m:t>
              </m:r>
            </m:e>
            <m:sub>
              <m:r>
                <w:rPr>
                  <w:rFonts w:ascii="Cambria Math" w:hAnsi="Cambria Math"/>
                </w:rPr>
                <m:t>j,t-1</m:t>
              </m:r>
            </m:sub>
          </m:sSub>
        </m:oMath>
      </m:oMathPara>
    </w:p>
    <w:p w:rsidR="00407449" w:rsidRPr="004E6CFC" w:rsidRDefault="00407449" w:rsidP="00407449">
      <w:r w:rsidRPr="004E6CFC">
        <w:t>Donde:</w:t>
      </w:r>
    </w:p>
    <w:p w:rsidR="00407449" w:rsidRDefault="00407449" w:rsidP="00407449">
      <w:pPr>
        <w:ind w:left="1410" w:hanging="1410"/>
        <w:rPr>
          <w:lang w:val="es-CO"/>
        </w:rPr>
      </w:pPr>
      <w:r w:rsidRPr="004E6CFC">
        <w:rPr>
          <w:i/>
          <w:lang w:val="es-CO"/>
        </w:rPr>
        <w:t>SAIFI_M</w:t>
      </w:r>
      <w:r w:rsidRPr="004E6CFC">
        <w:rPr>
          <w:i/>
          <w:vertAlign w:val="subscript"/>
          <w:lang w:val="es-CO"/>
        </w:rPr>
        <w:t>j,t</w:t>
      </w:r>
      <w:r w:rsidRPr="004E6CFC">
        <w:rPr>
          <w:i/>
          <w:lang w:val="es-CO"/>
        </w:rPr>
        <w:t>:</w:t>
      </w:r>
      <w:r w:rsidRPr="004E6CFC">
        <w:rPr>
          <w:i/>
          <w:vertAlign w:val="subscript"/>
          <w:lang w:val="es-CO"/>
        </w:rPr>
        <w:tab/>
      </w:r>
      <w:r w:rsidRPr="004E6CFC">
        <w:rPr>
          <w:lang w:val="es-CO"/>
        </w:rPr>
        <w:t xml:space="preserve">Meta del indicador SAIFI, en cantidad de eventos al año, a ser alcanzada por el OR </w:t>
      </w:r>
      <w:r w:rsidRPr="004E6CFC">
        <w:rPr>
          <w:i/>
          <w:lang w:val="es-CO"/>
        </w:rPr>
        <w:t>j</w:t>
      </w:r>
      <w:r w:rsidRPr="004E6CFC">
        <w:rPr>
          <w:lang w:val="es-CO"/>
        </w:rPr>
        <w:t xml:space="preserve"> al finalizar el año </w:t>
      </w:r>
      <w:r w:rsidRPr="004E6CFC">
        <w:rPr>
          <w:i/>
          <w:lang w:val="es-CO"/>
        </w:rPr>
        <w:t>t.</w:t>
      </w:r>
      <w:r w:rsidRPr="004E6CFC">
        <w:rPr>
          <w:lang w:val="es-CO"/>
        </w:rPr>
        <w:t xml:space="preserve"> </w:t>
      </w:r>
    </w:p>
    <w:p w:rsidR="00407449" w:rsidRPr="004E6CFC" w:rsidRDefault="00407449" w:rsidP="00407449">
      <w:pPr>
        <w:ind w:left="1410" w:hanging="1410"/>
        <w:rPr>
          <w:lang w:val="es-CO"/>
        </w:rPr>
      </w:pPr>
      <w:r w:rsidRPr="004E6CFC">
        <w:rPr>
          <w:i/>
          <w:lang w:val="es-CO"/>
        </w:rPr>
        <w:t>SAIFI_M</w:t>
      </w:r>
      <w:r w:rsidRPr="004E6CFC">
        <w:rPr>
          <w:i/>
          <w:vertAlign w:val="subscript"/>
          <w:lang w:val="es-CO"/>
        </w:rPr>
        <w:t>j,t</w:t>
      </w:r>
      <w:r>
        <w:rPr>
          <w:i/>
          <w:vertAlign w:val="subscript"/>
          <w:lang w:val="es-CO"/>
        </w:rPr>
        <w:t>-1</w:t>
      </w:r>
      <w:r w:rsidRPr="004E6CFC">
        <w:rPr>
          <w:i/>
          <w:lang w:val="es-CO"/>
        </w:rPr>
        <w:t>:</w:t>
      </w:r>
      <w:r w:rsidRPr="004E6CFC">
        <w:rPr>
          <w:i/>
          <w:vertAlign w:val="subscript"/>
          <w:lang w:val="es-CO"/>
        </w:rPr>
        <w:tab/>
      </w:r>
      <w:r w:rsidRPr="004E6CFC">
        <w:rPr>
          <w:lang w:val="es-CO"/>
        </w:rPr>
        <w:t xml:space="preserve">Meta del indicador SAIFI, en cantidad de eventos al año, </w:t>
      </w:r>
      <w:r>
        <w:rPr>
          <w:lang w:val="es-CO"/>
        </w:rPr>
        <w:t>para</w:t>
      </w:r>
      <w:r w:rsidRPr="004E6CFC">
        <w:rPr>
          <w:lang w:val="es-CO"/>
        </w:rPr>
        <w:t xml:space="preserve"> el año </w:t>
      </w:r>
      <w:r w:rsidRPr="004E6CFC">
        <w:rPr>
          <w:i/>
          <w:lang w:val="es-CO"/>
        </w:rPr>
        <w:t>t</w:t>
      </w:r>
      <w:r>
        <w:rPr>
          <w:i/>
          <w:lang w:val="es-CO"/>
        </w:rPr>
        <w:t>-1</w:t>
      </w:r>
      <w:r w:rsidRPr="004E6CFC">
        <w:rPr>
          <w:i/>
          <w:lang w:val="es-CO"/>
        </w:rPr>
        <w:t>.</w:t>
      </w:r>
      <w:r w:rsidRPr="004E6CFC">
        <w:rPr>
          <w:lang w:val="es-CO"/>
        </w:rPr>
        <w:t xml:space="preserve"> </w:t>
      </w:r>
      <w:r w:rsidRPr="00C30A40">
        <w:rPr>
          <w:lang w:val="es-CO"/>
        </w:rPr>
        <w:t>Para el primer año de aplicación del esquema de calidad de cada OR esta variable será igual al</w:t>
      </w:r>
      <w:r>
        <w:rPr>
          <w:lang w:val="es-CO"/>
        </w:rPr>
        <w:t xml:space="preserve"> indicador</w:t>
      </w:r>
      <w:r w:rsidRPr="00C30A40">
        <w:rPr>
          <w:lang w:val="es-CO"/>
        </w:rPr>
        <w:t xml:space="preserve"> </w:t>
      </w:r>
      <w:r w:rsidRPr="00A244BB">
        <w:rPr>
          <w:lang w:val="es-CO"/>
        </w:rPr>
        <w:t>de referencia</w:t>
      </w:r>
      <w:r>
        <w:rPr>
          <w:lang w:val="es-CO"/>
        </w:rPr>
        <w:t>,</w:t>
      </w:r>
      <w:r w:rsidRPr="00A244BB">
        <w:rPr>
          <w:lang w:val="es-CO"/>
        </w:rPr>
        <w:t xml:space="preserve"> </w:t>
      </w:r>
      <w:r w:rsidRPr="00E72A52">
        <w:rPr>
          <w:i/>
          <w:lang w:val="es-CO"/>
        </w:rPr>
        <w:t>SAIFI_R</w:t>
      </w:r>
      <w:r w:rsidRPr="00E72A52">
        <w:rPr>
          <w:i/>
          <w:vertAlign w:val="subscript"/>
          <w:lang w:val="es-CO"/>
        </w:rPr>
        <w:t>j</w:t>
      </w:r>
      <w:r w:rsidRPr="00E72A52">
        <w:rPr>
          <w:i/>
          <w:lang w:val="es-CO"/>
        </w:rPr>
        <w:t>,</w:t>
      </w:r>
      <w:r w:rsidRPr="00C30A40">
        <w:rPr>
          <w:lang w:val="es-CO"/>
        </w:rPr>
        <w:t xml:space="preserve"> de que trata el numeral </w:t>
      </w:r>
      <w:r w:rsidRPr="00C30A40">
        <w:rPr>
          <w:lang w:val="es-CO"/>
        </w:rPr>
        <w:fldChar w:fldCharType="begin"/>
      </w:r>
      <w:r w:rsidRPr="00C30A40">
        <w:rPr>
          <w:lang w:val="es-CO"/>
        </w:rPr>
        <w:instrText xml:space="preserve"> REF _Ref476815612 \r \h </w:instrText>
      </w:r>
      <w:r>
        <w:rPr>
          <w:lang w:val="es-CO"/>
        </w:rPr>
        <w:instrText xml:space="preserve"> \* MERGEFORMAT </w:instrText>
      </w:r>
      <w:r w:rsidRPr="00C30A40">
        <w:rPr>
          <w:lang w:val="es-CO"/>
        </w:rPr>
      </w:r>
      <w:r w:rsidRPr="00C30A40">
        <w:rPr>
          <w:lang w:val="es-CO"/>
        </w:rPr>
        <w:fldChar w:fldCharType="separate"/>
      </w:r>
      <w:r w:rsidR="00737178">
        <w:rPr>
          <w:lang w:val="es-CO"/>
        </w:rPr>
        <w:t>5.2.5</w:t>
      </w:r>
      <w:r w:rsidRPr="00C30A40">
        <w:rPr>
          <w:lang w:val="es-CO"/>
        </w:rPr>
        <w:fldChar w:fldCharType="end"/>
      </w:r>
      <w:r w:rsidRPr="00C30A40">
        <w:rPr>
          <w:lang w:val="es-CO"/>
        </w:rPr>
        <w:t>.</w:t>
      </w:r>
    </w:p>
    <w:p w:rsidR="00407449" w:rsidRDefault="00407449" w:rsidP="00407449">
      <w:r w:rsidRPr="004E6CFC">
        <w:t xml:space="preserve">Los indicadores de referencia, </w:t>
      </w:r>
      <w:r w:rsidRPr="004E6CFC">
        <w:rPr>
          <w:i/>
        </w:rPr>
        <w:t>SAIDI_R</w:t>
      </w:r>
      <w:r w:rsidRPr="004E6CFC">
        <w:rPr>
          <w:i/>
          <w:vertAlign w:val="subscript"/>
        </w:rPr>
        <w:t>j</w:t>
      </w:r>
      <w:r w:rsidRPr="004E6CFC">
        <w:t xml:space="preserve"> y </w:t>
      </w:r>
      <w:r w:rsidRPr="004E6CFC">
        <w:rPr>
          <w:i/>
        </w:rPr>
        <w:t>SAIFI_R</w:t>
      </w:r>
      <w:r w:rsidRPr="004E6CFC">
        <w:rPr>
          <w:i/>
          <w:vertAlign w:val="subscript"/>
        </w:rPr>
        <w:t>j</w:t>
      </w:r>
      <w:r w:rsidRPr="004E6CFC">
        <w:t xml:space="preserve">, son calculados por la CREG con base en lo establecido en el numeral </w:t>
      </w:r>
      <w:r w:rsidRPr="004E6CFC">
        <w:fldChar w:fldCharType="begin"/>
      </w:r>
      <w:r w:rsidRPr="004E6CFC">
        <w:instrText xml:space="preserve"> REF _Ref476729618 \r \h  \* MERGEFORMAT </w:instrText>
      </w:r>
      <w:r w:rsidRPr="004E6CFC">
        <w:fldChar w:fldCharType="separate"/>
      </w:r>
      <w:r w:rsidR="00737178">
        <w:t>5.2.5</w:t>
      </w:r>
      <w:r w:rsidRPr="004E6CFC">
        <w:fldChar w:fldCharType="end"/>
      </w:r>
      <w:r w:rsidRPr="004E6CFC">
        <w:t xml:space="preserve">.  </w:t>
      </w:r>
    </w:p>
    <w:p w:rsidR="00407449" w:rsidRDefault="00407449" w:rsidP="00407449">
      <w:r>
        <w:t xml:space="preserve">A los OR que tengan indicadores de referencia de calidad media iguales o inferiores a los indicadores de largo plazo, </w:t>
      </w:r>
      <w:r w:rsidRPr="00F03B58">
        <w:rPr>
          <w:i/>
        </w:rPr>
        <w:t>SAIFI_LP</w:t>
      </w:r>
      <w:r>
        <w:t xml:space="preserve"> y </w:t>
      </w:r>
      <w:r w:rsidRPr="004E6CFC">
        <w:rPr>
          <w:i/>
        </w:rPr>
        <w:t>SAIDI_LP</w:t>
      </w:r>
      <w:r>
        <w:rPr>
          <w:i/>
        </w:rPr>
        <w:t xml:space="preserve">, </w:t>
      </w:r>
      <w:r>
        <w:t>no se les calcularán metas de mejora anual. No obstante, los valores de los indicadores de largo plazo serán considerados como sus indicadores de referencia y de meta para la aplicación de los incentivos por los indicadores de duración y frecuencia.</w:t>
      </w:r>
    </w:p>
    <w:p w:rsidR="00407449" w:rsidRPr="00FC507D" w:rsidRDefault="00407449" w:rsidP="00407449">
      <w:r>
        <w:t xml:space="preserve">Después del año 5 del periodo tarifario, esta estimación de las metas de calidad anual de cada OR se continuará aplicando hasta tanto no se expida una nueva regulación que la modifique, con excepción de los OR que alcancen las metas de largo plazo, tanto en duración como en número de interrupciones, establecidas en el numeral </w:t>
      </w:r>
      <w:r>
        <w:fldChar w:fldCharType="begin"/>
      </w:r>
      <w:r>
        <w:instrText xml:space="preserve"> REF _Ref476212432 \r \h </w:instrText>
      </w:r>
      <w:r>
        <w:fldChar w:fldCharType="separate"/>
      </w:r>
      <w:r w:rsidR="00737178">
        <w:t>5.2.3.2.2</w:t>
      </w:r>
      <w:r>
        <w:fldChar w:fldCharType="end"/>
      </w:r>
      <w:r>
        <w:t xml:space="preserve">. A estos OR aplican las reglas establecidas en el párrafo anterior. </w:t>
      </w:r>
    </w:p>
    <w:p w:rsidR="00407449" w:rsidRPr="004E6CFC" w:rsidRDefault="00407449" w:rsidP="00407449">
      <w:pPr>
        <w:pStyle w:val="Ttulo5"/>
        <w:ind w:left="1304" w:hanging="1304"/>
      </w:pPr>
      <w:bookmarkStart w:id="516" w:name="_Ref476212432"/>
      <w:bookmarkStart w:id="517" w:name="_Ref406491606"/>
      <w:r w:rsidRPr="004E6CFC">
        <w:t>Incentivos a la calidad media</w:t>
      </w:r>
      <w:bookmarkEnd w:id="516"/>
    </w:p>
    <w:p w:rsidR="00407449" w:rsidRPr="004E6CFC" w:rsidRDefault="00407449" w:rsidP="00407449">
      <w:r w:rsidRPr="004E6CFC">
        <w:t xml:space="preserve">Los incentivos debidos al desempeño del OR, medidos con el indicador de duración o con el indicador de frecuencia, </w:t>
      </w:r>
      <w:r>
        <w:t xml:space="preserve">deben ser </w:t>
      </w:r>
      <w:r w:rsidRPr="004E6CFC">
        <w:t>calcula</w:t>
      </w:r>
      <w:r>
        <w:t xml:space="preserve">dos por cada OR, utilizando los indicadores de calidad reportados al SUI y </w:t>
      </w:r>
      <w:r w:rsidRPr="004E6CFC">
        <w:t>con base en l</w:t>
      </w:r>
      <w:r>
        <w:t>as disposiciones que se establecen a continuación.</w:t>
      </w:r>
    </w:p>
    <w:p w:rsidR="00407449" w:rsidRPr="004E6CFC" w:rsidRDefault="00407449" w:rsidP="008B04A9">
      <w:pPr>
        <w:pStyle w:val="Ttulo6"/>
        <w:keepNext/>
        <w:ind w:left="1151" w:hanging="1151"/>
      </w:pPr>
      <w:bookmarkStart w:id="518" w:name="_Ref504567456"/>
      <w:r w:rsidRPr="004E6CFC">
        <w:lastRenderedPageBreak/>
        <w:t>Incentivo por indicador de duración</w:t>
      </w:r>
      <w:bookmarkEnd w:id="517"/>
      <w:bookmarkEnd w:id="518"/>
    </w:p>
    <w:p w:rsidR="00407449" w:rsidRPr="004E6CFC" w:rsidRDefault="00407449" w:rsidP="00407449">
      <w:r w:rsidRPr="004E6CFC">
        <w:rPr>
          <w:lang w:val="es-ES_tradnl"/>
        </w:rPr>
        <w:t>Para el cálculo del incentivo por el indicador de duración se establece la siguiente expresión:</w:t>
      </w:r>
    </w:p>
    <w:p w:rsidR="00407449" w:rsidRPr="004E6CFC" w:rsidRDefault="00C9592F" w:rsidP="00407449">
      <m:oMathPara>
        <m:oMath>
          <m:sSub>
            <m:sSubPr>
              <m:ctrlPr>
                <w:rPr>
                  <w:rFonts w:ascii="Cambria Math" w:hAnsi="Cambria Math"/>
                  <w:i/>
                </w:rPr>
              </m:ctrlPr>
            </m:sSubPr>
            <m:e>
              <m:r>
                <w:rPr>
                  <w:rFonts w:ascii="Cambria Math" w:hAnsi="Cambria Math"/>
                </w:rPr>
                <m:t>IC_SAIDI</m:t>
              </m:r>
            </m:e>
            <m:sub>
              <m:r>
                <w:rPr>
                  <w:rFonts w:ascii="Cambria Math" w:hAnsi="Cambria Math"/>
                </w:rPr>
                <m:t>j,t</m:t>
              </m:r>
            </m:sub>
          </m:sSub>
          <m:r>
            <w:rPr>
              <w:rFonts w:ascii="Cambria Math" w:hAnsi="Cambria Math"/>
            </w:rPr>
            <m:t>=</m:t>
          </m:r>
          <m:sSub>
            <m:sSubPr>
              <m:ctrlPr>
                <w:rPr>
                  <w:rFonts w:ascii="Cambria Math" w:hAnsi="Cambria Math"/>
                  <w:i/>
                </w:rPr>
              </m:ctrlPr>
            </m:sSubPr>
            <m:e>
              <m:r>
                <w:rPr>
                  <w:rFonts w:ascii="Cambria Math" w:hAnsi="Cambria Math"/>
                </w:rPr>
                <m:t>If_SAIDI</m:t>
              </m:r>
            </m:e>
            <m:sub>
              <m:r>
                <w:rPr>
                  <w:rFonts w:ascii="Cambria Math" w:hAnsi="Cambria Math"/>
                </w:rPr>
                <m:t>j,t</m:t>
              </m:r>
            </m:sub>
          </m:sSub>
          <m:r>
            <w:rPr>
              <w:rFonts w:ascii="Cambria Math" w:hAnsi="Cambria Math"/>
            </w:rPr>
            <m:t>+</m:t>
          </m:r>
          <m:sSub>
            <m:sSubPr>
              <m:ctrlPr>
                <w:rPr>
                  <w:rFonts w:ascii="Cambria Math" w:hAnsi="Cambria Math"/>
                  <w:i/>
                </w:rPr>
              </m:ctrlPr>
            </m:sSubPr>
            <m:e>
              <m:r>
                <w:rPr>
                  <w:rFonts w:ascii="Cambria Math" w:hAnsi="Cambria Math"/>
                </w:rPr>
                <m:t>Iv_SAIDI</m:t>
              </m:r>
            </m:e>
            <m:sub>
              <m:r>
                <w:rPr>
                  <w:rFonts w:ascii="Cambria Math" w:hAnsi="Cambria Math"/>
                </w:rPr>
                <m:t>j,t</m:t>
              </m:r>
            </m:sub>
          </m:sSub>
        </m:oMath>
      </m:oMathPara>
    </w:p>
    <w:p w:rsidR="00407449" w:rsidRPr="004E6CFC" w:rsidRDefault="00407449" w:rsidP="00407449">
      <w:r w:rsidRPr="004E6CFC">
        <w:t>Donde:</w:t>
      </w:r>
    </w:p>
    <w:p w:rsidR="00407449" w:rsidRPr="004E6CFC" w:rsidRDefault="00407449" w:rsidP="00407449">
      <w:pPr>
        <w:ind w:left="1416" w:hanging="1416"/>
      </w:pPr>
      <w:r w:rsidRPr="004E6CFC">
        <w:rPr>
          <w:i/>
        </w:rPr>
        <w:t>IC_SAIDI</w:t>
      </w:r>
      <w:r w:rsidRPr="004E6CFC">
        <w:rPr>
          <w:i/>
          <w:vertAlign w:val="subscript"/>
        </w:rPr>
        <w:t>j,t</w:t>
      </w:r>
      <w:r w:rsidRPr="004E6CFC">
        <w:rPr>
          <w:i/>
        </w:rPr>
        <w:t>:</w:t>
      </w:r>
      <w:r w:rsidRPr="004E6CFC">
        <w:tab/>
        <w:t xml:space="preserve">Incentivo de calidad por </w:t>
      </w:r>
      <w:r>
        <w:t>duración de eventos,</w:t>
      </w:r>
      <w:r w:rsidRPr="004E6CFC">
        <w:t xml:space="preserve"> aplicable al OR </w:t>
      </w:r>
      <w:r w:rsidRPr="004E6CFC">
        <w:rPr>
          <w:i/>
        </w:rPr>
        <w:t xml:space="preserve">j </w:t>
      </w:r>
      <w:r w:rsidRPr="004E6CFC">
        <w:t xml:space="preserve">durante el año </w:t>
      </w:r>
      <w:r w:rsidRPr="004E6CFC">
        <w:rPr>
          <w:i/>
        </w:rPr>
        <w:t>t</w:t>
      </w:r>
      <w:r w:rsidRPr="004E6CFC">
        <w:t xml:space="preserve"> del periodo tarifario</w:t>
      </w:r>
      <w:r>
        <w:t xml:space="preserve">, </w:t>
      </w:r>
      <w:r w:rsidRPr="004E6CFC">
        <w:rPr>
          <w:lang w:val="es-MX"/>
        </w:rPr>
        <w:t>expresado en pesos de la fecha de corte</w:t>
      </w:r>
      <w:r>
        <w:t>.</w:t>
      </w:r>
    </w:p>
    <w:p w:rsidR="00407449" w:rsidRPr="004E6CFC" w:rsidRDefault="00407449" w:rsidP="00407449">
      <w:pPr>
        <w:ind w:left="1416" w:hanging="1416"/>
      </w:pPr>
      <w:r w:rsidRPr="004E6CFC">
        <w:rPr>
          <w:i/>
        </w:rPr>
        <w:t>If_SAIDI</w:t>
      </w:r>
      <w:r w:rsidRPr="004E6CFC">
        <w:rPr>
          <w:i/>
          <w:vertAlign w:val="subscript"/>
        </w:rPr>
        <w:t>j,t</w:t>
      </w:r>
      <w:r w:rsidRPr="004E6CFC">
        <w:rPr>
          <w:i/>
        </w:rPr>
        <w:t>:</w:t>
      </w:r>
      <w:r w:rsidRPr="004E6CFC">
        <w:tab/>
        <w:t xml:space="preserve">Incentivo fijo por </w:t>
      </w:r>
      <w:r>
        <w:t>duración de eventos,</w:t>
      </w:r>
      <w:r w:rsidRPr="004E6CFC">
        <w:t xml:space="preserve"> que obtiene el OR </w:t>
      </w:r>
      <w:r w:rsidRPr="004E6CFC">
        <w:rPr>
          <w:i/>
        </w:rPr>
        <w:t>j</w:t>
      </w:r>
      <w:r>
        <w:rPr>
          <w:i/>
        </w:rPr>
        <w:t>,</w:t>
      </w:r>
      <w:r w:rsidRPr="004E6CFC">
        <w:rPr>
          <w:i/>
        </w:rPr>
        <w:t xml:space="preserve"> </w:t>
      </w:r>
      <w:r w:rsidRPr="004E6CFC">
        <w:t xml:space="preserve">durante el año </w:t>
      </w:r>
      <w:r w:rsidRPr="004E6CFC">
        <w:rPr>
          <w:i/>
        </w:rPr>
        <w:t xml:space="preserve">t </w:t>
      </w:r>
      <w:r w:rsidRPr="004E6CFC">
        <w:t>del periodo tarifario</w:t>
      </w:r>
      <w:r>
        <w:t xml:space="preserve">, </w:t>
      </w:r>
      <w:r w:rsidRPr="004E6CFC">
        <w:rPr>
          <w:lang w:val="es-MX"/>
        </w:rPr>
        <w:t>expresado en pesos de la fecha de corte</w:t>
      </w:r>
      <w:r>
        <w:rPr>
          <w:lang w:val="es-MX"/>
        </w:rPr>
        <w:t>.</w:t>
      </w:r>
    </w:p>
    <w:p w:rsidR="00407449" w:rsidRPr="004E6CFC" w:rsidRDefault="00407449" w:rsidP="00407449">
      <w:pPr>
        <w:ind w:left="1416" w:hanging="1416"/>
      </w:pPr>
      <w:r w:rsidRPr="004E6CFC">
        <w:rPr>
          <w:i/>
        </w:rPr>
        <w:t>Iv_SAIDI</w:t>
      </w:r>
      <w:r w:rsidRPr="004E6CFC">
        <w:rPr>
          <w:i/>
          <w:vertAlign w:val="subscript"/>
        </w:rPr>
        <w:t>j,t</w:t>
      </w:r>
      <w:r w:rsidRPr="004E6CFC">
        <w:rPr>
          <w:i/>
        </w:rPr>
        <w:t>:</w:t>
      </w:r>
      <w:r w:rsidRPr="004E6CFC">
        <w:tab/>
        <w:t>Incentivo variable</w:t>
      </w:r>
      <w:r>
        <w:t xml:space="preserve"> </w:t>
      </w:r>
      <w:r w:rsidRPr="004E6CFC">
        <w:t xml:space="preserve">por </w:t>
      </w:r>
      <w:r>
        <w:t>duración de eventos,</w:t>
      </w:r>
      <w:r w:rsidRPr="004E6CFC">
        <w:t xml:space="preserve"> que obtiene el OR </w:t>
      </w:r>
      <w:r w:rsidRPr="004E6CFC">
        <w:rPr>
          <w:i/>
        </w:rPr>
        <w:t>j</w:t>
      </w:r>
      <w:r>
        <w:rPr>
          <w:i/>
        </w:rPr>
        <w:t>,</w:t>
      </w:r>
      <w:r w:rsidRPr="004E6CFC">
        <w:rPr>
          <w:i/>
        </w:rPr>
        <w:t xml:space="preserve"> </w:t>
      </w:r>
      <w:r w:rsidRPr="004E6CFC">
        <w:t xml:space="preserve">durante el año </w:t>
      </w:r>
      <w:r w:rsidRPr="004E6CFC">
        <w:rPr>
          <w:i/>
        </w:rPr>
        <w:t>t</w:t>
      </w:r>
      <w:r w:rsidRPr="004E6CFC">
        <w:t xml:space="preserve"> del periodo tarifario</w:t>
      </w:r>
      <w:r>
        <w:t xml:space="preserve">, </w:t>
      </w:r>
      <w:r w:rsidRPr="004E6CFC">
        <w:rPr>
          <w:lang w:val="es-MX"/>
        </w:rPr>
        <w:t>expresado en pesos de la fecha de corte</w:t>
      </w:r>
      <w:r w:rsidRPr="004E6CFC">
        <w:t>.</w:t>
      </w:r>
    </w:p>
    <w:p w:rsidR="00407449" w:rsidRPr="004E6CFC" w:rsidRDefault="00407449" w:rsidP="00407449">
      <w:r w:rsidRPr="004E6CFC">
        <w:t xml:space="preserve">Para determinar el valor del incentivo fijo, </w:t>
      </w:r>
      <w:r w:rsidRPr="004E6CFC">
        <w:rPr>
          <w:i/>
        </w:rPr>
        <w:t>If_SAIDI</w:t>
      </w:r>
      <w:r w:rsidRPr="004E6CFC">
        <w:rPr>
          <w:i/>
          <w:vertAlign w:val="subscript"/>
        </w:rPr>
        <w:t>j,t</w:t>
      </w:r>
      <w:r w:rsidRPr="004E6CFC">
        <w:t xml:space="preserve">, se </w:t>
      </w:r>
      <w:r>
        <w:t xml:space="preserve">debe utilizar el indicador de calidad </w:t>
      </w:r>
      <w:r w:rsidRPr="004E6CFC">
        <w:rPr>
          <w:i/>
        </w:rPr>
        <w:t>SAIDI</w:t>
      </w:r>
      <w:r w:rsidRPr="004E6CFC">
        <w:rPr>
          <w:i/>
          <w:vertAlign w:val="subscript"/>
        </w:rPr>
        <w:t>j,t-1</w:t>
      </w:r>
      <w:r>
        <w:t xml:space="preserve"> y</w:t>
      </w:r>
      <w:r w:rsidRPr="004E6CFC">
        <w:t xml:space="preserve"> tener en cuenta lo siguiente:</w:t>
      </w:r>
    </w:p>
    <w:p w:rsidR="00407449" w:rsidRPr="004E6CFC" w:rsidRDefault="00407449" w:rsidP="009C086B">
      <w:pPr>
        <w:pStyle w:val="Prrafodelista"/>
        <w:numPr>
          <w:ilvl w:val="0"/>
          <w:numId w:val="22"/>
        </w:numPr>
      </w:pPr>
      <w:r w:rsidRPr="004E6CFC">
        <w:t xml:space="preserve">Si el </w:t>
      </w:r>
      <w:r w:rsidRPr="004E6CFC">
        <w:rPr>
          <w:i/>
        </w:rPr>
        <w:t>SAIDI</w:t>
      </w:r>
      <w:r w:rsidRPr="004E6CFC">
        <w:rPr>
          <w:i/>
          <w:vertAlign w:val="subscript"/>
        </w:rPr>
        <w:t>j,t-1</w:t>
      </w:r>
      <w:r w:rsidRPr="004E6CFC">
        <w:rPr>
          <w:i/>
        </w:rPr>
        <w:t xml:space="preserve"> </w:t>
      </w:r>
      <w:r w:rsidRPr="004E6CFC">
        <w:t xml:space="preserve">se encuentra dentro de los límites de la banda de indiferencia de su meta para </w:t>
      </w:r>
      <w:r>
        <w:t>el</w:t>
      </w:r>
      <w:r w:rsidRPr="004E6CFC">
        <w:t xml:space="preserve"> año</w:t>
      </w:r>
      <w:r>
        <w:t xml:space="preserve"> t-1</w:t>
      </w:r>
      <w:r w:rsidRPr="004E6CFC">
        <w:rPr>
          <w:i/>
        </w:rPr>
        <w:t>,</w:t>
      </w:r>
      <w:r w:rsidRPr="004E6CFC">
        <w:t xml:space="preserve"> el </w:t>
      </w:r>
      <w:r w:rsidRPr="004E6CFC">
        <w:rPr>
          <w:i/>
        </w:rPr>
        <w:t>If_SAIDI</w:t>
      </w:r>
      <w:r w:rsidRPr="004E6CFC">
        <w:rPr>
          <w:i/>
          <w:vertAlign w:val="subscript"/>
        </w:rPr>
        <w:t>j,t</w:t>
      </w:r>
      <w:r w:rsidRPr="004E6CFC">
        <w:t xml:space="preserve"> será igual a cero.</w:t>
      </w:r>
    </w:p>
    <w:p w:rsidR="00407449" w:rsidRPr="004E6CFC" w:rsidRDefault="00407449" w:rsidP="009C086B">
      <w:pPr>
        <w:pStyle w:val="Prrafodelista"/>
        <w:numPr>
          <w:ilvl w:val="0"/>
          <w:numId w:val="22"/>
        </w:numPr>
      </w:pPr>
      <w:r w:rsidRPr="004E6CFC">
        <w:t xml:space="preserve">Si el </w:t>
      </w:r>
      <w:r w:rsidRPr="004E6CFC">
        <w:rPr>
          <w:i/>
        </w:rPr>
        <w:t>SAIDI</w:t>
      </w:r>
      <w:r w:rsidRPr="004E6CFC">
        <w:rPr>
          <w:i/>
          <w:vertAlign w:val="subscript"/>
        </w:rPr>
        <w:t xml:space="preserve">j,t-1 </w:t>
      </w:r>
      <w:r w:rsidRPr="004E6CFC">
        <w:t xml:space="preserve">es menor que el límite inferior de la banda de indiferencia de su meta para </w:t>
      </w:r>
      <w:r>
        <w:t>el</w:t>
      </w:r>
      <w:r w:rsidRPr="004E6CFC">
        <w:t xml:space="preserve"> año</w:t>
      </w:r>
      <w:r>
        <w:t xml:space="preserve"> t-1</w:t>
      </w:r>
      <w:r w:rsidRPr="004E6CFC">
        <w:rPr>
          <w:i/>
        </w:rPr>
        <w:t>,</w:t>
      </w:r>
      <w:r w:rsidRPr="004E6CFC">
        <w:t xml:space="preserve"> el </w:t>
      </w:r>
      <w:r w:rsidRPr="004E6CFC">
        <w:rPr>
          <w:i/>
        </w:rPr>
        <w:t>If_SAIDI</w:t>
      </w:r>
      <w:r w:rsidRPr="004E6CFC">
        <w:rPr>
          <w:i/>
          <w:vertAlign w:val="subscript"/>
        </w:rPr>
        <w:t>j,t</w:t>
      </w:r>
      <w:r w:rsidRPr="004E6CFC" w:rsidDel="006514CF">
        <w:t xml:space="preserve"> </w:t>
      </w:r>
      <w:r w:rsidRPr="004E6CFC">
        <w:t>se obtiene utilizando la siguiente expresión:</w:t>
      </w:r>
    </w:p>
    <w:p w:rsidR="00407449" w:rsidRPr="004E6CFC" w:rsidRDefault="00C9592F" w:rsidP="00407449">
      <w:pPr>
        <w:jc w:val="center"/>
      </w:pPr>
      <m:oMathPara>
        <m:oMath>
          <m:sSub>
            <m:sSubPr>
              <m:ctrlPr>
                <w:rPr>
                  <w:rFonts w:ascii="Cambria Math" w:hAnsi="Cambria Math"/>
                  <w:i/>
                </w:rPr>
              </m:ctrlPr>
            </m:sSubPr>
            <m:e>
              <m:r>
                <w:rPr>
                  <w:rFonts w:ascii="Cambria Math" w:hAnsi="Cambria Math"/>
                </w:rPr>
                <m:t>If_SAIDI</m:t>
              </m:r>
            </m:e>
            <m:sub>
              <m:r>
                <w:rPr>
                  <w:rFonts w:ascii="Cambria Math" w:hAnsi="Cambria Math"/>
                </w:rPr>
                <m:t>j,t</m:t>
              </m:r>
            </m:sub>
          </m:sSub>
          <m:r>
            <w:rPr>
              <w:rFonts w:ascii="Cambria Math" w:hAnsi="Cambria Math"/>
            </w:rPr>
            <m:t>=0,04*</m:t>
          </m:r>
          <m:nary>
            <m:naryPr>
              <m:chr m:val="∑"/>
              <m:limLoc m:val="undOvr"/>
              <m:ctrlPr>
                <w:rPr>
                  <w:rFonts w:ascii="Cambria Math" w:hAnsi="Cambria Math"/>
                  <w:i/>
                </w:rPr>
              </m:ctrlPr>
            </m:naryPr>
            <m:sub>
              <m:r>
                <w:rPr>
                  <w:rFonts w:ascii="Cambria Math" w:hAnsi="Cambria Math"/>
                </w:rPr>
                <m:t>n=1</m:t>
              </m:r>
            </m:sub>
            <m:sup>
              <m:r>
                <w:rPr>
                  <w:rFonts w:ascii="Cambria Math" w:hAnsi="Cambria Math"/>
                </w:rPr>
                <m:t>3</m:t>
              </m:r>
            </m:sup>
            <m:e>
              <m:sSub>
                <m:sSubPr>
                  <m:ctrlPr>
                    <w:rPr>
                      <w:rFonts w:ascii="Cambria Math" w:hAnsi="Cambria Math"/>
                      <w:i/>
                    </w:rPr>
                  </m:ctrlPr>
                </m:sSubPr>
                <m:e>
                  <m:r>
                    <w:rPr>
                      <w:rFonts w:ascii="Cambria Math" w:hAnsi="Cambria Math"/>
                    </w:rPr>
                    <m:t>BRAEN</m:t>
                  </m:r>
                </m:e>
                <m:sub>
                  <m:r>
                    <w:rPr>
                      <w:rFonts w:ascii="Cambria Math" w:hAnsi="Cambria Math"/>
                    </w:rPr>
                    <m:t>j</m:t>
                  </m:r>
                  <m:r>
                    <w:rPr>
                      <w:rFonts w:ascii="Cambria Math"/>
                    </w:rPr>
                    <m:t>,</m:t>
                  </m:r>
                  <m:r>
                    <w:rPr>
                      <w:rFonts w:ascii="Cambria Math" w:hAnsi="Cambria Math"/>
                    </w:rPr>
                    <m:t>n,t-1</m:t>
                  </m:r>
                </m:sub>
              </m:sSub>
            </m:e>
          </m:nary>
        </m:oMath>
      </m:oMathPara>
    </w:p>
    <w:p w:rsidR="00407449" w:rsidRPr="004E6CFC" w:rsidRDefault="00407449" w:rsidP="00407449">
      <w:pPr>
        <w:ind w:left="2124" w:hanging="2124"/>
        <w:rPr>
          <w:iCs/>
        </w:rPr>
      </w:pPr>
      <w:r w:rsidRPr="004E6CFC">
        <w:rPr>
          <w:iCs/>
        </w:rPr>
        <w:t>Donde:</w:t>
      </w:r>
    </w:p>
    <w:p w:rsidR="00407449" w:rsidRPr="004E6CFC" w:rsidRDefault="00407449" w:rsidP="00407449">
      <w:pPr>
        <w:ind w:left="2124" w:hanging="2124"/>
        <w:rPr>
          <w:iCs/>
        </w:rPr>
      </w:pPr>
      <w:r w:rsidRPr="004E6CFC">
        <w:rPr>
          <w:i/>
          <w:iCs/>
        </w:rPr>
        <w:t>BRAEN</w:t>
      </w:r>
      <w:r w:rsidRPr="004E6CFC">
        <w:rPr>
          <w:i/>
          <w:iCs/>
          <w:vertAlign w:val="subscript"/>
        </w:rPr>
        <w:t>j,n,t.-1</w:t>
      </w:r>
      <w:r w:rsidRPr="004E6CFC">
        <w:rPr>
          <w:iCs/>
        </w:rPr>
        <w:t>:</w:t>
      </w:r>
      <w:r w:rsidRPr="004E6CFC">
        <w:rPr>
          <w:iCs/>
        </w:rPr>
        <w:tab/>
        <w:t xml:space="preserve">Base regulatoria de activos eléctricos nuevos del OR </w:t>
      </w:r>
      <w:r w:rsidRPr="004E6CFC">
        <w:rPr>
          <w:i/>
          <w:iCs/>
        </w:rPr>
        <w:t>j</w:t>
      </w:r>
      <w:r w:rsidRPr="004E6CFC">
        <w:rPr>
          <w:iCs/>
        </w:rPr>
        <w:t xml:space="preserve"> en el nivel de tensión </w:t>
      </w:r>
      <w:r w:rsidRPr="004E6CFC">
        <w:rPr>
          <w:i/>
          <w:iCs/>
        </w:rPr>
        <w:t>n</w:t>
      </w:r>
      <w:r w:rsidRPr="004E6CFC">
        <w:rPr>
          <w:iCs/>
        </w:rPr>
        <w:t xml:space="preserve"> para el año </w:t>
      </w:r>
      <w:r w:rsidRPr="004E6CFC">
        <w:rPr>
          <w:i/>
          <w:iCs/>
        </w:rPr>
        <w:t>t-1</w:t>
      </w:r>
      <w:r w:rsidRPr="004E6CFC">
        <w:rPr>
          <w:iCs/>
        </w:rPr>
        <w:t xml:space="preserve">, calculada de acuerdo con lo previsto en el numeral </w:t>
      </w:r>
      <w:r w:rsidRPr="004E6CFC">
        <w:rPr>
          <w:iCs/>
        </w:rPr>
        <w:fldChar w:fldCharType="begin"/>
      </w:r>
      <w:r w:rsidRPr="004E6CFC">
        <w:rPr>
          <w:iCs/>
        </w:rPr>
        <w:instrText xml:space="preserve"> REF _Ref445134276 \r \h  \* MERGEFORMAT </w:instrText>
      </w:r>
      <w:r w:rsidRPr="004E6CFC">
        <w:rPr>
          <w:iCs/>
        </w:rPr>
      </w:r>
      <w:r w:rsidRPr="004E6CFC">
        <w:rPr>
          <w:iCs/>
        </w:rPr>
        <w:fldChar w:fldCharType="separate"/>
      </w:r>
      <w:r w:rsidR="00737178" w:rsidRPr="00737178">
        <w:rPr>
          <w:bCs/>
          <w:iCs/>
        </w:rPr>
        <w:t>3.1.1.2</w:t>
      </w:r>
      <w:r w:rsidRPr="004E6CFC">
        <w:rPr>
          <w:iCs/>
        </w:rPr>
        <w:fldChar w:fldCharType="end"/>
      </w:r>
      <w:r w:rsidRPr="004E6CFC">
        <w:rPr>
          <w:iCs/>
        </w:rPr>
        <w:t>.</w:t>
      </w:r>
    </w:p>
    <w:p w:rsidR="00407449" w:rsidRPr="004E6CFC" w:rsidRDefault="00407449" w:rsidP="009C086B">
      <w:pPr>
        <w:pStyle w:val="Prrafodelista"/>
        <w:numPr>
          <w:ilvl w:val="0"/>
          <w:numId w:val="22"/>
        </w:numPr>
      </w:pPr>
      <w:r w:rsidRPr="004E6CFC">
        <w:t xml:space="preserve">Si el </w:t>
      </w:r>
      <w:r w:rsidRPr="004E6CFC">
        <w:rPr>
          <w:i/>
        </w:rPr>
        <w:t>SAIDI</w:t>
      </w:r>
      <w:r w:rsidRPr="004E6CFC">
        <w:rPr>
          <w:i/>
          <w:vertAlign w:val="subscript"/>
        </w:rPr>
        <w:t xml:space="preserve">j,t-1 </w:t>
      </w:r>
      <w:r w:rsidRPr="004E6CFC">
        <w:t>es mayor que el límite superior de la banda de indiferencia de su meta para e</w:t>
      </w:r>
      <w:r>
        <w:t>l</w:t>
      </w:r>
      <w:r w:rsidRPr="004E6CFC">
        <w:t xml:space="preserve"> año</w:t>
      </w:r>
      <w:r>
        <w:t xml:space="preserve"> t-1</w:t>
      </w:r>
      <w:r w:rsidRPr="004E6CFC">
        <w:rPr>
          <w:i/>
        </w:rPr>
        <w:t>,</w:t>
      </w:r>
      <w:r w:rsidRPr="004E6CFC">
        <w:t xml:space="preserve"> el </w:t>
      </w:r>
      <w:r w:rsidRPr="004E6CFC">
        <w:rPr>
          <w:i/>
        </w:rPr>
        <w:t>If_SAIDI</w:t>
      </w:r>
      <w:r w:rsidRPr="004E6CFC">
        <w:rPr>
          <w:i/>
          <w:vertAlign w:val="subscript"/>
        </w:rPr>
        <w:t>j,t</w:t>
      </w:r>
      <w:r w:rsidRPr="004E6CFC" w:rsidDel="006514CF">
        <w:t xml:space="preserve"> </w:t>
      </w:r>
      <w:r w:rsidRPr="004E6CFC">
        <w:t>se obtiene utilizando la siguiente expresión:</w:t>
      </w:r>
    </w:p>
    <w:p w:rsidR="00407449" w:rsidRPr="004E6CFC" w:rsidRDefault="00C9592F" w:rsidP="00407449">
      <w:pPr>
        <w:jc w:val="center"/>
      </w:pPr>
      <m:oMathPara>
        <m:oMath>
          <m:sSub>
            <m:sSubPr>
              <m:ctrlPr>
                <w:rPr>
                  <w:rFonts w:ascii="Cambria Math" w:hAnsi="Cambria Math"/>
                  <w:i/>
                </w:rPr>
              </m:ctrlPr>
            </m:sSubPr>
            <m:e>
              <m:r>
                <w:rPr>
                  <w:rFonts w:ascii="Cambria Math" w:hAnsi="Cambria Math"/>
                </w:rPr>
                <m:t>If_SAIDI</m:t>
              </m:r>
            </m:e>
            <m:sub>
              <m:r>
                <w:rPr>
                  <w:rFonts w:ascii="Cambria Math" w:hAnsi="Cambria Math"/>
                </w:rPr>
                <m:t>j,t</m:t>
              </m:r>
            </m:sub>
          </m:sSub>
          <m:r>
            <w:rPr>
              <w:rFonts w:ascii="Cambria Math" w:hAnsi="Cambria Math"/>
            </w:rPr>
            <m:t>=-0,04*máx</m:t>
          </m:r>
          <m:d>
            <m:dPr>
              <m:ctrlPr>
                <w:rPr>
                  <w:rFonts w:ascii="Cambria Math" w:hAnsi="Cambria Math"/>
                  <w:i/>
                </w:rPr>
              </m:ctrlPr>
            </m:dPr>
            <m:e>
              <m:r>
                <w:rPr>
                  <w:rFonts w:ascii="Cambria Math" w:hAnsi="Cambria Math"/>
                </w:rPr>
                <m:t>0,04*</m:t>
              </m:r>
              <m:nary>
                <m:naryPr>
                  <m:chr m:val="∑"/>
                  <m:limLoc m:val="undOvr"/>
                  <m:ctrlPr>
                    <w:rPr>
                      <w:rFonts w:ascii="Cambria Math" w:hAnsi="Cambria Math"/>
                      <w:i/>
                    </w:rPr>
                  </m:ctrlPr>
                </m:naryPr>
                <m:sub>
                  <m:r>
                    <w:rPr>
                      <w:rFonts w:ascii="Cambria Math" w:hAnsi="Cambria Math"/>
                    </w:rPr>
                    <m:t>n=1</m:t>
                  </m:r>
                </m:sub>
                <m:sup>
                  <m:r>
                    <w:rPr>
                      <w:rFonts w:ascii="Cambria Math" w:hAnsi="Cambria Math"/>
                    </w:rPr>
                    <m:t>3</m:t>
                  </m:r>
                </m:sup>
                <m:e>
                  <m:sSub>
                    <m:sSubPr>
                      <m:ctrlPr>
                        <w:rPr>
                          <w:rFonts w:ascii="Cambria Math" w:hAnsi="Cambria Math"/>
                          <w:i/>
                        </w:rPr>
                      </m:ctrlPr>
                    </m:sSubPr>
                    <m:e>
                      <m:r>
                        <w:rPr>
                          <w:rFonts w:ascii="Cambria Math" w:hAnsi="Cambria Math"/>
                        </w:rPr>
                        <m:t>Crr</m:t>
                      </m:r>
                    </m:e>
                    <m:sub>
                      <m:r>
                        <w:rPr>
                          <w:rFonts w:ascii="Cambria Math" w:hAnsi="Cambria Math"/>
                        </w:rPr>
                        <m:t>j,n</m:t>
                      </m:r>
                    </m:sub>
                  </m:sSub>
                </m:e>
              </m:nary>
              <m:r>
                <w:rPr>
                  <w:rFonts w:ascii="Cambria Math" w:hAnsi="Cambria Math"/>
                </w:rPr>
                <m:t xml:space="preserve"> ,</m:t>
              </m:r>
              <m:nary>
                <m:naryPr>
                  <m:chr m:val="∑"/>
                  <m:limLoc m:val="undOvr"/>
                  <m:ctrlPr>
                    <w:rPr>
                      <w:rFonts w:ascii="Cambria Math" w:hAnsi="Cambria Math"/>
                      <w:i/>
                    </w:rPr>
                  </m:ctrlPr>
                </m:naryPr>
                <m:sub>
                  <m:r>
                    <w:rPr>
                      <w:rFonts w:ascii="Cambria Math" w:hAnsi="Cambria Math"/>
                    </w:rPr>
                    <m:t>n=1</m:t>
                  </m:r>
                </m:sub>
                <m:sup>
                  <m:r>
                    <w:rPr>
                      <w:rFonts w:ascii="Cambria Math" w:hAnsi="Cambria Math"/>
                    </w:rPr>
                    <m:t>3</m:t>
                  </m:r>
                </m:sup>
                <m:e>
                  <m:sSub>
                    <m:sSubPr>
                      <m:ctrlPr>
                        <w:rPr>
                          <w:rFonts w:ascii="Cambria Math" w:hAnsi="Cambria Math"/>
                          <w:i/>
                        </w:rPr>
                      </m:ctrlPr>
                    </m:sSubPr>
                    <m:e>
                      <m:r>
                        <w:rPr>
                          <w:rFonts w:ascii="Cambria Math" w:hAnsi="Cambria Math"/>
                        </w:rPr>
                        <m:t>BRAEN</m:t>
                      </m:r>
                    </m:e>
                    <m:sub>
                      <m:r>
                        <w:rPr>
                          <w:rFonts w:ascii="Cambria Math" w:hAnsi="Cambria Math"/>
                        </w:rPr>
                        <m:t>j</m:t>
                      </m:r>
                      <m:r>
                        <w:rPr>
                          <w:rFonts w:ascii="Cambria Math"/>
                        </w:rPr>
                        <m:t>,</m:t>
                      </m:r>
                      <m:r>
                        <w:rPr>
                          <w:rFonts w:ascii="Cambria Math" w:hAnsi="Cambria Math"/>
                        </w:rPr>
                        <m:t>n,t-1</m:t>
                      </m:r>
                    </m:sub>
                  </m:sSub>
                </m:e>
              </m:nary>
            </m:e>
          </m:d>
        </m:oMath>
      </m:oMathPara>
    </w:p>
    <w:p w:rsidR="00407449" w:rsidRPr="004E6CFC" w:rsidRDefault="00407449" w:rsidP="00407449">
      <w:pPr>
        <w:ind w:left="1416" w:hanging="1416"/>
        <w:rPr>
          <w:iCs/>
        </w:rPr>
      </w:pPr>
      <w:r w:rsidRPr="004E6CFC">
        <w:rPr>
          <w:iCs/>
        </w:rPr>
        <w:t>Donde:</w:t>
      </w:r>
    </w:p>
    <w:p w:rsidR="00407449" w:rsidRPr="00C354C5" w:rsidRDefault="00407449" w:rsidP="00407449">
      <w:pPr>
        <w:ind w:left="2124" w:hanging="2124"/>
        <w:rPr>
          <w:i/>
          <w:iCs/>
        </w:rPr>
      </w:pPr>
      <w:r w:rsidRPr="004E6CFC">
        <w:rPr>
          <w:i/>
          <w:iCs/>
        </w:rPr>
        <w:t>Crr</w:t>
      </w:r>
      <w:r w:rsidRPr="00576D33">
        <w:rPr>
          <w:i/>
          <w:iCs/>
          <w:vertAlign w:val="subscript"/>
        </w:rPr>
        <w:t>j,n</w:t>
      </w:r>
      <w:r w:rsidRPr="00C354C5">
        <w:rPr>
          <w:i/>
          <w:iCs/>
        </w:rPr>
        <w:t>:</w:t>
      </w:r>
      <w:r w:rsidRPr="00C354C5">
        <w:rPr>
          <w:i/>
          <w:iCs/>
        </w:rPr>
        <w:tab/>
      </w:r>
      <w:r w:rsidRPr="00576D33">
        <w:rPr>
          <w:iCs/>
        </w:rPr>
        <w:t xml:space="preserve">Costo de reposición de referencia del OR </w:t>
      </w:r>
      <w:r w:rsidRPr="00576D33">
        <w:rPr>
          <w:i/>
          <w:iCs/>
        </w:rPr>
        <w:t>j</w:t>
      </w:r>
      <w:r w:rsidRPr="00576D33">
        <w:rPr>
          <w:iCs/>
        </w:rPr>
        <w:t xml:space="preserve"> en el nivel de tensión </w:t>
      </w:r>
      <w:r w:rsidRPr="00576D33">
        <w:rPr>
          <w:i/>
          <w:iCs/>
        </w:rPr>
        <w:t>n</w:t>
      </w:r>
      <w:r w:rsidRPr="00C354C5">
        <w:rPr>
          <w:iCs/>
        </w:rPr>
        <w:t xml:space="preserve"> </w:t>
      </w:r>
      <w:r w:rsidRPr="00576D33">
        <w:rPr>
          <w:iCs/>
        </w:rPr>
        <w:t xml:space="preserve">al inicio del periodo tarifario, de que trata el numeral </w:t>
      </w:r>
      <w:r w:rsidRPr="00576D33">
        <w:rPr>
          <w:iCs/>
        </w:rPr>
        <w:fldChar w:fldCharType="begin"/>
      </w:r>
      <w:r w:rsidRPr="00974332">
        <w:rPr>
          <w:iCs/>
        </w:rPr>
        <w:instrText xml:space="preserve"> REF _Ref461013047 \r \h  \* MERGEFORMAT </w:instrText>
      </w:r>
      <w:r w:rsidRPr="00576D33">
        <w:rPr>
          <w:iCs/>
        </w:rPr>
      </w:r>
      <w:r w:rsidRPr="00576D33">
        <w:rPr>
          <w:iCs/>
        </w:rPr>
        <w:fldChar w:fldCharType="separate"/>
      </w:r>
      <w:r w:rsidR="00737178">
        <w:rPr>
          <w:iCs/>
        </w:rPr>
        <w:t>6.4.2</w:t>
      </w:r>
      <w:r w:rsidRPr="00576D33">
        <w:rPr>
          <w:iCs/>
        </w:rPr>
        <w:fldChar w:fldCharType="end"/>
      </w:r>
      <w:r w:rsidRPr="00576D33">
        <w:rPr>
          <w:iCs/>
        </w:rPr>
        <w:t>.</w:t>
      </w:r>
    </w:p>
    <w:p w:rsidR="00407449" w:rsidRPr="004E6CFC" w:rsidRDefault="00407449" w:rsidP="00407449">
      <w:pPr>
        <w:ind w:left="2124" w:hanging="2124"/>
        <w:rPr>
          <w:iCs/>
        </w:rPr>
      </w:pPr>
      <w:r w:rsidRPr="004E6CFC">
        <w:rPr>
          <w:i/>
          <w:iCs/>
        </w:rPr>
        <w:t>BRAEN</w:t>
      </w:r>
      <w:r w:rsidRPr="004E6CFC">
        <w:rPr>
          <w:i/>
          <w:iCs/>
          <w:vertAlign w:val="subscript"/>
        </w:rPr>
        <w:t>j,n,t.-1</w:t>
      </w:r>
      <w:r w:rsidRPr="004E6CFC">
        <w:rPr>
          <w:iCs/>
        </w:rPr>
        <w:t>:</w:t>
      </w:r>
      <w:r w:rsidRPr="004E6CFC">
        <w:rPr>
          <w:iCs/>
        </w:rPr>
        <w:tab/>
        <w:t xml:space="preserve">Base regulatoria de activos eléctricos nuevos del OR </w:t>
      </w:r>
      <w:r w:rsidRPr="004E6CFC">
        <w:rPr>
          <w:i/>
          <w:iCs/>
        </w:rPr>
        <w:t>j</w:t>
      </w:r>
      <w:r w:rsidRPr="004E6CFC">
        <w:rPr>
          <w:iCs/>
        </w:rPr>
        <w:t xml:space="preserve"> en el nivel de tensión </w:t>
      </w:r>
      <w:r w:rsidRPr="004E6CFC">
        <w:rPr>
          <w:i/>
          <w:iCs/>
        </w:rPr>
        <w:t>n</w:t>
      </w:r>
      <w:r w:rsidRPr="004E6CFC">
        <w:rPr>
          <w:iCs/>
        </w:rPr>
        <w:t xml:space="preserve"> para el año </w:t>
      </w:r>
      <w:r w:rsidRPr="004E6CFC">
        <w:rPr>
          <w:i/>
          <w:iCs/>
        </w:rPr>
        <w:t>t-1</w:t>
      </w:r>
      <w:r w:rsidRPr="004E6CFC">
        <w:rPr>
          <w:iCs/>
        </w:rPr>
        <w:t xml:space="preserve">, calculada de acuerdo con lo previsto en el numeral </w:t>
      </w:r>
      <w:r w:rsidRPr="004E6CFC">
        <w:rPr>
          <w:iCs/>
        </w:rPr>
        <w:fldChar w:fldCharType="begin"/>
      </w:r>
      <w:r w:rsidRPr="004E6CFC">
        <w:rPr>
          <w:iCs/>
        </w:rPr>
        <w:instrText xml:space="preserve"> REF _Ref445134276 \r \h  \* MERGEFORMAT </w:instrText>
      </w:r>
      <w:r w:rsidRPr="004E6CFC">
        <w:rPr>
          <w:iCs/>
        </w:rPr>
      </w:r>
      <w:r w:rsidRPr="004E6CFC">
        <w:rPr>
          <w:iCs/>
        </w:rPr>
        <w:fldChar w:fldCharType="separate"/>
      </w:r>
      <w:r w:rsidR="00737178" w:rsidRPr="00737178">
        <w:rPr>
          <w:bCs/>
          <w:iCs/>
        </w:rPr>
        <w:t>3.1.1.2</w:t>
      </w:r>
      <w:r w:rsidRPr="004E6CFC">
        <w:rPr>
          <w:iCs/>
        </w:rPr>
        <w:fldChar w:fldCharType="end"/>
      </w:r>
      <w:r w:rsidRPr="004E6CFC">
        <w:rPr>
          <w:iCs/>
        </w:rPr>
        <w:t>.</w:t>
      </w:r>
    </w:p>
    <w:p w:rsidR="00407449" w:rsidRPr="004E6CFC" w:rsidRDefault="00407449" w:rsidP="00407449">
      <w:r w:rsidRPr="004E6CFC">
        <w:lastRenderedPageBreak/>
        <w:t>Para determinar el valor del incentivo variable,</w:t>
      </w:r>
      <w:r w:rsidRPr="004E6CFC">
        <w:rPr>
          <w:i/>
        </w:rPr>
        <w:t xml:space="preserve"> Iv_SAIDI</w:t>
      </w:r>
      <w:r w:rsidRPr="004E6CFC">
        <w:rPr>
          <w:i/>
          <w:vertAlign w:val="subscript"/>
        </w:rPr>
        <w:t>j,t</w:t>
      </w:r>
      <w:r w:rsidRPr="004E6CFC">
        <w:t>, se debe</w:t>
      </w:r>
      <w:r>
        <w:t xml:space="preserve"> utilizar el indicador de calidad </w:t>
      </w:r>
      <w:r w:rsidRPr="004E6CFC">
        <w:rPr>
          <w:i/>
        </w:rPr>
        <w:t>SAIDI</w:t>
      </w:r>
      <w:r w:rsidRPr="004E6CFC">
        <w:rPr>
          <w:i/>
          <w:vertAlign w:val="subscript"/>
        </w:rPr>
        <w:t>j,t-1</w:t>
      </w:r>
      <w:r>
        <w:t xml:space="preserve"> y</w:t>
      </w:r>
      <w:r w:rsidRPr="004E6CFC">
        <w:t xml:space="preserve"> tener en cuenta lo siguiente:</w:t>
      </w:r>
    </w:p>
    <w:p w:rsidR="00407449" w:rsidRPr="004E6CFC" w:rsidRDefault="00407449" w:rsidP="009C086B">
      <w:pPr>
        <w:pStyle w:val="Prrafodelista"/>
        <w:numPr>
          <w:ilvl w:val="0"/>
          <w:numId w:val="56"/>
        </w:numPr>
      </w:pPr>
      <w:r w:rsidRPr="004E6CFC">
        <w:t xml:space="preserve">Si el </w:t>
      </w:r>
      <w:r w:rsidRPr="004E6CFC">
        <w:rPr>
          <w:i/>
        </w:rPr>
        <w:t>SAIDI</w:t>
      </w:r>
      <w:r w:rsidRPr="004E6CFC">
        <w:rPr>
          <w:i/>
          <w:vertAlign w:val="subscript"/>
        </w:rPr>
        <w:t>j,t-1</w:t>
      </w:r>
      <w:r w:rsidRPr="004E6CFC">
        <w:t xml:space="preserve"> se encuentra dentro de los límites de la banda de indiferencia de su meta</w:t>
      </w:r>
      <w:r w:rsidRPr="004E6CFC">
        <w:rPr>
          <w:i/>
        </w:rPr>
        <w:t xml:space="preserve"> </w:t>
      </w:r>
      <w:r w:rsidRPr="004E6CFC">
        <w:t>para e</w:t>
      </w:r>
      <w:r>
        <w:t>l</w:t>
      </w:r>
      <w:r w:rsidRPr="004E6CFC">
        <w:t xml:space="preserve"> año</w:t>
      </w:r>
      <w:r>
        <w:t xml:space="preserve"> t-1</w:t>
      </w:r>
      <w:r w:rsidRPr="004E6CFC">
        <w:rPr>
          <w:i/>
        </w:rPr>
        <w:t>,</w:t>
      </w:r>
      <w:r w:rsidRPr="004E6CFC">
        <w:t xml:space="preserve"> el </w:t>
      </w:r>
      <w:r w:rsidRPr="004E6CFC">
        <w:rPr>
          <w:i/>
        </w:rPr>
        <w:t>Iv_SAIDI</w:t>
      </w:r>
      <w:r w:rsidRPr="004E6CFC">
        <w:rPr>
          <w:i/>
          <w:vertAlign w:val="subscript"/>
        </w:rPr>
        <w:t>j,t</w:t>
      </w:r>
      <w:r w:rsidRPr="004E6CFC">
        <w:t xml:space="preserve"> será igual a cero.</w:t>
      </w:r>
    </w:p>
    <w:p w:rsidR="00407449" w:rsidRPr="004E6CFC" w:rsidRDefault="00407449" w:rsidP="009C086B">
      <w:pPr>
        <w:pStyle w:val="Prrafodelista"/>
        <w:numPr>
          <w:ilvl w:val="0"/>
          <w:numId w:val="56"/>
        </w:numPr>
      </w:pPr>
      <w:r w:rsidRPr="004E6CFC">
        <w:t xml:space="preserve">Si el </w:t>
      </w:r>
      <w:r w:rsidRPr="004E6CFC">
        <w:rPr>
          <w:i/>
        </w:rPr>
        <w:t>SAIDI</w:t>
      </w:r>
      <w:r w:rsidRPr="004E6CFC">
        <w:rPr>
          <w:i/>
          <w:vertAlign w:val="subscript"/>
        </w:rPr>
        <w:t>j,t-1</w:t>
      </w:r>
      <w:r w:rsidRPr="004E6CFC">
        <w:t xml:space="preserve"> es menor que el límite inferior de la banda de indiferencia de su meta para e</w:t>
      </w:r>
      <w:r>
        <w:t>l</w:t>
      </w:r>
      <w:r w:rsidRPr="004E6CFC">
        <w:t xml:space="preserve"> año</w:t>
      </w:r>
      <w:r>
        <w:t xml:space="preserve"> t-1</w:t>
      </w:r>
      <w:r w:rsidRPr="004E6CFC">
        <w:rPr>
          <w:i/>
        </w:rPr>
        <w:t>,</w:t>
      </w:r>
      <w:r w:rsidRPr="004E6CFC">
        <w:t xml:space="preserve"> el </w:t>
      </w:r>
      <w:r w:rsidRPr="004E6CFC">
        <w:rPr>
          <w:i/>
        </w:rPr>
        <w:t>Iv_SAIDI</w:t>
      </w:r>
      <w:r w:rsidRPr="004E6CFC">
        <w:rPr>
          <w:i/>
          <w:vertAlign w:val="subscript"/>
        </w:rPr>
        <w:t>j,t</w:t>
      </w:r>
      <w:r w:rsidRPr="004E6CFC">
        <w:t xml:space="preserve"> se obtiene utilizando la siguiente expresión:</w:t>
      </w:r>
    </w:p>
    <w:p w:rsidR="00407449" w:rsidRPr="004E6CFC" w:rsidRDefault="00C9592F" w:rsidP="00407449">
      <m:oMathPara>
        <m:oMath>
          <m:sSub>
            <m:sSubPr>
              <m:ctrlPr>
                <w:rPr>
                  <w:rFonts w:ascii="Cambria Math" w:hAnsi="Cambria Math"/>
                  <w:i/>
                </w:rPr>
              </m:ctrlPr>
            </m:sSubPr>
            <m:e>
              <m:r>
                <w:rPr>
                  <w:rFonts w:ascii="Cambria Math" w:hAnsi="Cambria Math"/>
                </w:rPr>
                <m:t>Iv_SAIDI</m:t>
              </m:r>
            </m:e>
            <m:sub>
              <m:r>
                <w:rPr>
                  <w:rFonts w:ascii="Cambria Math" w:hAnsi="Cambria Math"/>
                </w:rPr>
                <m:t>j,t</m:t>
              </m:r>
            </m:sub>
          </m:sSub>
          <m:r>
            <w:rPr>
              <w:rFonts w:ascii="Cambria Math" w:hAnsi="Cambria Math"/>
            </w:rPr>
            <m:t>=</m:t>
          </m:r>
          <m:d>
            <m:dPr>
              <m:ctrlPr>
                <w:rPr>
                  <w:rFonts w:ascii="Cambria Math" w:hAnsi="Cambria Math"/>
                  <w:i/>
                </w:rPr>
              </m:ctrlPr>
            </m:dPr>
            <m:e>
              <m:sSub>
                <m:sSubPr>
                  <m:ctrlPr>
                    <w:rPr>
                      <w:rFonts w:ascii="Cambria Math" w:hAnsi="Cambria Math"/>
                      <w:i/>
                    </w:rPr>
                  </m:ctrlPr>
                </m:sSubPr>
                <m:e>
                  <m:r>
                    <w:rPr>
                      <w:rFonts w:ascii="Cambria Math" w:hAnsi="Cambria Math"/>
                    </w:rPr>
                    <m:t>SAIDI_R</m:t>
                  </m:r>
                </m:e>
                <m:sub>
                  <m:r>
                    <w:rPr>
                      <w:rFonts w:ascii="Cambria Math" w:hAnsi="Cambria Math"/>
                    </w:rPr>
                    <m:t>j</m:t>
                  </m:r>
                </m:sub>
              </m:sSub>
              <m:r>
                <w:rPr>
                  <w:rFonts w:ascii="Cambria Math" w:hAnsi="Cambria Math"/>
                </w:rPr>
                <m:t>-</m:t>
              </m:r>
              <m:sSub>
                <m:sSubPr>
                  <m:ctrlPr>
                    <w:rPr>
                      <w:rFonts w:ascii="Cambria Math" w:hAnsi="Cambria Math"/>
                      <w:i/>
                    </w:rPr>
                  </m:ctrlPr>
                </m:sSubPr>
                <m:e>
                  <m:r>
                    <w:rPr>
                      <w:rFonts w:ascii="Cambria Math" w:hAnsi="Cambria Math"/>
                    </w:rPr>
                    <m:t>SAIDI_CI</m:t>
                  </m:r>
                </m:e>
                <m:sub>
                  <m:r>
                    <w:rPr>
                      <w:rFonts w:ascii="Cambria Math" w:hAnsi="Cambria Math"/>
                    </w:rPr>
                    <m:t>j,t-1</m:t>
                  </m:r>
                </m:sub>
              </m:sSub>
            </m:e>
          </m:d>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Ivi_SAIDI max</m:t>
                  </m:r>
                </m:e>
                <m:sub>
                  <m:r>
                    <w:rPr>
                      <w:rFonts w:ascii="Cambria Math" w:hAnsi="Cambria Math"/>
                    </w:rPr>
                    <m:t>j,t</m:t>
                  </m:r>
                </m:sub>
              </m:sSub>
            </m:num>
            <m:den>
              <m:sSub>
                <m:sSubPr>
                  <m:ctrlPr>
                    <w:rPr>
                      <w:rFonts w:ascii="Cambria Math" w:hAnsi="Cambria Math"/>
                      <w:i/>
                    </w:rPr>
                  </m:ctrlPr>
                </m:sSubPr>
                <m:e>
                  <m:r>
                    <w:rPr>
                      <w:rFonts w:ascii="Cambria Math" w:hAnsi="Cambria Math"/>
                    </w:rPr>
                    <m:t>SAIDI_R</m:t>
                  </m:r>
                </m:e>
                <m:sub>
                  <m:r>
                    <w:rPr>
                      <w:rFonts w:ascii="Cambria Math" w:hAnsi="Cambria Math"/>
                    </w:rPr>
                    <m:t>j</m:t>
                  </m:r>
                </m:sub>
              </m:sSub>
              <m:r>
                <w:rPr>
                  <w:rFonts w:ascii="Cambria Math" w:hAnsi="Cambria Math"/>
                </w:rPr>
                <m:t>-SAIDI_LP</m:t>
              </m:r>
            </m:den>
          </m:f>
        </m:oMath>
      </m:oMathPara>
    </w:p>
    <w:p w:rsidR="00407449" w:rsidRPr="004E6CFC" w:rsidRDefault="00C9592F" w:rsidP="00407449">
      <m:oMathPara>
        <m:oMath>
          <m:sSub>
            <m:sSubPr>
              <m:ctrlPr>
                <w:rPr>
                  <w:rFonts w:ascii="Cambria Math" w:hAnsi="Cambria Math"/>
                  <w:i/>
                </w:rPr>
              </m:ctrlPr>
            </m:sSubPr>
            <m:e>
              <m:r>
                <w:rPr>
                  <w:rFonts w:ascii="Cambria Math" w:hAnsi="Cambria Math"/>
                </w:rPr>
                <m:t>SAIDI_CI</m:t>
              </m:r>
            </m:e>
            <m:sub>
              <m:r>
                <w:rPr>
                  <w:rFonts w:ascii="Cambria Math" w:hAnsi="Cambria Math"/>
                </w:rPr>
                <m:t>j,t-1</m:t>
              </m:r>
            </m:sub>
          </m:sSub>
          <m:r>
            <w:rPr>
              <w:rFonts w:ascii="Cambria Math" w:hAnsi="Cambria Math"/>
            </w:rPr>
            <m:t>=max</m:t>
          </m:r>
          <m:r>
            <m:rPr>
              <m:sty m:val="p"/>
            </m:rPr>
            <w:rPr>
              <w:rFonts w:ascii="Cambria Math" w:hAnsi="Cambria Math"/>
            </w:rPr>
            <m:t>⁡</m:t>
          </m:r>
          <m:d>
            <m:dPr>
              <m:ctrlPr>
                <w:rPr>
                  <w:rFonts w:ascii="Cambria Math" w:hAnsi="Cambria Math"/>
                  <w:i/>
                </w:rPr>
              </m:ctrlPr>
            </m:dPr>
            <m:e>
              <m:r>
                <w:rPr>
                  <w:rFonts w:ascii="Cambria Math" w:hAnsi="Cambria Math"/>
                </w:rPr>
                <m:t xml:space="preserve">SAIDI_LP , </m:t>
              </m:r>
              <m:sSub>
                <m:sSubPr>
                  <m:ctrlPr>
                    <w:rPr>
                      <w:rFonts w:ascii="Cambria Math" w:hAnsi="Cambria Math"/>
                      <w:i/>
                    </w:rPr>
                  </m:ctrlPr>
                </m:sSubPr>
                <m:e>
                  <m:r>
                    <w:rPr>
                      <w:rFonts w:ascii="Cambria Math" w:hAnsi="Cambria Math"/>
                    </w:rPr>
                    <m:t>SAIDI</m:t>
                  </m:r>
                </m:e>
                <m:sub>
                  <m:r>
                    <w:rPr>
                      <w:rFonts w:ascii="Cambria Math" w:hAnsi="Cambria Math"/>
                    </w:rPr>
                    <m:t>j,t-1</m:t>
                  </m:r>
                </m:sub>
              </m:sSub>
            </m:e>
          </m:d>
        </m:oMath>
      </m:oMathPara>
    </w:p>
    <w:p w:rsidR="00407449" w:rsidRPr="004E6CFC" w:rsidRDefault="00C9592F" w:rsidP="00407449">
      <m:oMathPara>
        <m:oMath>
          <m:sSub>
            <m:sSubPr>
              <m:ctrlPr>
                <w:rPr>
                  <w:rFonts w:ascii="Cambria Math" w:hAnsi="Cambria Math"/>
                  <w:i/>
                </w:rPr>
              </m:ctrlPr>
            </m:sSubPr>
            <m:e>
              <m:r>
                <w:rPr>
                  <w:rFonts w:ascii="Cambria Math" w:hAnsi="Cambria Math"/>
                </w:rPr>
                <m:t>Ivi_SAIDImax</m:t>
              </m:r>
            </m:e>
            <m:sub>
              <m:r>
                <w:rPr>
                  <w:rFonts w:ascii="Cambria Math" w:hAnsi="Cambria Math"/>
                </w:rPr>
                <m:t>j,t</m:t>
              </m:r>
            </m:sub>
          </m:sSub>
          <m:r>
            <w:rPr>
              <w:rFonts w:ascii="Cambria Math" w:hAnsi="Cambria Math"/>
            </w:rPr>
            <m:t>=0,04*</m:t>
          </m:r>
          <m:nary>
            <m:naryPr>
              <m:chr m:val="∑"/>
              <m:limLoc m:val="undOvr"/>
              <m:ctrlPr>
                <w:rPr>
                  <w:rFonts w:ascii="Cambria Math" w:hAnsi="Cambria Math"/>
                  <w:i/>
                </w:rPr>
              </m:ctrlPr>
            </m:naryPr>
            <m:sub>
              <m:r>
                <w:rPr>
                  <w:rFonts w:ascii="Cambria Math" w:hAnsi="Cambria Math"/>
                </w:rPr>
                <m:t>n=1</m:t>
              </m:r>
            </m:sub>
            <m:sup>
              <m:r>
                <w:rPr>
                  <w:rFonts w:ascii="Cambria Math" w:hAnsi="Cambria Math"/>
                </w:rPr>
                <m:t>3</m:t>
              </m:r>
            </m:sup>
            <m:e>
              <m:sSub>
                <m:sSubPr>
                  <m:ctrlPr>
                    <w:rPr>
                      <w:rFonts w:ascii="Cambria Math" w:hAnsi="Cambria Math"/>
                      <w:i/>
                    </w:rPr>
                  </m:ctrlPr>
                </m:sSubPr>
                <m:e>
                  <m:r>
                    <w:rPr>
                      <w:rFonts w:ascii="Cambria Math" w:hAnsi="Cambria Math"/>
                    </w:rPr>
                    <m:t>BRAEN</m:t>
                  </m:r>
                </m:e>
                <m:sub>
                  <m:r>
                    <w:rPr>
                      <w:rFonts w:ascii="Cambria Math" w:hAnsi="Cambria Math"/>
                    </w:rPr>
                    <m:t>j</m:t>
                  </m:r>
                  <m:r>
                    <w:rPr>
                      <w:rFonts w:ascii="Cambria Math"/>
                    </w:rPr>
                    <m:t>,</m:t>
                  </m:r>
                  <m:r>
                    <w:rPr>
                      <w:rFonts w:ascii="Cambria Math" w:hAnsi="Cambria Math"/>
                    </w:rPr>
                    <m:t>n,t-1</m:t>
                  </m:r>
                </m:sub>
              </m:sSub>
            </m:e>
          </m:nary>
        </m:oMath>
      </m:oMathPara>
    </w:p>
    <w:p w:rsidR="00407449" w:rsidRPr="004E6CFC" w:rsidRDefault="00407449" w:rsidP="00407449">
      <w:r w:rsidRPr="004E6CFC">
        <w:t>Donde:</w:t>
      </w:r>
    </w:p>
    <w:p w:rsidR="00407449" w:rsidRPr="004E6CFC" w:rsidRDefault="00407449" w:rsidP="00407449">
      <w:pPr>
        <w:ind w:left="2124" w:hanging="2124"/>
      </w:pPr>
      <w:r w:rsidRPr="004E6CFC">
        <w:rPr>
          <w:i/>
        </w:rPr>
        <w:t>SAIDI_R</w:t>
      </w:r>
      <w:r w:rsidRPr="004E6CFC">
        <w:rPr>
          <w:i/>
          <w:vertAlign w:val="subscript"/>
        </w:rPr>
        <w:t>j</w:t>
      </w:r>
      <w:r w:rsidRPr="004E6CFC">
        <w:t>:</w:t>
      </w:r>
      <w:r w:rsidRPr="004E6CFC">
        <w:tab/>
        <w:t xml:space="preserve">Indicador de duración de referencia de </w:t>
      </w:r>
      <w:r w:rsidRPr="004E6CFC">
        <w:rPr>
          <w:lang w:val="es-CO"/>
        </w:rPr>
        <w:t>los eventos sucedidos en el SDL</w:t>
      </w:r>
      <w:r w:rsidRPr="004E6CFC">
        <w:t xml:space="preserve">, en horas al año, de que trata el numeral </w:t>
      </w:r>
      <w:r w:rsidRPr="004E6CFC">
        <w:fldChar w:fldCharType="begin"/>
      </w:r>
      <w:r w:rsidRPr="004E6CFC">
        <w:instrText xml:space="preserve"> REF _Ref476815612 \r \h  \* MERGEFORMAT </w:instrText>
      </w:r>
      <w:r w:rsidRPr="004E6CFC">
        <w:fldChar w:fldCharType="separate"/>
      </w:r>
      <w:r w:rsidR="00737178">
        <w:t>5.2.5</w:t>
      </w:r>
      <w:r w:rsidRPr="004E6CFC">
        <w:fldChar w:fldCharType="end"/>
      </w:r>
      <w:r w:rsidRPr="004E6CFC">
        <w:t>.</w:t>
      </w:r>
    </w:p>
    <w:p w:rsidR="00407449" w:rsidRPr="004E6CFC" w:rsidRDefault="00407449" w:rsidP="00407449">
      <w:pPr>
        <w:ind w:left="2124" w:hanging="2124"/>
      </w:pPr>
      <w:r w:rsidRPr="004E6CFC">
        <w:rPr>
          <w:i/>
        </w:rPr>
        <w:t>SAIDI_CI</w:t>
      </w:r>
      <w:r w:rsidRPr="004E6CFC">
        <w:rPr>
          <w:i/>
          <w:vertAlign w:val="subscript"/>
        </w:rPr>
        <w:t>j,t-1</w:t>
      </w:r>
      <w:r w:rsidRPr="004E6CFC">
        <w:t>:</w:t>
      </w:r>
      <w:r w:rsidRPr="004E6CFC">
        <w:tab/>
        <w:t>Valor del indicador de duración de eventos utilizado para calcular y limitar el valor del incentivo, cuando el</w:t>
      </w:r>
      <w:r w:rsidRPr="004E6CFC">
        <w:rPr>
          <w:i/>
        </w:rPr>
        <w:t xml:space="preserve"> SAIDI</w:t>
      </w:r>
      <w:r w:rsidRPr="004E6CFC">
        <w:rPr>
          <w:i/>
          <w:vertAlign w:val="subscript"/>
        </w:rPr>
        <w:t>j,t</w:t>
      </w:r>
      <w:r w:rsidRPr="004E6CFC">
        <w:rPr>
          <w:i/>
          <w:vertAlign w:val="subscript"/>
        </w:rPr>
        <w:noBreakHyphen/>
        <w:t>1</w:t>
      </w:r>
      <w:r w:rsidRPr="004E6CFC">
        <w:t xml:space="preserve"> es menor que el límite inferior de la banda de indiferencia.</w:t>
      </w:r>
    </w:p>
    <w:p w:rsidR="00407449" w:rsidRPr="004E6CFC" w:rsidRDefault="00407449" w:rsidP="00407449">
      <w:pPr>
        <w:ind w:left="2124" w:hanging="2124"/>
      </w:pPr>
      <w:r w:rsidRPr="004E6CFC">
        <w:rPr>
          <w:i/>
        </w:rPr>
        <w:t>SAIDI</w:t>
      </w:r>
      <w:r w:rsidRPr="004E6CFC">
        <w:rPr>
          <w:i/>
          <w:vertAlign w:val="subscript"/>
        </w:rPr>
        <w:t>j,t-1</w:t>
      </w:r>
      <w:r w:rsidRPr="004E6CFC">
        <w:t>:</w:t>
      </w:r>
      <w:r w:rsidRPr="004E6CFC">
        <w:tab/>
        <w:t xml:space="preserve">Indicador de duración de </w:t>
      </w:r>
      <w:r w:rsidRPr="004E6CFC">
        <w:rPr>
          <w:lang w:val="es-CO"/>
        </w:rPr>
        <w:t>los eventos sucedidos en el SDL</w:t>
      </w:r>
      <w:r w:rsidRPr="004E6CFC" w:rsidDel="00C214DB">
        <w:t xml:space="preserve"> </w:t>
      </w:r>
      <w:r w:rsidRPr="004E6CFC">
        <w:t xml:space="preserve">alcanzado por el OR </w:t>
      </w:r>
      <w:r w:rsidRPr="004E6CFC">
        <w:rPr>
          <w:i/>
        </w:rPr>
        <w:t>j</w:t>
      </w:r>
      <w:r w:rsidRPr="004E6CFC">
        <w:t xml:space="preserve"> en el año </w:t>
      </w:r>
      <w:r w:rsidRPr="004E6CFC">
        <w:rPr>
          <w:i/>
        </w:rPr>
        <w:t>t-1</w:t>
      </w:r>
      <w:r w:rsidRPr="00E72A52">
        <w:t xml:space="preserve">, calculado con base en lo establecido en el numeral </w:t>
      </w:r>
      <w:r w:rsidRPr="00E72A52">
        <w:fldChar w:fldCharType="begin"/>
      </w:r>
      <w:r w:rsidRPr="00E72A52">
        <w:instrText xml:space="preserve"> REF _Ref460922977 \r \h </w:instrText>
      </w:r>
      <w:r>
        <w:instrText xml:space="preserve"> \* MERGEFORMAT </w:instrText>
      </w:r>
      <w:r w:rsidRPr="00E72A52">
        <w:fldChar w:fldCharType="separate"/>
      </w:r>
      <w:r w:rsidR="00737178">
        <w:t>5.2.3.1</w:t>
      </w:r>
      <w:r w:rsidRPr="00E72A52">
        <w:fldChar w:fldCharType="end"/>
      </w:r>
      <w:r w:rsidRPr="00C60018">
        <w:t>.</w:t>
      </w:r>
    </w:p>
    <w:p w:rsidR="00407449" w:rsidRPr="004E6CFC" w:rsidRDefault="00407449" w:rsidP="00407449">
      <w:pPr>
        <w:ind w:left="2124" w:hanging="2124"/>
      </w:pPr>
      <w:r w:rsidRPr="004E6CFC">
        <w:rPr>
          <w:i/>
        </w:rPr>
        <w:t>Ivi_SAIDI max</w:t>
      </w:r>
      <w:r w:rsidRPr="004E6CFC">
        <w:rPr>
          <w:i/>
          <w:vertAlign w:val="subscript"/>
        </w:rPr>
        <w:t>j,t</w:t>
      </w:r>
      <w:r w:rsidRPr="004E6CFC">
        <w:rPr>
          <w:i/>
        </w:rPr>
        <w:t>:</w:t>
      </w:r>
      <w:r w:rsidRPr="004E6CFC">
        <w:tab/>
        <w:t xml:space="preserve">Incentivo variable máximo con respecto al indicador de duración de los eventos, para el OR </w:t>
      </w:r>
      <w:r w:rsidRPr="004E6CFC">
        <w:rPr>
          <w:i/>
        </w:rPr>
        <w:t>j</w:t>
      </w:r>
      <w:r w:rsidRPr="004E6CFC">
        <w:t xml:space="preserve">, en el año </w:t>
      </w:r>
      <w:r w:rsidRPr="004E6CFC">
        <w:rPr>
          <w:i/>
        </w:rPr>
        <w:t>t</w:t>
      </w:r>
      <w:r w:rsidRPr="004E6CFC">
        <w:t>, cuando el</w:t>
      </w:r>
      <w:r w:rsidRPr="004E6CFC">
        <w:rPr>
          <w:i/>
        </w:rPr>
        <w:t xml:space="preserve"> SAIDI</w:t>
      </w:r>
      <w:r w:rsidRPr="004E6CFC">
        <w:rPr>
          <w:i/>
          <w:vertAlign w:val="subscript"/>
        </w:rPr>
        <w:t>j,t-1</w:t>
      </w:r>
      <w:r w:rsidRPr="004E6CFC">
        <w:t xml:space="preserve"> es menor que el límite inferior de la banda de indiferencia.</w:t>
      </w:r>
    </w:p>
    <w:p w:rsidR="00407449" w:rsidRPr="004E6CFC" w:rsidRDefault="00407449" w:rsidP="00407449">
      <w:pPr>
        <w:ind w:left="2124" w:hanging="2124"/>
      </w:pPr>
      <w:r w:rsidRPr="004E6CFC">
        <w:rPr>
          <w:i/>
        </w:rPr>
        <w:t>SAIDI_LP:</w:t>
      </w:r>
      <w:r w:rsidRPr="004E6CFC">
        <w:tab/>
        <w:t xml:space="preserve">Meta de largo plazo para el indicador de duración de los eventos, fijada en 2 horas/año. </w:t>
      </w:r>
    </w:p>
    <w:p w:rsidR="00407449" w:rsidRPr="004E6CFC" w:rsidRDefault="00407449" w:rsidP="009C086B">
      <w:pPr>
        <w:pStyle w:val="Prrafodelista"/>
        <w:numPr>
          <w:ilvl w:val="0"/>
          <w:numId w:val="56"/>
        </w:numPr>
      </w:pPr>
      <w:r w:rsidRPr="004E6CFC">
        <w:t xml:space="preserve">Si el </w:t>
      </w:r>
      <w:r w:rsidRPr="004E6CFC">
        <w:rPr>
          <w:i/>
        </w:rPr>
        <w:t>SAIDI</w:t>
      </w:r>
      <w:r w:rsidRPr="004E6CFC">
        <w:rPr>
          <w:i/>
          <w:vertAlign w:val="subscript"/>
        </w:rPr>
        <w:t xml:space="preserve">j,t-1 </w:t>
      </w:r>
      <w:r w:rsidRPr="004E6CFC">
        <w:t>es</w:t>
      </w:r>
      <w:r w:rsidRPr="004E6CFC">
        <w:rPr>
          <w:i/>
        </w:rPr>
        <w:t xml:space="preserve"> </w:t>
      </w:r>
      <w:r w:rsidRPr="004E6CFC">
        <w:t>mayor que el límite superior de la banda de indiferencia de su meta para e</w:t>
      </w:r>
      <w:r>
        <w:t>l</w:t>
      </w:r>
      <w:r w:rsidRPr="004E6CFC">
        <w:t xml:space="preserve"> año</w:t>
      </w:r>
      <w:r>
        <w:t xml:space="preserve"> t-1</w:t>
      </w:r>
      <w:r w:rsidRPr="004E6CFC">
        <w:rPr>
          <w:i/>
        </w:rPr>
        <w:t>,</w:t>
      </w:r>
      <w:r w:rsidRPr="004E6CFC">
        <w:t xml:space="preserve"> el incentivo variable se obtiene utilizando la siguiente expresión:</w:t>
      </w:r>
    </w:p>
    <w:p w:rsidR="00407449" w:rsidRPr="004E6CFC" w:rsidRDefault="00C9592F" w:rsidP="00407449">
      <m:oMathPara>
        <m:oMath>
          <m:sSub>
            <m:sSubPr>
              <m:ctrlPr>
                <w:rPr>
                  <w:rFonts w:ascii="Cambria Math" w:hAnsi="Cambria Math"/>
                  <w:i/>
                  <w:sz w:val="22"/>
                </w:rPr>
              </m:ctrlPr>
            </m:sSubPr>
            <m:e>
              <m:r>
                <w:rPr>
                  <w:rFonts w:ascii="Cambria Math" w:hAnsi="Cambria Math"/>
                  <w:sz w:val="22"/>
                </w:rPr>
                <m:t>Iv_SAIDI</m:t>
              </m:r>
            </m:e>
            <m:sub>
              <m:r>
                <w:rPr>
                  <w:rFonts w:ascii="Cambria Math" w:hAnsi="Cambria Math"/>
                  <w:sz w:val="22"/>
                </w:rPr>
                <m:t>j,t</m:t>
              </m:r>
            </m:sub>
          </m:sSub>
          <m:r>
            <w:rPr>
              <w:rFonts w:ascii="Cambria Math" w:hAnsi="Cambria Math"/>
              <w:sz w:val="22"/>
            </w:rPr>
            <m:t>=</m:t>
          </m:r>
          <m:d>
            <m:dPr>
              <m:ctrlPr>
                <w:rPr>
                  <w:rFonts w:ascii="Cambria Math" w:hAnsi="Cambria Math"/>
                  <w:i/>
                  <w:sz w:val="22"/>
                </w:rPr>
              </m:ctrlPr>
            </m:dPr>
            <m:e>
              <m:sSub>
                <m:sSubPr>
                  <m:ctrlPr>
                    <w:rPr>
                      <w:rFonts w:ascii="Cambria Math" w:hAnsi="Cambria Math"/>
                      <w:i/>
                      <w:sz w:val="22"/>
                    </w:rPr>
                  </m:ctrlPr>
                </m:sSubPr>
                <m:e>
                  <m:r>
                    <w:rPr>
                      <w:rFonts w:ascii="Cambria Math" w:hAnsi="Cambria Math"/>
                      <w:sz w:val="22"/>
                    </w:rPr>
                    <m:t>SAIDI_M</m:t>
                  </m:r>
                </m:e>
                <m:sub>
                  <m:r>
                    <w:rPr>
                      <w:rFonts w:ascii="Cambria Math" w:hAnsi="Cambria Math"/>
                      <w:sz w:val="22"/>
                    </w:rPr>
                    <m:t>j,t-1</m:t>
                  </m:r>
                </m:sub>
              </m:sSub>
              <m:r>
                <w:rPr>
                  <w:rFonts w:ascii="Cambria Math" w:hAnsi="Cambria Math"/>
                  <w:sz w:val="22"/>
                </w:rPr>
                <m:t>-</m:t>
              </m:r>
              <m:sSub>
                <m:sSubPr>
                  <m:ctrlPr>
                    <w:rPr>
                      <w:rFonts w:ascii="Cambria Math" w:hAnsi="Cambria Math"/>
                      <w:i/>
                      <w:sz w:val="22"/>
                    </w:rPr>
                  </m:ctrlPr>
                </m:sSubPr>
                <m:e>
                  <m:r>
                    <w:rPr>
                      <w:rFonts w:ascii="Cambria Math" w:hAnsi="Cambria Math"/>
                      <w:sz w:val="22"/>
                    </w:rPr>
                    <m:t>SAIDI_CS</m:t>
                  </m:r>
                </m:e>
                <m:sub>
                  <m:r>
                    <w:rPr>
                      <w:rFonts w:ascii="Cambria Math" w:hAnsi="Cambria Math"/>
                      <w:sz w:val="22"/>
                    </w:rPr>
                    <m:t>j,t-1</m:t>
                  </m:r>
                </m:sub>
              </m:sSub>
            </m:e>
          </m:d>
          <m:r>
            <w:rPr>
              <w:rFonts w:ascii="Cambria Math" w:hAnsi="Cambria Math"/>
              <w:sz w:val="22"/>
            </w:rPr>
            <m:t>*</m:t>
          </m:r>
          <m:f>
            <m:fPr>
              <m:ctrlPr>
                <w:rPr>
                  <w:rFonts w:ascii="Cambria Math" w:hAnsi="Cambria Math"/>
                  <w:i/>
                  <w:sz w:val="22"/>
                </w:rPr>
              </m:ctrlPr>
            </m:fPr>
            <m:num>
              <m:d>
                <m:dPr>
                  <m:ctrlPr>
                    <w:rPr>
                      <w:rFonts w:ascii="Cambria Math" w:hAnsi="Cambria Math"/>
                      <w:i/>
                      <w:sz w:val="22"/>
                    </w:rPr>
                  </m:ctrlPr>
                </m:dPr>
                <m:e>
                  <m:sSub>
                    <m:sSubPr>
                      <m:ctrlPr>
                        <w:rPr>
                          <w:rFonts w:ascii="Cambria Math" w:hAnsi="Cambria Math"/>
                          <w:i/>
                          <w:sz w:val="22"/>
                        </w:rPr>
                      </m:ctrlPr>
                    </m:sSubPr>
                    <m:e>
                      <m:r>
                        <w:rPr>
                          <w:rFonts w:ascii="Cambria Math" w:hAnsi="Cambria Math"/>
                          <w:sz w:val="22"/>
                        </w:rPr>
                        <m:t>Ivs_SAIDI max</m:t>
                      </m:r>
                    </m:e>
                    <m:sub>
                      <m:r>
                        <w:rPr>
                          <w:rFonts w:ascii="Cambria Math" w:hAnsi="Cambria Math"/>
                          <w:sz w:val="22"/>
                        </w:rPr>
                        <m:t>j,t</m:t>
                      </m:r>
                    </m:sub>
                  </m:sSub>
                </m:e>
              </m:d>
            </m:num>
            <m:den>
              <m:r>
                <w:rPr>
                  <w:rFonts w:ascii="Cambria Math" w:hAnsi="Cambria Math"/>
                  <w:sz w:val="22"/>
                </w:rPr>
                <m:t>2*</m:t>
              </m:r>
              <m:sSub>
                <m:sSubPr>
                  <m:ctrlPr>
                    <w:rPr>
                      <w:rFonts w:ascii="Cambria Math" w:hAnsi="Cambria Math"/>
                      <w:i/>
                      <w:sz w:val="22"/>
                    </w:rPr>
                  </m:ctrlPr>
                </m:sSubPr>
                <m:e>
                  <m:r>
                    <w:rPr>
                      <w:rFonts w:ascii="Cambria Math" w:hAnsi="Cambria Math"/>
                      <w:sz w:val="22"/>
                    </w:rPr>
                    <m:t>SAIDI_R</m:t>
                  </m:r>
                </m:e>
                <m:sub>
                  <m:r>
                    <w:rPr>
                      <w:rFonts w:ascii="Cambria Math" w:hAnsi="Cambria Math"/>
                      <w:sz w:val="22"/>
                    </w:rPr>
                    <m:t>j</m:t>
                  </m:r>
                </m:sub>
              </m:sSub>
              <m:r>
                <w:rPr>
                  <w:rFonts w:ascii="Cambria Math" w:hAnsi="Cambria Math"/>
                  <w:sz w:val="22"/>
                </w:rPr>
                <m:t>-2*SAID</m:t>
              </m:r>
              <m:sSub>
                <m:sSubPr>
                  <m:ctrlPr>
                    <w:rPr>
                      <w:rFonts w:ascii="Cambria Math" w:hAnsi="Cambria Math"/>
                      <w:i/>
                      <w:sz w:val="22"/>
                    </w:rPr>
                  </m:ctrlPr>
                </m:sSubPr>
                <m:e>
                  <m:r>
                    <w:rPr>
                      <w:rFonts w:ascii="Cambria Math" w:hAnsi="Cambria Math"/>
                      <w:sz w:val="22"/>
                    </w:rPr>
                    <m:t>I</m:t>
                  </m:r>
                </m:e>
                <m:sub>
                  <m:r>
                    <w:rPr>
                      <w:rFonts w:ascii="Cambria Math" w:hAnsi="Cambria Math"/>
                      <w:sz w:val="22"/>
                    </w:rPr>
                    <m:t>LP</m:t>
                  </m:r>
                </m:sub>
              </m:sSub>
              <m:r>
                <w:rPr>
                  <w:rFonts w:ascii="Cambria Math" w:hAnsi="Cambria Math"/>
                  <w:sz w:val="22"/>
                </w:rPr>
                <m:t>-</m:t>
              </m:r>
              <m:sSub>
                <m:sSubPr>
                  <m:ctrlPr>
                    <w:rPr>
                      <w:rFonts w:ascii="Cambria Math" w:hAnsi="Cambria Math"/>
                      <w:i/>
                      <w:sz w:val="22"/>
                    </w:rPr>
                  </m:ctrlPr>
                </m:sSubPr>
                <m:e>
                  <m:r>
                    <w:rPr>
                      <w:rFonts w:ascii="Cambria Math" w:hAnsi="Cambria Math"/>
                      <w:sz w:val="22"/>
                    </w:rPr>
                    <m:t>SAIDI_M</m:t>
                  </m:r>
                </m:e>
                <m:sub>
                  <m:r>
                    <w:rPr>
                      <w:rFonts w:ascii="Cambria Math" w:hAnsi="Cambria Math"/>
                      <w:sz w:val="22"/>
                    </w:rPr>
                    <m:t>j,t-1</m:t>
                  </m:r>
                </m:sub>
              </m:sSub>
            </m:den>
          </m:f>
        </m:oMath>
      </m:oMathPara>
    </w:p>
    <w:p w:rsidR="00407449" w:rsidRPr="004E6CFC" w:rsidRDefault="00C9592F" w:rsidP="00407449">
      <m:oMathPara>
        <m:oMath>
          <m:sSub>
            <m:sSubPr>
              <m:ctrlPr>
                <w:rPr>
                  <w:rFonts w:ascii="Cambria Math" w:hAnsi="Cambria Math"/>
                  <w:i/>
                </w:rPr>
              </m:ctrlPr>
            </m:sSubPr>
            <m:e>
              <m:r>
                <w:rPr>
                  <w:rFonts w:ascii="Cambria Math" w:hAnsi="Cambria Math"/>
                </w:rPr>
                <m:t>SAIDI_CS</m:t>
              </m:r>
            </m:e>
            <m:sub>
              <m:r>
                <w:rPr>
                  <w:rFonts w:ascii="Cambria Math" w:hAnsi="Cambria Math"/>
                </w:rPr>
                <m:t>j,t-1</m:t>
              </m:r>
            </m:sub>
          </m:sSub>
          <m:r>
            <w:rPr>
              <w:rFonts w:ascii="Cambria Math" w:hAnsi="Cambria Math"/>
            </w:rPr>
            <m:t>=min</m:t>
          </m:r>
          <m:d>
            <m:dPr>
              <m:ctrlPr>
                <w:rPr>
                  <w:rFonts w:ascii="Cambria Math" w:hAnsi="Cambria Math"/>
                  <w:i/>
                </w:rPr>
              </m:ctrlPr>
            </m:dPr>
            <m:e>
              <m:sSub>
                <m:sSubPr>
                  <m:ctrlPr>
                    <w:rPr>
                      <w:rFonts w:ascii="Cambria Math" w:hAnsi="Cambria Math"/>
                      <w:i/>
                    </w:rPr>
                  </m:ctrlPr>
                </m:sSubPr>
                <m:e>
                  <m:r>
                    <w:rPr>
                      <w:rFonts w:ascii="Cambria Math" w:hAnsi="Cambria Math"/>
                    </w:rPr>
                    <m:t>SAIDI</m:t>
                  </m:r>
                </m:e>
                <m:sub>
                  <m:r>
                    <w:rPr>
                      <w:rFonts w:ascii="Cambria Math" w:hAnsi="Cambria Math"/>
                    </w:rPr>
                    <m:t>j,t-1</m:t>
                  </m:r>
                </m:sub>
              </m:sSub>
              <m:r>
                <w:rPr>
                  <w:rFonts w:ascii="Cambria Math" w:hAnsi="Cambria Math"/>
                </w:rPr>
                <m:t xml:space="preserve"> , 2*</m:t>
              </m:r>
              <m:sSub>
                <m:sSubPr>
                  <m:ctrlPr>
                    <w:rPr>
                      <w:rFonts w:ascii="Cambria Math" w:hAnsi="Cambria Math"/>
                      <w:i/>
                    </w:rPr>
                  </m:ctrlPr>
                </m:sSubPr>
                <m:e>
                  <m:r>
                    <w:rPr>
                      <w:rFonts w:ascii="Cambria Math" w:hAnsi="Cambria Math"/>
                    </w:rPr>
                    <m:t>SAIDI_R</m:t>
                  </m:r>
                </m:e>
                <m:sub>
                  <m:r>
                    <w:rPr>
                      <w:rFonts w:ascii="Cambria Math" w:hAnsi="Cambria Math"/>
                    </w:rPr>
                    <m:t>j</m:t>
                  </m:r>
                </m:sub>
              </m:sSub>
              <m:r>
                <w:rPr>
                  <w:rFonts w:ascii="Cambria Math" w:hAnsi="Cambria Math"/>
                </w:rPr>
                <m:t>-2*SAIDI_LP</m:t>
              </m:r>
            </m:e>
          </m:d>
        </m:oMath>
      </m:oMathPara>
    </w:p>
    <w:p w:rsidR="00407449" w:rsidRPr="004E6CFC" w:rsidRDefault="00C9592F" w:rsidP="00407449">
      <m:oMathPara>
        <m:oMath>
          <m:sSub>
            <m:sSubPr>
              <m:ctrlPr>
                <w:rPr>
                  <w:rFonts w:ascii="Cambria Math" w:hAnsi="Cambria Math"/>
                  <w:i/>
                </w:rPr>
              </m:ctrlPr>
            </m:sSubPr>
            <m:e>
              <m:r>
                <w:rPr>
                  <w:rFonts w:ascii="Cambria Math" w:hAnsi="Cambria Math"/>
                </w:rPr>
                <m:t>Ivs_SAIDImax</m:t>
              </m:r>
            </m:e>
            <m:sub>
              <m:r>
                <w:rPr>
                  <w:rFonts w:ascii="Cambria Math" w:hAnsi="Cambria Math"/>
                </w:rPr>
                <m:t>j,t</m:t>
              </m:r>
            </m:sub>
          </m:sSub>
          <m:r>
            <w:rPr>
              <w:rFonts w:ascii="Cambria Math" w:hAnsi="Cambria Math"/>
            </w:rPr>
            <m:t>=0,04*máx</m:t>
          </m:r>
          <m:d>
            <m:dPr>
              <m:ctrlPr>
                <w:rPr>
                  <w:rFonts w:ascii="Cambria Math" w:hAnsi="Cambria Math"/>
                  <w:i/>
                </w:rPr>
              </m:ctrlPr>
            </m:dPr>
            <m:e>
              <m:r>
                <w:rPr>
                  <w:rFonts w:ascii="Cambria Math" w:hAnsi="Cambria Math"/>
                </w:rPr>
                <m:t>0,04*</m:t>
              </m:r>
              <m:nary>
                <m:naryPr>
                  <m:chr m:val="∑"/>
                  <m:limLoc m:val="undOvr"/>
                  <m:ctrlPr>
                    <w:rPr>
                      <w:rFonts w:ascii="Cambria Math" w:hAnsi="Cambria Math"/>
                      <w:i/>
                    </w:rPr>
                  </m:ctrlPr>
                </m:naryPr>
                <m:sub>
                  <m:r>
                    <w:rPr>
                      <w:rFonts w:ascii="Cambria Math" w:hAnsi="Cambria Math"/>
                    </w:rPr>
                    <m:t>n=1</m:t>
                  </m:r>
                </m:sub>
                <m:sup>
                  <m:r>
                    <w:rPr>
                      <w:rFonts w:ascii="Cambria Math" w:hAnsi="Cambria Math"/>
                    </w:rPr>
                    <m:t>3</m:t>
                  </m:r>
                </m:sup>
                <m:e>
                  <m:sSub>
                    <m:sSubPr>
                      <m:ctrlPr>
                        <w:rPr>
                          <w:rFonts w:ascii="Cambria Math" w:hAnsi="Cambria Math"/>
                          <w:i/>
                        </w:rPr>
                      </m:ctrlPr>
                    </m:sSubPr>
                    <m:e>
                      <m:r>
                        <w:rPr>
                          <w:rFonts w:ascii="Cambria Math" w:hAnsi="Cambria Math"/>
                        </w:rPr>
                        <m:t>Crr</m:t>
                      </m:r>
                    </m:e>
                    <m:sub>
                      <m:r>
                        <w:rPr>
                          <w:rFonts w:ascii="Cambria Math" w:hAnsi="Cambria Math"/>
                        </w:rPr>
                        <m:t>j,n</m:t>
                      </m:r>
                    </m:sub>
                  </m:sSub>
                </m:e>
              </m:nary>
              <m:r>
                <w:rPr>
                  <w:rFonts w:ascii="Cambria Math" w:hAnsi="Cambria Math"/>
                </w:rPr>
                <m:t xml:space="preserve"> ,</m:t>
              </m:r>
              <m:nary>
                <m:naryPr>
                  <m:chr m:val="∑"/>
                  <m:limLoc m:val="undOvr"/>
                  <m:ctrlPr>
                    <w:rPr>
                      <w:rFonts w:ascii="Cambria Math" w:hAnsi="Cambria Math"/>
                      <w:i/>
                    </w:rPr>
                  </m:ctrlPr>
                </m:naryPr>
                <m:sub>
                  <m:r>
                    <w:rPr>
                      <w:rFonts w:ascii="Cambria Math" w:hAnsi="Cambria Math"/>
                    </w:rPr>
                    <m:t>n=1</m:t>
                  </m:r>
                </m:sub>
                <m:sup>
                  <m:r>
                    <w:rPr>
                      <w:rFonts w:ascii="Cambria Math" w:hAnsi="Cambria Math"/>
                    </w:rPr>
                    <m:t>3</m:t>
                  </m:r>
                </m:sup>
                <m:e>
                  <m:sSub>
                    <m:sSubPr>
                      <m:ctrlPr>
                        <w:rPr>
                          <w:rFonts w:ascii="Cambria Math" w:hAnsi="Cambria Math"/>
                          <w:i/>
                        </w:rPr>
                      </m:ctrlPr>
                    </m:sSubPr>
                    <m:e>
                      <m:r>
                        <w:rPr>
                          <w:rFonts w:ascii="Cambria Math" w:hAnsi="Cambria Math"/>
                        </w:rPr>
                        <m:t>BRAEN</m:t>
                      </m:r>
                    </m:e>
                    <m:sub>
                      <m:r>
                        <w:rPr>
                          <w:rFonts w:ascii="Cambria Math" w:hAnsi="Cambria Math"/>
                        </w:rPr>
                        <m:t>j</m:t>
                      </m:r>
                      <m:r>
                        <w:rPr>
                          <w:rFonts w:ascii="Cambria Math"/>
                        </w:rPr>
                        <m:t>,</m:t>
                      </m:r>
                      <m:r>
                        <w:rPr>
                          <w:rFonts w:ascii="Cambria Math" w:hAnsi="Cambria Math"/>
                        </w:rPr>
                        <m:t>n,t-1</m:t>
                      </m:r>
                    </m:sub>
                  </m:sSub>
                </m:e>
              </m:nary>
            </m:e>
          </m:d>
        </m:oMath>
      </m:oMathPara>
    </w:p>
    <w:p w:rsidR="00407449" w:rsidRPr="004E6CFC" w:rsidRDefault="00407449" w:rsidP="008B04A9">
      <w:pPr>
        <w:keepNext/>
      </w:pPr>
      <w:r w:rsidRPr="004E6CFC">
        <w:lastRenderedPageBreak/>
        <w:t>Donde:</w:t>
      </w:r>
    </w:p>
    <w:p w:rsidR="00407449" w:rsidRPr="004E6CFC" w:rsidRDefault="00407449" w:rsidP="00407449">
      <w:pPr>
        <w:ind w:left="2124" w:hanging="2124"/>
      </w:pPr>
      <w:r w:rsidRPr="004E6CFC">
        <w:rPr>
          <w:i/>
        </w:rPr>
        <w:t>SAIDI_M</w:t>
      </w:r>
      <w:r w:rsidRPr="004E6CFC">
        <w:rPr>
          <w:i/>
          <w:vertAlign w:val="subscript"/>
        </w:rPr>
        <w:t>j,t-1</w:t>
      </w:r>
      <w:r w:rsidRPr="004E6CFC">
        <w:t>:</w:t>
      </w:r>
      <w:r w:rsidRPr="004E6CFC">
        <w:tab/>
        <w:t xml:space="preserve">Meta de duración de los eventos para el OR </w:t>
      </w:r>
      <w:r w:rsidRPr="004E6CFC">
        <w:rPr>
          <w:i/>
        </w:rPr>
        <w:t>j</w:t>
      </w:r>
      <w:r w:rsidRPr="004E6CFC">
        <w:t xml:space="preserve">, para el año </w:t>
      </w:r>
      <w:r w:rsidRPr="004E6CFC">
        <w:rPr>
          <w:i/>
        </w:rPr>
        <w:t>t-1</w:t>
      </w:r>
      <w:r w:rsidRPr="004E6CFC">
        <w:t>.</w:t>
      </w:r>
    </w:p>
    <w:p w:rsidR="00407449" w:rsidRPr="004E6CFC" w:rsidRDefault="00407449" w:rsidP="00407449">
      <w:pPr>
        <w:ind w:left="2124" w:hanging="2124"/>
      </w:pPr>
      <w:r w:rsidRPr="004E6CFC">
        <w:rPr>
          <w:i/>
        </w:rPr>
        <w:t>SAIDI_CS</w:t>
      </w:r>
      <w:r w:rsidRPr="004E6CFC">
        <w:rPr>
          <w:i/>
          <w:vertAlign w:val="subscript"/>
        </w:rPr>
        <w:t>j,t-1</w:t>
      </w:r>
      <w:r w:rsidRPr="004E6CFC">
        <w:t>:</w:t>
      </w:r>
      <w:r w:rsidRPr="004E6CFC">
        <w:tab/>
        <w:t>Valor del indicador de duración de eventos utilizado para calcular y limitar el valor del incentivo, cuando el</w:t>
      </w:r>
      <w:r w:rsidRPr="004E6CFC">
        <w:rPr>
          <w:i/>
        </w:rPr>
        <w:t xml:space="preserve"> SAIDI</w:t>
      </w:r>
      <w:r w:rsidRPr="004E6CFC">
        <w:rPr>
          <w:i/>
          <w:vertAlign w:val="subscript"/>
        </w:rPr>
        <w:t>j,t</w:t>
      </w:r>
      <w:r w:rsidRPr="004E6CFC">
        <w:rPr>
          <w:i/>
          <w:vertAlign w:val="subscript"/>
        </w:rPr>
        <w:noBreakHyphen/>
        <w:t>1</w:t>
      </w:r>
      <w:r w:rsidRPr="004E6CFC">
        <w:t xml:space="preserve"> es mayor que el límite superior de la banda de indiferencia.</w:t>
      </w:r>
    </w:p>
    <w:p w:rsidR="00407449" w:rsidRPr="004E6CFC" w:rsidRDefault="00407449" w:rsidP="00407449">
      <w:pPr>
        <w:ind w:left="2124" w:hanging="2124"/>
      </w:pPr>
      <w:r w:rsidRPr="004E6CFC">
        <w:rPr>
          <w:i/>
        </w:rPr>
        <w:t>SAIDI_R</w:t>
      </w:r>
      <w:r w:rsidRPr="004E6CFC">
        <w:rPr>
          <w:i/>
          <w:vertAlign w:val="subscript"/>
        </w:rPr>
        <w:t>j</w:t>
      </w:r>
      <w:r w:rsidRPr="004E6CFC">
        <w:t>:</w:t>
      </w:r>
      <w:r w:rsidRPr="004E6CFC">
        <w:tab/>
        <w:t xml:space="preserve">Indicador de duración de referencia de los eventos, en horas al año, de que trata el numeral </w:t>
      </w:r>
      <w:r w:rsidRPr="004E6CFC">
        <w:fldChar w:fldCharType="begin"/>
      </w:r>
      <w:r w:rsidRPr="004E6CFC">
        <w:instrText xml:space="preserve"> REF _Ref476815612 \r \h  \* MERGEFORMAT </w:instrText>
      </w:r>
      <w:r w:rsidRPr="004E6CFC">
        <w:fldChar w:fldCharType="separate"/>
      </w:r>
      <w:r w:rsidR="00737178">
        <w:t>5.2.5</w:t>
      </w:r>
      <w:r w:rsidRPr="004E6CFC">
        <w:fldChar w:fldCharType="end"/>
      </w:r>
      <w:r w:rsidRPr="004E6CFC">
        <w:t>.</w:t>
      </w:r>
    </w:p>
    <w:p w:rsidR="00407449" w:rsidRPr="004E6CFC" w:rsidRDefault="00407449" w:rsidP="00407449">
      <w:pPr>
        <w:ind w:left="2124" w:hanging="2124"/>
      </w:pPr>
      <w:r w:rsidRPr="004E6CFC">
        <w:rPr>
          <w:i/>
        </w:rPr>
        <w:t>SAIDI_LP:</w:t>
      </w:r>
      <w:r w:rsidRPr="004E6CFC">
        <w:tab/>
        <w:t xml:space="preserve">Meta de largo plazo para el indicador de duración de los eventos, fijada en 2 horas/año. </w:t>
      </w:r>
    </w:p>
    <w:p w:rsidR="00407449" w:rsidRPr="004E6CFC" w:rsidRDefault="00407449" w:rsidP="00407449">
      <w:pPr>
        <w:ind w:left="2124" w:hanging="2124"/>
      </w:pPr>
      <w:r w:rsidRPr="004E6CFC">
        <w:rPr>
          <w:i/>
        </w:rPr>
        <w:t>SAIDI</w:t>
      </w:r>
      <w:r w:rsidRPr="004E6CFC">
        <w:rPr>
          <w:i/>
          <w:vertAlign w:val="subscript"/>
        </w:rPr>
        <w:t>j,t-1</w:t>
      </w:r>
      <w:r w:rsidRPr="004E6CFC">
        <w:t>:</w:t>
      </w:r>
      <w:r w:rsidRPr="004E6CFC">
        <w:tab/>
        <w:t xml:space="preserve">Indicador de duración de los eventos alcanzado por el OR </w:t>
      </w:r>
      <w:r w:rsidRPr="004E6CFC">
        <w:rPr>
          <w:i/>
        </w:rPr>
        <w:t>j</w:t>
      </w:r>
      <w:r w:rsidRPr="004E6CFC">
        <w:t xml:space="preserve"> en el año </w:t>
      </w:r>
      <w:r w:rsidRPr="004E6CFC">
        <w:rPr>
          <w:i/>
        </w:rPr>
        <w:t>t-1</w:t>
      </w:r>
      <w:r w:rsidRPr="00E72A52">
        <w:t>,</w:t>
      </w:r>
      <w:r>
        <w:rPr>
          <w:i/>
        </w:rPr>
        <w:t xml:space="preserve"> </w:t>
      </w:r>
      <w:r w:rsidRPr="0038284D">
        <w:t xml:space="preserve">calculado con base en lo establecido en el numeral </w:t>
      </w:r>
      <w:r w:rsidRPr="0038284D">
        <w:fldChar w:fldCharType="begin"/>
      </w:r>
      <w:r w:rsidRPr="0038284D">
        <w:instrText xml:space="preserve"> REF _Ref460922977 \r \h </w:instrText>
      </w:r>
      <w:r>
        <w:instrText xml:space="preserve"> \* MERGEFORMAT </w:instrText>
      </w:r>
      <w:r w:rsidRPr="0038284D">
        <w:fldChar w:fldCharType="separate"/>
      </w:r>
      <w:r w:rsidR="00737178">
        <w:t>5.2.3.1</w:t>
      </w:r>
      <w:r w:rsidRPr="0038284D">
        <w:fldChar w:fldCharType="end"/>
      </w:r>
      <w:r w:rsidRPr="004E6CFC">
        <w:t>.</w:t>
      </w:r>
    </w:p>
    <w:p w:rsidR="00407449" w:rsidRDefault="00407449" w:rsidP="00407449">
      <w:pPr>
        <w:ind w:left="2124" w:hanging="2124"/>
      </w:pPr>
      <w:r w:rsidRPr="004E6CFC">
        <w:rPr>
          <w:i/>
        </w:rPr>
        <w:t>Ivs_SAIDI max</w:t>
      </w:r>
      <w:r w:rsidRPr="004E6CFC">
        <w:rPr>
          <w:i/>
          <w:vertAlign w:val="subscript"/>
        </w:rPr>
        <w:t>j,t</w:t>
      </w:r>
      <w:r w:rsidRPr="004E6CFC">
        <w:rPr>
          <w:i/>
        </w:rPr>
        <w:t>:</w:t>
      </w:r>
      <w:r w:rsidRPr="004E6CFC">
        <w:rPr>
          <w:i/>
        </w:rPr>
        <w:tab/>
      </w:r>
      <w:r w:rsidRPr="004E6CFC">
        <w:t xml:space="preserve">Incentivo variable máximo con respecto al indicador de duración de los eventos, para el OR </w:t>
      </w:r>
      <w:r w:rsidRPr="004E6CFC">
        <w:rPr>
          <w:i/>
        </w:rPr>
        <w:t>j</w:t>
      </w:r>
      <w:r w:rsidRPr="004E6CFC">
        <w:t xml:space="preserve">, en el año </w:t>
      </w:r>
      <w:r w:rsidRPr="004E6CFC">
        <w:rPr>
          <w:i/>
        </w:rPr>
        <w:t>t</w:t>
      </w:r>
      <w:r w:rsidRPr="004E6CFC">
        <w:t xml:space="preserve">, cuando el </w:t>
      </w:r>
      <w:r w:rsidRPr="004E6CFC">
        <w:rPr>
          <w:i/>
        </w:rPr>
        <w:t>SAIDI</w:t>
      </w:r>
      <w:r w:rsidRPr="004E6CFC">
        <w:rPr>
          <w:i/>
          <w:vertAlign w:val="subscript"/>
        </w:rPr>
        <w:t xml:space="preserve">j,t-1 </w:t>
      </w:r>
      <w:r w:rsidRPr="004E6CFC">
        <w:t>es mayor que el límite superior de la banda de indiferencia.</w:t>
      </w:r>
    </w:p>
    <w:p w:rsidR="00407449" w:rsidRPr="003A16CB" w:rsidRDefault="00407449" w:rsidP="00407449">
      <w:pPr>
        <w:ind w:left="2124" w:hanging="2124"/>
        <w:rPr>
          <w:i/>
          <w:iCs/>
        </w:rPr>
      </w:pPr>
      <w:r w:rsidRPr="004E6CFC">
        <w:rPr>
          <w:i/>
          <w:iCs/>
        </w:rPr>
        <w:t>Crr</w:t>
      </w:r>
      <w:r w:rsidRPr="00C354C5">
        <w:rPr>
          <w:i/>
          <w:iCs/>
          <w:vertAlign w:val="subscript"/>
        </w:rPr>
        <w:t>j,n</w:t>
      </w:r>
      <w:r w:rsidRPr="003A16CB">
        <w:rPr>
          <w:i/>
          <w:iCs/>
        </w:rPr>
        <w:t>:</w:t>
      </w:r>
      <w:r w:rsidRPr="003A16CB">
        <w:rPr>
          <w:i/>
          <w:iCs/>
        </w:rPr>
        <w:tab/>
      </w:r>
      <w:r w:rsidRPr="00576D33">
        <w:rPr>
          <w:iCs/>
        </w:rPr>
        <w:t xml:space="preserve">Costo de reposición de referencia del OR </w:t>
      </w:r>
      <w:r w:rsidRPr="00576D33">
        <w:rPr>
          <w:i/>
          <w:iCs/>
        </w:rPr>
        <w:t>j</w:t>
      </w:r>
      <w:r w:rsidRPr="00576D33">
        <w:rPr>
          <w:iCs/>
        </w:rPr>
        <w:t xml:space="preserve"> en el nivel de tensión </w:t>
      </w:r>
      <w:r w:rsidRPr="00576D33">
        <w:rPr>
          <w:i/>
          <w:iCs/>
        </w:rPr>
        <w:t>n</w:t>
      </w:r>
      <w:r w:rsidRPr="003A16CB">
        <w:rPr>
          <w:iCs/>
        </w:rPr>
        <w:t xml:space="preserve"> </w:t>
      </w:r>
      <w:r w:rsidRPr="00576D33">
        <w:rPr>
          <w:iCs/>
        </w:rPr>
        <w:t xml:space="preserve">al inicio del periodo tarifario, de que trata el numeral </w:t>
      </w:r>
      <w:r w:rsidRPr="00576D33">
        <w:rPr>
          <w:iCs/>
        </w:rPr>
        <w:fldChar w:fldCharType="begin"/>
      </w:r>
      <w:r w:rsidRPr="003A16CB">
        <w:rPr>
          <w:iCs/>
        </w:rPr>
        <w:instrText xml:space="preserve"> REF _Ref461013047 \r \h  \* MERGEFORMAT </w:instrText>
      </w:r>
      <w:r w:rsidRPr="00576D33">
        <w:rPr>
          <w:iCs/>
        </w:rPr>
      </w:r>
      <w:r w:rsidRPr="00576D33">
        <w:rPr>
          <w:iCs/>
        </w:rPr>
        <w:fldChar w:fldCharType="separate"/>
      </w:r>
      <w:r w:rsidR="00737178">
        <w:rPr>
          <w:iCs/>
        </w:rPr>
        <w:t>6.4.2</w:t>
      </w:r>
      <w:r w:rsidRPr="00576D33">
        <w:rPr>
          <w:iCs/>
        </w:rPr>
        <w:fldChar w:fldCharType="end"/>
      </w:r>
      <w:r w:rsidRPr="00576D33">
        <w:rPr>
          <w:iCs/>
        </w:rPr>
        <w:t>.</w:t>
      </w:r>
    </w:p>
    <w:p w:rsidR="00407449" w:rsidRPr="004E6CFC" w:rsidRDefault="00407449" w:rsidP="00407449">
      <w:pPr>
        <w:ind w:left="2124" w:hanging="2124"/>
        <w:rPr>
          <w:iCs/>
        </w:rPr>
      </w:pPr>
      <w:r w:rsidRPr="004E6CFC">
        <w:rPr>
          <w:i/>
          <w:iCs/>
        </w:rPr>
        <w:t>BRAEN</w:t>
      </w:r>
      <w:r w:rsidRPr="004E6CFC">
        <w:rPr>
          <w:i/>
          <w:iCs/>
          <w:vertAlign w:val="subscript"/>
        </w:rPr>
        <w:t>j,n,t.-1</w:t>
      </w:r>
      <w:r w:rsidRPr="004E6CFC">
        <w:rPr>
          <w:iCs/>
        </w:rPr>
        <w:t>:</w:t>
      </w:r>
      <w:r w:rsidRPr="004E6CFC">
        <w:rPr>
          <w:iCs/>
        </w:rPr>
        <w:tab/>
        <w:t xml:space="preserve">Base regulatoria de activos eléctricos nuevos del OR </w:t>
      </w:r>
      <w:r w:rsidRPr="004E6CFC">
        <w:rPr>
          <w:i/>
          <w:iCs/>
        </w:rPr>
        <w:t>j</w:t>
      </w:r>
      <w:r w:rsidRPr="004E6CFC">
        <w:rPr>
          <w:iCs/>
        </w:rPr>
        <w:t xml:space="preserve"> en el nivel de tensión </w:t>
      </w:r>
      <w:r w:rsidRPr="004E6CFC">
        <w:rPr>
          <w:i/>
          <w:iCs/>
        </w:rPr>
        <w:t>n</w:t>
      </w:r>
      <w:r w:rsidRPr="004E6CFC">
        <w:rPr>
          <w:iCs/>
        </w:rPr>
        <w:t xml:space="preserve"> para el año </w:t>
      </w:r>
      <w:r w:rsidRPr="004E6CFC">
        <w:rPr>
          <w:i/>
          <w:iCs/>
        </w:rPr>
        <w:t>t-1</w:t>
      </w:r>
      <w:r w:rsidRPr="004E6CFC">
        <w:rPr>
          <w:iCs/>
        </w:rPr>
        <w:t xml:space="preserve">, calculada de acuerdo con lo previsto en el numeral </w:t>
      </w:r>
      <w:r w:rsidRPr="004E6CFC">
        <w:rPr>
          <w:iCs/>
        </w:rPr>
        <w:fldChar w:fldCharType="begin"/>
      </w:r>
      <w:r w:rsidRPr="004E6CFC">
        <w:rPr>
          <w:iCs/>
        </w:rPr>
        <w:instrText xml:space="preserve"> REF _Ref445134276 \r \h  \* MERGEFORMAT </w:instrText>
      </w:r>
      <w:r w:rsidRPr="004E6CFC">
        <w:rPr>
          <w:iCs/>
        </w:rPr>
      </w:r>
      <w:r w:rsidRPr="004E6CFC">
        <w:rPr>
          <w:iCs/>
        </w:rPr>
        <w:fldChar w:fldCharType="separate"/>
      </w:r>
      <w:r w:rsidR="00737178" w:rsidRPr="00737178">
        <w:rPr>
          <w:bCs/>
          <w:iCs/>
        </w:rPr>
        <w:t>3.1.1.2</w:t>
      </w:r>
      <w:r w:rsidRPr="004E6CFC">
        <w:rPr>
          <w:iCs/>
        </w:rPr>
        <w:fldChar w:fldCharType="end"/>
      </w:r>
      <w:r w:rsidRPr="004E6CFC">
        <w:rPr>
          <w:iCs/>
        </w:rPr>
        <w:t>.</w:t>
      </w:r>
    </w:p>
    <w:p w:rsidR="00407449" w:rsidRPr="004E6CFC" w:rsidRDefault="00407449" w:rsidP="00407449">
      <w:pPr>
        <w:pStyle w:val="Ttulo6"/>
        <w:ind w:left="1152" w:hanging="1152"/>
      </w:pPr>
      <w:bookmarkStart w:id="519" w:name="_Ref406491644"/>
      <w:bookmarkStart w:id="520" w:name="_Ref444788302"/>
      <w:r w:rsidRPr="004E6CFC">
        <w:t>Incentivo por indicador de frecuencia</w:t>
      </w:r>
      <w:bookmarkEnd w:id="519"/>
      <w:bookmarkEnd w:id="520"/>
    </w:p>
    <w:p w:rsidR="00407449" w:rsidRPr="004E6CFC" w:rsidRDefault="00C9592F" w:rsidP="00407449">
      <m:oMathPara>
        <m:oMath>
          <m:sSub>
            <m:sSubPr>
              <m:ctrlPr>
                <w:rPr>
                  <w:rFonts w:ascii="Cambria Math" w:hAnsi="Cambria Math"/>
                  <w:i/>
                </w:rPr>
              </m:ctrlPr>
            </m:sSubPr>
            <m:e>
              <m:r>
                <w:rPr>
                  <w:rFonts w:ascii="Cambria Math" w:hAnsi="Cambria Math"/>
                </w:rPr>
                <m:t>IC_SAIFI</m:t>
              </m:r>
            </m:e>
            <m:sub>
              <m:r>
                <w:rPr>
                  <w:rFonts w:ascii="Cambria Math" w:hAnsi="Cambria Math"/>
                </w:rPr>
                <m:t>j,t</m:t>
              </m:r>
            </m:sub>
          </m:sSub>
          <m:r>
            <w:rPr>
              <w:rFonts w:ascii="Cambria Math" w:hAnsi="Cambria Math"/>
            </w:rPr>
            <m:t>=</m:t>
          </m:r>
          <m:sSub>
            <m:sSubPr>
              <m:ctrlPr>
                <w:rPr>
                  <w:rFonts w:ascii="Cambria Math" w:hAnsi="Cambria Math"/>
                  <w:i/>
                </w:rPr>
              </m:ctrlPr>
            </m:sSubPr>
            <m:e>
              <m:r>
                <w:rPr>
                  <w:rFonts w:ascii="Cambria Math" w:hAnsi="Cambria Math"/>
                </w:rPr>
                <m:t>If_SAIFI</m:t>
              </m:r>
            </m:e>
            <m:sub>
              <m:r>
                <w:rPr>
                  <w:rFonts w:ascii="Cambria Math" w:hAnsi="Cambria Math"/>
                </w:rPr>
                <m:t>j,t</m:t>
              </m:r>
            </m:sub>
          </m:sSub>
          <m:r>
            <w:rPr>
              <w:rFonts w:ascii="Cambria Math" w:hAnsi="Cambria Math"/>
            </w:rPr>
            <m:t>+</m:t>
          </m:r>
          <m:sSub>
            <m:sSubPr>
              <m:ctrlPr>
                <w:rPr>
                  <w:rFonts w:ascii="Cambria Math" w:hAnsi="Cambria Math"/>
                  <w:i/>
                </w:rPr>
              </m:ctrlPr>
            </m:sSubPr>
            <m:e>
              <m:r>
                <w:rPr>
                  <w:rFonts w:ascii="Cambria Math" w:hAnsi="Cambria Math"/>
                </w:rPr>
                <m:t>Iv_SAIFI</m:t>
              </m:r>
            </m:e>
            <m:sub>
              <m:r>
                <w:rPr>
                  <w:rFonts w:ascii="Cambria Math" w:hAnsi="Cambria Math"/>
                </w:rPr>
                <m:t>j,t</m:t>
              </m:r>
            </m:sub>
          </m:sSub>
        </m:oMath>
      </m:oMathPara>
    </w:p>
    <w:p w:rsidR="00407449" w:rsidRPr="004E6CFC" w:rsidRDefault="00407449" w:rsidP="00407449">
      <w:r w:rsidRPr="004E6CFC">
        <w:t>Donde:</w:t>
      </w:r>
    </w:p>
    <w:p w:rsidR="00407449" w:rsidRPr="004E6CFC" w:rsidRDefault="00407449" w:rsidP="00407449">
      <w:pPr>
        <w:ind w:left="1416" w:hanging="1416"/>
      </w:pPr>
      <w:r w:rsidRPr="004E6CFC">
        <w:rPr>
          <w:i/>
        </w:rPr>
        <w:t>IC_SAIFI</w:t>
      </w:r>
      <w:r w:rsidRPr="004E6CFC">
        <w:rPr>
          <w:i/>
          <w:vertAlign w:val="subscript"/>
        </w:rPr>
        <w:t>j,t</w:t>
      </w:r>
      <w:r w:rsidRPr="004E6CFC">
        <w:rPr>
          <w:i/>
        </w:rPr>
        <w:t>:</w:t>
      </w:r>
      <w:r w:rsidRPr="004E6CFC">
        <w:tab/>
        <w:t>Incentivo de calidad</w:t>
      </w:r>
      <w:r>
        <w:t xml:space="preserve"> </w:t>
      </w:r>
      <w:r w:rsidRPr="004E6CFC">
        <w:t xml:space="preserve">por </w:t>
      </w:r>
      <w:r>
        <w:t>frecuencia de eventos,</w:t>
      </w:r>
      <w:r w:rsidRPr="004E6CFC">
        <w:t xml:space="preserve"> aplicable al OR </w:t>
      </w:r>
      <w:r w:rsidRPr="004E6CFC">
        <w:rPr>
          <w:i/>
        </w:rPr>
        <w:t>j</w:t>
      </w:r>
      <w:r>
        <w:rPr>
          <w:i/>
        </w:rPr>
        <w:t>,</w:t>
      </w:r>
      <w:r w:rsidRPr="004E6CFC">
        <w:t xml:space="preserve"> durante el año </w:t>
      </w:r>
      <w:r w:rsidRPr="004E6CFC">
        <w:rPr>
          <w:i/>
        </w:rPr>
        <w:t>t</w:t>
      </w:r>
      <w:r w:rsidRPr="004E6CFC">
        <w:t xml:space="preserve"> del periodo tarifario.</w:t>
      </w:r>
    </w:p>
    <w:p w:rsidR="00407449" w:rsidRPr="004E6CFC" w:rsidRDefault="00407449" w:rsidP="00407449">
      <w:pPr>
        <w:ind w:left="1416" w:hanging="1416"/>
      </w:pPr>
      <w:r w:rsidRPr="004E6CFC">
        <w:rPr>
          <w:i/>
        </w:rPr>
        <w:t>If_SAIFI</w:t>
      </w:r>
      <w:r w:rsidRPr="004E6CFC">
        <w:rPr>
          <w:i/>
          <w:vertAlign w:val="subscript"/>
        </w:rPr>
        <w:t>j,t</w:t>
      </w:r>
      <w:r w:rsidRPr="004E6CFC">
        <w:rPr>
          <w:i/>
        </w:rPr>
        <w:t>:</w:t>
      </w:r>
      <w:r w:rsidRPr="004E6CFC">
        <w:tab/>
        <w:t xml:space="preserve">Incentivo fijo por </w:t>
      </w:r>
      <w:r>
        <w:t>frecuencia de eventos,</w:t>
      </w:r>
      <w:r w:rsidRPr="004E6CFC">
        <w:t xml:space="preserve"> que obtiene el OR </w:t>
      </w:r>
      <w:r w:rsidRPr="004E6CFC">
        <w:rPr>
          <w:i/>
        </w:rPr>
        <w:t>j</w:t>
      </w:r>
      <w:r>
        <w:rPr>
          <w:i/>
        </w:rPr>
        <w:t>,</w:t>
      </w:r>
      <w:r w:rsidRPr="004E6CFC">
        <w:rPr>
          <w:i/>
        </w:rPr>
        <w:t xml:space="preserve"> </w:t>
      </w:r>
      <w:r w:rsidRPr="004E6CFC">
        <w:t xml:space="preserve">durante el año </w:t>
      </w:r>
      <w:r w:rsidRPr="004E6CFC">
        <w:rPr>
          <w:i/>
        </w:rPr>
        <w:t>t</w:t>
      </w:r>
      <w:r w:rsidRPr="004E6CFC">
        <w:t xml:space="preserve"> del periodo tarifario.</w:t>
      </w:r>
    </w:p>
    <w:p w:rsidR="00407449" w:rsidRPr="004E6CFC" w:rsidRDefault="00407449" w:rsidP="00407449">
      <w:pPr>
        <w:ind w:left="1416" w:hanging="1416"/>
      </w:pPr>
      <w:r w:rsidRPr="004E6CFC">
        <w:rPr>
          <w:i/>
        </w:rPr>
        <w:t>Iv_SAIFI</w:t>
      </w:r>
      <w:r w:rsidRPr="004E6CFC">
        <w:rPr>
          <w:i/>
          <w:vertAlign w:val="subscript"/>
        </w:rPr>
        <w:t>j,t</w:t>
      </w:r>
      <w:r w:rsidRPr="004E6CFC">
        <w:rPr>
          <w:i/>
        </w:rPr>
        <w:t>:</w:t>
      </w:r>
      <w:r w:rsidRPr="004E6CFC">
        <w:tab/>
        <w:t>Incentivo variable</w:t>
      </w:r>
      <w:r>
        <w:t xml:space="preserve"> </w:t>
      </w:r>
      <w:r w:rsidRPr="004E6CFC">
        <w:t xml:space="preserve">por </w:t>
      </w:r>
      <w:r>
        <w:t>frecuencia de eventos,</w:t>
      </w:r>
      <w:r w:rsidRPr="004E6CFC">
        <w:t xml:space="preserve"> que obtiene el OR </w:t>
      </w:r>
      <w:r w:rsidRPr="004E6CFC">
        <w:rPr>
          <w:i/>
        </w:rPr>
        <w:t>j</w:t>
      </w:r>
      <w:r>
        <w:rPr>
          <w:i/>
        </w:rPr>
        <w:t>,</w:t>
      </w:r>
      <w:r w:rsidRPr="004E6CFC">
        <w:rPr>
          <w:i/>
        </w:rPr>
        <w:t xml:space="preserve"> </w:t>
      </w:r>
      <w:r w:rsidRPr="004E6CFC">
        <w:t xml:space="preserve">durante el año </w:t>
      </w:r>
      <w:r w:rsidRPr="004E6CFC">
        <w:rPr>
          <w:i/>
        </w:rPr>
        <w:t>t</w:t>
      </w:r>
      <w:r w:rsidRPr="004E6CFC">
        <w:t xml:space="preserve"> del periodo tarifario.</w:t>
      </w:r>
    </w:p>
    <w:p w:rsidR="00407449" w:rsidRPr="004E6CFC" w:rsidRDefault="00407449" w:rsidP="00407449">
      <w:r w:rsidRPr="004E6CFC">
        <w:t xml:space="preserve">Para determinar el valor del incentivo fijo, </w:t>
      </w:r>
      <w:r w:rsidRPr="004E6CFC">
        <w:rPr>
          <w:i/>
        </w:rPr>
        <w:t>If_SAIFI</w:t>
      </w:r>
      <w:r w:rsidRPr="004E6CFC">
        <w:rPr>
          <w:i/>
          <w:vertAlign w:val="subscript"/>
        </w:rPr>
        <w:t>j,t</w:t>
      </w:r>
      <w:r w:rsidRPr="004E6CFC">
        <w:t>, se debe</w:t>
      </w:r>
      <w:r>
        <w:t xml:space="preserve"> utilizar el indicador de calidad </w:t>
      </w:r>
      <w:r>
        <w:rPr>
          <w:i/>
        </w:rPr>
        <w:t>SAIF</w:t>
      </w:r>
      <w:r w:rsidRPr="004E6CFC">
        <w:rPr>
          <w:i/>
        </w:rPr>
        <w:t>I</w:t>
      </w:r>
      <w:r w:rsidRPr="004E6CFC">
        <w:rPr>
          <w:i/>
          <w:vertAlign w:val="subscript"/>
        </w:rPr>
        <w:t>j,t-1</w:t>
      </w:r>
      <w:r>
        <w:t xml:space="preserve"> y</w:t>
      </w:r>
      <w:r w:rsidRPr="004E6CFC">
        <w:t xml:space="preserve"> tener en cuenta lo siguiente:</w:t>
      </w:r>
    </w:p>
    <w:p w:rsidR="00407449" w:rsidRPr="004E6CFC" w:rsidRDefault="00407449" w:rsidP="009C086B">
      <w:pPr>
        <w:pStyle w:val="Prrafodelista"/>
        <w:numPr>
          <w:ilvl w:val="0"/>
          <w:numId w:val="54"/>
        </w:numPr>
      </w:pPr>
      <w:r w:rsidRPr="004E6CFC">
        <w:t xml:space="preserve">Si el </w:t>
      </w:r>
      <w:r w:rsidRPr="004E6CFC">
        <w:rPr>
          <w:i/>
        </w:rPr>
        <w:t>SAIFI</w:t>
      </w:r>
      <w:r w:rsidRPr="004E6CFC">
        <w:rPr>
          <w:i/>
          <w:vertAlign w:val="subscript"/>
        </w:rPr>
        <w:t>j,t-1</w:t>
      </w:r>
      <w:r w:rsidRPr="004E6CFC">
        <w:rPr>
          <w:i/>
        </w:rPr>
        <w:t xml:space="preserve"> </w:t>
      </w:r>
      <w:r w:rsidRPr="004E6CFC">
        <w:t>se encuentra dentro de los límites de la banda de indiferencia de su meta para e</w:t>
      </w:r>
      <w:r>
        <w:t>l</w:t>
      </w:r>
      <w:r w:rsidRPr="004E6CFC">
        <w:t xml:space="preserve"> año</w:t>
      </w:r>
      <w:r>
        <w:t xml:space="preserve"> t-1</w:t>
      </w:r>
      <w:r w:rsidRPr="004E6CFC">
        <w:rPr>
          <w:i/>
        </w:rPr>
        <w:t>,</w:t>
      </w:r>
      <w:r w:rsidRPr="004E6CFC">
        <w:t xml:space="preserve"> el </w:t>
      </w:r>
      <w:r w:rsidRPr="004E6CFC">
        <w:rPr>
          <w:i/>
        </w:rPr>
        <w:t>If_SAIFI</w:t>
      </w:r>
      <w:r w:rsidRPr="004E6CFC">
        <w:rPr>
          <w:i/>
          <w:vertAlign w:val="subscript"/>
        </w:rPr>
        <w:t>j,t</w:t>
      </w:r>
      <w:r w:rsidRPr="004E6CFC" w:rsidDel="00B9618A">
        <w:t xml:space="preserve"> </w:t>
      </w:r>
      <w:r w:rsidRPr="004E6CFC">
        <w:t>será igual a cero.</w:t>
      </w:r>
    </w:p>
    <w:p w:rsidR="00407449" w:rsidRPr="004E6CFC" w:rsidRDefault="00407449" w:rsidP="009C086B">
      <w:pPr>
        <w:pStyle w:val="Prrafodelista"/>
        <w:numPr>
          <w:ilvl w:val="0"/>
          <w:numId w:val="54"/>
        </w:numPr>
      </w:pPr>
      <w:r w:rsidRPr="004E6CFC">
        <w:t xml:space="preserve">Si el </w:t>
      </w:r>
      <w:r w:rsidRPr="004E6CFC">
        <w:rPr>
          <w:i/>
        </w:rPr>
        <w:t>SAIFI</w:t>
      </w:r>
      <w:r w:rsidRPr="004E6CFC">
        <w:rPr>
          <w:i/>
          <w:vertAlign w:val="subscript"/>
        </w:rPr>
        <w:t xml:space="preserve">j,t-1 </w:t>
      </w:r>
      <w:r w:rsidRPr="004E6CFC">
        <w:t>es menor que el límite inferior de la banda de indiferencia de su meta para e</w:t>
      </w:r>
      <w:r>
        <w:t>l</w:t>
      </w:r>
      <w:r w:rsidRPr="004E6CFC">
        <w:t xml:space="preserve"> año</w:t>
      </w:r>
      <w:r>
        <w:t xml:space="preserve"> t-1</w:t>
      </w:r>
      <w:r w:rsidRPr="004E6CFC">
        <w:rPr>
          <w:i/>
        </w:rPr>
        <w:t>,</w:t>
      </w:r>
      <w:r w:rsidRPr="004E6CFC">
        <w:t xml:space="preserve"> el </w:t>
      </w:r>
      <w:r w:rsidRPr="004E6CFC">
        <w:rPr>
          <w:i/>
        </w:rPr>
        <w:t>If_SAIFI</w:t>
      </w:r>
      <w:r w:rsidRPr="004E6CFC">
        <w:rPr>
          <w:i/>
          <w:vertAlign w:val="subscript"/>
        </w:rPr>
        <w:t>j,t</w:t>
      </w:r>
      <w:r w:rsidRPr="004E6CFC" w:rsidDel="00B9618A">
        <w:t xml:space="preserve"> </w:t>
      </w:r>
      <w:r w:rsidRPr="004E6CFC">
        <w:t>se obtiene utilizando la siguiente expresión:</w:t>
      </w:r>
    </w:p>
    <w:p w:rsidR="00407449" w:rsidRPr="00576D33" w:rsidRDefault="00C9592F" w:rsidP="00407449">
      <w:pPr>
        <w:jc w:val="center"/>
      </w:pPr>
      <m:oMathPara>
        <m:oMath>
          <m:sSub>
            <m:sSubPr>
              <m:ctrlPr>
                <w:rPr>
                  <w:rFonts w:ascii="Cambria Math" w:hAnsi="Cambria Math"/>
                  <w:i/>
                </w:rPr>
              </m:ctrlPr>
            </m:sSubPr>
            <m:e>
              <m:r>
                <w:rPr>
                  <w:rFonts w:ascii="Cambria Math" w:hAnsi="Cambria Math"/>
                </w:rPr>
                <m:t>If_SAIFI</m:t>
              </m:r>
            </m:e>
            <m:sub>
              <m:r>
                <w:rPr>
                  <w:rFonts w:ascii="Cambria Math" w:hAnsi="Cambria Math"/>
                </w:rPr>
                <m:t>j,t</m:t>
              </m:r>
            </m:sub>
          </m:sSub>
          <m:r>
            <w:rPr>
              <w:rFonts w:ascii="Cambria Math" w:hAnsi="Cambria Math"/>
            </w:rPr>
            <m:t>=0,04*</m:t>
          </m:r>
          <m:nary>
            <m:naryPr>
              <m:chr m:val="∑"/>
              <m:limLoc m:val="undOvr"/>
              <m:ctrlPr>
                <w:rPr>
                  <w:rFonts w:ascii="Cambria Math" w:hAnsi="Cambria Math"/>
                  <w:i/>
                </w:rPr>
              </m:ctrlPr>
            </m:naryPr>
            <m:sub>
              <m:r>
                <w:rPr>
                  <w:rFonts w:ascii="Cambria Math" w:hAnsi="Cambria Math"/>
                </w:rPr>
                <m:t>n=1</m:t>
              </m:r>
            </m:sub>
            <m:sup>
              <m:r>
                <w:rPr>
                  <w:rFonts w:ascii="Cambria Math" w:hAnsi="Cambria Math"/>
                </w:rPr>
                <m:t>3</m:t>
              </m:r>
            </m:sup>
            <m:e>
              <m:sSub>
                <m:sSubPr>
                  <m:ctrlPr>
                    <w:rPr>
                      <w:rFonts w:ascii="Cambria Math" w:hAnsi="Cambria Math"/>
                      <w:i/>
                    </w:rPr>
                  </m:ctrlPr>
                </m:sSubPr>
                <m:e>
                  <m:r>
                    <w:rPr>
                      <w:rFonts w:ascii="Cambria Math" w:hAnsi="Cambria Math"/>
                    </w:rPr>
                    <m:t>BRAEN</m:t>
                  </m:r>
                </m:e>
                <m:sub>
                  <m:r>
                    <w:rPr>
                      <w:rFonts w:ascii="Cambria Math" w:hAnsi="Cambria Math"/>
                    </w:rPr>
                    <m:t>j</m:t>
                  </m:r>
                  <m:r>
                    <w:rPr>
                      <w:rFonts w:ascii="Cambria Math"/>
                    </w:rPr>
                    <m:t>,</m:t>
                  </m:r>
                  <m:r>
                    <w:rPr>
                      <w:rFonts w:ascii="Cambria Math" w:hAnsi="Cambria Math"/>
                    </w:rPr>
                    <m:t>n,t-1</m:t>
                  </m:r>
                </m:sub>
              </m:sSub>
            </m:e>
          </m:nary>
        </m:oMath>
      </m:oMathPara>
    </w:p>
    <w:p w:rsidR="00407449" w:rsidRPr="004E6CFC" w:rsidRDefault="00407449" w:rsidP="00407449">
      <w:pPr>
        <w:ind w:left="2124" w:hanging="2124"/>
        <w:rPr>
          <w:iCs/>
        </w:rPr>
      </w:pPr>
      <w:r w:rsidRPr="004E6CFC">
        <w:rPr>
          <w:iCs/>
        </w:rPr>
        <w:t>Donde:</w:t>
      </w:r>
    </w:p>
    <w:p w:rsidR="00407449" w:rsidRPr="004E6CFC" w:rsidRDefault="00407449" w:rsidP="00407449">
      <w:pPr>
        <w:ind w:left="2124" w:hanging="2124"/>
        <w:rPr>
          <w:iCs/>
        </w:rPr>
      </w:pPr>
      <w:r w:rsidRPr="004E6CFC">
        <w:rPr>
          <w:i/>
          <w:iCs/>
        </w:rPr>
        <w:t>BRAEN</w:t>
      </w:r>
      <w:r w:rsidRPr="004E6CFC">
        <w:rPr>
          <w:i/>
          <w:iCs/>
          <w:vertAlign w:val="subscript"/>
        </w:rPr>
        <w:t>j,n,t.-1</w:t>
      </w:r>
      <w:r w:rsidRPr="004E6CFC">
        <w:rPr>
          <w:iCs/>
        </w:rPr>
        <w:t>:</w:t>
      </w:r>
      <w:r w:rsidRPr="004E6CFC">
        <w:rPr>
          <w:iCs/>
        </w:rPr>
        <w:tab/>
        <w:t xml:space="preserve">Base regulatoria de activos eléctricos nuevos del OR </w:t>
      </w:r>
      <w:r w:rsidRPr="004E6CFC">
        <w:rPr>
          <w:i/>
          <w:iCs/>
        </w:rPr>
        <w:t>j</w:t>
      </w:r>
      <w:r w:rsidRPr="004E6CFC">
        <w:rPr>
          <w:iCs/>
        </w:rPr>
        <w:t xml:space="preserve"> en el nivel de tensión </w:t>
      </w:r>
      <w:r w:rsidRPr="004E6CFC">
        <w:rPr>
          <w:i/>
          <w:iCs/>
        </w:rPr>
        <w:t>n</w:t>
      </w:r>
      <w:r w:rsidRPr="004E6CFC">
        <w:rPr>
          <w:iCs/>
        </w:rPr>
        <w:t xml:space="preserve"> para el año </w:t>
      </w:r>
      <w:r w:rsidRPr="004E6CFC">
        <w:rPr>
          <w:i/>
          <w:iCs/>
        </w:rPr>
        <w:t>t-1</w:t>
      </w:r>
      <w:r w:rsidRPr="004E6CFC">
        <w:rPr>
          <w:iCs/>
        </w:rPr>
        <w:t xml:space="preserve">, calculada de acuerdo con lo previsto en el numeral </w:t>
      </w:r>
      <w:r w:rsidRPr="004E6CFC">
        <w:rPr>
          <w:iCs/>
        </w:rPr>
        <w:fldChar w:fldCharType="begin"/>
      </w:r>
      <w:r w:rsidRPr="004E6CFC">
        <w:rPr>
          <w:iCs/>
        </w:rPr>
        <w:instrText xml:space="preserve"> REF _Ref445134276 \r \h  \* MERGEFORMAT </w:instrText>
      </w:r>
      <w:r w:rsidRPr="004E6CFC">
        <w:rPr>
          <w:iCs/>
        </w:rPr>
      </w:r>
      <w:r w:rsidRPr="004E6CFC">
        <w:rPr>
          <w:iCs/>
        </w:rPr>
        <w:fldChar w:fldCharType="separate"/>
      </w:r>
      <w:r w:rsidR="00737178" w:rsidRPr="00737178">
        <w:rPr>
          <w:bCs/>
          <w:iCs/>
        </w:rPr>
        <w:t>3.1.1.2</w:t>
      </w:r>
      <w:r w:rsidRPr="004E6CFC">
        <w:rPr>
          <w:iCs/>
        </w:rPr>
        <w:fldChar w:fldCharType="end"/>
      </w:r>
      <w:r w:rsidRPr="004E6CFC">
        <w:rPr>
          <w:iCs/>
        </w:rPr>
        <w:t>.</w:t>
      </w:r>
    </w:p>
    <w:p w:rsidR="00407449" w:rsidRPr="004E6CFC" w:rsidRDefault="00407449" w:rsidP="009C086B">
      <w:pPr>
        <w:pStyle w:val="Prrafodelista"/>
        <w:numPr>
          <w:ilvl w:val="0"/>
          <w:numId w:val="54"/>
        </w:numPr>
      </w:pPr>
      <w:r w:rsidRPr="004E6CFC">
        <w:t xml:space="preserve">Si el </w:t>
      </w:r>
      <w:r w:rsidRPr="004E6CFC">
        <w:rPr>
          <w:i/>
        </w:rPr>
        <w:t>SAIFI</w:t>
      </w:r>
      <w:r w:rsidRPr="004E6CFC">
        <w:rPr>
          <w:i/>
          <w:vertAlign w:val="subscript"/>
        </w:rPr>
        <w:t>j,t-1</w:t>
      </w:r>
      <w:r w:rsidRPr="004E6CFC">
        <w:t xml:space="preserve"> es mayor que el límite superior de la banda de indiferencia de su meta para e</w:t>
      </w:r>
      <w:r>
        <w:t>l</w:t>
      </w:r>
      <w:r w:rsidRPr="004E6CFC">
        <w:t xml:space="preserve"> año</w:t>
      </w:r>
      <w:r>
        <w:t xml:space="preserve"> t-1</w:t>
      </w:r>
      <w:r w:rsidRPr="004E6CFC">
        <w:rPr>
          <w:i/>
        </w:rPr>
        <w:t>,</w:t>
      </w:r>
      <w:r w:rsidRPr="004E6CFC">
        <w:t xml:space="preserve"> el </w:t>
      </w:r>
      <w:r w:rsidRPr="004E6CFC">
        <w:rPr>
          <w:i/>
        </w:rPr>
        <w:t>If_SAIFI</w:t>
      </w:r>
      <w:r w:rsidRPr="004E6CFC">
        <w:rPr>
          <w:i/>
          <w:vertAlign w:val="subscript"/>
        </w:rPr>
        <w:t>j,t</w:t>
      </w:r>
      <w:r w:rsidRPr="004E6CFC">
        <w:t xml:space="preserve"> se obtiene utilizando la siguiente expresión:</w:t>
      </w:r>
    </w:p>
    <w:p w:rsidR="00407449" w:rsidRPr="004E6CFC" w:rsidRDefault="00C9592F" w:rsidP="00407449">
      <w:pPr>
        <w:jc w:val="center"/>
        <w:rPr>
          <w:rFonts w:ascii="Cambria Math" w:hAnsi="Cambria Math"/>
          <w:i/>
        </w:rPr>
      </w:pPr>
      <m:oMathPara>
        <m:oMath>
          <m:sSub>
            <m:sSubPr>
              <m:ctrlPr>
                <w:rPr>
                  <w:rFonts w:ascii="Cambria Math" w:hAnsi="Cambria Math"/>
                  <w:i/>
                </w:rPr>
              </m:ctrlPr>
            </m:sSubPr>
            <m:e>
              <m:r>
                <w:rPr>
                  <w:rFonts w:ascii="Cambria Math" w:hAnsi="Cambria Math"/>
                </w:rPr>
                <m:t>If_SAIFI</m:t>
              </m:r>
            </m:e>
            <m:sub>
              <m:r>
                <w:rPr>
                  <w:rFonts w:ascii="Cambria Math" w:hAnsi="Cambria Math"/>
                </w:rPr>
                <m:t>j,t</m:t>
              </m:r>
            </m:sub>
          </m:sSub>
          <m:r>
            <w:rPr>
              <w:rFonts w:ascii="Cambria Math" w:hAnsi="Cambria Math"/>
            </w:rPr>
            <m:t>=-0,04*máx</m:t>
          </m:r>
          <m:d>
            <m:dPr>
              <m:ctrlPr>
                <w:rPr>
                  <w:rFonts w:ascii="Cambria Math" w:hAnsi="Cambria Math"/>
                  <w:i/>
                </w:rPr>
              </m:ctrlPr>
            </m:dPr>
            <m:e>
              <m:r>
                <w:rPr>
                  <w:rFonts w:ascii="Cambria Math" w:hAnsi="Cambria Math"/>
                </w:rPr>
                <m:t>0.04*</m:t>
              </m:r>
              <m:nary>
                <m:naryPr>
                  <m:chr m:val="∑"/>
                  <m:limLoc m:val="undOvr"/>
                  <m:ctrlPr>
                    <w:rPr>
                      <w:rFonts w:ascii="Cambria Math" w:hAnsi="Cambria Math"/>
                      <w:i/>
                    </w:rPr>
                  </m:ctrlPr>
                </m:naryPr>
                <m:sub>
                  <m:r>
                    <w:rPr>
                      <w:rFonts w:ascii="Cambria Math" w:hAnsi="Cambria Math"/>
                    </w:rPr>
                    <m:t>n=1</m:t>
                  </m:r>
                </m:sub>
                <m:sup>
                  <m:r>
                    <w:rPr>
                      <w:rFonts w:ascii="Cambria Math" w:hAnsi="Cambria Math"/>
                    </w:rPr>
                    <m:t>3</m:t>
                  </m:r>
                </m:sup>
                <m:e>
                  <m:sSub>
                    <m:sSubPr>
                      <m:ctrlPr>
                        <w:rPr>
                          <w:rFonts w:ascii="Cambria Math" w:hAnsi="Cambria Math"/>
                          <w:i/>
                        </w:rPr>
                      </m:ctrlPr>
                    </m:sSubPr>
                    <m:e>
                      <m:r>
                        <w:rPr>
                          <w:rFonts w:ascii="Cambria Math" w:hAnsi="Cambria Math"/>
                        </w:rPr>
                        <m:t>Crr</m:t>
                      </m:r>
                    </m:e>
                    <m:sub>
                      <m:r>
                        <w:rPr>
                          <w:rFonts w:ascii="Cambria Math" w:hAnsi="Cambria Math"/>
                        </w:rPr>
                        <m:t>j,n</m:t>
                      </m:r>
                    </m:sub>
                  </m:sSub>
                </m:e>
              </m:nary>
              <m:r>
                <w:rPr>
                  <w:rFonts w:ascii="Cambria Math" w:hAnsi="Cambria Math"/>
                </w:rPr>
                <m:t xml:space="preserve"> ,</m:t>
              </m:r>
              <m:nary>
                <m:naryPr>
                  <m:chr m:val="∑"/>
                  <m:limLoc m:val="undOvr"/>
                  <m:ctrlPr>
                    <w:rPr>
                      <w:rFonts w:ascii="Cambria Math" w:hAnsi="Cambria Math"/>
                      <w:i/>
                    </w:rPr>
                  </m:ctrlPr>
                </m:naryPr>
                <m:sub>
                  <m:r>
                    <w:rPr>
                      <w:rFonts w:ascii="Cambria Math" w:hAnsi="Cambria Math"/>
                    </w:rPr>
                    <m:t>n=1</m:t>
                  </m:r>
                </m:sub>
                <m:sup>
                  <m:r>
                    <w:rPr>
                      <w:rFonts w:ascii="Cambria Math" w:hAnsi="Cambria Math"/>
                    </w:rPr>
                    <m:t>3</m:t>
                  </m:r>
                </m:sup>
                <m:e>
                  <m:sSub>
                    <m:sSubPr>
                      <m:ctrlPr>
                        <w:rPr>
                          <w:rFonts w:ascii="Cambria Math" w:hAnsi="Cambria Math"/>
                          <w:i/>
                        </w:rPr>
                      </m:ctrlPr>
                    </m:sSubPr>
                    <m:e>
                      <m:r>
                        <w:rPr>
                          <w:rFonts w:ascii="Cambria Math" w:hAnsi="Cambria Math"/>
                        </w:rPr>
                        <m:t>BRAEN</m:t>
                      </m:r>
                    </m:e>
                    <m:sub>
                      <m:r>
                        <w:rPr>
                          <w:rFonts w:ascii="Cambria Math" w:hAnsi="Cambria Math"/>
                        </w:rPr>
                        <m:t>j,n,t-1</m:t>
                      </m:r>
                    </m:sub>
                  </m:sSub>
                </m:e>
              </m:nary>
            </m:e>
          </m:d>
        </m:oMath>
      </m:oMathPara>
    </w:p>
    <w:p w:rsidR="00407449" w:rsidRPr="004E6CFC" w:rsidRDefault="00407449" w:rsidP="00407449">
      <w:pPr>
        <w:keepNext/>
        <w:ind w:left="1418" w:hanging="1418"/>
        <w:rPr>
          <w:iCs/>
        </w:rPr>
      </w:pPr>
      <w:r w:rsidRPr="004E6CFC">
        <w:rPr>
          <w:iCs/>
        </w:rPr>
        <w:t>Donde:</w:t>
      </w:r>
    </w:p>
    <w:p w:rsidR="00407449" w:rsidRPr="003A16CB" w:rsidRDefault="00407449" w:rsidP="00407449">
      <w:pPr>
        <w:ind w:left="2124" w:hanging="2124"/>
        <w:rPr>
          <w:i/>
          <w:iCs/>
        </w:rPr>
      </w:pPr>
      <w:r w:rsidRPr="004E6CFC">
        <w:rPr>
          <w:i/>
          <w:iCs/>
        </w:rPr>
        <w:t>Crr</w:t>
      </w:r>
      <w:r w:rsidRPr="00C354C5">
        <w:rPr>
          <w:i/>
          <w:iCs/>
          <w:vertAlign w:val="subscript"/>
        </w:rPr>
        <w:t>j,n</w:t>
      </w:r>
      <w:r w:rsidRPr="003A16CB">
        <w:rPr>
          <w:i/>
          <w:iCs/>
        </w:rPr>
        <w:t>:</w:t>
      </w:r>
      <w:r w:rsidRPr="003A16CB">
        <w:rPr>
          <w:i/>
          <w:iCs/>
        </w:rPr>
        <w:tab/>
      </w:r>
      <w:r w:rsidRPr="00576D33">
        <w:rPr>
          <w:iCs/>
        </w:rPr>
        <w:t xml:space="preserve">Costo de reposición de referencia del OR </w:t>
      </w:r>
      <w:r w:rsidRPr="00576D33">
        <w:rPr>
          <w:i/>
          <w:iCs/>
        </w:rPr>
        <w:t>j</w:t>
      </w:r>
      <w:r w:rsidRPr="00576D33">
        <w:rPr>
          <w:iCs/>
        </w:rPr>
        <w:t xml:space="preserve"> en el nivel de tensión </w:t>
      </w:r>
      <w:r w:rsidRPr="00576D33">
        <w:rPr>
          <w:i/>
          <w:iCs/>
        </w:rPr>
        <w:t>n</w:t>
      </w:r>
      <w:r w:rsidRPr="003A16CB">
        <w:rPr>
          <w:iCs/>
        </w:rPr>
        <w:t xml:space="preserve"> </w:t>
      </w:r>
      <w:r w:rsidRPr="00576D33">
        <w:rPr>
          <w:iCs/>
        </w:rPr>
        <w:t xml:space="preserve">al inicio del periodo tarifario, de que trata el numeral </w:t>
      </w:r>
      <w:r w:rsidRPr="00576D33">
        <w:rPr>
          <w:iCs/>
        </w:rPr>
        <w:fldChar w:fldCharType="begin"/>
      </w:r>
      <w:r w:rsidRPr="003A16CB">
        <w:rPr>
          <w:iCs/>
        </w:rPr>
        <w:instrText xml:space="preserve"> REF _Ref461013047 \r \h  \* MERGEFORMAT </w:instrText>
      </w:r>
      <w:r w:rsidRPr="00576D33">
        <w:rPr>
          <w:iCs/>
        </w:rPr>
      </w:r>
      <w:r w:rsidRPr="00576D33">
        <w:rPr>
          <w:iCs/>
        </w:rPr>
        <w:fldChar w:fldCharType="separate"/>
      </w:r>
      <w:r w:rsidR="00737178">
        <w:rPr>
          <w:iCs/>
        </w:rPr>
        <w:t>6.4.2</w:t>
      </w:r>
      <w:r w:rsidRPr="00576D33">
        <w:rPr>
          <w:iCs/>
        </w:rPr>
        <w:fldChar w:fldCharType="end"/>
      </w:r>
      <w:r w:rsidRPr="00576D33">
        <w:rPr>
          <w:iCs/>
        </w:rPr>
        <w:t>.</w:t>
      </w:r>
    </w:p>
    <w:p w:rsidR="00407449" w:rsidRPr="004E6CFC" w:rsidRDefault="00407449" w:rsidP="00407449">
      <w:pPr>
        <w:ind w:left="2124" w:hanging="2124"/>
        <w:rPr>
          <w:iCs/>
        </w:rPr>
      </w:pPr>
      <w:r w:rsidRPr="004E6CFC">
        <w:rPr>
          <w:i/>
          <w:iCs/>
        </w:rPr>
        <w:t>BRAEN</w:t>
      </w:r>
      <w:r w:rsidRPr="004E6CFC">
        <w:rPr>
          <w:i/>
          <w:iCs/>
          <w:vertAlign w:val="subscript"/>
        </w:rPr>
        <w:t>j,n,t.-1</w:t>
      </w:r>
      <w:r w:rsidRPr="004E6CFC">
        <w:rPr>
          <w:iCs/>
        </w:rPr>
        <w:t>:</w:t>
      </w:r>
      <w:r w:rsidRPr="004E6CFC">
        <w:rPr>
          <w:iCs/>
        </w:rPr>
        <w:tab/>
        <w:t xml:space="preserve">Base regulatoria de activos eléctricos nuevos del OR </w:t>
      </w:r>
      <w:r w:rsidRPr="004E6CFC">
        <w:rPr>
          <w:i/>
          <w:iCs/>
        </w:rPr>
        <w:t>j</w:t>
      </w:r>
      <w:r w:rsidRPr="004E6CFC">
        <w:rPr>
          <w:iCs/>
        </w:rPr>
        <w:t xml:space="preserve"> en el nivel de tensión </w:t>
      </w:r>
      <w:r w:rsidRPr="004E6CFC">
        <w:rPr>
          <w:i/>
          <w:iCs/>
        </w:rPr>
        <w:t>n</w:t>
      </w:r>
      <w:r w:rsidRPr="004E6CFC">
        <w:rPr>
          <w:iCs/>
        </w:rPr>
        <w:t xml:space="preserve"> para el año </w:t>
      </w:r>
      <w:r w:rsidRPr="004E6CFC">
        <w:rPr>
          <w:i/>
          <w:iCs/>
        </w:rPr>
        <w:t>t-1</w:t>
      </w:r>
      <w:r w:rsidRPr="004E6CFC">
        <w:rPr>
          <w:iCs/>
        </w:rPr>
        <w:t xml:space="preserve">, calculada de acuerdo con lo previsto en el numeral </w:t>
      </w:r>
      <w:r w:rsidRPr="004E6CFC">
        <w:rPr>
          <w:iCs/>
        </w:rPr>
        <w:fldChar w:fldCharType="begin"/>
      </w:r>
      <w:r w:rsidRPr="004E6CFC">
        <w:rPr>
          <w:iCs/>
        </w:rPr>
        <w:instrText xml:space="preserve"> REF _Ref445134276 \r \h  \* MERGEFORMAT </w:instrText>
      </w:r>
      <w:r w:rsidRPr="004E6CFC">
        <w:rPr>
          <w:iCs/>
        </w:rPr>
      </w:r>
      <w:r w:rsidRPr="004E6CFC">
        <w:rPr>
          <w:iCs/>
        </w:rPr>
        <w:fldChar w:fldCharType="separate"/>
      </w:r>
      <w:r w:rsidR="00737178" w:rsidRPr="00737178">
        <w:rPr>
          <w:bCs/>
          <w:iCs/>
        </w:rPr>
        <w:t>3.1.1.2</w:t>
      </w:r>
      <w:r w:rsidRPr="004E6CFC">
        <w:rPr>
          <w:iCs/>
        </w:rPr>
        <w:fldChar w:fldCharType="end"/>
      </w:r>
      <w:r w:rsidRPr="004E6CFC">
        <w:rPr>
          <w:iCs/>
        </w:rPr>
        <w:t>.</w:t>
      </w:r>
    </w:p>
    <w:p w:rsidR="00407449" w:rsidRPr="004E6CFC" w:rsidRDefault="00407449" w:rsidP="00407449">
      <w:r w:rsidRPr="004E6CFC">
        <w:t>Para determinar el valor del incentivo variable,</w:t>
      </w:r>
      <w:r w:rsidRPr="004E6CFC">
        <w:rPr>
          <w:i/>
        </w:rPr>
        <w:t xml:space="preserve"> Iv_SAIFI</w:t>
      </w:r>
      <w:r w:rsidRPr="004E6CFC">
        <w:rPr>
          <w:i/>
          <w:vertAlign w:val="subscript"/>
        </w:rPr>
        <w:t>j,t</w:t>
      </w:r>
      <w:r w:rsidRPr="004E6CFC">
        <w:t>, se debe</w:t>
      </w:r>
      <w:r>
        <w:t xml:space="preserve"> utilizar el indicador de calidad </w:t>
      </w:r>
      <w:r>
        <w:rPr>
          <w:i/>
        </w:rPr>
        <w:t>SAIF</w:t>
      </w:r>
      <w:r w:rsidRPr="004E6CFC">
        <w:rPr>
          <w:i/>
        </w:rPr>
        <w:t>I</w:t>
      </w:r>
      <w:r w:rsidRPr="004E6CFC">
        <w:rPr>
          <w:i/>
          <w:vertAlign w:val="subscript"/>
        </w:rPr>
        <w:t>j,t-1</w:t>
      </w:r>
      <w:r>
        <w:t xml:space="preserve"> y</w:t>
      </w:r>
      <w:r w:rsidRPr="004E6CFC">
        <w:t xml:space="preserve"> tener en cuenta lo siguiente:</w:t>
      </w:r>
    </w:p>
    <w:p w:rsidR="00407449" w:rsidRPr="004E6CFC" w:rsidRDefault="00407449" w:rsidP="009C086B">
      <w:pPr>
        <w:pStyle w:val="Prrafodelista"/>
        <w:numPr>
          <w:ilvl w:val="0"/>
          <w:numId w:val="55"/>
        </w:numPr>
      </w:pPr>
      <w:r w:rsidRPr="004E6CFC">
        <w:t xml:space="preserve">Si el </w:t>
      </w:r>
      <w:r w:rsidRPr="004E6CFC">
        <w:rPr>
          <w:i/>
        </w:rPr>
        <w:t>SAIFI</w:t>
      </w:r>
      <w:r w:rsidRPr="004E6CFC">
        <w:rPr>
          <w:i/>
          <w:vertAlign w:val="subscript"/>
        </w:rPr>
        <w:t>j,t-1</w:t>
      </w:r>
      <w:r w:rsidRPr="004E6CFC">
        <w:t xml:space="preserve"> se encuentra dentro de los límites de la banda de indiferencia de su meta</w:t>
      </w:r>
      <w:r w:rsidRPr="004E6CFC">
        <w:rPr>
          <w:i/>
        </w:rPr>
        <w:t xml:space="preserve"> </w:t>
      </w:r>
      <w:r w:rsidRPr="004E6CFC">
        <w:t>para e</w:t>
      </w:r>
      <w:r>
        <w:t>l</w:t>
      </w:r>
      <w:r w:rsidRPr="004E6CFC">
        <w:t xml:space="preserve"> año</w:t>
      </w:r>
      <w:r>
        <w:t xml:space="preserve"> t-1</w:t>
      </w:r>
      <w:r w:rsidRPr="004E6CFC">
        <w:rPr>
          <w:i/>
        </w:rPr>
        <w:t>,</w:t>
      </w:r>
      <w:r w:rsidRPr="004E6CFC">
        <w:t xml:space="preserve"> el </w:t>
      </w:r>
      <w:r w:rsidRPr="004E6CFC">
        <w:rPr>
          <w:i/>
        </w:rPr>
        <w:t>Iv_SAIFI</w:t>
      </w:r>
      <w:r w:rsidRPr="004E6CFC">
        <w:rPr>
          <w:i/>
          <w:vertAlign w:val="subscript"/>
        </w:rPr>
        <w:t>j,t</w:t>
      </w:r>
      <w:r w:rsidRPr="004E6CFC">
        <w:t xml:space="preserve"> será igual a cero.</w:t>
      </w:r>
    </w:p>
    <w:p w:rsidR="00407449" w:rsidRPr="004E6CFC" w:rsidRDefault="00407449" w:rsidP="009C086B">
      <w:pPr>
        <w:pStyle w:val="Prrafodelista"/>
        <w:numPr>
          <w:ilvl w:val="0"/>
          <w:numId w:val="55"/>
        </w:numPr>
      </w:pPr>
      <w:r w:rsidRPr="004E6CFC">
        <w:t xml:space="preserve">Si el </w:t>
      </w:r>
      <w:r w:rsidRPr="004E6CFC">
        <w:rPr>
          <w:i/>
        </w:rPr>
        <w:t>SAIFI</w:t>
      </w:r>
      <w:r w:rsidRPr="004E6CFC">
        <w:rPr>
          <w:i/>
          <w:vertAlign w:val="subscript"/>
        </w:rPr>
        <w:t>j,t-1</w:t>
      </w:r>
      <w:r w:rsidRPr="004E6CFC">
        <w:t xml:space="preserve"> es menor que el límite inferior de la banda de indiferencia de su meta para e</w:t>
      </w:r>
      <w:r>
        <w:t>l</w:t>
      </w:r>
      <w:r w:rsidRPr="004E6CFC">
        <w:t xml:space="preserve"> año</w:t>
      </w:r>
      <w:r>
        <w:t xml:space="preserve"> t-1</w:t>
      </w:r>
      <w:r w:rsidRPr="004E6CFC">
        <w:rPr>
          <w:i/>
        </w:rPr>
        <w:t>,</w:t>
      </w:r>
      <w:r w:rsidRPr="004E6CFC">
        <w:t xml:space="preserve"> el </w:t>
      </w:r>
      <w:r w:rsidRPr="004E6CFC">
        <w:rPr>
          <w:i/>
        </w:rPr>
        <w:t>Iv_SAIFI</w:t>
      </w:r>
      <w:r w:rsidRPr="004E6CFC">
        <w:rPr>
          <w:i/>
          <w:vertAlign w:val="subscript"/>
        </w:rPr>
        <w:t xml:space="preserve">j,t </w:t>
      </w:r>
      <w:r w:rsidRPr="004E6CFC">
        <w:t>se obtiene utilizando la siguiente expresión:</w:t>
      </w:r>
    </w:p>
    <w:p w:rsidR="00407449" w:rsidRPr="004E6CFC" w:rsidRDefault="00C9592F" w:rsidP="00407449">
      <m:oMathPara>
        <m:oMath>
          <m:sSub>
            <m:sSubPr>
              <m:ctrlPr>
                <w:rPr>
                  <w:rFonts w:ascii="Cambria Math" w:hAnsi="Cambria Math"/>
                  <w:i/>
                </w:rPr>
              </m:ctrlPr>
            </m:sSubPr>
            <m:e>
              <m:r>
                <w:rPr>
                  <w:rFonts w:ascii="Cambria Math" w:hAnsi="Cambria Math"/>
                </w:rPr>
                <m:t>Iv_SAIFI</m:t>
              </m:r>
            </m:e>
            <m:sub>
              <m:r>
                <w:rPr>
                  <w:rFonts w:ascii="Cambria Math" w:hAnsi="Cambria Math"/>
                </w:rPr>
                <m:t>t,j</m:t>
              </m:r>
            </m:sub>
          </m:sSub>
          <m:r>
            <w:rPr>
              <w:rFonts w:ascii="Cambria Math" w:hAnsi="Cambria Math"/>
            </w:rPr>
            <m:t>=</m:t>
          </m:r>
          <m:d>
            <m:dPr>
              <m:ctrlPr>
                <w:rPr>
                  <w:rFonts w:ascii="Cambria Math" w:hAnsi="Cambria Math"/>
                  <w:i/>
                </w:rPr>
              </m:ctrlPr>
            </m:dPr>
            <m:e>
              <m:sSub>
                <m:sSubPr>
                  <m:ctrlPr>
                    <w:rPr>
                      <w:rFonts w:ascii="Cambria Math" w:hAnsi="Cambria Math"/>
                      <w:i/>
                    </w:rPr>
                  </m:ctrlPr>
                </m:sSubPr>
                <m:e>
                  <m:r>
                    <w:rPr>
                      <w:rFonts w:ascii="Cambria Math" w:hAnsi="Cambria Math"/>
                    </w:rPr>
                    <m:t>SAIFI_R</m:t>
                  </m:r>
                </m:e>
                <m:sub>
                  <m:r>
                    <w:rPr>
                      <w:rFonts w:ascii="Cambria Math" w:hAnsi="Cambria Math"/>
                    </w:rPr>
                    <m:t>j</m:t>
                  </m:r>
                </m:sub>
              </m:sSub>
              <m:r>
                <w:rPr>
                  <w:rFonts w:ascii="Cambria Math" w:hAnsi="Cambria Math"/>
                </w:rPr>
                <m:t>-</m:t>
              </m:r>
              <m:sSub>
                <m:sSubPr>
                  <m:ctrlPr>
                    <w:rPr>
                      <w:rFonts w:ascii="Cambria Math" w:hAnsi="Cambria Math"/>
                      <w:i/>
                    </w:rPr>
                  </m:ctrlPr>
                </m:sSubPr>
                <m:e>
                  <m:r>
                    <w:rPr>
                      <w:rFonts w:ascii="Cambria Math" w:hAnsi="Cambria Math"/>
                    </w:rPr>
                    <m:t>SAIFI_CI</m:t>
                  </m:r>
                </m:e>
                <m:sub>
                  <m:r>
                    <w:rPr>
                      <w:rFonts w:ascii="Cambria Math" w:hAnsi="Cambria Math"/>
                    </w:rPr>
                    <m:t>j,t-1</m:t>
                  </m:r>
                </m:sub>
              </m:sSub>
            </m:e>
          </m:d>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Ivi_SAIFI max</m:t>
                  </m:r>
                </m:e>
                <m:sub>
                  <m:r>
                    <w:rPr>
                      <w:rFonts w:ascii="Cambria Math" w:hAnsi="Cambria Math"/>
                    </w:rPr>
                    <m:t>j,t</m:t>
                  </m:r>
                </m:sub>
              </m:sSub>
            </m:num>
            <m:den>
              <m:sSub>
                <m:sSubPr>
                  <m:ctrlPr>
                    <w:rPr>
                      <w:rFonts w:ascii="Cambria Math" w:hAnsi="Cambria Math"/>
                      <w:i/>
                    </w:rPr>
                  </m:ctrlPr>
                </m:sSubPr>
                <m:e>
                  <m:r>
                    <w:rPr>
                      <w:rFonts w:ascii="Cambria Math" w:hAnsi="Cambria Math"/>
                    </w:rPr>
                    <m:t>SAIFI_R</m:t>
                  </m:r>
                </m:e>
                <m:sub>
                  <m:r>
                    <w:rPr>
                      <w:rFonts w:ascii="Cambria Math" w:hAnsi="Cambria Math"/>
                    </w:rPr>
                    <m:t>j</m:t>
                  </m:r>
                </m:sub>
              </m:sSub>
              <m:r>
                <w:rPr>
                  <w:rFonts w:ascii="Cambria Math" w:hAnsi="Cambria Math"/>
                </w:rPr>
                <m:t>-SAIFI_LP</m:t>
              </m:r>
            </m:den>
          </m:f>
        </m:oMath>
      </m:oMathPara>
    </w:p>
    <w:p w:rsidR="00407449" w:rsidRPr="004E6CFC" w:rsidRDefault="00C9592F" w:rsidP="00407449">
      <m:oMathPara>
        <m:oMath>
          <m:sSub>
            <m:sSubPr>
              <m:ctrlPr>
                <w:rPr>
                  <w:rFonts w:ascii="Cambria Math" w:hAnsi="Cambria Math"/>
                  <w:i/>
                </w:rPr>
              </m:ctrlPr>
            </m:sSubPr>
            <m:e>
              <m:r>
                <w:rPr>
                  <w:rFonts w:ascii="Cambria Math" w:hAnsi="Cambria Math"/>
                </w:rPr>
                <m:t>SAIFI_CI</m:t>
              </m:r>
            </m:e>
            <m:sub>
              <m:r>
                <w:rPr>
                  <w:rFonts w:ascii="Cambria Math" w:hAnsi="Cambria Math"/>
                </w:rPr>
                <m:t>j,t-1</m:t>
              </m:r>
            </m:sub>
          </m:sSub>
          <m:r>
            <w:rPr>
              <w:rFonts w:ascii="Cambria Math" w:hAnsi="Cambria Math"/>
            </w:rPr>
            <m:t>=max</m:t>
          </m:r>
          <m:r>
            <m:rPr>
              <m:sty m:val="p"/>
            </m:rPr>
            <w:rPr>
              <w:rFonts w:ascii="Cambria Math" w:hAnsi="Cambria Math"/>
            </w:rPr>
            <m:t>⁡</m:t>
          </m:r>
          <m:d>
            <m:dPr>
              <m:ctrlPr>
                <w:rPr>
                  <w:rFonts w:ascii="Cambria Math" w:hAnsi="Cambria Math"/>
                  <w:i/>
                </w:rPr>
              </m:ctrlPr>
            </m:dPr>
            <m:e>
              <m:r>
                <w:rPr>
                  <w:rFonts w:ascii="Cambria Math" w:hAnsi="Cambria Math"/>
                </w:rPr>
                <m:t xml:space="preserve">SAIFI_LP , </m:t>
              </m:r>
              <m:sSub>
                <m:sSubPr>
                  <m:ctrlPr>
                    <w:rPr>
                      <w:rFonts w:ascii="Cambria Math" w:hAnsi="Cambria Math"/>
                      <w:i/>
                    </w:rPr>
                  </m:ctrlPr>
                </m:sSubPr>
                <m:e>
                  <m:r>
                    <w:rPr>
                      <w:rFonts w:ascii="Cambria Math" w:hAnsi="Cambria Math"/>
                    </w:rPr>
                    <m:t>SAIFI</m:t>
                  </m:r>
                </m:e>
                <m:sub>
                  <m:r>
                    <w:rPr>
                      <w:rFonts w:ascii="Cambria Math" w:hAnsi="Cambria Math"/>
                    </w:rPr>
                    <m:t>j,t-1</m:t>
                  </m:r>
                </m:sub>
              </m:sSub>
            </m:e>
          </m:d>
        </m:oMath>
      </m:oMathPara>
    </w:p>
    <w:p w:rsidR="00407449" w:rsidRPr="004E6CFC" w:rsidRDefault="00C9592F" w:rsidP="00407449">
      <m:oMathPara>
        <m:oMath>
          <m:sSub>
            <m:sSubPr>
              <m:ctrlPr>
                <w:rPr>
                  <w:rFonts w:ascii="Cambria Math" w:hAnsi="Cambria Math"/>
                  <w:i/>
                </w:rPr>
              </m:ctrlPr>
            </m:sSubPr>
            <m:e>
              <m:r>
                <w:rPr>
                  <w:rFonts w:ascii="Cambria Math" w:hAnsi="Cambria Math"/>
                </w:rPr>
                <m:t>Ivi_SAIFImax</m:t>
              </m:r>
            </m:e>
            <m:sub>
              <m:r>
                <w:rPr>
                  <w:rFonts w:ascii="Cambria Math" w:hAnsi="Cambria Math"/>
                </w:rPr>
                <m:t>j,t</m:t>
              </m:r>
            </m:sub>
          </m:sSub>
          <m:r>
            <w:rPr>
              <w:rFonts w:ascii="Cambria Math" w:hAnsi="Cambria Math"/>
            </w:rPr>
            <m:t>=0,04*</m:t>
          </m:r>
          <m:nary>
            <m:naryPr>
              <m:chr m:val="∑"/>
              <m:limLoc m:val="undOvr"/>
              <m:ctrlPr>
                <w:rPr>
                  <w:rFonts w:ascii="Cambria Math" w:hAnsi="Cambria Math"/>
                  <w:i/>
                </w:rPr>
              </m:ctrlPr>
            </m:naryPr>
            <m:sub>
              <m:r>
                <w:rPr>
                  <w:rFonts w:ascii="Cambria Math" w:hAnsi="Cambria Math"/>
                </w:rPr>
                <m:t>n=1</m:t>
              </m:r>
            </m:sub>
            <m:sup>
              <m:r>
                <w:rPr>
                  <w:rFonts w:ascii="Cambria Math" w:hAnsi="Cambria Math"/>
                </w:rPr>
                <m:t>3</m:t>
              </m:r>
            </m:sup>
            <m:e>
              <m:sSub>
                <m:sSubPr>
                  <m:ctrlPr>
                    <w:rPr>
                      <w:rFonts w:ascii="Cambria Math" w:hAnsi="Cambria Math"/>
                      <w:i/>
                    </w:rPr>
                  </m:ctrlPr>
                </m:sSubPr>
                <m:e>
                  <m:r>
                    <w:rPr>
                      <w:rFonts w:ascii="Cambria Math" w:hAnsi="Cambria Math"/>
                    </w:rPr>
                    <m:t>BRAEN</m:t>
                  </m:r>
                </m:e>
                <m:sub>
                  <m:r>
                    <w:rPr>
                      <w:rFonts w:ascii="Cambria Math" w:hAnsi="Cambria Math"/>
                    </w:rPr>
                    <m:t>j</m:t>
                  </m:r>
                  <m:r>
                    <w:rPr>
                      <w:rFonts w:ascii="Cambria Math"/>
                    </w:rPr>
                    <m:t>,</m:t>
                  </m:r>
                  <m:r>
                    <w:rPr>
                      <w:rFonts w:ascii="Cambria Math" w:hAnsi="Cambria Math"/>
                    </w:rPr>
                    <m:t>n,t-1</m:t>
                  </m:r>
                </m:sub>
              </m:sSub>
            </m:e>
          </m:nary>
        </m:oMath>
      </m:oMathPara>
    </w:p>
    <w:p w:rsidR="00407449" w:rsidRPr="004E6CFC" w:rsidRDefault="00407449" w:rsidP="00407449">
      <w:r w:rsidRPr="004E6CFC">
        <w:t>Donde:</w:t>
      </w:r>
    </w:p>
    <w:p w:rsidR="00407449" w:rsidRPr="004E6CFC" w:rsidRDefault="00407449" w:rsidP="00407449">
      <w:pPr>
        <w:ind w:left="2124" w:hanging="2124"/>
      </w:pPr>
      <w:r w:rsidRPr="004E6CFC">
        <w:rPr>
          <w:i/>
        </w:rPr>
        <w:t>SAIFI_R</w:t>
      </w:r>
      <w:r w:rsidRPr="004E6CFC">
        <w:rPr>
          <w:i/>
          <w:vertAlign w:val="subscript"/>
        </w:rPr>
        <w:t>j</w:t>
      </w:r>
      <w:r w:rsidRPr="004E6CFC">
        <w:t>:</w:t>
      </w:r>
      <w:r w:rsidRPr="004E6CFC">
        <w:tab/>
        <w:t xml:space="preserve">Frecuencia de referencia de ocurrencia de los eventos, en cantidad, de que trata numeral </w:t>
      </w:r>
      <w:r w:rsidRPr="004E6CFC">
        <w:fldChar w:fldCharType="begin"/>
      </w:r>
      <w:r w:rsidRPr="004E6CFC">
        <w:instrText xml:space="preserve"> REF _Ref476815612 \r \h  \* MERGEFORMAT </w:instrText>
      </w:r>
      <w:r w:rsidRPr="004E6CFC">
        <w:fldChar w:fldCharType="separate"/>
      </w:r>
      <w:r w:rsidR="00737178">
        <w:t>5.2.5</w:t>
      </w:r>
      <w:r w:rsidRPr="004E6CFC">
        <w:fldChar w:fldCharType="end"/>
      </w:r>
      <w:r w:rsidRPr="004E6CFC">
        <w:t>.</w:t>
      </w:r>
    </w:p>
    <w:p w:rsidR="00407449" w:rsidRPr="004E6CFC" w:rsidRDefault="00407449" w:rsidP="00407449">
      <w:pPr>
        <w:ind w:left="2124" w:hanging="2124"/>
      </w:pPr>
      <w:r w:rsidRPr="004E6CFC">
        <w:rPr>
          <w:i/>
        </w:rPr>
        <w:t>SAIFI_CI</w:t>
      </w:r>
      <w:r w:rsidRPr="004E6CFC">
        <w:rPr>
          <w:i/>
          <w:vertAlign w:val="subscript"/>
        </w:rPr>
        <w:t>j,t-1</w:t>
      </w:r>
      <w:r w:rsidRPr="004E6CFC">
        <w:t>:</w:t>
      </w:r>
      <w:r w:rsidRPr="004E6CFC">
        <w:tab/>
        <w:t>Valor del indicador de frecuencia de eventos utilizado para calcular y limitar el valor del incentivo, cuando el</w:t>
      </w:r>
      <w:r w:rsidRPr="004E6CFC">
        <w:rPr>
          <w:i/>
        </w:rPr>
        <w:t xml:space="preserve"> SAIFI</w:t>
      </w:r>
      <w:r w:rsidRPr="004E6CFC">
        <w:rPr>
          <w:i/>
          <w:vertAlign w:val="subscript"/>
        </w:rPr>
        <w:t>j,t</w:t>
      </w:r>
      <w:r w:rsidRPr="004E6CFC">
        <w:rPr>
          <w:i/>
          <w:vertAlign w:val="subscript"/>
        </w:rPr>
        <w:noBreakHyphen/>
        <w:t>1</w:t>
      </w:r>
      <w:r w:rsidRPr="004E6CFC">
        <w:t xml:space="preserve"> es menor que el límite inferior de la banda de indiferencia.</w:t>
      </w:r>
    </w:p>
    <w:p w:rsidR="00407449" w:rsidRPr="004E6CFC" w:rsidRDefault="00407449" w:rsidP="00407449">
      <w:pPr>
        <w:ind w:left="2124" w:hanging="2124"/>
      </w:pPr>
      <w:r w:rsidRPr="004E6CFC">
        <w:rPr>
          <w:i/>
        </w:rPr>
        <w:lastRenderedPageBreak/>
        <w:t>SAIFIj,</w:t>
      </w:r>
      <w:r w:rsidRPr="004E6CFC">
        <w:rPr>
          <w:i/>
          <w:vertAlign w:val="subscript"/>
        </w:rPr>
        <w:t>t-1</w:t>
      </w:r>
      <w:r w:rsidRPr="004E6CFC">
        <w:t>:</w:t>
      </w:r>
      <w:r w:rsidRPr="004E6CFC">
        <w:tab/>
        <w:t xml:space="preserve">Indicador de frecuencia de los eventos, alcanzado por el OR </w:t>
      </w:r>
      <w:r w:rsidRPr="004E6CFC">
        <w:rPr>
          <w:i/>
        </w:rPr>
        <w:t>j</w:t>
      </w:r>
      <w:r w:rsidRPr="004E6CFC">
        <w:t xml:space="preserve"> en el año </w:t>
      </w:r>
      <w:r w:rsidRPr="004E6CFC">
        <w:rPr>
          <w:i/>
        </w:rPr>
        <w:t>t-1</w:t>
      </w:r>
      <w:r w:rsidRPr="00F175CE">
        <w:t>,</w:t>
      </w:r>
      <w:r>
        <w:rPr>
          <w:i/>
        </w:rPr>
        <w:t xml:space="preserve"> </w:t>
      </w:r>
      <w:r w:rsidRPr="0038284D">
        <w:t xml:space="preserve">calculado con base en lo establecido en el numeral </w:t>
      </w:r>
      <w:r w:rsidRPr="0038284D">
        <w:fldChar w:fldCharType="begin"/>
      </w:r>
      <w:r w:rsidRPr="0038284D">
        <w:instrText xml:space="preserve"> REF _Ref460922977 \r \h </w:instrText>
      </w:r>
      <w:r>
        <w:instrText xml:space="preserve"> \* MERGEFORMAT </w:instrText>
      </w:r>
      <w:r w:rsidRPr="0038284D">
        <w:fldChar w:fldCharType="separate"/>
      </w:r>
      <w:r w:rsidR="00737178">
        <w:t>5.2.3.1</w:t>
      </w:r>
      <w:r w:rsidRPr="0038284D">
        <w:fldChar w:fldCharType="end"/>
      </w:r>
      <w:r w:rsidRPr="004E6CFC">
        <w:t>.</w:t>
      </w:r>
    </w:p>
    <w:p w:rsidR="00407449" w:rsidRPr="004E6CFC" w:rsidRDefault="00407449" w:rsidP="00407449">
      <w:pPr>
        <w:ind w:left="2124" w:hanging="2124"/>
      </w:pPr>
      <w:r w:rsidRPr="004E6CFC">
        <w:rPr>
          <w:i/>
        </w:rPr>
        <w:t>Ivi_SAIFI max</w:t>
      </w:r>
      <w:r w:rsidRPr="004E6CFC">
        <w:rPr>
          <w:i/>
          <w:vertAlign w:val="subscript"/>
        </w:rPr>
        <w:t>j,t</w:t>
      </w:r>
      <w:r w:rsidRPr="004E6CFC">
        <w:rPr>
          <w:i/>
        </w:rPr>
        <w:t>:</w:t>
      </w:r>
      <w:r w:rsidRPr="004E6CFC">
        <w:tab/>
        <w:t xml:space="preserve">Incentivo variable máximo con respecto al indicador de frecuencia de los eventos, para el OR </w:t>
      </w:r>
      <w:r w:rsidRPr="004E6CFC">
        <w:rPr>
          <w:i/>
        </w:rPr>
        <w:t>j,</w:t>
      </w:r>
      <w:r w:rsidRPr="004E6CFC">
        <w:t xml:space="preserve"> en el año </w:t>
      </w:r>
      <w:r w:rsidRPr="004E6CFC">
        <w:rPr>
          <w:i/>
        </w:rPr>
        <w:t>t</w:t>
      </w:r>
      <w:r w:rsidRPr="004E6CFC">
        <w:t xml:space="preserve">, cuando el </w:t>
      </w:r>
      <w:r w:rsidRPr="004E6CFC">
        <w:rPr>
          <w:i/>
        </w:rPr>
        <w:t>SAIFI</w:t>
      </w:r>
      <w:r w:rsidRPr="004E6CFC">
        <w:rPr>
          <w:i/>
          <w:vertAlign w:val="subscript"/>
        </w:rPr>
        <w:t>j,t-1</w:t>
      </w:r>
      <w:r w:rsidRPr="004E6CFC">
        <w:rPr>
          <w:vertAlign w:val="subscript"/>
        </w:rPr>
        <w:t xml:space="preserve"> </w:t>
      </w:r>
      <w:r w:rsidRPr="004E6CFC">
        <w:t>es menor que el límite inferior de la banda de indiferencia.</w:t>
      </w:r>
    </w:p>
    <w:p w:rsidR="00407449" w:rsidRDefault="00407449" w:rsidP="00407449">
      <w:pPr>
        <w:ind w:left="2124" w:hanging="2124"/>
      </w:pPr>
      <w:r w:rsidRPr="004E6CFC">
        <w:rPr>
          <w:i/>
        </w:rPr>
        <w:t>SAIFI_LP:</w:t>
      </w:r>
      <w:r w:rsidRPr="004E6CFC">
        <w:rPr>
          <w:i/>
        </w:rPr>
        <w:tab/>
      </w:r>
      <w:r w:rsidRPr="004E6CFC">
        <w:t>Meta de largo plazo para el indicador de frecuencia de eventos, fijada en 9 veces/año.</w:t>
      </w:r>
    </w:p>
    <w:p w:rsidR="00407449" w:rsidRPr="004E6CFC" w:rsidRDefault="00407449" w:rsidP="00407449">
      <w:pPr>
        <w:ind w:left="2124" w:hanging="2124"/>
        <w:rPr>
          <w:iCs/>
        </w:rPr>
      </w:pPr>
      <w:r w:rsidRPr="004E6CFC">
        <w:rPr>
          <w:i/>
          <w:iCs/>
        </w:rPr>
        <w:t>BRAEN</w:t>
      </w:r>
      <w:r w:rsidRPr="004E6CFC">
        <w:rPr>
          <w:i/>
          <w:iCs/>
          <w:vertAlign w:val="subscript"/>
        </w:rPr>
        <w:t>j,n,t.-1</w:t>
      </w:r>
      <w:r w:rsidRPr="004E6CFC">
        <w:rPr>
          <w:iCs/>
        </w:rPr>
        <w:t>:</w:t>
      </w:r>
      <w:r w:rsidRPr="004E6CFC">
        <w:rPr>
          <w:iCs/>
        </w:rPr>
        <w:tab/>
        <w:t xml:space="preserve">Base regulatoria de activos eléctricos nuevos del OR </w:t>
      </w:r>
      <w:r w:rsidRPr="004E6CFC">
        <w:rPr>
          <w:i/>
          <w:iCs/>
        </w:rPr>
        <w:t>j</w:t>
      </w:r>
      <w:r w:rsidRPr="004E6CFC">
        <w:rPr>
          <w:iCs/>
        </w:rPr>
        <w:t xml:space="preserve"> en el nivel de tensión </w:t>
      </w:r>
      <w:r w:rsidRPr="004E6CFC">
        <w:rPr>
          <w:i/>
          <w:iCs/>
        </w:rPr>
        <w:t>n</w:t>
      </w:r>
      <w:r w:rsidRPr="004E6CFC">
        <w:rPr>
          <w:iCs/>
        </w:rPr>
        <w:t xml:space="preserve"> para el año </w:t>
      </w:r>
      <w:r w:rsidRPr="004E6CFC">
        <w:rPr>
          <w:i/>
          <w:iCs/>
        </w:rPr>
        <w:t>t-1</w:t>
      </w:r>
      <w:r w:rsidRPr="004E6CFC">
        <w:rPr>
          <w:iCs/>
        </w:rPr>
        <w:t xml:space="preserve">, calculada de acuerdo con lo previsto en el numeral </w:t>
      </w:r>
      <w:r w:rsidRPr="004E6CFC">
        <w:rPr>
          <w:iCs/>
        </w:rPr>
        <w:fldChar w:fldCharType="begin"/>
      </w:r>
      <w:r w:rsidRPr="004E6CFC">
        <w:rPr>
          <w:iCs/>
        </w:rPr>
        <w:instrText xml:space="preserve"> REF _Ref445134276 \r \h  \* MERGEFORMAT </w:instrText>
      </w:r>
      <w:r w:rsidRPr="004E6CFC">
        <w:rPr>
          <w:iCs/>
        </w:rPr>
      </w:r>
      <w:r w:rsidRPr="004E6CFC">
        <w:rPr>
          <w:iCs/>
        </w:rPr>
        <w:fldChar w:fldCharType="separate"/>
      </w:r>
      <w:r w:rsidR="00737178" w:rsidRPr="00737178">
        <w:rPr>
          <w:bCs/>
          <w:iCs/>
        </w:rPr>
        <w:t>3.1.1.2</w:t>
      </w:r>
      <w:r w:rsidRPr="004E6CFC">
        <w:rPr>
          <w:iCs/>
        </w:rPr>
        <w:fldChar w:fldCharType="end"/>
      </w:r>
      <w:r w:rsidRPr="004E6CFC">
        <w:rPr>
          <w:iCs/>
        </w:rPr>
        <w:t>.</w:t>
      </w:r>
    </w:p>
    <w:p w:rsidR="00407449" w:rsidRPr="004E6CFC" w:rsidRDefault="00407449" w:rsidP="009C086B">
      <w:pPr>
        <w:pStyle w:val="Prrafodelista"/>
        <w:numPr>
          <w:ilvl w:val="0"/>
          <w:numId w:val="55"/>
        </w:numPr>
      </w:pPr>
      <w:r w:rsidRPr="004E6CFC">
        <w:t xml:space="preserve">Si el </w:t>
      </w:r>
      <w:r w:rsidRPr="004E6CFC">
        <w:rPr>
          <w:i/>
        </w:rPr>
        <w:t>SAIFI</w:t>
      </w:r>
      <w:r w:rsidRPr="004E6CFC">
        <w:rPr>
          <w:i/>
          <w:vertAlign w:val="subscript"/>
        </w:rPr>
        <w:t>j,t-1</w:t>
      </w:r>
      <w:r w:rsidRPr="004E6CFC">
        <w:t xml:space="preserve"> es mayor que el límite superior de la banda de indiferencia de su meta para e</w:t>
      </w:r>
      <w:r>
        <w:t>l</w:t>
      </w:r>
      <w:r w:rsidRPr="004E6CFC">
        <w:t xml:space="preserve"> año</w:t>
      </w:r>
      <w:r>
        <w:t xml:space="preserve"> t-1</w:t>
      </w:r>
      <w:r w:rsidRPr="004E6CFC">
        <w:t>, el incentivo variable se obtiene utilizando la siguiente expresión:</w:t>
      </w:r>
    </w:p>
    <w:p w:rsidR="00407449" w:rsidRPr="004E6CFC" w:rsidRDefault="00C9592F" w:rsidP="00407449">
      <m:oMathPara>
        <m:oMath>
          <m:sSub>
            <m:sSubPr>
              <m:ctrlPr>
                <w:rPr>
                  <w:rFonts w:ascii="Cambria Math" w:hAnsi="Cambria Math"/>
                  <w:i/>
                </w:rPr>
              </m:ctrlPr>
            </m:sSubPr>
            <m:e>
              <m:r>
                <w:rPr>
                  <w:rFonts w:ascii="Cambria Math" w:hAnsi="Cambria Math"/>
                </w:rPr>
                <m:t>Iv_SAIFI</m:t>
              </m:r>
            </m:e>
            <m:sub>
              <m:r>
                <w:rPr>
                  <w:rFonts w:ascii="Cambria Math" w:hAnsi="Cambria Math"/>
                </w:rPr>
                <m:t>j,t</m:t>
              </m:r>
            </m:sub>
          </m:sSub>
          <m:r>
            <w:rPr>
              <w:rFonts w:ascii="Cambria Math" w:hAnsi="Cambria Math"/>
            </w:rPr>
            <m:t>=</m:t>
          </m:r>
          <m:d>
            <m:dPr>
              <m:ctrlPr>
                <w:rPr>
                  <w:rFonts w:ascii="Cambria Math" w:hAnsi="Cambria Math"/>
                  <w:i/>
                </w:rPr>
              </m:ctrlPr>
            </m:dPr>
            <m:e>
              <m:sSub>
                <m:sSubPr>
                  <m:ctrlPr>
                    <w:rPr>
                      <w:rFonts w:ascii="Cambria Math" w:hAnsi="Cambria Math"/>
                      <w:i/>
                    </w:rPr>
                  </m:ctrlPr>
                </m:sSubPr>
                <m:e>
                  <m:r>
                    <w:rPr>
                      <w:rFonts w:ascii="Cambria Math" w:hAnsi="Cambria Math"/>
                    </w:rPr>
                    <m:t>SAIFI_M</m:t>
                  </m:r>
                </m:e>
                <m:sub>
                  <m:r>
                    <w:rPr>
                      <w:rFonts w:ascii="Cambria Math" w:hAnsi="Cambria Math"/>
                    </w:rPr>
                    <m:t>j,t-1</m:t>
                  </m:r>
                </m:sub>
              </m:sSub>
              <m:r>
                <w:rPr>
                  <w:rFonts w:ascii="Cambria Math" w:hAnsi="Cambria Math"/>
                </w:rPr>
                <m:t>-</m:t>
              </m:r>
              <m:sSub>
                <m:sSubPr>
                  <m:ctrlPr>
                    <w:rPr>
                      <w:rFonts w:ascii="Cambria Math" w:hAnsi="Cambria Math"/>
                      <w:i/>
                    </w:rPr>
                  </m:ctrlPr>
                </m:sSubPr>
                <m:e>
                  <m:r>
                    <w:rPr>
                      <w:rFonts w:ascii="Cambria Math" w:hAnsi="Cambria Math"/>
                    </w:rPr>
                    <m:t>SAIFI_CS</m:t>
                  </m:r>
                </m:e>
                <m:sub>
                  <m:r>
                    <w:rPr>
                      <w:rFonts w:ascii="Cambria Math" w:hAnsi="Cambria Math"/>
                    </w:rPr>
                    <m:t>j,t-1</m:t>
                  </m:r>
                </m:sub>
              </m:sSub>
            </m:e>
          </m:d>
          <m:r>
            <w:rPr>
              <w:rFonts w:ascii="Cambria Math" w:hAnsi="Cambria Math"/>
            </w:rPr>
            <m:t>*</m:t>
          </m:r>
          <m:f>
            <m:fPr>
              <m:ctrlPr>
                <w:rPr>
                  <w:rFonts w:ascii="Cambria Math" w:hAnsi="Cambria Math"/>
                  <w:i/>
                </w:rPr>
              </m:ctrlPr>
            </m:fPr>
            <m:num>
              <m:d>
                <m:dPr>
                  <m:ctrlPr>
                    <w:rPr>
                      <w:rFonts w:ascii="Cambria Math" w:hAnsi="Cambria Math"/>
                      <w:i/>
                    </w:rPr>
                  </m:ctrlPr>
                </m:dPr>
                <m:e>
                  <m:sSub>
                    <m:sSubPr>
                      <m:ctrlPr>
                        <w:rPr>
                          <w:rFonts w:ascii="Cambria Math" w:hAnsi="Cambria Math"/>
                          <w:i/>
                        </w:rPr>
                      </m:ctrlPr>
                    </m:sSubPr>
                    <m:e>
                      <m:r>
                        <w:rPr>
                          <w:rFonts w:ascii="Cambria Math" w:hAnsi="Cambria Math"/>
                        </w:rPr>
                        <m:t>Ivs_SAIFI max</m:t>
                      </m:r>
                    </m:e>
                    <m:sub>
                      <m:r>
                        <w:rPr>
                          <w:rFonts w:ascii="Cambria Math" w:hAnsi="Cambria Math"/>
                        </w:rPr>
                        <m:t>j,t</m:t>
                      </m:r>
                    </m:sub>
                  </m:sSub>
                </m:e>
              </m:d>
            </m:num>
            <m:den>
              <m:sSub>
                <m:sSubPr>
                  <m:ctrlPr>
                    <w:rPr>
                      <w:rFonts w:ascii="Cambria Math" w:hAnsi="Cambria Math"/>
                      <w:i/>
                    </w:rPr>
                  </m:ctrlPr>
                </m:sSubPr>
                <m:e>
                  <m:r>
                    <w:rPr>
                      <w:rFonts w:ascii="Cambria Math" w:hAnsi="Cambria Math"/>
                    </w:rPr>
                    <m:t>SAIFI_M</m:t>
                  </m:r>
                </m:e>
                <m:sub>
                  <m:r>
                    <w:rPr>
                      <w:rFonts w:ascii="Cambria Math" w:hAnsi="Cambria Math"/>
                    </w:rPr>
                    <m:t>j,t-1</m:t>
                  </m:r>
                </m:sub>
              </m:sSub>
            </m:den>
          </m:f>
        </m:oMath>
      </m:oMathPara>
    </w:p>
    <w:p w:rsidR="00407449" w:rsidRPr="004E6CFC" w:rsidRDefault="00C9592F" w:rsidP="00407449">
      <m:oMathPara>
        <m:oMath>
          <m:sSub>
            <m:sSubPr>
              <m:ctrlPr>
                <w:rPr>
                  <w:rFonts w:ascii="Cambria Math" w:hAnsi="Cambria Math"/>
                  <w:i/>
                </w:rPr>
              </m:ctrlPr>
            </m:sSubPr>
            <m:e>
              <m:r>
                <w:rPr>
                  <w:rFonts w:ascii="Cambria Math" w:hAnsi="Cambria Math"/>
                </w:rPr>
                <m:t>SAIFI_CS</m:t>
              </m:r>
            </m:e>
            <m:sub>
              <m:r>
                <w:rPr>
                  <w:rFonts w:ascii="Cambria Math" w:hAnsi="Cambria Math"/>
                </w:rPr>
                <m:t>j,t-1</m:t>
              </m:r>
            </m:sub>
          </m:sSub>
          <m:r>
            <w:rPr>
              <w:rFonts w:ascii="Cambria Math" w:hAnsi="Cambria Math"/>
            </w:rPr>
            <m:t>=min</m:t>
          </m:r>
          <m:d>
            <m:dPr>
              <m:ctrlPr>
                <w:rPr>
                  <w:rFonts w:ascii="Cambria Math" w:hAnsi="Cambria Math"/>
                  <w:i/>
                </w:rPr>
              </m:ctrlPr>
            </m:dPr>
            <m:e>
              <m:sSub>
                <m:sSubPr>
                  <m:ctrlPr>
                    <w:rPr>
                      <w:rFonts w:ascii="Cambria Math" w:hAnsi="Cambria Math"/>
                      <w:i/>
                    </w:rPr>
                  </m:ctrlPr>
                </m:sSubPr>
                <m:e>
                  <m:r>
                    <w:rPr>
                      <w:rFonts w:ascii="Cambria Math" w:hAnsi="Cambria Math"/>
                    </w:rPr>
                    <m:t>SAIFI</m:t>
                  </m:r>
                </m:e>
                <m:sub>
                  <m:r>
                    <w:rPr>
                      <w:rFonts w:ascii="Cambria Math" w:hAnsi="Cambria Math"/>
                    </w:rPr>
                    <m:t>j,t-1</m:t>
                  </m:r>
                </m:sub>
              </m:sSub>
              <m:r>
                <w:rPr>
                  <w:rFonts w:ascii="Cambria Math" w:hAnsi="Cambria Math"/>
                </w:rPr>
                <m:t xml:space="preserve"> , 2*</m:t>
              </m:r>
              <m:sSub>
                <m:sSubPr>
                  <m:ctrlPr>
                    <w:rPr>
                      <w:rFonts w:ascii="Cambria Math" w:hAnsi="Cambria Math"/>
                      <w:i/>
                    </w:rPr>
                  </m:ctrlPr>
                </m:sSubPr>
                <m:e>
                  <m:r>
                    <w:rPr>
                      <w:rFonts w:ascii="Cambria Math" w:hAnsi="Cambria Math"/>
                    </w:rPr>
                    <m:t>SAIFI_R</m:t>
                  </m:r>
                </m:e>
                <m:sub>
                  <m:r>
                    <w:rPr>
                      <w:rFonts w:ascii="Cambria Math" w:hAnsi="Cambria Math"/>
                    </w:rPr>
                    <m:t>j</m:t>
                  </m:r>
                </m:sub>
              </m:sSub>
              <m:r>
                <w:rPr>
                  <w:rFonts w:ascii="Cambria Math" w:hAnsi="Cambria Math"/>
                </w:rPr>
                <m:t>-SAIFI_LP</m:t>
              </m:r>
            </m:e>
          </m:d>
        </m:oMath>
      </m:oMathPara>
    </w:p>
    <w:p w:rsidR="00407449" w:rsidRPr="004E6CFC" w:rsidRDefault="00C9592F" w:rsidP="00407449">
      <m:oMathPara>
        <m:oMath>
          <m:sSub>
            <m:sSubPr>
              <m:ctrlPr>
                <w:rPr>
                  <w:rFonts w:ascii="Cambria Math" w:hAnsi="Cambria Math"/>
                  <w:i/>
                </w:rPr>
              </m:ctrlPr>
            </m:sSubPr>
            <m:e>
              <m:r>
                <w:rPr>
                  <w:rFonts w:ascii="Cambria Math" w:hAnsi="Cambria Math"/>
                </w:rPr>
                <m:t>Ivs_SAIFImax</m:t>
              </m:r>
            </m:e>
            <m:sub>
              <m:r>
                <w:rPr>
                  <w:rFonts w:ascii="Cambria Math" w:hAnsi="Cambria Math"/>
                </w:rPr>
                <m:t>j,t</m:t>
              </m:r>
            </m:sub>
          </m:sSub>
          <m:r>
            <w:rPr>
              <w:rFonts w:ascii="Cambria Math" w:hAnsi="Cambria Math"/>
            </w:rPr>
            <m:t>=0,04*máx</m:t>
          </m:r>
          <m:d>
            <m:dPr>
              <m:ctrlPr>
                <w:rPr>
                  <w:rFonts w:ascii="Cambria Math" w:hAnsi="Cambria Math"/>
                  <w:i/>
                </w:rPr>
              </m:ctrlPr>
            </m:dPr>
            <m:e>
              <m:r>
                <w:rPr>
                  <w:rFonts w:ascii="Cambria Math" w:hAnsi="Cambria Math"/>
                </w:rPr>
                <m:t>0,04*</m:t>
              </m:r>
              <m:nary>
                <m:naryPr>
                  <m:chr m:val="∑"/>
                  <m:limLoc m:val="undOvr"/>
                  <m:ctrlPr>
                    <w:rPr>
                      <w:rFonts w:ascii="Cambria Math" w:hAnsi="Cambria Math"/>
                      <w:i/>
                    </w:rPr>
                  </m:ctrlPr>
                </m:naryPr>
                <m:sub>
                  <m:r>
                    <w:rPr>
                      <w:rFonts w:ascii="Cambria Math" w:hAnsi="Cambria Math"/>
                    </w:rPr>
                    <m:t>n=1</m:t>
                  </m:r>
                </m:sub>
                <m:sup>
                  <m:r>
                    <w:rPr>
                      <w:rFonts w:ascii="Cambria Math" w:hAnsi="Cambria Math"/>
                    </w:rPr>
                    <m:t>3</m:t>
                  </m:r>
                </m:sup>
                <m:e>
                  <m:sSub>
                    <m:sSubPr>
                      <m:ctrlPr>
                        <w:rPr>
                          <w:rFonts w:ascii="Cambria Math" w:hAnsi="Cambria Math"/>
                          <w:i/>
                        </w:rPr>
                      </m:ctrlPr>
                    </m:sSubPr>
                    <m:e>
                      <m:r>
                        <w:rPr>
                          <w:rFonts w:ascii="Cambria Math" w:hAnsi="Cambria Math"/>
                        </w:rPr>
                        <m:t>Crr</m:t>
                      </m:r>
                    </m:e>
                    <m:sub>
                      <m:r>
                        <w:rPr>
                          <w:rFonts w:ascii="Cambria Math" w:hAnsi="Cambria Math"/>
                        </w:rPr>
                        <m:t>j,n</m:t>
                      </m:r>
                    </m:sub>
                  </m:sSub>
                </m:e>
              </m:nary>
              <m:r>
                <w:rPr>
                  <w:rFonts w:ascii="Cambria Math" w:hAnsi="Cambria Math"/>
                </w:rPr>
                <m:t xml:space="preserve"> ,</m:t>
              </m:r>
              <m:nary>
                <m:naryPr>
                  <m:chr m:val="∑"/>
                  <m:limLoc m:val="undOvr"/>
                  <m:ctrlPr>
                    <w:rPr>
                      <w:rFonts w:ascii="Cambria Math" w:hAnsi="Cambria Math"/>
                      <w:i/>
                    </w:rPr>
                  </m:ctrlPr>
                </m:naryPr>
                <m:sub>
                  <m:r>
                    <w:rPr>
                      <w:rFonts w:ascii="Cambria Math" w:hAnsi="Cambria Math"/>
                    </w:rPr>
                    <m:t>n=1</m:t>
                  </m:r>
                </m:sub>
                <m:sup>
                  <m:r>
                    <w:rPr>
                      <w:rFonts w:ascii="Cambria Math" w:hAnsi="Cambria Math"/>
                    </w:rPr>
                    <m:t>3</m:t>
                  </m:r>
                </m:sup>
                <m:e>
                  <m:sSub>
                    <m:sSubPr>
                      <m:ctrlPr>
                        <w:rPr>
                          <w:rFonts w:ascii="Cambria Math" w:hAnsi="Cambria Math"/>
                          <w:i/>
                        </w:rPr>
                      </m:ctrlPr>
                    </m:sSubPr>
                    <m:e>
                      <m:r>
                        <w:rPr>
                          <w:rFonts w:ascii="Cambria Math" w:hAnsi="Cambria Math"/>
                        </w:rPr>
                        <m:t>BRAEN</m:t>
                      </m:r>
                    </m:e>
                    <m:sub>
                      <m:r>
                        <w:rPr>
                          <w:rFonts w:ascii="Cambria Math" w:hAnsi="Cambria Math"/>
                        </w:rPr>
                        <m:t>j</m:t>
                      </m:r>
                      <m:r>
                        <w:rPr>
                          <w:rFonts w:ascii="Cambria Math"/>
                        </w:rPr>
                        <m:t>,</m:t>
                      </m:r>
                      <m:r>
                        <w:rPr>
                          <w:rFonts w:ascii="Cambria Math" w:hAnsi="Cambria Math"/>
                        </w:rPr>
                        <m:t>n,t-1</m:t>
                      </m:r>
                    </m:sub>
                  </m:sSub>
                </m:e>
              </m:nary>
            </m:e>
          </m:d>
        </m:oMath>
      </m:oMathPara>
    </w:p>
    <w:p w:rsidR="00407449" w:rsidRPr="004E6CFC" w:rsidRDefault="00407449" w:rsidP="00407449">
      <w:r w:rsidRPr="004E6CFC">
        <w:t>Donde:</w:t>
      </w:r>
    </w:p>
    <w:p w:rsidR="00407449" w:rsidRPr="004E6CFC" w:rsidRDefault="00407449" w:rsidP="00407449">
      <w:pPr>
        <w:ind w:left="2124" w:hanging="2124"/>
      </w:pPr>
      <w:r w:rsidRPr="004E6CFC">
        <w:rPr>
          <w:i/>
        </w:rPr>
        <w:t>SAIFI_M</w:t>
      </w:r>
      <w:r w:rsidRPr="004E6CFC">
        <w:rPr>
          <w:i/>
          <w:vertAlign w:val="subscript"/>
        </w:rPr>
        <w:t>j,t-1</w:t>
      </w:r>
      <w:r w:rsidRPr="004E6CFC">
        <w:t>:</w:t>
      </w:r>
      <w:r w:rsidRPr="004E6CFC">
        <w:tab/>
        <w:t xml:space="preserve">Meta de frecuencia de eventos para el OR </w:t>
      </w:r>
      <w:r w:rsidRPr="004E6CFC">
        <w:rPr>
          <w:i/>
        </w:rPr>
        <w:t>j</w:t>
      </w:r>
      <w:r w:rsidRPr="004E6CFC">
        <w:t xml:space="preserve">, para el año </w:t>
      </w:r>
      <w:r w:rsidRPr="004E6CFC">
        <w:rPr>
          <w:i/>
        </w:rPr>
        <w:t>t-1</w:t>
      </w:r>
      <w:r w:rsidRPr="004E6CFC">
        <w:t>.</w:t>
      </w:r>
    </w:p>
    <w:p w:rsidR="00407449" w:rsidRPr="004E6CFC" w:rsidRDefault="00407449" w:rsidP="00407449">
      <w:pPr>
        <w:ind w:left="2124" w:hanging="2124"/>
      </w:pPr>
      <w:r w:rsidRPr="004E6CFC">
        <w:rPr>
          <w:i/>
        </w:rPr>
        <w:t>SAIFI_CS</w:t>
      </w:r>
      <w:r w:rsidRPr="004E6CFC">
        <w:rPr>
          <w:i/>
          <w:vertAlign w:val="subscript"/>
        </w:rPr>
        <w:t>j,t-1</w:t>
      </w:r>
      <w:r w:rsidRPr="004E6CFC">
        <w:t>:</w:t>
      </w:r>
      <w:r w:rsidRPr="004E6CFC">
        <w:tab/>
        <w:t>Valor del indicador de frecuencia de eventos utilizado para calcular y limitar el valor del incentivo, cuando el</w:t>
      </w:r>
      <w:r w:rsidRPr="004E6CFC">
        <w:rPr>
          <w:i/>
        </w:rPr>
        <w:t xml:space="preserve"> SAIFI</w:t>
      </w:r>
      <w:r w:rsidRPr="004E6CFC">
        <w:rPr>
          <w:i/>
          <w:vertAlign w:val="subscript"/>
        </w:rPr>
        <w:t>j,t</w:t>
      </w:r>
      <w:r w:rsidRPr="004E6CFC">
        <w:rPr>
          <w:i/>
          <w:vertAlign w:val="subscript"/>
        </w:rPr>
        <w:noBreakHyphen/>
        <w:t>1</w:t>
      </w:r>
      <w:r w:rsidRPr="004E6CFC">
        <w:t xml:space="preserve"> es mayor que el límite superior de la banda de indiferencia.</w:t>
      </w:r>
    </w:p>
    <w:p w:rsidR="00407449" w:rsidRPr="004E6CFC" w:rsidRDefault="00407449" w:rsidP="00407449">
      <w:pPr>
        <w:ind w:left="2124" w:hanging="2124"/>
      </w:pPr>
      <w:r w:rsidRPr="004E6CFC">
        <w:rPr>
          <w:i/>
        </w:rPr>
        <w:t>SAIFI_R</w:t>
      </w:r>
      <w:r w:rsidRPr="004E6CFC">
        <w:rPr>
          <w:i/>
          <w:vertAlign w:val="subscript"/>
        </w:rPr>
        <w:t>j</w:t>
      </w:r>
      <w:r w:rsidRPr="004E6CFC">
        <w:t>:</w:t>
      </w:r>
      <w:r w:rsidRPr="004E6CFC">
        <w:tab/>
        <w:t xml:space="preserve">Frecuencia de referencia de ocurrencia de los eventos, en cantidad, de que trata numeral </w:t>
      </w:r>
      <w:r w:rsidRPr="004E6CFC">
        <w:fldChar w:fldCharType="begin"/>
      </w:r>
      <w:r w:rsidRPr="004E6CFC">
        <w:instrText xml:space="preserve"> REF _Ref476815612 \r \h  \* MERGEFORMAT </w:instrText>
      </w:r>
      <w:r w:rsidRPr="004E6CFC">
        <w:fldChar w:fldCharType="separate"/>
      </w:r>
      <w:r w:rsidR="00737178">
        <w:t>5.2.5</w:t>
      </w:r>
      <w:r w:rsidRPr="004E6CFC">
        <w:fldChar w:fldCharType="end"/>
      </w:r>
      <w:r w:rsidRPr="004E6CFC">
        <w:t>.</w:t>
      </w:r>
    </w:p>
    <w:p w:rsidR="00407449" w:rsidRPr="004E6CFC" w:rsidRDefault="00407449" w:rsidP="00407449">
      <w:pPr>
        <w:ind w:left="2124" w:hanging="2124"/>
      </w:pPr>
      <w:r w:rsidRPr="004E6CFC">
        <w:rPr>
          <w:i/>
        </w:rPr>
        <w:t>SAIFI_LP:</w:t>
      </w:r>
      <w:r w:rsidRPr="004E6CFC">
        <w:rPr>
          <w:i/>
        </w:rPr>
        <w:tab/>
      </w:r>
      <w:r w:rsidRPr="004E6CFC">
        <w:t>Meta de largo plazo para el indicador de frecuencia de los eventos, fijada en 9 veces/año.</w:t>
      </w:r>
    </w:p>
    <w:p w:rsidR="00407449" w:rsidRPr="004E6CFC" w:rsidRDefault="00407449" w:rsidP="00407449">
      <w:pPr>
        <w:ind w:left="2124" w:hanging="2124"/>
      </w:pPr>
      <w:r w:rsidRPr="004E6CFC">
        <w:rPr>
          <w:i/>
        </w:rPr>
        <w:t>SAIFI</w:t>
      </w:r>
      <w:r w:rsidRPr="004E6CFC">
        <w:rPr>
          <w:i/>
          <w:vertAlign w:val="subscript"/>
        </w:rPr>
        <w:t>j,t-1</w:t>
      </w:r>
      <w:r w:rsidRPr="004E6CFC">
        <w:t>:</w:t>
      </w:r>
      <w:r w:rsidRPr="004E6CFC">
        <w:tab/>
        <w:t xml:space="preserve">Indicador de frecuencia de eventos, alcanzado por el OR </w:t>
      </w:r>
      <w:r w:rsidRPr="004E6CFC">
        <w:rPr>
          <w:i/>
        </w:rPr>
        <w:t>j</w:t>
      </w:r>
      <w:r w:rsidRPr="004E6CFC">
        <w:t xml:space="preserve"> en el año </w:t>
      </w:r>
      <w:r w:rsidRPr="004E6CFC">
        <w:rPr>
          <w:i/>
        </w:rPr>
        <w:t>t-1</w:t>
      </w:r>
      <w:r w:rsidRPr="00F175CE">
        <w:t>,</w:t>
      </w:r>
      <w:r>
        <w:rPr>
          <w:i/>
        </w:rPr>
        <w:t xml:space="preserve"> </w:t>
      </w:r>
      <w:r w:rsidRPr="0038284D">
        <w:t xml:space="preserve">calculado con base en lo establecido en el numeral </w:t>
      </w:r>
      <w:r w:rsidRPr="0038284D">
        <w:fldChar w:fldCharType="begin"/>
      </w:r>
      <w:r w:rsidRPr="0038284D">
        <w:instrText xml:space="preserve"> REF _Ref460922977 \r \h </w:instrText>
      </w:r>
      <w:r>
        <w:instrText xml:space="preserve"> \* MERGEFORMAT </w:instrText>
      </w:r>
      <w:r w:rsidRPr="0038284D">
        <w:fldChar w:fldCharType="separate"/>
      </w:r>
      <w:r w:rsidR="00737178">
        <w:t>5.2.3.1</w:t>
      </w:r>
      <w:r w:rsidRPr="0038284D">
        <w:fldChar w:fldCharType="end"/>
      </w:r>
      <w:r w:rsidRPr="004E6CFC">
        <w:t>.</w:t>
      </w:r>
    </w:p>
    <w:p w:rsidR="00407449" w:rsidRDefault="00407449" w:rsidP="00407449">
      <w:pPr>
        <w:ind w:left="2124" w:hanging="2124"/>
      </w:pPr>
      <w:r w:rsidRPr="004E6CFC">
        <w:rPr>
          <w:i/>
        </w:rPr>
        <w:t>Ivs_SAIFI max</w:t>
      </w:r>
      <w:r w:rsidRPr="004E6CFC">
        <w:rPr>
          <w:i/>
          <w:vertAlign w:val="subscript"/>
        </w:rPr>
        <w:t>j,t</w:t>
      </w:r>
      <w:r w:rsidRPr="004E6CFC">
        <w:rPr>
          <w:i/>
        </w:rPr>
        <w:t>:</w:t>
      </w:r>
      <w:r w:rsidRPr="004E6CFC">
        <w:rPr>
          <w:i/>
        </w:rPr>
        <w:tab/>
      </w:r>
      <w:r w:rsidRPr="004E6CFC">
        <w:t xml:space="preserve">Incentivo variable máximo con respecto al indicador de frecuencia de eventos, para el OR </w:t>
      </w:r>
      <w:r w:rsidRPr="004E6CFC">
        <w:rPr>
          <w:i/>
        </w:rPr>
        <w:t>j,</w:t>
      </w:r>
      <w:r w:rsidRPr="004E6CFC">
        <w:t xml:space="preserve"> en el año </w:t>
      </w:r>
      <w:r w:rsidRPr="004E6CFC">
        <w:rPr>
          <w:i/>
        </w:rPr>
        <w:t xml:space="preserve">t, </w:t>
      </w:r>
      <w:r w:rsidRPr="004E6CFC">
        <w:t>cuando el</w:t>
      </w:r>
      <w:r w:rsidRPr="004E6CFC">
        <w:rPr>
          <w:i/>
        </w:rPr>
        <w:t xml:space="preserve"> SAIFI</w:t>
      </w:r>
      <w:r w:rsidRPr="004E6CFC">
        <w:rPr>
          <w:i/>
          <w:vertAlign w:val="subscript"/>
        </w:rPr>
        <w:t>j,t-1</w:t>
      </w:r>
      <w:r w:rsidRPr="004E6CFC">
        <w:t xml:space="preserve"> es mayor que el límite superior de la banda de indiferencia.</w:t>
      </w:r>
    </w:p>
    <w:p w:rsidR="00407449" w:rsidRPr="003A16CB" w:rsidRDefault="00407449" w:rsidP="00407449">
      <w:pPr>
        <w:ind w:left="2124" w:hanging="2124"/>
        <w:rPr>
          <w:i/>
          <w:iCs/>
        </w:rPr>
      </w:pPr>
      <w:r w:rsidRPr="004E6CFC">
        <w:rPr>
          <w:i/>
          <w:iCs/>
        </w:rPr>
        <w:t>Crr</w:t>
      </w:r>
      <w:r w:rsidRPr="003A16CB">
        <w:rPr>
          <w:i/>
          <w:iCs/>
          <w:vertAlign w:val="subscript"/>
        </w:rPr>
        <w:t>j,n</w:t>
      </w:r>
      <w:r w:rsidRPr="003A16CB">
        <w:rPr>
          <w:i/>
          <w:iCs/>
        </w:rPr>
        <w:t>:</w:t>
      </w:r>
      <w:r w:rsidRPr="003A16CB">
        <w:rPr>
          <w:i/>
          <w:iCs/>
        </w:rPr>
        <w:tab/>
      </w:r>
      <w:r w:rsidRPr="00576D33">
        <w:rPr>
          <w:iCs/>
        </w:rPr>
        <w:t xml:space="preserve">Costo de reposición de referencia del OR </w:t>
      </w:r>
      <w:r w:rsidRPr="00576D33">
        <w:rPr>
          <w:i/>
          <w:iCs/>
        </w:rPr>
        <w:t>j</w:t>
      </w:r>
      <w:r w:rsidRPr="00576D33">
        <w:rPr>
          <w:iCs/>
        </w:rPr>
        <w:t xml:space="preserve"> en el nivel de tensión </w:t>
      </w:r>
      <w:r w:rsidRPr="00576D33">
        <w:rPr>
          <w:i/>
          <w:iCs/>
        </w:rPr>
        <w:t>n</w:t>
      </w:r>
      <w:r w:rsidRPr="003A16CB">
        <w:rPr>
          <w:iCs/>
        </w:rPr>
        <w:t xml:space="preserve"> </w:t>
      </w:r>
      <w:r w:rsidRPr="00576D33">
        <w:rPr>
          <w:iCs/>
        </w:rPr>
        <w:t xml:space="preserve">al inicio del periodo tarifario, de que trata el numeral </w:t>
      </w:r>
      <w:r w:rsidRPr="00576D33">
        <w:rPr>
          <w:iCs/>
        </w:rPr>
        <w:fldChar w:fldCharType="begin"/>
      </w:r>
      <w:r w:rsidRPr="003A16CB">
        <w:rPr>
          <w:iCs/>
        </w:rPr>
        <w:instrText xml:space="preserve"> REF _Ref461013047 \r \h  \* MERGEFORMAT </w:instrText>
      </w:r>
      <w:r w:rsidRPr="00576D33">
        <w:rPr>
          <w:iCs/>
        </w:rPr>
      </w:r>
      <w:r w:rsidRPr="00576D33">
        <w:rPr>
          <w:iCs/>
        </w:rPr>
        <w:fldChar w:fldCharType="separate"/>
      </w:r>
      <w:r w:rsidR="00737178">
        <w:rPr>
          <w:iCs/>
        </w:rPr>
        <w:t>6.4.2</w:t>
      </w:r>
      <w:r w:rsidRPr="00576D33">
        <w:rPr>
          <w:iCs/>
        </w:rPr>
        <w:fldChar w:fldCharType="end"/>
      </w:r>
      <w:r w:rsidRPr="00576D33">
        <w:rPr>
          <w:iCs/>
        </w:rPr>
        <w:t>.</w:t>
      </w:r>
    </w:p>
    <w:p w:rsidR="00407449" w:rsidRPr="004E6CFC" w:rsidRDefault="00407449" w:rsidP="00407449">
      <w:pPr>
        <w:ind w:left="2124" w:hanging="2124"/>
        <w:rPr>
          <w:iCs/>
        </w:rPr>
      </w:pPr>
      <w:r w:rsidRPr="004E6CFC">
        <w:rPr>
          <w:i/>
          <w:iCs/>
        </w:rPr>
        <w:lastRenderedPageBreak/>
        <w:t>BRAEN</w:t>
      </w:r>
      <w:r w:rsidRPr="004E6CFC">
        <w:rPr>
          <w:i/>
          <w:iCs/>
          <w:vertAlign w:val="subscript"/>
        </w:rPr>
        <w:t>j,n,t.-1</w:t>
      </w:r>
      <w:r w:rsidRPr="004E6CFC">
        <w:rPr>
          <w:iCs/>
        </w:rPr>
        <w:t>:</w:t>
      </w:r>
      <w:r w:rsidRPr="004E6CFC">
        <w:rPr>
          <w:iCs/>
        </w:rPr>
        <w:tab/>
        <w:t xml:space="preserve">Base regulatoria de activos eléctricos nuevos del OR </w:t>
      </w:r>
      <w:r w:rsidRPr="004E6CFC">
        <w:rPr>
          <w:i/>
          <w:iCs/>
        </w:rPr>
        <w:t>j</w:t>
      </w:r>
      <w:r w:rsidRPr="004E6CFC">
        <w:rPr>
          <w:iCs/>
        </w:rPr>
        <w:t xml:space="preserve"> en el nivel de tensión </w:t>
      </w:r>
      <w:r w:rsidRPr="004E6CFC">
        <w:rPr>
          <w:i/>
          <w:iCs/>
        </w:rPr>
        <w:t>n</w:t>
      </w:r>
      <w:r w:rsidRPr="004E6CFC">
        <w:rPr>
          <w:iCs/>
        </w:rPr>
        <w:t xml:space="preserve"> para el año </w:t>
      </w:r>
      <w:r w:rsidRPr="004E6CFC">
        <w:rPr>
          <w:i/>
          <w:iCs/>
        </w:rPr>
        <w:t>t-1</w:t>
      </w:r>
      <w:r w:rsidRPr="004E6CFC">
        <w:rPr>
          <w:iCs/>
        </w:rPr>
        <w:t xml:space="preserve">, calculada de acuerdo con lo previsto en el numeral </w:t>
      </w:r>
      <w:r w:rsidRPr="004E6CFC">
        <w:rPr>
          <w:iCs/>
        </w:rPr>
        <w:fldChar w:fldCharType="begin"/>
      </w:r>
      <w:r w:rsidRPr="004E6CFC">
        <w:rPr>
          <w:iCs/>
        </w:rPr>
        <w:instrText xml:space="preserve"> REF _Ref445134276 \r \h  \* MERGEFORMAT </w:instrText>
      </w:r>
      <w:r w:rsidRPr="004E6CFC">
        <w:rPr>
          <w:iCs/>
        </w:rPr>
      </w:r>
      <w:r w:rsidRPr="004E6CFC">
        <w:rPr>
          <w:iCs/>
        </w:rPr>
        <w:fldChar w:fldCharType="separate"/>
      </w:r>
      <w:r w:rsidR="00737178" w:rsidRPr="00737178">
        <w:rPr>
          <w:bCs/>
          <w:iCs/>
        </w:rPr>
        <w:t>3.1.1.2</w:t>
      </w:r>
      <w:r w:rsidRPr="004E6CFC">
        <w:rPr>
          <w:iCs/>
        </w:rPr>
        <w:fldChar w:fldCharType="end"/>
      </w:r>
      <w:r w:rsidRPr="004E6CFC">
        <w:rPr>
          <w:iCs/>
        </w:rPr>
        <w:t>.</w:t>
      </w:r>
    </w:p>
    <w:p w:rsidR="00407449" w:rsidRPr="004E6CFC" w:rsidRDefault="00407449" w:rsidP="00407449">
      <w:pPr>
        <w:pStyle w:val="Ttulo5"/>
        <w:ind w:left="1304" w:hanging="1304"/>
      </w:pPr>
      <w:bookmarkStart w:id="521" w:name="_Ref476823468"/>
      <w:r w:rsidRPr="004E6CFC">
        <w:t>Ingreso anual por incentivos de calidad media</w:t>
      </w:r>
      <w:bookmarkEnd w:id="521"/>
    </w:p>
    <w:p w:rsidR="00407449" w:rsidRPr="004E6CFC" w:rsidRDefault="00407449" w:rsidP="00407449">
      <w:pPr>
        <w:rPr>
          <w:lang w:val="es-CO"/>
        </w:rPr>
      </w:pPr>
      <w:r w:rsidRPr="004E6CFC">
        <w:t>Los incentivos obtenidos por el desempeño en la calidad media, que serán aplicados en el ingreso de cada OR, se determinan de la siguiente manera</w:t>
      </w:r>
      <w:r w:rsidRPr="004E6CFC">
        <w:rPr>
          <w:lang w:val="es-ES_tradnl"/>
        </w:rPr>
        <w:t>:</w:t>
      </w:r>
    </w:p>
    <w:p w:rsidR="00407449" w:rsidRPr="004E6CFC" w:rsidRDefault="00C9592F" w:rsidP="00407449">
      <m:oMathPara>
        <m:oMath>
          <m:sSub>
            <m:sSubPr>
              <m:ctrlPr>
                <w:rPr>
                  <w:rFonts w:ascii="Cambria Math" w:hAnsi="Cambria Math"/>
                </w:rPr>
              </m:ctrlPr>
            </m:sSubPr>
            <m:e>
              <m:r>
                <w:rPr>
                  <w:rFonts w:ascii="Cambria Math" w:hAnsi="Cambria Math"/>
                </w:rPr>
                <m:t>INCC</m:t>
              </m:r>
            </m:e>
            <m:sub>
              <m:r>
                <w:rPr>
                  <w:rFonts w:ascii="Cambria Math" w:hAnsi="Cambria Math"/>
                </w:rPr>
                <m:t>j</m:t>
              </m:r>
              <m:r>
                <m:rPr>
                  <m:sty m:val="p"/>
                </m:rPr>
                <w:rPr>
                  <w:rFonts w:ascii="Cambria Math" w:hAnsi="Cambria Math"/>
                </w:rPr>
                <m:t>,</m:t>
              </m:r>
              <m:r>
                <w:rPr>
                  <w:rFonts w:ascii="Cambria Math" w:hAnsi="Cambria Math"/>
                </w:rPr>
                <m:t>n</m:t>
              </m:r>
              <m:r>
                <m:rPr>
                  <m:sty m:val="p"/>
                </m:rPr>
                <w:rPr>
                  <w:rFonts w:ascii="Cambria Math" w:hAnsi="Cambria Math"/>
                </w:rPr>
                <m:t>,</m:t>
              </m:r>
              <m:r>
                <w:rPr>
                  <w:rFonts w:ascii="Cambria Math" w:hAnsi="Cambria Math"/>
                </w:rPr>
                <m:t>t</m:t>
              </m:r>
            </m:sub>
          </m:sSub>
          <m:r>
            <m:rPr>
              <m:sty m:val="p"/>
            </m:rPr>
            <w:rPr>
              <w:rFonts w:ascii="Cambria Math" w:hAnsi="Cambria Math"/>
            </w:rPr>
            <m:t>=</m:t>
          </m:r>
          <m:sSub>
            <m:sSubPr>
              <m:ctrlPr>
                <w:rPr>
                  <w:rFonts w:ascii="Cambria Math" w:hAnsi="Cambria Math"/>
                  <w:i/>
                </w:rPr>
              </m:ctrlPr>
            </m:sSubPr>
            <m:e>
              <m:r>
                <w:rPr>
                  <w:rFonts w:ascii="Cambria Math" w:hAnsi="Cambria Math"/>
                </w:rPr>
                <m:t>INCD</m:t>
              </m:r>
            </m:e>
            <m:sub>
              <m:r>
                <w:rPr>
                  <w:rFonts w:ascii="Cambria Math" w:hAnsi="Cambria Math"/>
                </w:rPr>
                <m:t>j,n,t</m:t>
              </m:r>
            </m:sub>
          </m:sSub>
          <m:r>
            <m:rPr>
              <m:sty m:val="p"/>
            </m:rPr>
            <w:rPr>
              <w:rFonts w:ascii="Cambria Math" w:hAnsi="Cambria Math"/>
            </w:rPr>
            <m:t>+</m:t>
          </m:r>
          <m:sSub>
            <m:sSubPr>
              <m:ctrlPr>
                <w:rPr>
                  <w:rFonts w:ascii="Cambria Math" w:hAnsi="Cambria Math"/>
                  <w:i/>
                </w:rPr>
              </m:ctrlPr>
            </m:sSubPr>
            <m:e>
              <m:r>
                <w:rPr>
                  <w:rFonts w:ascii="Cambria Math" w:hAnsi="Cambria Math"/>
                </w:rPr>
                <m:t>INCF</m:t>
              </m:r>
            </m:e>
            <m:sub>
              <m:r>
                <w:rPr>
                  <w:rFonts w:ascii="Cambria Math" w:hAnsi="Cambria Math"/>
                </w:rPr>
                <m:t>j,n,t</m:t>
              </m:r>
            </m:sub>
          </m:sSub>
        </m:oMath>
      </m:oMathPara>
    </w:p>
    <w:p w:rsidR="00407449" w:rsidRPr="004E6CFC" w:rsidRDefault="00C9592F" w:rsidP="00407449">
      <w:pPr>
        <w:rPr>
          <w:lang w:val="en-US"/>
        </w:rPr>
      </w:pPr>
      <m:oMathPara>
        <m:oMath>
          <m:sSub>
            <m:sSubPr>
              <m:ctrlPr>
                <w:rPr>
                  <w:rFonts w:ascii="Cambria Math" w:hAnsi="Cambria Math"/>
                  <w:i/>
                </w:rPr>
              </m:ctrlPr>
            </m:sSubPr>
            <m:e>
              <m:r>
                <w:rPr>
                  <w:rFonts w:ascii="Cambria Math" w:hAnsi="Cambria Math"/>
                </w:rPr>
                <m:t>INCD</m:t>
              </m:r>
            </m:e>
            <m:sub>
              <m:r>
                <w:rPr>
                  <w:rFonts w:ascii="Cambria Math" w:hAnsi="Cambria Math"/>
                </w:rPr>
                <m:t>j</m:t>
              </m:r>
              <m:r>
                <w:rPr>
                  <w:rFonts w:ascii="Cambria Math" w:hAnsi="Cambria Math"/>
                  <w:lang w:val="en-US"/>
                </w:rPr>
                <m:t>,</m:t>
              </m:r>
              <m:r>
                <w:rPr>
                  <w:rFonts w:ascii="Cambria Math" w:hAnsi="Cambria Math"/>
                </w:rPr>
                <m:t>n</m:t>
              </m:r>
              <m:r>
                <w:rPr>
                  <w:rFonts w:ascii="Cambria Math" w:hAnsi="Cambria Math"/>
                  <w:lang w:val="en-US"/>
                </w:rPr>
                <m:t>,</m:t>
              </m:r>
              <m:r>
                <w:rPr>
                  <w:rFonts w:ascii="Cambria Math" w:hAnsi="Cambria Math"/>
                </w:rPr>
                <m:t>t</m:t>
              </m:r>
            </m:sub>
          </m:sSub>
          <m:r>
            <m:rPr>
              <m:sty m:val="p"/>
            </m:rPr>
            <w:rPr>
              <w:rFonts w:ascii="Cambria Math" w:hAnsi="Cambria Math"/>
              <w:lang w:val="en-US"/>
            </w:rPr>
            <m:t>=</m:t>
          </m:r>
          <m:sSub>
            <m:sSubPr>
              <m:ctrlPr>
                <w:rPr>
                  <w:rFonts w:ascii="Cambria Math" w:hAnsi="Cambria Math"/>
                  <w:i/>
                  <w:lang w:val="en-US"/>
                </w:rPr>
              </m:ctrlPr>
            </m:sSubPr>
            <m:e>
              <m:r>
                <w:rPr>
                  <w:rFonts w:ascii="Cambria Math" w:hAnsi="Cambria Math"/>
                  <w:lang w:val="en-US"/>
                </w:rPr>
                <m:t>IC_SAIDI</m:t>
              </m:r>
            </m:e>
            <m:sub>
              <m:r>
                <w:rPr>
                  <w:rFonts w:ascii="Cambria Math" w:hAnsi="Cambria Math"/>
                  <w:lang w:val="en-US"/>
                </w:rPr>
                <m:t>t,j</m:t>
              </m:r>
            </m:sub>
          </m:sSub>
          <m:r>
            <w:rPr>
              <w:rFonts w:ascii="Cambria Math" w:hAnsi="Cambria Math"/>
              <w:lang w:val="en-US"/>
            </w:rPr>
            <m:t>*</m:t>
          </m:r>
          <m:f>
            <m:fPr>
              <m:ctrlPr>
                <w:rPr>
                  <w:rFonts w:ascii="Cambria Math" w:hAnsi="Cambria Math"/>
                  <w:i/>
                  <w:lang w:val="en-US"/>
                </w:rPr>
              </m:ctrlPr>
            </m:fPr>
            <m:num>
              <m:sSub>
                <m:sSubPr>
                  <m:ctrlPr>
                    <w:rPr>
                      <w:rFonts w:ascii="Cambria Math" w:hAnsi="Cambria Math"/>
                      <w:i/>
                    </w:rPr>
                  </m:ctrlPr>
                </m:sSubPr>
                <m:e>
                  <m:r>
                    <w:rPr>
                      <w:rFonts w:ascii="Cambria Math" w:hAnsi="Cambria Math"/>
                    </w:rPr>
                    <m:t>BRAE</m:t>
                  </m:r>
                </m:e>
                <m:sub>
                  <m:r>
                    <w:rPr>
                      <w:rFonts w:ascii="Cambria Math" w:hAnsi="Cambria Math"/>
                    </w:rPr>
                    <m:t>j</m:t>
                  </m:r>
                  <m:r>
                    <w:rPr>
                      <w:rFonts w:ascii="Cambria Math"/>
                    </w:rPr>
                    <m:t>,n,0</m:t>
                  </m:r>
                </m:sub>
              </m:sSub>
            </m:num>
            <m:den>
              <m:nary>
                <m:naryPr>
                  <m:chr m:val="∑"/>
                  <m:limLoc m:val="undOvr"/>
                  <m:ctrlPr>
                    <w:rPr>
                      <w:rFonts w:ascii="Cambria Math" w:hAnsi="Cambria Math"/>
                      <w:i/>
                      <w:lang w:val="en-US"/>
                    </w:rPr>
                  </m:ctrlPr>
                </m:naryPr>
                <m:sub>
                  <m:r>
                    <w:rPr>
                      <w:rFonts w:ascii="Cambria Math" w:hAnsi="Cambria Math"/>
                      <w:lang w:val="en-US"/>
                    </w:rPr>
                    <m:t>n=1</m:t>
                  </m:r>
                </m:sub>
                <m:sup>
                  <m:r>
                    <w:rPr>
                      <w:rFonts w:ascii="Cambria Math" w:hAnsi="Cambria Math"/>
                      <w:lang w:val="en-US"/>
                    </w:rPr>
                    <m:t>3</m:t>
                  </m:r>
                </m:sup>
                <m:e>
                  <m:sSub>
                    <m:sSubPr>
                      <m:ctrlPr>
                        <w:rPr>
                          <w:rFonts w:ascii="Cambria Math" w:hAnsi="Cambria Math"/>
                          <w:i/>
                        </w:rPr>
                      </m:ctrlPr>
                    </m:sSubPr>
                    <m:e>
                      <m:r>
                        <w:rPr>
                          <w:rFonts w:ascii="Cambria Math" w:hAnsi="Cambria Math"/>
                        </w:rPr>
                        <m:t>BRAE</m:t>
                      </m:r>
                    </m:e>
                    <m:sub>
                      <m:r>
                        <w:rPr>
                          <w:rFonts w:ascii="Cambria Math" w:hAnsi="Cambria Math"/>
                        </w:rPr>
                        <m:t>j</m:t>
                      </m:r>
                      <m:r>
                        <w:rPr>
                          <w:rFonts w:ascii="Cambria Math"/>
                        </w:rPr>
                        <m:t>,n,0</m:t>
                      </m:r>
                    </m:sub>
                  </m:sSub>
                </m:e>
              </m:nary>
            </m:den>
          </m:f>
        </m:oMath>
      </m:oMathPara>
    </w:p>
    <w:p w:rsidR="00407449" w:rsidRPr="004E6CFC" w:rsidRDefault="00C9592F" w:rsidP="00407449">
      <w:pPr>
        <w:rPr>
          <w:lang w:val="en-US"/>
        </w:rPr>
      </w:pPr>
      <m:oMathPara>
        <m:oMath>
          <m:sSub>
            <m:sSubPr>
              <m:ctrlPr>
                <w:rPr>
                  <w:rFonts w:ascii="Cambria Math" w:hAnsi="Cambria Math"/>
                  <w:i/>
                </w:rPr>
              </m:ctrlPr>
            </m:sSubPr>
            <m:e>
              <m:r>
                <w:rPr>
                  <w:rFonts w:ascii="Cambria Math" w:hAnsi="Cambria Math"/>
                </w:rPr>
                <m:t>INCF</m:t>
              </m:r>
            </m:e>
            <m:sub>
              <m:r>
                <w:rPr>
                  <w:rFonts w:ascii="Cambria Math" w:hAnsi="Cambria Math"/>
                </w:rPr>
                <m:t>j</m:t>
              </m:r>
              <m:r>
                <w:rPr>
                  <w:rFonts w:ascii="Cambria Math" w:hAnsi="Cambria Math"/>
                  <w:lang w:val="en-US"/>
                </w:rPr>
                <m:t>,</m:t>
              </m:r>
              <m:r>
                <w:rPr>
                  <w:rFonts w:ascii="Cambria Math" w:hAnsi="Cambria Math"/>
                </w:rPr>
                <m:t>n</m:t>
              </m:r>
              <m:r>
                <w:rPr>
                  <w:rFonts w:ascii="Cambria Math" w:hAnsi="Cambria Math"/>
                  <w:lang w:val="en-US"/>
                </w:rPr>
                <m:t>,</m:t>
              </m:r>
              <m:r>
                <w:rPr>
                  <w:rFonts w:ascii="Cambria Math" w:hAnsi="Cambria Math"/>
                </w:rPr>
                <m:t>t</m:t>
              </m:r>
            </m:sub>
          </m:sSub>
          <m:r>
            <m:rPr>
              <m:sty m:val="p"/>
            </m:rPr>
            <w:rPr>
              <w:rFonts w:ascii="Cambria Math" w:hAnsi="Cambria Math"/>
              <w:lang w:val="en-US"/>
            </w:rPr>
            <m:t>=</m:t>
          </m:r>
          <m:sSub>
            <m:sSubPr>
              <m:ctrlPr>
                <w:rPr>
                  <w:rFonts w:ascii="Cambria Math" w:hAnsi="Cambria Math"/>
                  <w:i/>
                  <w:lang w:val="en-US"/>
                </w:rPr>
              </m:ctrlPr>
            </m:sSubPr>
            <m:e>
              <m:r>
                <w:rPr>
                  <w:rFonts w:ascii="Cambria Math" w:hAnsi="Cambria Math"/>
                  <w:lang w:val="en-US"/>
                </w:rPr>
                <m:t>IC_SAIFI</m:t>
              </m:r>
            </m:e>
            <m:sub>
              <m:r>
                <w:rPr>
                  <w:rFonts w:ascii="Cambria Math" w:hAnsi="Cambria Math"/>
                  <w:lang w:val="en-US"/>
                </w:rPr>
                <m:t>t,j</m:t>
              </m:r>
            </m:sub>
          </m:sSub>
          <m:r>
            <w:rPr>
              <w:rFonts w:ascii="Cambria Math" w:hAnsi="Cambria Math"/>
              <w:lang w:val="en-US"/>
            </w:rPr>
            <m:t>*</m:t>
          </m:r>
          <m:f>
            <m:fPr>
              <m:ctrlPr>
                <w:rPr>
                  <w:rFonts w:ascii="Cambria Math" w:hAnsi="Cambria Math"/>
                  <w:i/>
                  <w:lang w:val="en-US"/>
                </w:rPr>
              </m:ctrlPr>
            </m:fPr>
            <m:num>
              <m:sSub>
                <m:sSubPr>
                  <m:ctrlPr>
                    <w:rPr>
                      <w:rFonts w:ascii="Cambria Math" w:hAnsi="Cambria Math"/>
                      <w:i/>
                    </w:rPr>
                  </m:ctrlPr>
                </m:sSubPr>
                <m:e>
                  <m:r>
                    <w:rPr>
                      <w:rFonts w:ascii="Cambria Math" w:hAnsi="Cambria Math"/>
                    </w:rPr>
                    <m:t>BRAE</m:t>
                  </m:r>
                </m:e>
                <m:sub>
                  <m:r>
                    <w:rPr>
                      <w:rFonts w:ascii="Cambria Math" w:hAnsi="Cambria Math"/>
                    </w:rPr>
                    <m:t>j</m:t>
                  </m:r>
                  <m:r>
                    <w:rPr>
                      <w:rFonts w:ascii="Cambria Math"/>
                    </w:rPr>
                    <m:t>,n,0</m:t>
                  </m:r>
                </m:sub>
              </m:sSub>
            </m:num>
            <m:den>
              <m:nary>
                <m:naryPr>
                  <m:chr m:val="∑"/>
                  <m:limLoc m:val="undOvr"/>
                  <m:ctrlPr>
                    <w:rPr>
                      <w:rFonts w:ascii="Cambria Math" w:hAnsi="Cambria Math"/>
                      <w:i/>
                      <w:lang w:val="en-US"/>
                    </w:rPr>
                  </m:ctrlPr>
                </m:naryPr>
                <m:sub>
                  <m:r>
                    <w:rPr>
                      <w:rFonts w:ascii="Cambria Math" w:hAnsi="Cambria Math"/>
                      <w:lang w:val="en-US"/>
                    </w:rPr>
                    <m:t>n=1</m:t>
                  </m:r>
                </m:sub>
                <m:sup>
                  <m:r>
                    <w:rPr>
                      <w:rFonts w:ascii="Cambria Math" w:hAnsi="Cambria Math"/>
                      <w:lang w:val="en-US"/>
                    </w:rPr>
                    <m:t>3</m:t>
                  </m:r>
                </m:sup>
                <m:e>
                  <m:sSub>
                    <m:sSubPr>
                      <m:ctrlPr>
                        <w:rPr>
                          <w:rFonts w:ascii="Cambria Math" w:hAnsi="Cambria Math"/>
                          <w:i/>
                        </w:rPr>
                      </m:ctrlPr>
                    </m:sSubPr>
                    <m:e>
                      <m:r>
                        <w:rPr>
                          <w:rFonts w:ascii="Cambria Math" w:hAnsi="Cambria Math"/>
                        </w:rPr>
                        <m:t>BRAE</m:t>
                      </m:r>
                    </m:e>
                    <m:sub>
                      <m:r>
                        <w:rPr>
                          <w:rFonts w:ascii="Cambria Math" w:hAnsi="Cambria Math"/>
                        </w:rPr>
                        <m:t>j</m:t>
                      </m:r>
                      <m:r>
                        <w:rPr>
                          <w:rFonts w:ascii="Cambria Math"/>
                        </w:rPr>
                        <m:t>,n,0</m:t>
                      </m:r>
                    </m:sub>
                  </m:sSub>
                </m:e>
              </m:nary>
            </m:den>
          </m:f>
        </m:oMath>
      </m:oMathPara>
    </w:p>
    <w:p w:rsidR="00407449" w:rsidRPr="004E6CFC" w:rsidRDefault="00407449" w:rsidP="00407449"/>
    <w:p w:rsidR="00407449" w:rsidRPr="004E6CFC" w:rsidRDefault="00407449" w:rsidP="00407449">
      <w:r w:rsidRPr="004E6CFC">
        <w:t>Donde:</w:t>
      </w:r>
    </w:p>
    <w:p w:rsidR="00407449" w:rsidRPr="004E6CFC" w:rsidRDefault="00407449" w:rsidP="00407449">
      <w:pPr>
        <w:ind w:left="1416" w:hanging="1416"/>
      </w:pPr>
      <w:r w:rsidRPr="004E6CFC">
        <w:rPr>
          <w:i/>
          <w:iCs/>
        </w:rPr>
        <w:t>INCC</w:t>
      </w:r>
      <w:r w:rsidRPr="004E6CFC">
        <w:rPr>
          <w:i/>
          <w:iCs/>
          <w:vertAlign w:val="subscript"/>
        </w:rPr>
        <w:t>j,n,t</w:t>
      </w:r>
      <w:r w:rsidRPr="004E6CFC">
        <w:t>:</w:t>
      </w:r>
      <w:r>
        <w:tab/>
      </w:r>
      <w:r w:rsidRPr="004E6CFC">
        <w:t xml:space="preserve">Ingreso anual por incentivos asociados con la calidad del servicio </w:t>
      </w:r>
      <w:r w:rsidRPr="004E6CFC">
        <w:rPr>
          <w:iCs/>
        </w:rPr>
        <w:t>del</w:t>
      </w:r>
      <w:r w:rsidRPr="004E6CFC">
        <w:rPr>
          <w:i/>
          <w:iCs/>
        </w:rPr>
        <w:t xml:space="preserve"> </w:t>
      </w:r>
      <w:r w:rsidRPr="004E6CFC">
        <w:t xml:space="preserve">OR </w:t>
      </w:r>
      <w:r w:rsidRPr="004E6CFC">
        <w:rPr>
          <w:i/>
          <w:iCs/>
        </w:rPr>
        <w:t xml:space="preserve">j </w:t>
      </w:r>
      <w:r w:rsidRPr="004E6CFC">
        <w:t xml:space="preserve">en el nivel de tensión </w:t>
      </w:r>
      <w:r w:rsidRPr="004E6CFC">
        <w:rPr>
          <w:i/>
          <w:iCs/>
        </w:rPr>
        <w:t>n</w:t>
      </w:r>
      <w:r w:rsidRPr="004E6CFC">
        <w:rPr>
          <w:iCs/>
        </w:rPr>
        <w:t>,</w:t>
      </w:r>
      <w:r w:rsidRPr="004E6CFC">
        <w:t xml:space="preserve"> en el año </w:t>
      </w:r>
      <w:r w:rsidRPr="004E6CFC">
        <w:rPr>
          <w:i/>
        </w:rPr>
        <w:t>t.</w:t>
      </w:r>
    </w:p>
    <w:p w:rsidR="00407449" w:rsidRPr="004E6CFC" w:rsidRDefault="00407449" w:rsidP="00407449">
      <w:pPr>
        <w:ind w:left="1416" w:hanging="1416"/>
      </w:pPr>
      <w:r w:rsidRPr="004E6CFC">
        <w:rPr>
          <w:i/>
          <w:iCs/>
        </w:rPr>
        <w:t>INCD</w:t>
      </w:r>
      <w:r w:rsidRPr="004E6CFC">
        <w:rPr>
          <w:i/>
          <w:iCs/>
          <w:vertAlign w:val="subscript"/>
        </w:rPr>
        <w:t>j,n,t</w:t>
      </w:r>
      <w:r w:rsidRPr="004E6CFC">
        <w:t>:</w:t>
      </w:r>
      <w:r w:rsidRPr="004E6CFC">
        <w:tab/>
        <w:t xml:space="preserve">Ingreso anual por incentivos asociados con la calidad del servicio relativa a los indicadores de duración del nivel de tensión </w:t>
      </w:r>
      <w:r w:rsidRPr="004E6CFC">
        <w:rPr>
          <w:i/>
          <w:iCs/>
        </w:rPr>
        <w:t>n</w:t>
      </w:r>
      <w:r w:rsidRPr="004E6CFC">
        <w:rPr>
          <w:iCs/>
        </w:rPr>
        <w:t>,</w:t>
      </w:r>
      <w:r w:rsidRPr="004E6CFC">
        <w:rPr>
          <w:i/>
          <w:iCs/>
        </w:rPr>
        <w:t xml:space="preserve"> </w:t>
      </w:r>
      <w:r w:rsidRPr="004E6CFC">
        <w:rPr>
          <w:iCs/>
        </w:rPr>
        <w:t>del</w:t>
      </w:r>
      <w:r w:rsidRPr="004E6CFC">
        <w:rPr>
          <w:i/>
          <w:iCs/>
        </w:rPr>
        <w:t xml:space="preserve"> </w:t>
      </w:r>
      <w:r w:rsidRPr="004E6CFC">
        <w:t xml:space="preserve">OR </w:t>
      </w:r>
      <w:r w:rsidRPr="004E6CFC">
        <w:rPr>
          <w:i/>
          <w:iCs/>
        </w:rPr>
        <w:t>j</w:t>
      </w:r>
      <w:r w:rsidRPr="004E6CFC">
        <w:rPr>
          <w:iCs/>
        </w:rPr>
        <w:t>,</w:t>
      </w:r>
      <w:r w:rsidRPr="004E6CFC">
        <w:t xml:space="preserve"> en el año </w:t>
      </w:r>
      <w:r w:rsidRPr="004E6CFC">
        <w:rPr>
          <w:i/>
        </w:rPr>
        <w:t>t.</w:t>
      </w:r>
    </w:p>
    <w:p w:rsidR="00407449" w:rsidRPr="004E6CFC" w:rsidRDefault="00407449" w:rsidP="00407449">
      <w:pPr>
        <w:ind w:left="1416" w:hanging="1416"/>
        <w:rPr>
          <w:i/>
        </w:rPr>
      </w:pPr>
      <w:r w:rsidRPr="004E6CFC">
        <w:rPr>
          <w:i/>
          <w:iCs/>
        </w:rPr>
        <w:t>INCF</w:t>
      </w:r>
      <w:r w:rsidRPr="004E6CFC">
        <w:rPr>
          <w:i/>
          <w:iCs/>
          <w:vertAlign w:val="subscript"/>
        </w:rPr>
        <w:t>j,n,t</w:t>
      </w:r>
      <w:r w:rsidRPr="004E6CFC">
        <w:t>:</w:t>
      </w:r>
      <w:r w:rsidRPr="004E6CFC">
        <w:tab/>
        <w:t xml:space="preserve">Ingreso anual por incentivos asociados con la calidad del servicio relativa a los indicadores de frecuencia del nivel de tensión </w:t>
      </w:r>
      <w:r w:rsidRPr="004E6CFC">
        <w:rPr>
          <w:i/>
          <w:iCs/>
        </w:rPr>
        <w:t>n</w:t>
      </w:r>
      <w:r w:rsidRPr="004E6CFC">
        <w:rPr>
          <w:iCs/>
        </w:rPr>
        <w:t>,</w:t>
      </w:r>
      <w:r w:rsidRPr="004E6CFC">
        <w:rPr>
          <w:i/>
          <w:iCs/>
        </w:rPr>
        <w:t xml:space="preserve"> </w:t>
      </w:r>
      <w:r w:rsidRPr="004E6CFC">
        <w:rPr>
          <w:iCs/>
        </w:rPr>
        <w:t>del</w:t>
      </w:r>
      <w:r w:rsidRPr="004E6CFC">
        <w:rPr>
          <w:i/>
          <w:iCs/>
        </w:rPr>
        <w:t xml:space="preserve"> </w:t>
      </w:r>
      <w:r w:rsidRPr="004E6CFC">
        <w:t xml:space="preserve">OR </w:t>
      </w:r>
      <w:r w:rsidRPr="004E6CFC">
        <w:rPr>
          <w:i/>
          <w:iCs/>
        </w:rPr>
        <w:t>j</w:t>
      </w:r>
      <w:r w:rsidRPr="004E6CFC">
        <w:rPr>
          <w:iCs/>
        </w:rPr>
        <w:t>,</w:t>
      </w:r>
      <w:r w:rsidRPr="004E6CFC">
        <w:t xml:space="preserve"> en el año </w:t>
      </w:r>
      <w:r w:rsidRPr="004E6CFC">
        <w:rPr>
          <w:i/>
        </w:rPr>
        <w:t>t.</w:t>
      </w:r>
    </w:p>
    <w:p w:rsidR="00407449" w:rsidRPr="00F175CE" w:rsidRDefault="00407449" w:rsidP="00407449">
      <w:pPr>
        <w:ind w:left="1416" w:hanging="1416"/>
        <w:rPr>
          <w:i/>
          <w:iCs/>
        </w:rPr>
      </w:pPr>
      <w:r w:rsidRPr="009A6214">
        <w:rPr>
          <w:i/>
          <w:iCs/>
        </w:rPr>
        <w:t>IC_SAIDI</w:t>
      </w:r>
      <w:r w:rsidRPr="009A6214">
        <w:rPr>
          <w:i/>
          <w:iCs/>
          <w:vertAlign w:val="subscript"/>
        </w:rPr>
        <w:t>t,j</w:t>
      </w:r>
      <w:r w:rsidRPr="009A6214">
        <w:rPr>
          <w:i/>
          <w:iCs/>
        </w:rPr>
        <w:t>:</w:t>
      </w:r>
      <w:r w:rsidRPr="00F175CE">
        <w:rPr>
          <w:i/>
          <w:iCs/>
        </w:rPr>
        <w:tab/>
      </w:r>
      <w:r w:rsidRPr="009A6214">
        <w:rPr>
          <w:iCs/>
        </w:rPr>
        <w:t xml:space="preserve">Incentivo de calidad aplicable al OR </w:t>
      </w:r>
      <w:r w:rsidRPr="009A6214">
        <w:rPr>
          <w:i/>
          <w:iCs/>
        </w:rPr>
        <w:t>j</w:t>
      </w:r>
      <w:r w:rsidRPr="00F175CE">
        <w:rPr>
          <w:iCs/>
        </w:rPr>
        <w:t>,</w:t>
      </w:r>
      <w:r w:rsidRPr="009A6214">
        <w:rPr>
          <w:iCs/>
        </w:rPr>
        <w:t xml:space="preserve"> durante el año </w:t>
      </w:r>
      <w:r w:rsidRPr="009A6214">
        <w:rPr>
          <w:i/>
          <w:iCs/>
        </w:rPr>
        <w:t>t</w:t>
      </w:r>
      <w:r w:rsidRPr="009A6214">
        <w:rPr>
          <w:iCs/>
        </w:rPr>
        <w:t xml:space="preserve"> del periodo tarifario, calculado como se establece en el numeral </w:t>
      </w:r>
      <w:r w:rsidRPr="009A6214">
        <w:rPr>
          <w:iCs/>
        </w:rPr>
        <w:fldChar w:fldCharType="begin"/>
      </w:r>
      <w:r w:rsidRPr="00F175CE">
        <w:rPr>
          <w:iCs/>
        </w:rPr>
        <w:instrText xml:space="preserve"> REF _Ref504567456 \r \h  \* MERGEFORMAT </w:instrText>
      </w:r>
      <w:r w:rsidRPr="009A6214">
        <w:rPr>
          <w:iCs/>
        </w:rPr>
      </w:r>
      <w:r w:rsidRPr="009A6214">
        <w:rPr>
          <w:iCs/>
        </w:rPr>
        <w:fldChar w:fldCharType="separate"/>
      </w:r>
      <w:r w:rsidR="00737178">
        <w:rPr>
          <w:iCs/>
        </w:rPr>
        <w:t>5.2.3.2.2.1</w:t>
      </w:r>
      <w:r w:rsidRPr="009A6214">
        <w:rPr>
          <w:iCs/>
        </w:rPr>
        <w:fldChar w:fldCharType="end"/>
      </w:r>
      <w:r w:rsidRPr="00F175CE">
        <w:rPr>
          <w:i/>
          <w:iCs/>
        </w:rPr>
        <w:t>.</w:t>
      </w:r>
    </w:p>
    <w:p w:rsidR="00407449" w:rsidRPr="00F175CE" w:rsidRDefault="00407449" w:rsidP="00407449">
      <w:pPr>
        <w:ind w:left="1416" w:hanging="1416"/>
        <w:rPr>
          <w:i/>
          <w:iCs/>
        </w:rPr>
      </w:pPr>
      <w:r w:rsidRPr="009A6214">
        <w:rPr>
          <w:i/>
          <w:iCs/>
        </w:rPr>
        <w:t>IC_SAIFI</w:t>
      </w:r>
      <w:r w:rsidRPr="009A6214">
        <w:rPr>
          <w:i/>
          <w:iCs/>
          <w:vertAlign w:val="subscript"/>
        </w:rPr>
        <w:t>t,j</w:t>
      </w:r>
      <w:r w:rsidRPr="009A6214">
        <w:rPr>
          <w:i/>
          <w:iCs/>
        </w:rPr>
        <w:t>:</w:t>
      </w:r>
      <w:r w:rsidRPr="00F175CE">
        <w:rPr>
          <w:i/>
          <w:iCs/>
        </w:rPr>
        <w:tab/>
      </w:r>
      <w:r w:rsidRPr="009A6214">
        <w:rPr>
          <w:iCs/>
        </w:rPr>
        <w:t xml:space="preserve">Incentivo de calidad aplicable al OR </w:t>
      </w:r>
      <w:r w:rsidRPr="009A6214">
        <w:rPr>
          <w:i/>
          <w:iCs/>
        </w:rPr>
        <w:t>j</w:t>
      </w:r>
      <w:r w:rsidRPr="009A6214">
        <w:rPr>
          <w:iCs/>
        </w:rPr>
        <w:t xml:space="preserve"> durante el año </w:t>
      </w:r>
      <w:r w:rsidRPr="009A6214">
        <w:rPr>
          <w:i/>
          <w:iCs/>
        </w:rPr>
        <w:t>t</w:t>
      </w:r>
      <w:r w:rsidRPr="00F175CE">
        <w:rPr>
          <w:i/>
          <w:iCs/>
        </w:rPr>
        <w:t xml:space="preserve"> </w:t>
      </w:r>
      <w:r w:rsidRPr="009A6214">
        <w:rPr>
          <w:iCs/>
        </w:rPr>
        <w:t xml:space="preserve">del periodo tarifario, calculado como se establece en el numeral </w:t>
      </w:r>
      <w:r w:rsidRPr="009A6214">
        <w:rPr>
          <w:iCs/>
        </w:rPr>
        <w:fldChar w:fldCharType="begin"/>
      </w:r>
      <w:r w:rsidRPr="00F175CE">
        <w:rPr>
          <w:iCs/>
        </w:rPr>
        <w:instrText xml:space="preserve"> REF _Ref406491644 \r \h  \* MERGEFORMAT </w:instrText>
      </w:r>
      <w:r w:rsidRPr="009A6214">
        <w:rPr>
          <w:iCs/>
        </w:rPr>
      </w:r>
      <w:r w:rsidRPr="009A6214">
        <w:rPr>
          <w:iCs/>
        </w:rPr>
        <w:fldChar w:fldCharType="separate"/>
      </w:r>
      <w:r w:rsidR="00737178">
        <w:rPr>
          <w:iCs/>
        </w:rPr>
        <w:t>5.2.3.2.2.2</w:t>
      </w:r>
      <w:r w:rsidRPr="009A6214">
        <w:rPr>
          <w:iCs/>
        </w:rPr>
        <w:fldChar w:fldCharType="end"/>
      </w:r>
      <w:r w:rsidRPr="009A6214">
        <w:rPr>
          <w:iCs/>
        </w:rPr>
        <w:t>.</w:t>
      </w:r>
    </w:p>
    <w:p w:rsidR="00407449" w:rsidRPr="00974332" w:rsidRDefault="00407449" w:rsidP="00407449">
      <w:pPr>
        <w:ind w:left="1416" w:hanging="1416"/>
        <w:rPr>
          <w:i/>
          <w:iCs/>
        </w:rPr>
      </w:pPr>
      <w:r w:rsidRPr="009A6214">
        <w:rPr>
          <w:i/>
          <w:iCs/>
        </w:rPr>
        <w:t>BRAE</w:t>
      </w:r>
      <w:r w:rsidRPr="009A6214">
        <w:rPr>
          <w:i/>
          <w:iCs/>
          <w:vertAlign w:val="subscript"/>
        </w:rPr>
        <w:t>j,n,o</w:t>
      </w:r>
      <w:r w:rsidRPr="009A6214">
        <w:rPr>
          <w:i/>
          <w:iCs/>
        </w:rPr>
        <w:t>:</w:t>
      </w:r>
      <w:r w:rsidRPr="00F175CE">
        <w:rPr>
          <w:i/>
          <w:iCs/>
        </w:rPr>
        <w:tab/>
      </w:r>
      <w:r w:rsidRPr="009A6214">
        <w:rPr>
          <w:iCs/>
        </w:rPr>
        <w:t xml:space="preserve">Base regulatoria de activos eléctricos del nivel de tensión </w:t>
      </w:r>
      <w:r w:rsidRPr="00F175CE">
        <w:rPr>
          <w:i/>
          <w:iCs/>
        </w:rPr>
        <w:t>n</w:t>
      </w:r>
      <w:r>
        <w:rPr>
          <w:iCs/>
        </w:rPr>
        <w:t>,</w:t>
      </w:r>
      <w:r w:rsidRPr="009A6214">
        <w:rPr>
          <w:iCs/>
        </w:rPr>
        <w:t xml:space="preserve"> al inicio del periodo tarifario, según lo establecido en el numeral </w:t>
      </w:r>
      <w:r w:rsidRPr="009A6214">
        <w:rPr>
          <w:iCs/>
        </w:rPr>
        <w:fldChar w:fldCharType="begin"/>
      </w:r>
      <w:r w:rsidRPr="00220DAE">
        <w:rPr>
          <w:iCs/>
        </w:rPr>
        <w:instrText xml:space="preserve"> REF _Ref408308421 \r \h  \* MERGEFORMAT </w:instrText>
      </w:r>
      <w:r w:rsidRPr="009A6214">
        <w:rPr>
          <w:iCs/>
        </w:rPr>
      </w:r>
      <w:r w:rsidRPr="009A6214">
        <w:rPr>
          <w:iCs/>
        </w:rPr>
        <w:fldChar w:fldCharType="separate"/>
      </w:r>
      <w:r w:rsidR="00737178">
        <w:rPr>
          <w:iCs/>
        </w:rPr>
        <w:t>3.1.1.1</w:t>
      </w:r>
      <w:r w:rsidRPr="009A6214">
        <w:rPr>
          <w:iCs/>
        </w:rPr>
        <w:fldChar w:fldCharType="end"/>
      </w:r>
      <w:r w:rsidRPr="009A6214">
        <w:rPr>
          <w:iCs/>
        </w:rPr>
        <w:t>.</w:t>
      </w:r>
    </w:p>
    <w:p w:rsidR="00407449" w:rsidRDefault="00407449" w:rsidP="00407449">
      <w:pPr>
        <w:pStyle w:val="Ttulo3"/>
      </w:pPr>
      <w:bookmarkStart w:id="522" w:name="_Ref476812416"/>
      <w:bookmarkStart w:id="523" w:name="_Toc505070094"/>
      <w:bookmarkStart w:id="524" w:name="_Toc505335950"/>
      <w:r w:rsidRPr="004E6CFC">
        <w:t>Niveles de calidad individual</w:t>
      </w:r>
      <w:bookmarkEnd w:id="522"/>
      <w:bookmarkEnd w:id="523"/>
      <w:bookmarkEnd w:id="524"/>
    </w:p>
    <w:p w:rsidR="00944106" w:rsidRPr="004E6CFC" w:rsidRDefault="00944106" w:rsidP="00944106">
      <w:r w:rsidRPr="004E6CFC">
        <w:t>Los niveles de calidad individual del servicio en los SDL se identificarán a través de los indicadores DIU y FIU que se describen más adelante. Estos indicadores se utilizarán para identificar los niveles mínimos de calidad que deben garantizar los OR, así como los niveles individuales de calidad brindada mensual y anualmente por los OR por grupo de calidad. La comparación entre los mínimos garantizados y la calidad individual brindada dará lugar a la aplicación del esquema de compensaciones descrito en el numeral</w:t>
      </w:r>
      <w:r w:rsidR="000C43B5">
        <w:t xml:space="preserve"> </w:t>
      </w:r>
      <w:r w:rsidR="000C43B5">
        <w:fldChar w:fldCharType="begin"/>
      </w:r>
      <w:r w:rsidR="000C43B5">
        <w:instrText xml:space="preserve"> REF _Ref504828894 \r \h </w:instrText>
      </w:r>
      <w:r w:rsidR="000C43B5">
        <w:fldChar w:fldCharType="separate"/>
      </w:r>
      <w:r w:rsidR="00737178">
        <w:t>5.2.4.3</w:t>
      </w:r>
      <w:r w:rsidR="000C43B5">
        <w:fldChar w:fldCharType="end"/>
      </w:r>
      <w:r w:rsidRPr="004E6CFC">
        <w:t>.</w:t>
      </w:r>
    </w:p>
    <w:p w:rsidR="00944106" w:rsidRPr="004E6CFC" w:rsidRDefault="00944106" w:rsidP="00944106">
      <w:pPr>
        <w:pStyle w:val="Ttulo4"/>
      </w:pPr>
      <w:r w:rsidRPr="004E6CFC">
        <w:lastRenderedPageBreak/>
        <w:t>Grupos de calidad para la medición individual</w:t>
      </w:r>
    </w:p>
    <w:p w:rsidR="00944106" w:rsidRPr="004E6CFC" w:rsidRDefault="00944106" w:rsidP="00944106">
      <w:pPr>
        <w:pStyle w:val="Default"/>
        <w:jc w:val="both"/>
        <w:rPr>
          <w:rFonts w:ascii="Bookman Old Style" w:hAnsi="Bookman Old Style"/>
          <w:color w:val="auto"/>
        </w:rPr>
      </w:pPr>
      <w:r w:rsidRPr="004E6CFC">
        <w:rPr>
          <w:rFonts w:ascii="Bookman Old Style" w:hAnsi="Bookman Old Style"/>
          <w:color w:val="auto"/>
        </w:rPr>
        <w:t xml:space="preserve">Los grupos de calidad identifican zonas geográficas cuya unidad mínima es el área urbana o rural de un municipio; estas zonas comparten características similares en términos del nivel de ruralidad y del riesgo de falla que podrían tener los circuitos eléctricos allí ubicados debido a la presencia de factores físicos externos.  </w:t>
      </w:r>
    </w:p>
    <w:p w:rsidR="00944106" w:rsidRPr="004E6CFC" w:rsidRDefault="00944106" w:rsidP="00944106">
      <w:pPr>
        <w:pStyle w:val="Default"/>
        <w:jc w:val="both"/>
        <w:rPr>
          <w:rFonts w:ascii="Bookman Old Style" w:hAnsi="Bookman Old Style"/>
          <w:color w:val="auto"/>
        </w:rPr>
      </w:pPr>
    </w:p>
    <w:p w:rsidR="00944106" w:rsidRPr="004E6CFC" w:rsidRDefault="00944106" w:rsidP="00944106">
      <w:pPr>
        <w:pStyle w:val="Default"/>
        <w:jc w:val="both"/>
        <w:rPr>
          <w:rFonts w:ascii="Bookman Old Style" w:hAnsi="Bookman Old Style"/>
          <w:color w:val="auto"/>
        </w:rPr>
      </w:pPr>
      <w:r w:rsidRPr="004E6CFC">
        <w:rPr>
          <w:rFonts w:ascii="Bookman Old Style" w:hAnsi="Bookman Old Style"/>
          <w:color w:val="auto"/>
        </w:rPr>
        <w:t xml:space="preserve">El nivel de ruralidad se define clasificando los municipios en función del número total de sus habitantes según lo establezca el último censo oficial del DANE. Para este efecto se adoptan tres niveles de ruralidad: zona urbana de los municipios con una población total igual o superior a 100.000 habitantes, zona urbana de los municipios con una población total menor a 100.000 habitantes y zona rural de todos los municipios. La zona rural corresponderá estrictamente con las zonas que en cumplimiento del artículo 30 de la Ley 388 de 1997 hayan sido clasificadas como zonas rurales en el plan de ordenamiento territorial (POT) vigente de cada municipio. </w:t>
      </w:r>
    </w:p>
    <w:p w:rsidR="00944106" w:rsidRPr="004E6CFC" w:rsidRDefault="00944106" w:rsidP="00944106">
      <w:pPr>
        <w:pStyle w:val="Default"/>
        <w:jc w:val="both"/>
        <w:rPr>
          <w:rFonts w:ascii="Bookman Old Style" w:hAnsi="Bookman Old Style"/>
          <w:color w:val="auto"/>
        </w:rPr>
      </w:pPr>
    </w:p>
    <w:p w:rsidR="00944106" w:rsidRPr="004E6CFC" w:rsidRDefault="00944106" w:rsidP="00944106">
      <w:pPr>
        <w:pStyle w:val="Default"/>
        <w:jc w:val="both"/>
        <w:rPr>
          <w:rFonts w:ascii="Bookman Old Style" w:hAnsi="Bookman Old Style"/>
          <w:color w:val="auto"/>
        </w:rPr>
      </w:pPr>
      <w:r w:rsidRPr="004E6CFC">
        <w:rPr>
          <w:rFonts w:ascii="Bookman Old Style" w:hAnsi="Bookman Old Style"/>
          <w:color w:val="auto"/>
        </w:rPr>
        <w:t xml:space="preserve">El índice de riesgo de falla, IRF, define el riesgo asociado a la posible ocurrencia, severidad y afectación de factores climáticos, atmosféricos, topográficos y fisiográficos, como son el nivel ceráunico, la precipitación, la elevación sobre el nivel el mar, la densidad de descargas a tierra, los días con lluvia y la salinidad. Se adoptan tres niveles de riesgo: bajo, medio y alto, según sea el valor del IRF. </w:t>
      </w:r>
    </w:p>
    <w:p w:rsidR="00944106" w:rsidRPr="004E6CFC" w:rsidRDefault="00944106" w:rsidP="00944106">
      <w:pPr>
        <w:rPr>
          <w:lang w:val="es-CO"/>
        </w:rPr>
      </w:pPr>
      <w:r w:rsidRPr="004E6CFC">
        <w:rPr>
          <w:lang w:val="es-CO"/>
        </w:rPr>
        <w:t xml:space="preserve">Cada grupo de calidad es identificado mediante el nombre </w:t>
      </w:r>
      <w:r w:rsidRPr="004E6CFC">
        <w:rPr>
          <w:i/>
          <w:lang w:val="es-CO"/>
        </w:rPr>
        <w:t>grupo xy</w:t>
      </w:r>
      <w:r w:rsidRPr="004E6CFC">
        <w:rPr>
          <w:lang w:val="es-CO"/>
        </w:rPr>
        <w:t xml:space="preserve">, en donde la variable </w:t>
      </w:r>
      <w:r w:rsidRPr="004E6CFC">
        <w:rPr>
          <w:i/>
          <w:lang w:val="es-CO"/>
        </w:rPr>
        <w:t>x</w:t>
      </w:r>
      <w:r w:rsidRPr="004E6CFC">
        <w:rPr>
          <w:lang w:val="es-CO"/>
        </w:rPr>
        <w:t xml:space="preserve"> representa el nivel de ruralidad IR y la variable </w:t>
      </w:r>
      <w:r w:rsidRPr="004E6CFC">
        <w:rPr>
          <w:i/>
          <w:lang w:val="es-CO"/>
        </w:rPr>
        <w:t>y</w:t>
      </w:r>
      <w:r w:rsidRPr="004E6CFC">
        <w:rPr>
          <w:lang w:val="es-CO"/>
        </w:rPr>
        <w:t xml:space="preserve"> representa el nivel de riesgo IRF, según se indica a continuación:</w:t>
      </w:r>
    </w:p>
    <w:p w:rsidR="00944106" w:rsidRPr="004E6CFC" w:rsidRDefault="00944106" w:rsidP="00944106">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6</w:t>
      </w:r>
      <w:r w:rsidRPr="004E6CFC">
        <w:fldChar w:fldCharType="end"/>
      </w:r>
      <w:r w:rsidRPr="004E6CFC">
        <w:t xml:space="preserve"> Grupos de calidad</w:t>
      </w:r>
    </w:p>
    <w:tbl>
      <w:tblPr>
        <w:tblStyle w:val="Tablaconcuadrcula"/>
        <w:tblW w:w="8568" w:type="dxa"/>
        <w:jc w:val="center"/>
        <w:tblLook w:val="04A0" w:firstRow="1" w:lastRow="0" w:firstColumn="1" w:lastColumn="0" w:noHBand="0" w:noVBand="1"/>
      </w:tblPr>
      <w:tblGrid>
        <w:gridCol w:w="1418"/>
        <w:gridCol w:w="992"/>
        <w:gridCol w:w="1418"/>
        <w:gridCol w:w="443"/>
        <w:gridCol w:w="1412"/>
        <w:gridCol w:w="1620"/>
        <w:gridCol w:w="1265"/>
      </w:tblGrid>
      <w:tr w:rsidR="00944106" w:rsidRPr="004E6CFC" w:rsidTr="00FF69A3">
        <w:trPr>
          <w:trHeight w:val="192"/>
          <w:jc w:val="center"/>
        </w:trPr>
        <w:tc>
          <w:tcPr>
            <w:tcW w:w="1418" w:type="dxa"/>
            <w:tcBorders>
              <w:top w:val="nil"/>
              <w:left w:val="nil"/>
              <w:bottom w:val="nil"/>
              <w:right w:val="nil"/>
            </w:tcBorders>
          </w:tcPr>
          <w:p w:rsidR="00944106" w:rsidRPr="004E6CFC" w:rsidRDefault="00944106" w:rsidP="00FF69A3">
            <w:pPr>
              <w:spacing w:before="0" w:after="0"/>
              <w:contextualSpacing/>
              <w:rPr>
                <w:sz w:val="20"/>
                <w:szCs w:val="20"/>
                <w:lang w:val="es-CO"/>
              </w:rPr>
            </w:pPr>
          </w:p>
          <w:p w:rsidR="00944106" w:rsidRPr="004E6CFC" w:rsidRDefault="00944106" w:rsidP="00FF69A3">
            <w:pPr>
              <w:spacing w:before="0" w:after="0"/>
              <w:contextualSpacing/>
              <w:rPr>
                <w:sz w:val="20"/>
                <w:szCs w:val="20"/>
                <w:lang w:val="es-CO"/>
              </w:rPr>
            </w:pPr>
          </w:p>
        </w:tc>
        <w:tc>
          <w:tcPr>
            <w:tcW w:w="992" w:type="dxa"/>
            <w:tcBorders>
              <w:top w:val="nil"/>
              <w:left w:val="nil"/>
              <w:bottom w:val="nil"/>
              <w:right w:val="nil"/>
            </w:tcBorders>
          </w:tcPr>
          <w:p w:rsidR="00944106" w:rsidRPr="004E6CFC" w:rsidRDefault="00944106" w:rsidP="00FF69A3">
            <w:pPr>
              <w:spacing w:before="0" w:after="0"/>
              <w:contextualSpacing/>
              <w:rPr>
                <w:sz w:val="20"/>
                <w:szCs w:val="20"/>
                <w:lang w:val="es-CO"/>
              </w:rPr>
            </w:pPr>
          </w:p>
        </w:tc>
        <w:tc>
          <w:tcPr>
            <w:tcW w:w="1418" w:type="dxa"/>
            <w:tcBorders>
              <w:top w:val="nil"/>
              <w:left w:val="nil"/>
              <w:bottom w:val="nil"/>
              <w:right w:val="nil"/>
            </w:tcBorders>
          </w:tcPr>
          <w:p w:rsidR="00944106" w:rsidRPr="004E6CFC" w:rsidRDefault="00944106" w:rsidP="00FF69A3">
            <w:pPr>
              <w:spacing w:before="0" w:after="0"/>
              <w:contextualSpacing/>
              <w:rPr>
                <w:sz w:val="20"/>
                <w:szCs w:val="20"/>
                <w:lang w:val="es-CO"/>
              </w:rPr>
            </w:pPr>
          </w:p>
        </w:tc>
        <w:tc>
          <w:tcPr>
            <w:tcW w:w="443" w:type="dxa"/>
            <w:tcBorders>
              <w:top w:val="nil"/>
              <w:left w:val="nil"/>
              <w:bottom w:val="nil"/>
              <w:right w:val="single" w:sz="4" w:space="0" w:color="auto"/>
            </w:tcBorders>
          </w:tcPr>
          <w:p w:rsidR="00944106" w:rsidRPr="004E6CFC" w:rsidRDefault="00944106" w:rsidP="00FF69A3">
            <w:pPr>
              <w:spacing w:before="0" w:after="0"/>
              <w:contextualSpacing/>
              <w:jc w:val="center"/>
              <w:rPr>
                <w:sz w:val="20"/>
                <w:szCs w:val="20"/>
                <w:lang w:val="es-CO"/>
              </w:rPr>
            </w:pPr>
          </w:p>
        </w:tc>
        <w:tc>
          <w:tcPr>
            <w:tcW w:w="4297" w:type="dxa"/>
            <w:gridSpan w:val="3"/>
            <w:tcBorders>
              <w:top w:val="single" w:sz="4" w:space="0" w:color="auto"/>
              <w:left w:val="single" w:sz="4" w:space="0" w:color="auto"/>
              <w:right w:val="single" w:sz="4" w:space="0" w:color="auto"/>
            </w:tcBorders>
            <w:vAlign w:val="center"/>
          </w:tcPr>
          <w:p w:rsidR="00944106" w:rsidRPr="004E6CFC" w:rsidRDefault="00944106" w:rsidP="00FF69A3">
            <w:pPr>
              <w:spacing w:before="0" w:after="0"/>
              <w:contextualSpacing/>
              <w:jc w:val="center"/>
              <w:rPr>
                <w:b/>
                <w:sz w:val="20"/>
                <w:szCs w:val="20"/>
                <w:lang w:val="es-CO"/>
              </w:rPr>
            </w:pPr>
            <w:r w:rsidRPr="004E6CFC">
              <w:rPr>
                <w:b/>
                <w:sz w:val="20"/>
                <w:szCs w:val="20"/>
                <w:lang w:val="es-CO"/>
              </w:rPr>
              <w:t>NIVEL DE RURALIDAD</w:t>
            </w:r>
          </w:p>
        </w:tc>
      </w:tr>
      <w:tr w:rsidR="00944106" w:rsidRPr="004E6CFC" w:rsidTr="00FF69A3">
        <w:trPr>
          <w:trHeight w:val="340"/>
          <w:jc w:val="center"/>
        </w:trPr>
        <w:tc>
          <w:tcPr>
            <w:tcW w:w="1418" w:type="dxa"/>
            <w:tcBorders>
              <w:top w:val="nil"/>
              <w:left w:val="nil"/>
              <w:bottom w:val="nil"/>
              <w:right w:val="nil"/>
            </w:tcBorders>
          </w:tcPr>
          <w:p w:rsidR="00944106" w:rsidRPr="004E6CFC" w:rsidRDefault="00944106" w:rsidP="00FF69A3">
            <w:pPr>
              <w:spacing w:before="0" w:after="0"/>
              <w:contextualSpacing/>
              <w:rPr>
                <w:sz w:val="20"/>
                <w:szCs w:val="20"/>
                <w:lang w:val="es-CO"/>
              </w:rPr>
            </w:pPr>
          </w:p>
        </w:tc>
        <w:tc>
          <w:tcPr>
            <w:tcW w:w="992" w:type="dxa"/>
            <w:tcBorders>
              <w:top w:val="nil"/>
              <w:left w:val="nil"/>
              <w:bottom w:val="nil"/>
              <w:right w:val="nil"/>
            </w:tcBorders>
          </w:tcPr>
          <w:p w:rsidR="00944106" w:rsidRPr="004E6CFC" w:rsidRDefault="00944106" w:rsidP="00FF69A3">
            <w:pPr>
              <w:spacing w:before="0" w:after="0"/>
              <w:contextualSpacing/>
              <w:rPr>
                <w:sz w:val="20"/>
                <w:szCs w:val="20"/>
                <w:lang w:val="es-CO"/>
              </w:rPr>
            </w:pPr>
          </w:p>
        </w:tc>
        <w:tc>
          <w:tcPr>
            <w:tcW w:w="1418" w:type="dxa"/>
            <w:tcBorders>
              <w:top w:val="nil"/>
              <w:left w:val="nil"/>
              <w:bottom w:val="nil"/>
              <w:right w:val="nil"/>
            </w:tcBorders>
          </w:tcPr>
          <w:p w:rsidR="00944106" w:rsidRPr="004E6CFC" w:rsidRDefault="00944106" w:rsidP="00FF69A3">
            <w:pPr>
              <w:spacing w:before="0" w:after="0"/>
              <w:contextualSpacing/>
              <w:rPr>
                <w:sz w:val="20"/>
                <w:szCs w:val="20"/>
                <w:lang w:val="es-CO"/>
              </w:rPr>
            </w:pPr>
          </w:p>
        </w:tc>
        <w:tc>
          <w:tcPr>
            <w:tcW w:w="443" w:type="dxa"/>
            <w:tcBorders>
              <w:top w:val="nil"/>
              <w:left w:val="nil"/>
              <w:bottom w:val="nil"/>
              <w:right w:val="single" w:sz="4" w:space="0" w:color="auto"/>
            </w:tcBorders>
          </w:tcPr>
          <w:p w:rsidR="00944106" w:rsidRPr="004E6CFC" w:rsidDel="0027708F" w:rsidRDefault="00944106" w:rsidP="00FF69A3">
            <w:pPr>
              <w:spacing w:before="0" w:after="0"/>
              <w:contextualSpacing/>
              <w:jc w:val="center"/>
              <w:rPr>
                <w:sz w:val="20"/>
                <w:szCs w:val="20"/>
                <w:lang w:val="es-CO"/>
              </w:rPr>
            </w:pPr>
          </w:p>
        </w:tc>
        <w:tc>
          <w:tcPr>
            <w:tcW w:w="1412" w:type="dxa"/>
            <w:tcBorders>
              <w:left w:val="single" w:sz="4" w:space="0" w:color="auto"/>
              <w:right w:val="single" w:sz="4" w:space="0" w:color="auto"/>
            </w:tcBorders>
            <w:vAlign w:val="center"/>
          </w:tcPr>
          <w:p w:rsidR="00944106" w:rsidRPr="004E6CFC" w:rsidRDefault="00944106" w:rsidP="00FF69A3">
            <w:pPr>
              <w:spacing w:before="0" w:after="0"/>
              <w:contextualSpacing/>
              <w:jc w:val="center"/>
              <w:rPr>
                <w:b/>
                <w:sz w:val="20"/>
                <w:szCs w:val="20"/>
                <w:lang w:val="es-CO"/>
              </w:rPr>
            </w:pPr>
            <w:r w:rsidRPr="004E6CFC">
              <w:rPr>
                <w:b/>
                <w:sz w:val="20"/>
                <w:szCs w:val="20"/>
                <w:lang w:val="es-CO"/>
              </w:rPr>
              <w:t>IR=1</w:t>
            </w:r>
          </w:p>
        </w:tc>
        <w:tc>
          <w:tcPr>
            <w:tcW w:w="1620" w:type="dxa"/>
            <w:tcBorders>
              <w:left w:val="single" w:sz="4" w:space="0" w:color="auto"/>
            </w:tcBorders>
            <w:vAlign w:val="center"/>
          </w:tcPr>
          <w:p w:rsidR="00944106" w:rsidRPr="004E6CFC" w:rsidRDefault="00944106" w:rsidP="00FF69A3">
            <w:pPr>
              <w:spacing w:before="0" w:after="0"/>
              <w:contextualSpacing/>
              <w:jc w:val="center"/>
              <w:rPr>
                <w:b/>
                <w:sz w:val="20"/>
                <w:szCs w:val="20"/>
                <w:lang w:val="es-CO"/>
              </w:rPr>
            </w:pPr>
            <w:r w:rsidRPr="004E6CFC">
              <w:rPr>
                <w:b/>
                <w:sz w:val="20"/>
                <w:szCs w:val="20"/>
                <w:lang w:val="es-CO"/>
              </w:rPr>
              <w:t>IR=2</w:t>
            </w:r>
          </w:p>
        </w:tc>
        <w:tc>
          <w:tcPr>
            <w:tcW w:w="1265" w:type="dxa"/>
            <w:vAlign w:val="center"/>
          </w:tcPr>
          <w:p w:rsidR="00944106" w:rsidRPr="004E6CFC" w:rsidRDefault="00944106" w:rsidP="00FF69A3">
            <w:pPr>
              <w:spacing w:before="0" w:after="0"/>
              <w:contextualSpacing/>
              <w:jc w:val="center"/>
              <w:rPr>
                <w:b/>
                <w:sz w:val="20"/>
                <w:szCs w:val="20"/>
                <w:lang w:val="es-CO"/>
              </w:rPr>
            </w:pPr>
            <w:r w:rsidRPr="004E6CFC">
              <w:rPr>
                <w:b/>
                <w:sz w:val="20"/>
                <w:szCs w:val="20"/>
                <w:lang w:val="es-CO"/>
              </w:rPr>
              <w:t xml:space="preserve">IR=3 </w:t>
            </w:r>
          </w:p>
        </w:tc>
      </w:tr>
      <w:tr w:rsidR="00944106" w:rsidRPr="004E6CFC" w:rsidTr="00FF69A3">
        <w:trPr>
          <w:trHeight w:val="340"/>
          <w:jc w:val="center"/>
        </w:trPr>
        <w:tc>
          <w:tcPr>
            <w:tcW w:w="1418" w:type="dxa"/>
            <w:tcBorders>
              <w:top w:val="nil"/>
              <w:left w:val="nil"/>
              <w:right w:val="nil"/>
            </w:tcBorders>
          </w:tcPr>
          <w:p w:rsidR="00944106" w:rsidRPr="004E6CFC" w:rsidRDefault="00944106" w:rsidP="00FF69A3">
            <w:pPr>
              <w:spacing w:before="0" w:after="0"/>
              <w:contextualSpacing/>
              <w:rPr>
                <w:sz w:val="20"/>
                <w:szCs w:val="20"/>
                <w:lang w:val="es-CO"/>
              </w:rPr>
            </w:pPr>
          </w:p>
        </w:tc>
        <w:tc>
          <w:tcPr>
            <w:tcW w:w="992" w:type="dxa"/>
            <w:tcBorders>
              <w:top w:val="nil"/>
              <w:left w:val="nil"/>
              <w:right w:val="nil"/>
            </w:tcBorders>
          </w:tcPr>
          <w:p w:rsidR="00944106" w:rsidRPr="004E6CFC" w:rsidRDefault="00944106" w:rsidP="00FF69A3">
            <w:pPr>
              <w:spacing w:before="0" w:after="0"/>
              <w:contextualSpacing/>
              <w:rPr>
                <w:sz w:val="20"/>
                <w:szCs w:val="20"/>
                <w:lang w:val="es-CO"/>
              </w:rPr>
            </w:pPr>
          </w:p>
        </w:tc>
        <w:tc>
          <w:tcPr>
            <w:tcW w:w="1418" w:type="dxa"/>
            <w:tcBorders>
              <w:top w:val="nil"/>
              <w:left w:val="nil"/>
              <w:right w:val="nil"/>
            </w:tcBorders>
          </w:tcPr>
          <w:p w:rsidR="00944106" w:rsidRPr="004E6CFC" w:rsidRDefault="00944106" w:rsidP="00FF69A3">
            <w:pPr>
              <w:spacing w:before="0" w:after="0"/>
              <w:contextualSpacing/>
              <w:rPr>
                <w:sz w:val="20"/>
                <w:szCs w:val="20"/>
                <w:lang w:val="es-CO"/>
              </w:rPr>
            </w:pPr>
          </w:p>
        </w:tc>
        <w:tc>
          <w:tcPr>
            <w:tcW w:w="443" w:type="dxa"/>
            <w:tcBorders>
              <w:top w:val="nil"/>
              <w:left w:val="nil"/>
              <w:bottom w:val="single" w:sz="4" w:space="0" w:color="auto"/>
              <w:right w:val="single" w:sz="4" w:space="0" w:color="auto"/>
            </w:tcBorders>
          </w:tcPr>
          <w:p w:rsidR="00944106" w:rsidRPr="004E6CFC" w:rsidDel="0027708F" w:rsidRDefault="00944106" w:rsidP="00FF69A3">
            <w:pPr>
              <w:spacing w:before="0" w:after="0"/>
              <w:contextualSpacing/>
              <w:jc w:val="center"/>
              <w:rPr>
                <w:sz w:val="20"/>
                <w:szCs w:val="20"/>
                <w:lang w:val="es-CO"/>
              </w:rPr>
            </w:pPr>
          </w:p>
        </w:tc>
        <w:tc>
          <w:tcPr>
            <w:tcW w:w="1412" w:type="dxa"/>
            <w:tcBorders>
              <w:left w:val="single" w:sz="4" w:space="0" w:color="auto"/>
              <w:bottom w:val="single" w:sz="4" w:space="0" w:color="auto"/>
              <w:right w:val="single" w:sz="4" w:space="0" w:color="auto"/>
            </w:tcBorders>
            <w:vAlign w:val="center"/>
          </w:tcPr>
          <w:p w:rsidR="00944106" w:rsidRPr="004E6CFC" w:rsidRDefault="00944106" w:rsidP="00FF69A3">
            <w:pPr>
              <w:spacing w:before="0" w:after="0"/>
              <w:contextualSpacing/>
              <w:jc w:val="center"/>
              <w:rPr>
                <w:b/>
                <w:sz w:val="20"/>
                <w:szCs w:val="20"/>
                <w:lang w:val="es-CO"/>
              </w:rPr>
            </w:pPr>
            <w:r w:rsidRPr="004E6CFC">
              <w:rPr>
                <w:b/>
                <w:sz w:val="20"/>
                <w:szCs w:val="20"/>
                <w:lang w:val="es-CO"/>
              </w:rPr>
              <w:t>≥100.000 habitantes</w:t>
            </w:r>
          </w:p>
        </w:tc>
        <w:tc>
          <w:tcPr>
            <w:tcW w:w="1620" w:type="dxa"/>
            <w:tcBorders>
              <w:left w:val="single" w:sz="4" w:space="0" w:color="auto"/>
            </w:tcBorders>
            <w:vAlign w:val="center"/>
          </w:tcPr>
          <w:p w:rsidR="00944106" w:rsidRPr="004E6CFC" w:rsidRDefault="00944106" w:rsidP="00FF69A3">
            <w:pPr>
              <w:spacing w:before="0" w:after="0"/>
              <w:contextualSpacing/>
              <w:jc w:val="center"/>
              <w:rPr>
                <w:b/>
                <w:sz w:val="20"/>
                <w:szCs w:val="20"/>
                <w:lang w:val="es-CO"/>
              </w:rPr>
            </w:pPr>
            <w:r w:rsidRPr="004E6CFC">
              <w:rPr>
                <w:b/>
                <w:sz w:val="20"/>
                <w:szCs w:val="20"/>
                <w:lang w:val="es-CO"/>
              </w:rPr>
              <w:t>&lt;100.000 habitantes</w:t>
            </w:r>
          </w:p>
        </w:tc>
        <w:tc>
          <w:tcPr>
            <w:tcW w:w="1265" w:type="dxa"/>
            <w:vAlign w:val="center"/>
          </w:tcPr>
          <w:p w:rsidR="00944106" w:rsidRPr="004E6CFC" w:rsidRDefault="00944106" w:rsidP="00FF69A3">
            <w:pPr>
              <w:spacing w:before="0" w:after="0"/>
              <w:contextualSpacing/>
              <w:jc w:val="center"/>
              <w:rPr>
                <w:b/>
                <w:sz w:val="20"/>
                <w:szCs w:val="20"/>
                <w:lang w:val="es-CO"/>
              </w:rPr>
            </w:pPr>
            <w:r w:rsidRPr="004E6CFC">
              <w:rPr>
                <w:b/>
                <w:sz w:val="20"/>
                <w:szCs w:val="20"/>
                <w:lang w:val="es-CO"/>
              </w:rPr>
              <w:t>Zona rural</w:t>
            </w:r>
          </w:p>
        </w:tc>
      </w:tr>
      <w:tr w:rsidR="00944106" w:rsidRPr="004E6CFC" w:rsidTr="00FF69A3">
        <w:trPr>
          <w:trHeight w:val="340"/>
          <w:jc w:val="center"/>
        </w:trPr>
        <w:tc>
          <w:tcPr>
            <w:tcW w:w="1418" w:type="dxa"/>
            <w:vMerge w:val="restart"/>
            <w:vAlign w:val="center"/>
          </w:tcPr>
          <w:p w:rsidR="00944106" w:rsidRPr="004E6CFC" w:rsidRDefault="00944106" w:rsidP="00FF69A3">
            <w:pPr>
              <w:spacing w:before="0" w:after="0"/>
              <w:contextualSpacing/>
              <w:jc w:val="center"/>
              <w:rPr>
                <w:sz w:val="20"/>
                <w:szCs w:val="20"/>
                <w:lang w:val="es-CO"/>
              </w:rPr>
            </w:pPr>
            <w:r w:rsidRPr="004E6CFC">
              <w:rPr>
                <w:sz w:val="20"/>
                <w:szCs w:val="20"/>
                <w:lang w:val="es-CO"/>
              </w:rPr>
              <w:t>NIVEL DE RIESGO</w:t>
            </w:r>
          </w:p>
        </w:tc>
        <w:tc>
          <w:tcPr>
            <w:tcW w:w="992" w:type="dxa"/>
            <w:vAlign w:val="center"/>
          </w:tcPr>
          <w:p w:rsidR="00944106" w:rsidRPr="004E6CFC" w:rsidRDefault="00944106" w:rsidP="00FF69A3">
            <w:pPr>
              <w:spacing w:before="0" w:after="0"/>
              <w:contextualSpacing/>
              <w:jc w:val="center"/>
              <w:rPr>
                <w:sz w:val="20"/>
                <w:szCs w:val="20"/>
                <w:lang w:val="es-CO"/>
              </w:rPr>
            </w:pPr>
            <w:r w:rsidRPr="004E6CFC">
              <w:rPr>
                <w:sz w:val="20"/>
                <w:szCs w:val="20"/>
                <w:lang w:val="es-CO"/>
              </w:rPr>
              <w:t>BAJO</w:t>
            </w:r>
          </w:p>
        </w:tc>
        <w:tc>
          <w:tcPr>
            <w:tcW w:w="1418" w:type="dxa"/>
            <w:tcBorders>
              <w:right w:val="single" w:sz="4" w:space="0" w:color="auto"/>
            </w:tcBorders>
            <w:vAlign w:val="center"/>
          </w:tcPr>
          <w:p w:rsidR="00944106" w:rsidRPr="004E6CFC" w:rsidRDefault="00944106" w:rsidP="00FF69A3">
            <w:pPr>
              <w:spacing w:before="0" w:after="0"/>
              <w:contextualSpacing/>
              <w:jc w:val="center"/>
              <w:rPr>
                <w:sz w:val="20"/>
                <w:szCs w:val="20"/>
                <w:lang w:val="es-CO"/>
              </w:rPr>
            </w:pPr>
            <w:r w:rsidRPr="004E6CFC">
              <w:rPr>
                <w:sz w:val="20"/>
                <w:szCs w:val="20"/>
                <w:lang w:val="es-CO"/>
              </w:rPr>
              <w:t>IRF≤22</w:t>
            </w:r>
          </w:p>
        </w:tc>
        <w:tc>
          <w:tcPr>
            <w:tcW w:w="443" w:type="dxa"/>
            <w:tcBorders>
              <w:top w:val="single" w:sz="4" w:space="0" w:color="auto"/>
              <w:left w:val="single" w:sz="4" w:space="0" w:color="auto"/>
              <w:bottom w:val="single" w:sz="4" w:space="0" w:color="auto"/>
              <w:right w:val="single" w:sz="4" w:space="0" w:color="auto"/>
            </w:tcBorders>
            <w:vAlign w:val="center"/>
          </w:tcPr>
          <w:p w:rsidR="00944106" w:rsidRPr="004E6CFC" w:rsidRDefault="00944106" w:rsidP="00FF69A3">
            <w:pPr>
              <w:spacing w:before="0" w:after="0"/>
              <w:contextualSpacing/>
              <w:jc w:val="center"/>
              <w:rPr>
                <w:sz w:val="20"/>
                <w:szCs w:val="20"/>
                <w:lang w:val="es-CO"/>
              </w:rPr>
            </w:pPr>
            <w:r w:rsidRPr="004E6CFC">
              <w:rPr>
                <w:sz w:val="20"/>
                <w:szCs w:val="20"/>
                <w:lang w:val="es-CO"/>
              </w:rPr>
              <w:t>1</w:t>
            </w:r>
          </w:p>
        </w:tc>
        <w:tc>
          <w:tcPr>
            <w:tcW w:w="1412" w:type="dxa"/>
            <w:tcBorders>
              <w:top w:val="single" w:sz="4" w:space="0" w:color="auto"/>
              <w:left w:val="single" w:sz="4" w:space="0" w:color="auto"/>
            </w:tcBorders>
            <w:vAlign w:val="center"/>
          </w:tcPr>
          <w:p w:rsidR="00944106" w:rsidRPr="004E6CFC" w:rsidRDefault="00944106" w:rsidP="00FF69A3">
            <w:pPr>
              <w:spacing w:before="0" w:after="0"/>
              <w:contextualSpacing/>
              <w:jc w:val="center"/>
              <w:rPr>
                <w:sz w:val="20"/>
                <w:szCs w:val="20"/>
                <w:lang w:val="es-CO"/>
              </w:rPr>
            </w:pPr>
            <w:r w:rsidRPr="004E6CFC">
              <w:rPr>
                <w:sz w:val="20"/>
                <w:szCs w:val="20"/>
                <w:lang w:val="es-CO"/>
              </w:rPr>
              <w:t>11</w:t>
            </w:r>
          </w:p>
        </w:tc>
        <w:tc>
          <w:tcPr>
            <w:tcW w:w="1620" w:type="dxa"/>
            <w:vAlign w:val="center"/>
          </w:tcPr>
          <w:p w:rsidR="00944106" w:rsidRPr="004E6CFC" w:rsidRDefault="00944106" w:rsidP="00FF69A3">
            <w:pPr>
              <w:spacing w:before="0" w:after="0"/>
              <w:contextualSpacing/>
              <w:jc w:val="center"/>
              <w:rPr>
                <w:sz w:val="20"/>
                <w:szCs w:val="20"/>
                <w:lang w:val="es-CO"/>
              </w:rPr>
            </w:pPr>
            <w:r w:rsidRPr="004E6CFC">
              <w:rPr>
                <w:sz w:val="20"/>
                <w:szCs w:val="20"/>
                <w:lang w:val="es-CO"/>
              </w:rPr>
              <w:t>21</w:t>
            </w:r>
          </w:p>
        </w:tc>
        <w:tc>
          <w:tcPr>
            <w:tcW w:w="1265" w:type="dxa"/>
            <w:vAlign w:val="center"/>
          </w:tcPr>
          <w:p w:rsidR="00944106" w:rsidRPr="004E6CFC" w:rsidRDefault="00944106" w:rsidP="00FF69A3">
            <w:pPr>
              <w:spacing w:before="0" w:after="0"/>
              <w:contextualSpacing/>
              <w:jc w:val="center"/>
              <w:rPr>
                <w:sz w:val="20"/>
                <w:szCs w:val="20"/>
                <w:lang w:val="es-CO"/>
              </w:rPr>
            </w:pPr>
            <w:r w:rsidRPr="004E6CFC">
              <w:rPr>
                <w:sz w:val="20"/>
                <w:szCs w:val="20"/>
                <w:lang w:val="es-CO"/>
              </w:rPr>
              <w:t>31</w:t>
            </w:r>
          </w:p>
        </w:tc>
      </w:tr>
      <w:tr w:rsidR="00944106" w:rsidRPr="004E6CFC" w:rsidTr="00FF69A3">
        <w:trPr>
          <w:trHeight w:val="340"/>
          <w:jc w:val="center"/>
        </w:trPr>
        <w:tc>
          <w:tcPr>
            <w:tcW w:w="1418" w:type="dxa"/>
            <w:vMerge/>
            <w:vAlign w:val="center"/>
          </w:tcPr>
          <w:p w:rsidR="00944106" w:rsidRPr="004E6CFC" w:rsidRDefault="00944106" w:rsidP="00FF69A3">
            <w:pPr>
              <w:spacing w:before="0" w:after="0"/>
              <w:contextualSpacing/>
              <w:jc w:val="center"/>
              <w:rPr>
                <w:sz w:val="20"/>
                <w:szCs w:val="20"/>
                <w:lang w:val="es-CO"/>
              </w:rPr>
            </w:pPr>
          </w:p>
        </w:tc>
        <w:tc>
          <w:tcPr>
            <w:tcW w:w="992" w:type="dxa"/>
            <w:vAlign w:val="center"/>
          </w:tcPr>
          <w:p w:rsidR="00944106" w:rsidRPr="004E6CFC" w:rsidRDefault="00944106" w:rsidP="00FF69A3">
            <w:pPr>
              <w:spacing w:before="0" w:after="0"/>
              <w:contextualSpacing/>
              <w:jc w:val="center"/>
              <w:rPr>
                <w:sz w:val="20"/>
                <w:szCs w:val="20"/>
                <w:lang w:val="es-CO"/>
              </w:rPr>
            </w:pPr>
            <w:r w:rsidRPr="004E6CFC">
              <w:rPr>
                <w:sz w:val="20"/>
                <w:szCs w:val="20"/>
                <w:lang w:val="es-CO"/>
              </w:rPr>
              <w:t>MEDIO</w:t>
            </w:r>
          </w:p>
        </w:tc>
        <w:tc>
          <w:tcPr>
            <w:tcW w:w="1418" w:type="dxa"/>
            <w:vAlign w:val="center"/>
          </w:tcPr>
          <w:p w:rsidR="00944106" w:rsidRPr="004E6CFC" w:rsidRDefault="00944106" w:rsidP="00FF69A3">
            <w:pPr>
              <w:spacing w:before="0" w:after="0"/>
              <w:contextualSpacing/>
              <w:jc w:val="center"/>
              <w:rPr>
                <w:sz w:val="20"/>
                <w:szCs w:val="20"/>
                <w:lang w:val="es-CO"/>
              </w:rPr>
            </w:pPr>
            <w:r w:rsidRPr="004E6CFC">
              <w:rPr>
                <w:sz w:val="20"/>
                <w:szCs w:val="20"/>
                <w:lang w:val="es-CO"/>
              </w:rPr>
              <w:t>22&lt;IRF≤45</w:t>
            </w:r>
          </w:p>
        </w:tc>
        <w:tc>
          <w:tcPr>
            <w:tcW w:w="443" w:type="dxa"/>
            <w:tcBorders>
              <w:top w:val="single" w:sz="4" w:space="0" w:color="auto"/>
            </w:tcBorders>
            <w:vAlign w:val="center"/>
          </w:tcPr>
          <w:p w:rsidR="00944106" w:rsidRPr="004E6CFC" w:rsidRDefault="00944106" w:rsidP="00FF69A3">
            <w:pPr>
              <w:spacing w:before="0" w:after="0"/>
              <w:contextualSpacing/>
              <w:jc w:val="center"/>
              <w:rPr>
                <w:sz w:val="20"/>
                <w:szCs w:val="20"/>
                <w:lang w:val="es-CO"/>
              </w:rPr>
            </w:pPr>
            <w:r w:rsidRPr="004E6CFC">
              <w:rPr>
                <w:sz w:val="20"/>
                <w:szCs w:val="20"/>
                <w:lang w:val="es-CO"/>
              </w:rPr>
              <w:t>2</w:t>
            </w:r>
          </w:p>
        </w:tc>
        <w:tc>
          <w:tcPr>
            <w:tcW w:w="1412" w:type="dxa"/>
            <w:vAlign w:val="center"/>
          </w:tcPr>
          <w:p w:rsidR="00944106" w:rsidRPr="004E6CFC" w:rsidRDefault="00944106" w:rsidP="00FF69A3">
            <w:pPr>
              <w:spacing w:before="0" w:after="0"/>
              <w:contextualSpacing/>
              <w:jc w:val="center"/>
              <w:rPr>
                <w:sz w:val="20"/>
                <w:szCs w:val="20"/>
                <w:lang w:val="es-CO"/>
              </w:rPr>
            </w:pPr>
            <w:r w:rsidRPr="004E6CFC">
              <w:rPr>
                <w:sz w:val="20"/>
                <w:szCs w:val="20"/>
                <w:lang w:val="es-CO"/>
              </w:rPr>
              <w:t>12</w:t>
            </w:r>
          </w:p>
        </w:tc>
        <w:tc>
          <w:tcPr>
            <w:tcW w:w="1620" w:type="dxa"/>
            <w:vAlign w:val="center"/>
          </w:tcPr>
          <w:p w:rsidR="00944106" w:rsidRPr="004E6CFC" w:rsidRDefault="00944106" w:rsidP="00FF69A3">
            <w:pPr>
              <w:spacing w:before="0" w:after="0"/>
              <w:contextualSpacing/>
              <w:jc w:val="center"/>
              <w:rPr>
                <w:sz w:val="20"/>
                <w:szCs w:val="20"/>
                <w:lang w:val="es-CO"/>
              </w:rPr>
            </w:pPr>
            <w:r w:rsidRPr="004E6CFC">
              <w:rPr>
                <w:sz w:val="20"/>
                <w:szCs w:val="20"/>
                <w:lang w:val="es-CO"/>
              </w:rPr>
              <w:t>22</w:t>
            </w:r>
          </w:p>
        </w:tc>
        <w:tc>
          <w:tcPr>
            <w:tcW w:w="1265" w:type="dxa"/>
            <w:vAlign w:val="center"/>
          </w:tcPr>
          <w:p w:rsidR="00944106" w:rsidRPr="004E6CFC" w:rsidRDefault="00944106" w:rsidP="00FF69A3">
            <w:pPr>
              <w:spacing w:before="0" w:after="0"/>
              <w:contextualSpacing/>
              <w:jc w:val="center"/>
              <w:rPr>
                <w:sz w:val="20"/>
                <w:szCs w:val="20"/>
                <w:lang w:val="es-CO"/>
              </w:rPr>
            </w:pPr>
            <w:r w:rsidRPr="004E6CFC">
              <w:rPr>
                <w:sz w:val="20"/>
                <w:szCs w:val="20"/>
                <w:lang w:val="es-CO"/>
              </w:rPr>
              <w:t>32</w:t>
            </w:r>
          </w:p>
        </w:tc>
      </w:tr>
      <w:tr w:rsidR="00944106" w:rsidRPr="004E6CFC" w:rsidTr="00FF69A3">
        <w:trPr>
          <w:trHeight w:val="340"/>
          <w:jc w:val="center"/>
        </w:trPr>
        <w:tc>
          <w:tcPr>
            <w:tcW w:w="1418" w:type="dxa"/>
            <w:vMerge/>
            <w:vAlign w:val="center"/>
          </w:tcPr>
          <w:p w:rsidR="00944106" w:rsidRPr="004E6CFC" w:rsidRDefault="00944106" w:rsidP="00FF69A3">
            <w:pPr>
              <w:spacing w:before="0" w:after="0"/>
              <w:contextualSpacing/>
              <w:jc w:val="center"/>
              <w:rPr>
                <w:sz w:val="20"/>
                <w:szCs w:val="20"/>
                <w:lang w:val="es-CO"/>
              </w:rPr>
            </w:pPr>
          </w:p>
        </w:tc>
        <w:tc>
          <w:tcPr>
            <w:tcW w:w="992" w:type="dxa"/>
            <w:vAlign w:val="center"/>
          </w:tcPr>
          <w:p w:rsidR="00944106" w:rsidRPr="004E6CFC" w:rsidRDefault="00944106" w:rsidP="00FF69A3">
            <w:pPr>
              <w:spacing w:before="0" w:after="0"/>
              <w:contextualSpacing/>
              <w:jc w:val="center"/>
              <w:rPr>
                <w:sz w:val="20"/>
                <w:szCs w:val="20"/>
                <w:lang w:val="es-CO"/>
              </w:rPr>
            </w:pPr>
            <w:r w:rsidRPr="004E6CFC">
              <w:rPr>
                <w:sz w:val="20"/>
                <w:szCs w:val="20"/>
                <w:lang w:val="es-CO"/>
              </w:rPr>
              <w:t>ALTO</w:t>
            </w:r>
          </w:p>
        </w:tc>
        <w:tc>
          <w:tcPr>
            <w:tcW w:w="1418" w:type="dxa"/>
            <w:vAlign w:val="center"/>
          </w:tcPr>
          <w:p w:rsidR="00944106" w:rsidRPr="004E6CFC" w:rsidRDefault="00944106" w:rsidP="00FF69A3">
            <w:pPr>
              <w:spacing w:before="0" w:after="0"/>
              <w:contextualSpacing/>
              <w:jc w:val="center"/>
              <w:rPr>
                <w:sz w:val="20"/>
                <w:szCs w:val="20"/>
                <w:lang w:val="es-CO"/>
              </w:rPr>
            </w:pPr>
            <w:r w:rsidRPr="004E6CFC">
              <w:rPr>
                <w:sz w:val="20"/>
                <w:szCs w:val="20"/>
                <w:lang w:val="es-CO"/>
              </w:rPr>
              <w:t>45&lt;IRF≤100</w:t>
            </w:r>
          </w:p>
        </w:tc>
        <w:tc>
          <w:tcPr>
            <w:tcW w:w="443" w:type="dxa"/>
            <w:vAlign w:val="center"/>
          </w:tcPr>
          <w:p w:rsidR="00944106" w:rsidRPr="004E6CFC" w:rsidRDefault="00944106" w:rsidP="00FF69A3">
            <w:pPr>
              <w:spacing w:before="0" w:after="0"/>
              <w:contextualSpacing/>
              <w:jc w:val="center"/>
              <w:rPr>
                <w:sz w:val="20"/>
                <w:szCs w:val="20"/>
                <w:lang w:val="es-CO"/>
              </w:rPr>
            </w:pPr>
            <w:r w:rsidRPr="004E6CFC">
              <w:rPr>
                <w:sz w:val="20"/>
                <w:szCs w:val="20"/>
                <w:lang w:val="es-CO"/>
              </w:rPr>
              <w:t>3</w:t>
            </w:r>
          </w:p>
        </w:tc>
        <w:tc>
          <w:tcPr>
            <w:tcW w:w="1412" w:type="dxa"/>
            <w:vAlign w:val="center"/>
          </w:tcPr>
          <w:p w:rsidR="00944106" w:rsidRPr="004E6CFC" w:rsidRDefault="00944106" w:rsidP="00FF69A3">
            <w:pPr>
              <w:spacing w:before="0" w:after="0"/>
              <w:contextualSpacing/>
              <w:jc w:val="center"/>
              <w:rPr>
                <w:sz w:val="20"/>
                <w:szCs w:val="20"/>
                <w:lang w:val="es-CO"/>
              </w:rPr>
            </w:pPr>
            <w:r w:rsidRPr="004E6CFC">
              <w:rPr>
                <w:sz w:val="20"/>
                <w:szCs w:val="20"/>
                <w:lang w:val="es-CO"/>
              </w:rPr>
              <w:t>13</w:t>
            </w:r>
          </w:p>
        </w:tc>
        <w:tc>
          <w:tcPr>
            <w:tcW w:w="1620" w:type="dxa"/>
            <w:vAlign w:val="center"/>
          </w:tcPr>
          <w:p w:rsidR="00944106" w:rsidRPr="004E6CFC" w:rsidRDefault="00944106" w:rsidP="00FF69A3">
            <w:pPr>
              <w:spacing w:before="0" w:after="0"/>
              <w:contextualSpacing/>
              <w:jc w:val="center"/>
              <w:rPr>
                <w:sz w:val="20"/>
                <w:szCs w:val="20"/>
                <w:lang w:val="es-CO"/>
              </w:rPr>
            </w:pPr>
            <w:r w:rsidRPr="004E6CFC">
              <w:rPr>
                <w:sz w:val="20"/>
                <w:szCs w:val="20"/>
                <w:lang w:val="es-CO"/>
              </w:rPr>
              <w:t>23</w:t>
            </w:r>
          </w:p>
        </w:tc>
        <w:tc>
          <w:tcPr>
            <w:tcW w:w="1265" w:type="dxa"/>
            <w:vAlign w:val="center"/>
          </w:tcPr>
          <w:p w:rsidR="00944106" w:rsidRPr="004E6CFC" w:rsidRDefault="00944106" w:rsidP="00FF69A3">
            <w:pPr>
              <w:spacing w:before="0" w:after="0"/>
              <w:contextualSpacing/>
              <w:jc w:val="center"/>
              <w:rPr>
                <w:sz w:val="20"/>
                <w:szCs w:val="20"/>
                <w:lang w:val="es-CO"/>
              </w:rPr>
            </w:pPr>
            <w:r w:rsidRPr="004E6CFC">
              <w:rPr>
                <w:sz w:val="20"/>
                <w:szCs w:val="20"/>
                <w:lang w:val="es-CO"/>
              </w:rPr>
              <w:t>33</w:t>
            </w:r>
          </w:p>
        </w:tc>
      </w:tr>
    </w:tbl>
    <w:p w:rsidR="00944106" w:rsidRPr="004E6CFC" w:rsidRDefault="00944106" w:rsidP="00944106">
      <w:pPr>
        <w:rPr>
          <w:lang w:val="es-CO"/>
        </w:rPr>
      </w:pPr>
      <w:r w:rsidRPr="004E6CFC">
        <w:rPr>
          <w:lang w:val="es-CO"/>
        </w:rPr>
        <w:t xml:space="preserve">Cada municipio del SIN se clasifica dentro de un grupo de calidad, de acuerdo con el IRF que le corresponda según se establece en el capítulo </w:t>
      </w:r>
      <w:r w:rsidRPr="004E6CFC">
        <w:rPr>
          <w:lang w:val="es-CO"/>
        </w:rPr>
        <w:fldChar w:fldCharType="begin"/>
      </w:r>
      <w:r w:rsidRPr="004E6CFC">
        <w:rPr>
          <w:lang w:val="es-CO"/>
        </w:rPr>
        <w:instrText xml:space="preserve"> REF _Ref445142070 \r \h\t  \* MERGEFORMAT </w:instrText>
      </w:r>
      <w:r w:rsidRPr="004E6CFC">
        <w:rPr>
          <w:lang w:val="es-CO"/>
        </w:rPr>
      </w:r>
      <w:r w:rsidRPr="004E6CFC">
        <w:rPr>
          <w:lang w:val="es-CO"/>
        </w:rPr>
        <w:fldChar w:fldCharType="separate"/>
      </w:r>
      <w:r w:rsidR="00737178">
        <w:rPr>
          <w:lang w:val="es-CO"/>
        </w:rPr>
        <w:t>16</w:t>
      </w:r>
      <w:r w:rsidRPr="004E6CFC">
        <w:rPr>
          <w:lang w:val="es-CO"/>
        </w:rPr>
        <w:fldChar w:fldCharType="end"/>
      </w:r>
      <w:r w:rsidRPr="004E6CFC">
        <w:rPr>
          <w:lang w:val="es-CO"/>
        </w:rPr>
        <w:t xml:space="preserve"> </w:t>
      </w:r>
      <w:r w:rsidRPr="004E6CFC">
        <w:rPr>
          <w:noProof/>
        </w:rPr>
        <w:t>y el IR correspondiente al número de habitantes.</w:t>
      </w:r>
    </w:p>
    <w:p w:rsidR="00944106" w:rsidRPr="004E6CFC" w:rsidRDefault="00944106" w:rsidP="00944106">
      <w:r w:rsidRPr="004E6CFC">
        <w:t xml:space="preserve">Los transformadores pertenecerán al grupo de calidad al cual pertenece el municipio, o la zona del municipio, en el cual se encuentren ubicados y los usuarios al grupo de calidad del transformador al que se encuentren conectados, independientemente de si el transformador es un activo de uso o un activo de conexión. </w:t>
      </w:r>
    </w:p>
    <w:p w:rsidR="00944106" w:rsidRPr="004E6CFC" w:rsidRDefault="00944106" w:rsidP="00944106">
      <w:pPr>
        <w:pStyle w:val="Ttulo4"/>
        <w:ind w:left="864" w:hanging="864"/>
        <w:rPr>
          <w:color w:val="auto"/>
        </w:rPr>
      </w:pPr>
      <w:bookmarkStart w:id="525" w:name="_Ref476816635"/>
      <w:r w:rsidRPr="004E6CFC">
        <w:rPr>
          <w:color w:val="auto"/>
        </w:rPr>
        <w:t>Indicadores de calidad individual</w:t>
      </w:r>
      <w:bookmarkEnd w:id="525"/>
    </w:p>
    <w:p w:rsidR="00407449" w:rsidRPr="004E6CFC" w:rsidRDefault="00407449" w:rsidP="00407449">
      <w:r w:rsidRPr="004E6CFC">
        <w:t>Los indicadores de calidad individual se establecerán a nivel de usuario.</w:t>
      </w:r>
    </w:p>
    <w:p w:rsidR="00407449" w:rsidRPr="004E6CFC" w:rsidRDefault="00407449" w:rsidP="00407449">
      <w:r w:rsidRPr="004E6CFC">
        <w:lastRenderedPageBreak/>
        <w:t>El indicador DIU representa la duración total de los eventos que percibe cada usuario del SDL de un OR en un período anual. Se establece mediante la siguiente expresión:</w:t>
      </w:r>
    </w:p>
    <w:p w:rsidR="00407449" w:rsidRPr="002B3E8F" w:rsidRDefault="00C9592F" w:rsidP="00407449">
      <m:oMathPara>
        <m:oMath>
          <m:sSub>
            <m:sSubPr>
              <m:ctrlPr>
                <w:rPr>
                  <w:rFonts w:ascii="Cambria Math" w:hAnsi="Cambria Math"/>
                  <w:i/>
                </w:rPr>
              </m:ctrlPr>
            </m:sSubPr>
            <m:e>
              <m:r>
                <w:rPr>
                  <w:rFonts w:ascii="Cambria Math" w:hAnsi="Cambria Math"/>
                </w:rPr>
                <m:t>DIU</m:t>
              </m:r>
            </m:e>
            <m:sub>
              <m:r>
                <w:rPr>
                  <w:rFonts w:ascii="Cambria Math" w:hAnsi="Cambria Math"/>
                </w:rPr>
                <m:t>u,n,q,m</m:t>
              </m:r>
            </m:sub>
          </m:sSub>
          <m:r>
            <w:rPr>
              <w:rFonts w:ascii="Cambria Math" w:hAnsi="Cambria Math"/>
            </w:rPr>
            <m:t>=</m:t>
          </m:r>
          <m:nary>
            <m:naryPr>
              <m:chr m:val="∑"/>
              <m:limLoc m:val="undOvr"/>
              <m:ctrlPr>
                <w:rPr>
                  <w:rFonts w:ascii="Cambria Math" w:hAnsi="Cambria Math"/>
                  <w:i/>
                </w:rPr>
              </m:ctrlPr>
            </m:naryPr>
            <m:sub>
              <m:r>
                <w:rPr>
                  <w:rFonts w:ascii="Cambria Math" w:hAnsi="Cambria Math"/>
                </w:rPr>
                <m:t>ma=m-11</m:t>
              </m:r>
            </m:sub>
            <m:sup>
              <m:r>
                <w:rPr>
                  <w:rFonts w:ascii="Cambria Math" w:hAnsi="Cambria Math"/>
                </w:rPr>
                <m:t>m</m:t>
              </m:r>
            </m:sup>
            <m:e>
              <m:sSub>
                <m:sSubPr>
                  <m:ctrlPr>
                    <w:rPr>
                      <w:rFonts w:ascii="Cambria Math" w:hAnsi="Cambria Math"/>
                      <w:i/>
                    </w:rPr>
                  </m:ctrlPr>
                </m:sSubPr>
                <m:e>
                  <m:r>
                    <w:rPr>
                      <w:rFonts w:ascii="Cambria Math" w:hAnsi="Cambria Math"/>
                    </w:rPr>
                    <m:t>DIUM</m:t>
                  </m:r>
                </m:e>
                <m:sub>
                  <m:r>
                    <w:rPr>
                      <w:rFonts w:ascii="Cambria Math" w:hAnsi="Cambria Math"/>
                    </w:rPr>
                    <m:t>u,n,q,ma</m:t>
                  </m:r>
                </m:sub>
              </m:sSub>
            </m:e>
          </m:nary>
        </m:oMath>
      </m:oMathPara>
    </w:p>
    <w:p w:rsidR="00407449" w:rsidRPr="004E6CFC" w:rsidRDefault="00C9592F" w:rsidP="00407449">
      <m:oMathPara>
        <m:oMath>
          <m:sSub>
            <m:sSubPr>
              <m:ctrlPr>
                <w:rPr>
                  <w:rFonts w:ascii="Cambria Math" w:hAnsi="Cambria Math"/>
                  <w:i/>
                </w:rPr>
              </m:ctrlPr>
            </m:sSubPr>
            <m:e>
              <m:r>
                <w:rPr>
                  <w:rFonts w:ascii="Cambria Math" w:hAnsi="Cambria Math"/>
                </w:rPr>
                <m:t>DIUM</m:t>
              </m:r>
            </m:e>
            <m:sub>
              <m:r>
                <w:rPr>
                  <w:rFonts w:ascii="Cambria Math" w:hAnsi="Cambria Math"/>
                </w:rPr>
                <m:t>u,n,q,m</m:t>
              </m:r>
            </m:sub>
          </m:sSub>
          <m:r>
            <w:rPr>
              <w:rFonts w:ascii="Cambria Math" w:hAnsi="Cambria Math"/>
            </w:rPr>
            <m:t>=</m:t>
          </m:r>
          <m:nary>
            <m:naryPr>
              <m:chr m:val="∑"/>
              <m:limLoc m:val="undOvr"/>
              <m:ctrlPr>
                <w:rPr>
                  <w:rFonts w:ascii="Cambria Math" w:hAnsi="Cambria Math"/>
                  <w:i/>
                </w:rPr>
              </m:ctrlPr>
            </m:naryPr>
            <m:sub>
              <m:r>
                <w:rPr>
                  <w:rFonts w:ascii="Cambria Math" w:hAnsi="Cambria Math"/>
                </w:rPr>
                <m:t>i=1</m:t>
              </m:r>
            </m:sub>
            <m:sup>
              <m:r>
                <w:rPr>
                  <w:rFonts w:ascii="Cambria Math" w:hAnsi="Cambria Math"/>
                </w:rPr>
                <m:t>IT</m:t>
              </m:r>
            </m:sup>
            <m:e>
              <m:sSub>
                <m:sSubPr>
                  <m:ctrlPr>
                    <w:rPr>
                      <w:rFonts w:ascii="Cambria Math" w:hAnsi="Cambria Math"/>
                      <w:i/>
                    </w:rPr>
                  </m:ctrlPr>
                </m:sSubPr>
                <m:e>
                  <m:r>
                    <w:rPr>
                      <w:rFonts w:ascii="Cambria Math" w:hAnsi="Cambria Math"/>
                    </w:rPr>
                    <m:t>D</m:t>
                  </m:r>
                </m:e>
                <m:sub>
                  <m:r>
                    <w:rPr>
                      <w:rFonts w:ascii="Cambria Math" w:hAnsi="Cambria Math"/>
                    </w:rPr>
                    <m:t>i,u,n,q,m</m:t>
                  </m:r>
                </m:sub>
              </m:sSub>
            </m:e>
          </m:nary>
        </m:oMath>
      </m:oMathPara>
    </w:p>
    <w:p w:rsidR="00407449" w:rsidRPr="004E6CFC" w:rsidRDefault="00407449" w:rsidP="00407449">
      <w:pPr>
        <w:rPr>
          <w:lang w:val="es-CO"/>
        </w:rPr>
      </w:pPr>
      <w:r w:rsidRPr="004E6CFC">
        <w:rPr>
          <w:lang w:val="es-CO"/>
        </w:rPr>
        <w:t>Donde:</w:t>
      </w:r>
    </w:p>
    <w:p w:rsidR="00407449" w:rsidRPr="00A976E5" w:rsidRDefault="00407449" w:rsidP="00407449">
      <w:pPr>
        <w:ind w:left="1410" w:hanging="1410"/>
        <w:rPr>
          <w:lang w:val="es-CO"/>
        </w:rPr>
      </w:pPr>
      <w:r w:rsidRPr="00A976E5">
        <w:rPr>
          <w:i/>
          <w:lang w:val="es-CO"/>
        </w:rPr>
        <w:t>DIU</w:t>
      </w:r>
      <w:r w:rsidRPr="00A976E5">
        <w:rPr>
          <w:i/>
          <w:vertAlign w:val="subscript"/>
          <w:lang w:val="es-CO"/>
        </w:rPr>
        <w:t>u,</w:t>
      </w:r>
      <w:r w:rsidRPr="00D30525">
        <w:rPr>
          <w:i/>
          <w:vertAlign w:val="subscript"/>
          <w:lang w:val="es-CO"/>
        </w:rPr>
        <w:t>n,q,m</w:t>
      </w:r>
      <w:r w:rsidRPr="00A976E5">
        <w:rPr>
          <w:i/>
          <w:lang w:val="es-CO"/>
        </w:rPr>
        <w:t>:</w:t>
      </w:r>
      <w:r w:rsidRPr="00A976E5">
        <w:rPr>
          <w:i/>
          <w:vertAlign w:val="subscript"/>
          <w:lang w:val="es-CO"/>
        </w:rPr>
        <w:tab/>
      </w:r>
      <w:r w:rsidRPr="00A976E5">
        <w:rPr>
          <w:lang w:val="es-CO"/>
        </w:rPr>
        <w:t xml:space="preserve">Duración total acumulada en horas de los eventos percibidos por el usuario </w:t>
      </w:r>
      <w:r w:rsidRPr="00A976E5">
        <w:rPr>
          <w:i/>
          <w:lang w:val="es-CO"/>
        </w:rPr>
        <w:t>u</w:t>
      </w:r>
      <w:r w:rsidRPr="00220DAE">
        <w:rPr>
          <w:i/>
          <w:lang w:val="es-CO"/>
        </w:rPr>
        <w:t xml:space="preserve">, </w:t>
      </w:r>
      <w:r w:rsidRPr="00220DAE">
        <w:rPr>
          <w:lang w:val="es-CO"/>
        </w:rPr>
        <w:t>conectado al nivel de tensión</w:t>
      </w:r>
      <w:r w:rsidRPr="00220DAE">
        <w:rPr>
          <w:i/>
          <w:lang w:val="es-CO"/>
        </w:rPr>
        <w:t xml:space="preserve"> n </w:t>
      </w:r>
      <w:r w:rsidRPr="00220DAE">
        <w:rPr>
          <w:lang w:val="es-CO"/>
        </w:rPr>
        <w:t xml:space="preserve">y </w:t>
      </w:r>
      <w:r w:rsidRPr="00A976E5">
        <w:rPr>
          <w:lang w:val="es-CO"/>
        </w:rPr>
        <w:t>que pertenece</w:t>
      </w:r>
      <w:r w:rsidRPr="00220DAE">
        <w:rPr>
          <w:lang w:val="es-CO"/>
        </w:rPr>
        <w:t xml:space="preserve"> al grupo de calidad</w:t>
      </w:r>
      <w:r w:rsidRPr="00220DAE">
        <w:rPr>
          <w:i/>
          <w:lang w:val="es-CO"/>
        </w:rPr>
        <w:t xml:space="preserve"> q,</w:t>
      </w:r>
      <w:r w:rsidRPr="00A976E5">
        <w:rPr>
          <w:lang w:val="es-CO"/>
        </w:rPr>
        <w:t xml:space="preserve"> </w:t>
      </w:r>
      <w:r w:rsidRPr="00220DAE">
        <w:rPr>
          <w:lang w:val="es-CO"/>
        </w:rPr>
        <w:t>en un periodo de</w:t>
      </w:r>
      <w:r w:rsidRPr="00A976E5">
        <w:rPr>
          <w:lang w:val="es-CO"/>
        </w:rPr>
        <w:t xml:space="preserve"> doce meses </w:t>
      </w:r>
      <w:r w:rsidRPr="00220DAE">
        <w:rPr>
          <w:lang w:val="es-CO"/>
        </w:rPr>
        <w:t xml:space="preserve">que termina en el mes </w:t>
      </w:r>
      <w:r w:rsidRPr="00220DAE">
        <w:rPr>
          <w:i/>
          <w:lang w:val="es-CO"/>
        </w:rPr>
        <w:t>m</w:t>
      </w:r>
      <w:r w:rsidRPr="00A976E5">
        <w:rPr>
          <w:lang w:val="es-CO"/>
        </w:rPr>
        <w:t xml:space="preserve"> de evaluación.</w:t>
      </w:r>
    </w:p>
    <w:p w:rsidR="00407449" w:rsidRPr="004E6CFC" w:rsidRDefault="00407449" w:rsidP="00407449">
      <w:pPr>
        <w:ind w:left="1410" w:hanging="1410"/>
        <w:rPr>
          <w:lang w:val="es-CO"/>
        </w:rPr>
      </w:pPr>
      <w:r w:rsidRPr="00A976E5">
        <w:rPr>
          <w:i/>
          <w:lang w:val="es-CO"/>
        </w:rPr>
        <w:t>DIUM</w:t>
      </w:r>
      <w:r w:rsidRPr="00A976E5">
        <w:rPr>
          <w:i/>
          <w:vertAlign w:val="subscript"/>
          <w:lang w:val="es-CO"/>
        </w:rPr>
        <w:t>u,n,q,m</w:t>
      </w:r>
      <w:r w:rsidRPr="00A976E5">
        <w:rPr>
          <w:i/>
          <w:lang w:val="es-CO"/>
        </w:rPr>
        <w:t>:</w:t>
      </w:r>
      <w:r w:rsidRPr="00A976E5">
        <w:rPr>
          <w:i/>
          <w:vertAlign w:val="subscript"/>
          <w:lang w:val="es-CO"/>
        </w:rPr>
        <w:tab/>
      </w:r>
      <w:r w:rsidRPr="00A976E5">
        <w:rPr>
          <w:lang w:val="es-CO"/>
        </w:rPr>
        <w:t xml:space="preserve">Duración en horas de todos los eventos percibidos por el usuario </w:t>
      </w:r>
      <w:r w:rsidRPr="00A976E5">
        <w:rPr>
          <w:i/>
          <w:lang w:val="es-CO"/>
        </w:rPr>
        <w:t>u</w:t>
      </w:r>
      <w:r w:rsidRPr="00220DAE">
        <w:rPr>
          <w:i/>
          <w:lang w:val="es-CO"/>
        </w:rPr>
        <w:t xml:space="preserve">, </w:t>
      </w:r>
      <w:r w:rsidRPr="00220DAE">
        <w:rPr>
          <w:lang w:val="es-CO"/>
        </w:rPr>
        <w:t>conectado al nivel de tensión</w:t>
      </w:r>
      <w:r w:rsidRPr="00220DAE">
        <w:rPr>
          <w:i/>
          <w:lang w:val="es-CO"/>
        </w:rPr>
        <w:t xml:space="preserve"> n </w:t>
      </w:r>
      <w:r w:rsidRPr="00220DAE">
        <w:rPr>
          <w:lang w:val="es-CO"/>
        </w:rPr>
        <w:t xml:space="preserve">y </w:t>
      </w:r>
      <w:r w:rsidRPr="00A976E5">
        <w:rPr>
          <w:lang w:val="es-CO"/>
        </w:rPr>
        <w:t xml:space="preserve">que pertenece </w:t>
      </w:r>
      <w:r w:rsidRPr="00220DAE">
        <w:rPr>
          <w:lang w:val="es-CO"/>
        </w:rPr>
        <w:t>al grupo de calidad</w:t>
      </w:r>
      <w:r w:rsidRPr="00220DAE">
        <w:rPr>
          <w:i/>
          <w:lang w:val="es-CO"/>
        </w:rPr>
        <w:t xml:space="preserve"> q,</w:t>
      </w:r>
      <w:r w:rsidRPr="00A976E5">
        <w:rPr>
          <w:lang w:val="es-CO"/>
        </w:rPr>
        <w:t xml:space="preserve"> durante el mes </w:t>
      </w:r>
      <w:r w:rsidRPr="00220DAE">
        <w:rPr>
          <w:i/>
          <w:lang w:val="es-CO"/>
        </w:rPr>
        <w:t>m</w:t>
      </w:r>
      <w:r w:rsidRPr="00A976E5">
        <w:rPr>
          <w:lang w:val="es-CO"/>
        </w:rPr>
        <w:t xml:space="preserve"> de evaluación</w:t>
      </w:r>
      <w:r w:rsidRPr="00D30525">
        <w:rPr>
          <w:lang w:val="es-CO"/>
        </w:rPr>
        <w:t>.</w:t>
      </w:r>
    </w:p>
    <w:p w:rsidR="00407449" w:rsidRDefault="00407449" w:rsidP="00407449">
      <w:pPr>
        <w:ind w:left="1410" w:hanging="1410"/>
        <w:rPr>
          <w:i/>
          <w:lang w:val="es-CO"/>
        </w:rPr>
      </w:pPr>
      <w:r w:rsidRPr="004E6CFC">
        <w:rPr>
          <w:i/>
          <w:lang w:val="es-CO"/>
        </w:rPr>
        <w:t>D</w:t>
      </w:r>
      <w:r w:rsidRPr="004E6CFC">
        <w:rPr>
          <w:i/>
          <w:vertAlign w:val="subscript"/>
          <w:lang w:val="es-CO"/>
        </w:rPr>
        <w:t>i,u,n,q,m</w:t>
      </w:r>
      <w:r w:rsidRPr="004E6CFC">
        <w:rPr>
          <w:i/>
          <w:lang w:val="es-CO"/>
        </w:rPr>
        <w:t>:</w:t>
      </w:r>
      <w:r w:rsidRPr="004E6CFC">
        <w:rPr>
          <w:i/>
          <w:vertAlign w:val="subscript"/>
          <w:lang w:val="es-CO"/>
        </w:rPr>
        <w:tab/>
      </w:r>
      <w:r w:rsidRPr="004E6CFC">
        <w:rPr>
          <w:lang w:val="es-CO"/>
        </w:rPr>
        <w:t xml:space="preserve">Duración en horas del evento </w:t>
      </w:r>
      <w:r w:rsidRPr="004E6CFC">
        <w:rPr>
          <w:i/>
          <w:lang w:val="es-CO"/>
        </w:rPr>
        <w:t>i</w:t>
      </w:r>
      <w:r w:rsidRPr="004E6CFC">
        <w:rPr>
          <w:lang w:val="es-CO"/>
        </w:rPr>
        <w:t xml:space="preserve"> que afectó al usuario </w:t>
      </w:r>
      <w:r w:rsidRPr="004E6CFC">
        <w:rPr>
          <w:i/>
          <w:lang w:val="es-CO"/>
        </w:rPr>
        <w:t>u</w:t>
      </w:r>
      <w:r w:rsidRPr="004E6CFC">
        <w:rPr>
          <w:lang w:val="es-CO"/>
        </w:rPr>
        <w:t xml:space="preserve"> conectado al nivel de tensión </w:t>
      </w:r>
      <w:r w:rsidRPr="004E6CFC">
        <w:rPr>
          <w:i/>
          <w:lang w:val="es-CO"/>
        </w:rPr>
        <w:t>n</w:t>
      </w:r>
      <w:r w:rsidRPr="004E6CFC">
        <w:rPr>
          <w:lang w:val="es-CO"/>
        </w:rPr>
        <w:t xml:space="preserve"> que pertenece al grupo de calidad </w:t>
      </w:r>
      <w:r w:rsidRPr="004E6CFC">
        <w:rPr>
          <w:i/>
          <w:lang w:val="es-CO"/>
        </w:rPr>
        <w:t>q</w:t>
      </w:r>
      <w:r w:rsidRPr="004E6CFC">
        <w:rPr>
          <w:lang w:val="es-CO"/>
        </w:rPr>
        <w:t xml:space="preserve"> durante el mes </w:t>
      </w:r>
      <w:r w:rsidRPr="004E6CFC">
        <w:rPr>
          <w:i/>
          <w:lang w:val="es-CO"/>
        </w:rPr>
        <w:t>m.</w:t>
      </w:r>
    </w:p>
    <w:p w:rsidR="00407449" w:rsidRPr="004E6CFC" w:rsidRDefault="00407449" w:rsidP="00407449">
      <w:pPr>
        <w:ind w:left="1410" w:hanging="1410"/>
        <w:rPr>
          <w:i/>
          <w:lang w:val="es-CO"/>
        </w:rPr>
      </w:pPr>
      <w:r>
        <w:rPr>
          <w:i/>
          <w:lang w:val="es-CO"/>
        </w:rPr>
        <w:t>IT</w:t>
      </w:r>
      <w:r w:rsidRPr="004E6CFC">
        <w:rPr>
          <w:i/>
          <w:lang w:val="es-CO"/>
        </w:rPr>
        <w:t>:</w:t>
      </w:r>
      <w:r w:rsidRPr="004E6CFC">
        <w:rPr>
          <w:i/>
          <w:vertAlign w:val="subscript"/>
          <w:lang w:val="es-CO"/>
        </w:rPr>
        <w:tab/>
      </w:r>
      <w:r>
        <w:rPr>
          <w:lang w:val="es-CO"/>
        </w:rPr>
        <w:t xml:space="preserve">Número total de eventos sucedidos en el mes </w:t>
      </w:r>
      <w:r w:rsidRPr="00220DAE">
        <w:rPr>
          <w:i/>
          <w:lang w:val="es-CO"/>
        </w:rPr>
        <w:t>m</w:t>
      </w:r>
      <w:r w:rsidRPr="004E6CFC">
        <w:rPr>
          <w:i/>
          <w:lang w:val="es-CO"/>
        </w:rPr>
        <w:t>.</w:t>
      </w:r>
    </w:p>
    <w:p w:rsidR="00407449" w:rsidRPr="004E6CFC" w:rsidRDefault="00407449" w:rsidP="00407449">
      <w:pPr>
        <w:ind w:left="1410" w:hanging="1410"/>
        <w:rPr>
          <w:i/>
          <w:lang w:val="es-CO"/>
        </w:rPr>
      </w:pPr>
    </w:p>
    <w:p w:rsidR="00407449" w:rsidRPr="004E6CFC" w:rsidRDefault="00407449" w:rsidP="00407449">
      <w:r w:rsidRPr="004E6CFC">
        <w:t>El indicador FIU representa la cantidad total de eventos que percibe cada usuario del SDL de un OR en un período anual. Se establece mediante la siguiente expresión:</w:t>
      </w:r>
    </w:p>
    <w:p w:rsidR="00407449" w:rsidRPr="00B82CAA" w:rsidRDefault="00C9592F" w:rsidP="00407449">
      <m:oMathPara>
        <m:oMath>
          <m:sSub>
            <m:sSubPr>
              <m:ctrlPr>
                <w:rPr>
                  <w:rFonts w:ascii="Cambria Math" w:hAnsi="Cambria Math"/>
                  <w:i/>
                </w:rPr>
              </m:ctrlPr>
            </m:sSubPr>
            <m:e>
              <m:r>
                <w:rPr>
                  <w:rFonts w:ascii="Cambria Math" w:hAnsi="Cambria Math"/>
                </w:rPr>
                <m:t>FIU</m:t>
              </m:r>
            </m:e>
            <m:sub>
              <m:r>
                <w:rPr>
                  <w:rFonts w:ascii="Cambria Math" w:hAnsi="Cambria Math"/>
                </w:rPr>
                <m:t>u,n,q,m</m:t>
              </m:r>
            </m:sub>
          </m:sSub>
          <m:r>
            <w:rPr>
              <w:rFonts w:ascii="Cambria Math" w:hAnsi="Cambria Math"/>
            </w:rPr>
            <m:t>=</m:t>
          </m:r>
          <m:nary>
            <m:naryPr>
              <m:chr m:val="∑"/>
              <m:limLoc m:val="undOvr"/>
              <m:ctrlPr>
                <w:rPr>
                  <w:rFonts w:ascii="Cambria Math" w:hAnsi="Cambria Math"/>
                  <w:i/>
                </w:rPr>
              </m:ctrlPr>
            </m:naryPr>
            <m:sub>
              <m:r>
                <w:rPr>
                  <w:rFonts w:ascii="Cambria Math" w:hAnsi="Cambria Math"/>
                </w:rPr>
                <m:t>ma=m-11</m:t>
              </m:r>
            </m:sub>
            <m:sup>
              <m:r>
                <w:rPr>
                  <w:rFonts w:ascii="Cambria Math" w:hAnsi="Cambria Math"/>
                </w:rPr>
                <m:t>m</m:t>
              </m:r>
            </m:sup>
            <m:e>
              <m:sSub>
                <m:sSubPr>
                  <m:ctrlPr>
                    <w:rPr>
                      <w:rFonts w:ascii="Cambria Math" w:hAnsi="Cambria Math"/>
                      <w:i/>
                    </w:rPr>
                  </m:ctrlPr>
                </m:sSubPr>
                <m:e>
                  <m:r>
                    <w:rPr>
                      <w:rFonts w:ascii="Cambria Math" w:hAnsi="Cambria Math"/>
                    </w:rPr>
                    <m:t>FIUM</m:t>
                  </m:r>
                </m:e>
                <m:sub>
                  <m:r>
                    <w:rPr>
                      <w:rFonts w:ascii="Cambria Math" w:hAnsi="Cambria Math"/>
                    </w:rPr>
                    <m:t>u,n,q,ma</m:t>
                  </m:r>
                </m:sub>
              </m:sSub>
            </m:e>
          </m:nary>
        </m:oMath>
      </m:oMathPara>
    </w:p>
    <w:p w:rsidR="00407449" w:rsidRPr="004E6CFC" w:rsidRDefault="00C9592F" w:rsidP="00407449">
      <m:oMathPara>
        <m:oMath>
          <m:sSub>
            <m:sSubPr>
              <m:ctrlPr>
                <w:rPr>
                  <w:rFonts w:ascii="Cambria Math" w:hAnsi="Cambria Math"/>
                  <w:i/>
                </w:rPr>
              </m:ctrlPr>
            </m:sSubPr>
            <m:e>
              <m:r>
                <w:rPr>
                  <w:rFonts w:ascii="Cambria Math" w:hAnsi="Cambria Math"/>
                </w:rPr>
                <m:t>FIUM</m:t>
              </m:r>
            </m:e>
            <m:sub>
              <m:r>
                <w:rPr>
                  <w:rFonts w:ascii="Cambria Math" w:hAnsi="Cambria Math"/>
                </w:rPr>
                <m:t>u,n,q,m</m:t>
              </m:r>
            </m:sub>
          </m:sSub>
          <m:r>
            <w:rPr>
              <w:rFonts w:ascii="Cambria Math" w:hAnsi="Cambria Math"/>
            </w:rPr>
            <m:t>=</m:t>
          </m:r>
          <m:nary>
            <m:naryPr>
              <m:chr m:val="∑"/>
              <m:limLoc m:val="undOvr"/>
              <m:ctrlPr>
                <w:rPr>
                  <w:rFonts w:ascii="Cambria Math" w:hAnsi="Cambria Math"/>
                  <w:i/>
                </w:rPr>
              </m:ctrlPr>
            </m:naryPr>
            <m:sub>
              <m:r>
                <w:rPr>
                  <w:rFonts w:ascii="Cambria Math" w:hAnsi="Cambria Math"/>
                </w:rPr>
                <m:t>i=1</m:t>
              </m:r>
            </m:sub>
            <m:sup>
              <m:r>
                <w:rPr>
                  <w:rFonts w:ascii="Cambria Math" w:hAnsi="Cambria Math"/>
                </w:rPr>
                <m:t>IT</m:t>
              </m:r>
            </m:sup>
            <m:e>
              <m:sSub>
                <m:sSubPr>
                  <m:ctrlPr>
                    <w:rPr>
                      <w:rFonts w:ascii="Cambria Math" w:hAnsi="Cambria Math"/>
                      <w:i/>
                    </w:rPr>
                  </m:ctrlPr>
                </m:sSubPr>
                <m:e>
                  <m:r>
                    <w:rPr>
                      <w:rFonts w:ascii="Cambria Math" w:hAnsi="Cambria Math"/>
                    </w:rPr>
                    <m:t>F</m:t>
                  </m:r>
                </m:e>
                <m:sub>
                  <m:r>
                    <w:rPr>
                      <w:rFonts w:ascii="Cambria Math" w:hAnsi="Cambria Math"/>
                    </w:rPr>
                    <m:t>i,u,n,q,m</m:t>
                  </m:r>
                </m:sub>
              </m:sSub>
            </m:e>
          </m:nary>
        </m:oMath>
      </m:oMathPara>
    </w:p>
    <w:p w:rsidR="00407449" w:rsidRPr="004E6CFC" w:rsidRDefault="00407449" w:rsidP="00407449">
      <w:pPr>
        <w:rPr>
          <w:lang w:val="es-CO"/>
        </w:rPr>
      </w:pPr>
      <w:r w:rsidRPr="004E6CFC">
        <w:rPr>
          <w:lang w:val="es-CO"/>
        </w:rPr>
        <w:t>Donde:</w:t>
      </w:r>
    </w:p>
    <w:p w:rsidR="00407449" w:rsidRPr="00A976E5" w:rsidRDefault="00407449" w:rsidP="00407449">
      <w:pPr>
        <w:ind w:left="1410" w:hanging="1410"/>
        <w:rPr>
          <w:lang w:val="es-CO"/>
        </w:rPr>
      </w:pPr>
      <w:r w:rsidRPr="00A976E5">
        <w:rPr>
          <w:i/>
          <w:lang w:val="es-CO"/>
        </w:rPr>
        <w:t>FIU</w:t>
      </w:r>
      <w:r w:rsidRPr="00A976E5">
        <w:rPr>
          <w:i/>
          <w:vertAlign w:val="subscript"/>
          <w:lang w:val="es-CO"/>
        </w:rPr>
        <w:t>u,n,q,m</w:t>
      </w:r>
      <w:r w:rsidRPr="00A976E5">
        <w:rPr>
          <w:i/>
          <w:lang w:val="es-CO"/>
        </w:rPr>
        <w:t>:</w:t>
      </w:r>
      <w:r w:rsidRPr="00A976E5">
        <w:rPr>
          <w:i/>
          <w:vertAlign w:val="subscript"/>
          <w:lang w:val="es-CO"/>
        </w:rPr>
        <w:tab/>
      </w:r>
      <w:r w:rsidRPr="00A976E5">
        <w:rPr>
          <w:lang w:val="es-CO"/>
        </w:rPr>
        <w:t xml:space="preserve">Número total acumulado de eventos percibidos por el usuario </w:t>
      </w:r>
      <w:r w:rsidRPr="00A976E5">
        <w:rPr>
          <w:i/>
          <w:lang w:val="es-CO"/>
        </w:rPr>
        <w:t>u</w:t>
      </w:r>
      <w:r w:rsidRPr="00A976E5">
        <w:rPr>
          <w:lang w:val="es-CO"/>
        </w:rPr>
        <w:t xml:space="preserve"> </w:t>
      </w:r>
      <w:r w:rsidRPr="00220DAE">
        <w:rPr>
          <w:lang w:val="es-CO"/>
        </w:rPr>
        <w:t>conectado al nivel de tensión</w:t>
      </w:r>
      <w:r w:rsidRPr="00220DAE">
        <w:rPr>
          <w:i/>
          <w:lang w:val="es-CO"/>
        </w:rPr>
        <w:t xml:space="preserve"> n </w:t>
      </w:r>
      <w:r w:rsidRPr="00220DAE">
        <w:rPr>
          <w:lang w:val="es-CO"/>
        </w:rPr>
        <w:t xml:space="preserve">y </w:t>
      </w:r>
      <w:r w:rsidRPr="00A976E5">
        <w:rPr>
          <w:lang w:val="es-CO"/>
        </w:rPr>
        <w:t>que pertenece</w:t>
      </w:r>
      <w:r w:rsidRPr="00220DAE">
        <w:rPr>
          <w:lang w:val="es-CO"/>
        </w:rPr>
        <w:t xml:space="preserve"> al grupo de calidad</w:t>
      </w:r>
      <w:r w:rsidRPr="00220DAE">
        <w:rPr>
          <w:i/>
          <w:lang w:val="es-CO"/>
        </w:rPr>
        <w:t xml:space="preserve"> q,</w:t>
      </w:r>
      <w:r w:rsidRPr="00220DAE">
        <w:rPr>
          <w:lang w:val="es-CO"/>
        </w:rPr>
        <w:t xml:space="preserve"> en un periodo de doce meses que termina en el mes </w:t>
      </w:r>
      <w:r w:rsidRPr="00220DAE">
        <w:rPr>
          <w:i/>
          <w:lang w:val="es-CO"/>
        </w:rPr>
        <w:t>m</w:t>
      </w:r>
      <w:r w:rsidRPr="00220DAE">
        <w:rPr>
          <w:lang w:val="es-CO"/>
        </w:rPr>
        <w:t xml:space="preserve"> de evaluación</w:t>
      </w:r>
      <w:r w:rsidRPr="00A976E5">
        <w:rPr>
          <w:lang w:val="es-CO"/>
        </w:rPr>
        <w:t xml:space="preserve">. </w:t>
      </w:r>
    </w:p>
    <w:p w:rsidR="00407449" w:rsidRPr="004E6CFC" w:rsidRDefault="00407449" w:rsidP="00407449">
      <w:pPr>
        <w:ind w:left="1410" w:hanging="1410"/>
        <w:rPr>
          <w:lang w:val="es-CO"/>
        </w:rPr>
      </w:pPr>
      <w:r w:rsidRPr="00220DAE">
        <w:rPr>
          <w:i/>
          <w:lang w:val="es-CO"/>
        </w:rPr>
        <w:t>FIUM</w:t>
      </w:r>
      <w:r w:rsidRPr="00220DAE">
        <w:rPr>
          <w:i/>
          <w:vertAlign w:val="subscript"/>
          <w:lang w:val="es-CO"/>
        </w:rPr>
        <w:t>u,n,q,m</w:t>
      </w:r>
      <w:r w:rsidRPr="00220DAE">
        <w:rPr>
          <w:i/>
          <w:lang w:val="es-CO"/>
        </w:rPr>
        <w:t>:</w:t>
      </w:r>
      <w:r w:rsidRPr="00220DAE">
        <w:rPr>
          <w:i/>
          <w:vertAlign w:val="subscript"/>
          <w:lang w:val="es-CO"/>
        </w:rPr>
        <w:tab/>
      </w:r>
      <w:r w:rsidRPr="00220DAE">
        <w:rPr>
          <w:lang w:val="es-CO"/>
        </w:rPr>
        <w:t xml:space="preserve">Número total de eventos percibidos por el usuario </w:t>
      </w:r>
      <w:r w:rsidRPr="00220DAE">
        <w:rPr>
          <w:i/>
          <w:lang w:val="es-CO"/>
        </w:rPr>
        <w:t xml:space="preserve">u, </w:t>
      </w:r>
      <w:r w:rsidRPr="00220DAE">
        <w:rPr>
          <w:lang w:val="es-CO"/>
        </w:rPr>
        <w:t>conectado al nivel de tensión</w:t>
      </w:r>
      <w:r w:rsidRPr="00220DAE">
        <w:rPr>
          <w:i/>
          <w:lang w:val="es-CO"/>
        </w:rPr>
        <w:t xml:space="preserve"> n </w:t>
      </w:r>
      <w:r w:rsidRPr="00220DAE">
        <w:rPr>
          <w:lang w:val="es-CO"/>
        </w:rPr>
        <w:t xml:space="preserve">y </w:t>
      </w:r>
      <w:r w:rsidRPr="00A976E5">
        <w:rPr>
          <w:lang w:val="es-CO"/>
        </w:rPr>
        <w:t xml:space="preserve">que pertenece </w:t>
      </w:r>
      <w:r w:rsidRPr="00220DAE">
        <w:rPr>
          <w:lang w:val="es-CO"/>
        </w:rPr>
        <w:t>al grupo de calidad</w:t>
      </w:r>
      <w:r w:rsidRPr="00220DAE">
        <w:rPr>
          <w:i/>
          <w:lang w:val="es-CO"/>
        </w:rPr>
        <w:t xml:space="preserve"> q,</w:t>
      </w:r>
      <w:r w:rsidRPr="00220DAE">
        <w:rPr>
          <w:lang w:val="es-CO"/>
        </w:rPr>
        <w:t xml:space="preserve"> durante el mes </w:t>
      </w:r>
      <w:r w:rsidRPr="00220DAE">
        <w:rPr>
          <w:i/>
          <w:lang w:val="es-CO"/>
        </w:rPr>
        <w:t>m</w:t>
      </w:r>
      <w:r w:rsidRPr="00220DAE">
        <w:rPr>
          <w:lang w:val="es-CO"/>
        </w:rPr>
        <w:t xml:space="preserve"> de evaluación</w:t>
      </w:r>
      <w:r w:rsidRPr="00A976E5">
        <w:rPr>
          <w:lang w:val="es-CO"/>
        </w:rPr>
        <w:t>.</w:t>
      </w:r>
    </w:p>
    <w:p w:rsidR="00407449" w:rsidRPr="004E6CFC" w:rsidRDefault="00407449" w:rsidP="00407449">
      <w:pPr>
        <w:ind w:left="1410" w:hanging="1410"/>
        <w:rPr>
          <w:i/>
          <w:lang w:val="es-CO"/>
        </w:rPr>
      </w:pPr>
      <w:r w:rsidRPr="004E6CFC">
        <w:rPr>
          <w:i/>
          <w:lang w:val="es-CO"/>
        </w:rPr>
        <w:lastRenderedPageBreak/>
        <w:t>F</w:t>
      </w:r>
      <w:r w:rsidRPr="004E6CFC">
        <w:rPr>
          <w:i/>
          <w:vertAlign w:val="subscript"/>
          <w:lang w:val="es-CO"/>
        </w:rPr>
        <w:t>i,u,n,q,m</w:t>
      </w:r>
      <w:r w:rsidRPr="004E6CFC">
        <w:rPr>
          <w:i/>
          <w:lang w:val="es-CO"/>
        </w:rPr>
        <w:t>:</w:t>
      </w:r>
      <w:r w:rsidRPr="004E6CFC">
        <w:rPr>
          <w:i/>
          <w:lang w:val="es-CO"/>
        </w:rPr>
        <w:tab/>
      </w:r>
      <w:r w:rsidRPr="004E6CFC">
        <w:rPr>
          <w:lang w:val="es-CO"/>
        </w:rPr>
        <w:t xml:space="preserve">Evento </w:t>
      </w:r>
      <w:r w:rsidRPr="004E6CFC">
        <w:rPr>
          <w:i/>
          <w:lang w:val="es-CO"/>
        </w:rPr>
        <w:t>i</w:t>
      </w:r>
      <w:r w:rsidRPr="004E6CFC">
        <w:rPr>
          <w:lang w:val="es-CO"/>
        </w:rPr>
        <w:t xml:space="preserve"> que afectó al usuario </w:t>
      </w:r>
      <w:r w:rsidRPr="004E6CFC">
        <w:rPr>
          <w:i/>
          <w:lang w:val="es-CO"/>
        </w:rPr>
        <w:t xml:space="preserve">u </w:t>
      </w:r>
      <w:r w:rsidRPr="004E6CFC">
        <w:rPr>
          <w:lang w:val="es-CO"/>
        </w:rPr>
        <w:t>conectado al nivel de tensión</w:t>
      </w:r>
      <w:r w:rsidRPr="004E6CFC">
        <w:rPr>
          <w:i/>
          <w:lang w:val="es-CO"/>
        </w:rPr>
        <w:t xml:space="preserve"> n, </w:t>
      </w:r>
      <w:r w:rsidRPr="004E6CFC">
        <w:rPr>
          <w:lang w:val="es-CO"/>
        </w:rPr>
        <w:t xml:space="preserve">que pertenece al grupo de calidad </w:t>
      </w:r>
      <w:r w:rsidRPr="004E6CFC">
        <w:rPr>
          <w:i/>
          <w:lang w:val="es-CO"/>
        </w:rPr>
        <w:t>q</w:t>
      </w:r>
      <w:r w:rsidRPr="004E6CFC">
        <w:rPr>
          <w:lang w:val="es-CO"/>
        </w:rPr>
        <w:t xml:space="preserve">, durante el mes </w:t>
      </w:r>
      <w:r w:rsidRPr="004E6CFC">
        <w:rPr>
          <w:i/>
          <w:lang w:val="es-CO"/>
        </w:rPr>
        <w:t>m</w:t>
      </w:r>
      <w:r w:rsidRPr="004E6CFC">
        <w:rPr>
          <w:lang w:val="es-CO"/>
        </w:rPr>
        <w:t>.</w:t>
      </w:r>
    </w:p>
    <w:p w:rsidR="00407449" w:rsidRPr="004E6CFC" w:rsidRDefault="00407449" w:rsidP="00407449">
      <w:r w:rsidRPr="004E6CFC">
        <w:t xml:space="preserve">Para la aplicación del esquema de compensaciones se establecen indicadores de calidad mínima garantizada que representan una cantidad máxima anual de horas interrumpidas, </w:t>
      </w:r>
      <w:r w:rsidRPr="004E6CFC">
        <w:rPr>
          <w:i/>
        </w:rPr>
        <w:t>DIUG</w:t>
      </w:r>
      <w:r w:rsidRPr="004E6CFC">
        <w:t xml:space="preserve">, y de veces </w:t>
      </w:r>
      <w:r>
        <w:t>en las que ocurren</w:t>
      </w:r>
      <w:r w:rsidRPr="004E6CFC">
        <w:t xml:space="preserve"> evento</w:t>
      </w:r>
      <w:r>
        <w:t>s</w:t>
      </w:r>
      <w:r w:rsidRPr="004E6CFC">
        <w:t xml:space="preserve">, </w:t>
      </w:r>
      <w:r w:rsidRPr="004E6CFC">
        <w:rPr>
          <w:i/>
        </w:rPr>
        <w:t>FIUG</w:t>
      </w:r>
      <w:r w:rsidRPr="004E6CFC">
        <w:t>, que les corresponde a los OR garantizar a los usuarios de las redes del SDL. Estos indicadores se establecen por OR, por grupo de calidad y por nivel de tensión, para el nivel 1 y en forma agregada para los niveles 2 y 3, y se mantienen fijos para todo el período tarifario.</w:t>
      </w:r>
    </w:p>
    <w:p w:rsidR="00407449" w:rsidRPr="004E6CFC" w:rsidRDefault="00407449" w:rsidP="00407449">
      <w:r w:rsidRPr="004E6CFC">
        <w:t>Los indicadores de calidad mínima anual garantizada se expresarán así:</w:t>
      </w:r>
    </w:p>
    <w:p w:rsidR="00407449" w:rsidRPr="004E6CFC" w:rsidRDefault="00407449" w:rsidP="00407449">
      <w:pPr>
        <w:ind w:left="1416" w:hanging="1416"/>
      </w:pPr>
      <w:r w:rsidRPr="004E6CFC">
        <w:rPr>
          <w:i/>
        </w:rPr>
        <w:t>DIUG</w:t>
      </w:r>
      <w:r w:rsidRPr="004E6CFC">
        <w:rPr>
          <w:i/>
          <w:vertAlign w:val="subscript"/>
        </w:rPr>
        <w:t>j,n,q</w:t>
      </w:r>
      <w:r w:rsidRPr="004E6CFC">
        <w:t>:</w:t>
      </w:r>
      <w:r w:rsidRPr="004E6CFC">
        <w:rPr>
          <w:vertAlign w:val="subscript"/>
        </w:rPr>
        <w:tab/>
      </w:r>
      <w:r w:rsidRPr="004E6CFC">
        <w:t xml:space="preserve">Duración máxima anual </w:t>
      </w:r>
      <w:r>
        <w:t xml:space="preserve">en horas </w:t>
      </w:r>
      <w:r w:rsidRPr="004E6CFC">
        <w:t xml:space="preserve">de eventos que deben recibir los usuarios del OR </w:t>
      </w:r>
      <w:r w:rsidRPr="004E6CFC">
        <w:rPr>
          <w:i/>
        </w:rPr>
        <w:t>j</w:t>
      </w:r>
      <w:r w:rsidRPr="004E6CFC">
        <w:t xml:space="preserve"> conectados al nivel de tensión </w:t>
      </w:r>
      <w:r w:rsidRPr="004E6CFC">
        <w:rPr>
          <w:i/>
        </w:rPr>
        <w:t>n</w:t>
      </w:r>
      <w:r w:rsidRPr="004E6CFC">
        <w:t xml:space="preserve"> y que pertenecen al grupo de calidad </w:t>
      </w:r>
      <w:r w:rsidRPr="004E6CFC">
        <w:rPr>
          <w:i/>
        </w:rPr>
        <w:t>q</w:t>
      </w:r>
      <w:r w:rsidRPr="004E6CFC">
        <w:t>.</w:t>
      </w:r>
    </w:p>
    <w:p w:rsidR="00407449" w:rsidRPr="004E6CFC" w:rsidRDefault="00407449" w:rsidP="00407449">
      <w:pPr>
        <w:ind w:left="1410" w:hanging="1410"/>
      </w:pPr>
      <w:r w:rsidRPr="004E6CFC">
        <w:rPr>
          <w:i/>
        </w:rPr>
        <w:t>FIUG</w:t>
      </w:r>
      <w:r w:rsidRPr="004E6CFC">
        <w:rPr>
          <w:i/>
          <w:vertAlign w:val="subscript"/>
        </w:rPr>
        <w:t>j,n,q</w:t>
      </w:r>
      <w:r w:rsidRPr="004E6CFC">
        <w:t>:</w:t>
      </w:r>
      <w:r w:rsidRPr="004E6CFC">
        <w:tab/>
        <w:t xml:space="preserve">Número máximo anual de eventos que deben recibir los usuarios del OR </w:t>
      </w:r>
      <w:r w:rsidRPr="004E6CFC">
        <w:rPr>
          <w:i/>
        </w:rPr>
        <w:t>j</w:t>
      </w:r>
      <w:r w:rsidRPr="004E6CFC">
        <w:t xml:space="preserve"> conectados al nivel de tensión </w:t>
      </w:r>
      <w:r w:rsidRPr="004E6CFC">
        <w:rPr>
          <w:i/>
        </w:rPr>
        <w:t>n</w:t>
      </w:r>
      <w:r w:rsidRPr="004E6CFC">
        <w:t xml:space="preserve"> y que pertenecen al grupo de calidad </w:t>
      </w:r>
      <w:r w:rsidRPr="004E6CFC">
        <w:rPr>
          <w:i/>
        </w:rPr>
        <w:t>q</w:t>
      </w:r>
      <w:r w:rsidRPr="004E6CFC">
        <w:t>.</w:t>
      </w:r>
    </w:p>
    <w:p w:rsidR="00407449" w:rsidRPr="004E6CFC" w:rsidRDefault="00407449" w:rsidP="00407449">
      <w:r w:rsidRPr="004E6CFC">
        <w:t xml:space="preserve">Los indicadores </w:t>
      </w:r>
      <w:r w:rsidRPr="004E6CFC">
        <w:rPr>
          <w:i/>
        </w:rPr>
        <w:t>DIUG</w:t>
      </w:r>
      <w:r w:rsidRPr="004E6CFC">
        <w:t xml:space="preserve"> y </w:t>
      </w:r>
      <w:r w:rsidRPr="004E6CFC">
        <w:rPr>
          <w:i/>
        </w:rPr>
        <w:t>FIUG</w:t>
      </w:r>
      <w:r w:rsidRPr="004E6CFC">
        <w:t xml:space="preserve"> anual para cada OR corresponderán al percentil 85 de la distribución de usuarios, en cada nivel de tensión, para el nivel 1 y en forma agregada para los niveles 2 y 3, y en cada grupo de calidad, ordenados en forma ascendente en función de las duraciones y en función de la frecuencia de los eventos. En ningún caso el valor de los indicadores </w:t>
      </w:r>
      <w:r w:rsidRPr="004E6CFC">
        <w:rPr>
          <w:i/>
        </w:rPr>
        <w:t>DIUG</w:t>
      </w:r>
      <w:r w:rsidRPr="004E6CFC">
        <w:t xml:space="preserve"> y </w:t>
      </w:r>
      <w:r w:rsidRPr="004E6CFC">
        <w:rPr>
          <w:i/>
        </w:rPr>
        <w:t>FIUG</w:t>
      </w:r>
      <w:r w:rsidRPr="004E6CFC">
        <w:t xml:space="preserve"> será mayor a 360 horas o 360 veces, según corresponda.</w:t>
      </w:r>
      <w:r>
        <w:t xml:space="preserve"> </w:t>
      </w:r>
    </w:p>
    <w:p w:rsidR="00407449" w:rsidRDefault="00407449" w:rsidP="00407449">
      <w:r w:rsidRPr="004E6CFC">
        <w:t xml:space="preserve">La CREG definirá el valor de estos indicadores para cada OR con base en la información que se indica en el numeral </w:t>
      </w:r>
      <w:r w:rsidRPr="004E6CFC">
        <w:fldChar w:fldCharType="begin"/>
      </w:r>
      <w:r w:rsidRPr="004E6CFC">
        <w:instrText xml:space="preserve"> REF _Ref476815612 \r \h  \* MERGEFORMAT </w:instrText>
      </w:r>
      <w:r w:rsidRPr="004E6CFC">
        <w:fldChar w:fldCharType="separate"/>
      </w:r>
      <w:r w:rsidR="00737178">
        <w:t>5.2.5</w:t>
      </w:r>
      <w:r w:rsidRPr="004E6CFC">
        <w:fldChar w:fldCharType="end"/>
      </w:r>
      <w:r w:rsidRPr="004E6CFC">
        <w:t xml:space="preserve"> y los establecerá en la resolución particular que les apruebe el ingreso. </w:t>
      </w:r>
    </w:p>
    <w:p w:rsidR="00407449" w:rsidRPr="004E6CFC" w:rsidRDefault="00CC1B43" w:rsidP="00407449">
      <w:r>
        <w:t>Después</w:t>
      </w:r>
      <w:r w:rsidR="00407449">
        <w:t xml:space="preserve"> del año 5 del periodo tarifario, los indicadores </w:t>
      </w:r>
      <w:r w:rsidR="00407449" w:rsidRPr="003A16CB">
        <w:rPr>
          <w:i/>
        </w:rPr>
        <w:t>DIUG</w:t>
      </w:r>
      <w:r w:rsidR="00407449">
        <w:t xml:space="preserve"> y </w:t>
      </w:r>
      <w:r w:rsidR="00407449" w:rsidRPr="003A16CB">
        <w:rPr>
          <w:i/>
        </w:rPr>
        <w:t>FIUG</w:t>
      </w:r>
      <w:r w:rsidR="00407449">
        <w:t xml:space="preserve"> para cada OR que se usarán para aplicar el esquema de compensaciones </w:t>
      </w:r>
      <w:r>
        <w:t>corresponderán</w:t>
      </w:r>
      <w:r w:rsidR="00407449">
        <w:t xml:space="preserve"> al 80% de los </w:t>
      </w:r>
      <w:r w:rsidR="00407449" w:rsidRPr="003A16CB">
        <w:rPr>
          <w:i/>
        </w:rPr>
        <w:t>DIUG</w:t>
      </w:r>
      <w:r w:rsidR="00407449">
        <w:t xml:space="preserve"> y </w:t>
      </w:r>
      <w:r w:rsidR="00407449" w:rsidRPr="003A16CB">
        <w:rPr>
          <w:i/>
        </w:rPr>
        <w:t>FIUG</w:t>
      </w:r>
      <w:r w:rsidR="00407449">
        <w:t xml:space="preserve"> estimados según lo indicado en el numeral </w:t>
      </w:r>
      <w:r w:rsidR="00407449">
        <w:fldChar w:fldCharType="begin"/>
      </w:r>
      <w:r w:rsidR="00407449">
        <w:instrText xml:space="preserve"> REF _Ref476815612 \r \h </w:instrText>
      </w:r>
      <w:r w:rsidR="00407449">
        <w:fldChar w:fldCharType="separate"/>
      </w:r>
      <w:r w:rsidR="00737178">
        <w:t>5.2.5</w:t>
      </w:r>
      <w:r w:rsidR="00407449">
        <w:fldChar w:fldCharType="end"/>
      </w:r>
      <w:r w:rsidR="00407449">
        <w:t xml:space="preserve">.  </w:t>
      </w:r>
    </w:p>
    <w:p w:rsidR="00407449" w:rsidRPr="004E6CFC" w:rsidRDefault="00407449" w:rsidP="00407449">
      <w:pPr>
        <w:pStyle w:val="Ttulo4"/>
        <w:ind w:left="864" w:hanging="864"/>
        <w:rPr>
          <w:color w:val="auto"/>
        </w:rPr>
      </w:pPr>
      <w:bookmarkStart w:id="526" w:name="_Ref504828894"/>
      <w:r w:rsidRPr="004E6CFC">
        <w:rPr>
          <w:color w:val="auto"/>
        </w:rPr>
        <w:t>Esquema de compensaciones</w:t>
      </w:r>
      <w:bookmarkEnd w:id="526"/>
    </w:p>
    <w:p w:rsidR="00407449" w:rsidRPr="004E6CFC" w:rsidRDefault="00407449" w:rsidP="00407449">
      <w:r w:rsidRPr="004E6CFC">
        <w:t xml:space="preserve">Para evaluar el cumplimiento de la garantía de calidad y determinar si un usuario debe o no ser compensado, mensualmente se medirán los indicadores de calidad individual anual, </w:t>
      </w:r>
      <w:r w:rsidRPr="004E6CFC">
        <w:rPr>
          <w:i/>
        </w:rPr>
        <w:t>DIU</w:t>
      </w:r>
      <w:r w:rsidRPr="004E6CFC">
        <w:rPr>
          <w:i/>
          <w:vertAlign w:val="subscript"/>
        </w:rPr>
        <w:t>u,te</w:t>
      </w:r>
      <w:r w:rsidRPr="004E6CFC">
        <w:t xml:space="preserve"> y </w:t>
      </w:r>
      <w:r w:rsidRPr="004E6CFC">
        <w:rPr>
          <w:i/>
        </w:rPr>
        <w:t>FIU</w:t>
      </w:r>
      <w:r w:rsidRPr="004E6CFC">
        <w:rPr>
          <w:i/>
          <w:vertAlign w:val="subscript"/>
        </w:rPr>
        <w:t xml:space="preserve">u,te </w:t>
      </w:r>
      <w:r w:rsidRPr="004E6CFC">
        <w:t xml:space="preserve">y serán comparados contra los indicadores de calidad mínima garantizada, </w:t>
      </w:r>
      <w:r w:rsidRPr="004E6CFC">
        <w:rPr>
          <w:i/>
        </w:rPr>
        <w:t>DIUG</w:t>
      </w:r>
      <w:r w:rsidRPr="004E6CFC">
        <w:rPr>
          <w:i/>
          <w:vertAlign w:val="subscript"/>
        </w:rPr>
        <w:t>j,n,q</w:t>
      </w:r>
      <w:r w:rsidRPr="004E6CFC">
        <w:t xml:space="preserve"> y </w:t>
      </w:r>
      <w:r w:rsidRPr="004E6CFC">
        <w:rPr>
          <w:i/>
        </w:rPr>
        <w:t>FIUG</w:t>
      </w:r>
      <w:r w:rsidRPr="004E6CFC">
        <w:rPr>
          <w:i/>
          <w:vertAlign w:val="subscript"/>
        </w:rPr>
        <w:t>j,n,q</w:t>
      </w:r>
      <w:r w:rsidRPr="004E6CFC">
        <w:t xml:space="preserve"> establecidos para cada OR. Estos últimos indicadores corresponden a los establecidos en el numeral </w:t>
      </w:r>
      <w:r>
        <w:t>5.2.3.2</w:t>
      </w:r>
      <w:r w:rsidRPr="004E6CFC">
        <w:t xml:space="preserve">. </w:t>
      </w:r>
    </w:p>
    <w:p w:rsidR="00407449" w:rsidRPr="004E6CFC" w:rsidRDefault="00407449" w:rsidP="00407449">
      <w:r w:rsidRPr="004E6CFC">
        <w:t>Los indicadores de calidad individual anual serán calculados por cada OR a partir de los registros de eventos consignados en la base de datos de calidad del LAC, ocurridas en su SDL durante el período de evaluación, y demás información requerida que haya sido reportada al SUI en los formatos y condiciones que la SSPD establezca.  El OR deberá elaborar y mantener un documento que soporte los cálculos correspondientes</w:t>
      </w:r>
      <w:r w:rsidR="00944106">
        <w:t>.</w:t>
      </w:r>
    </w:p>
    <w:p w:rsidR="00407449" w:rsidRPr="004E6CFC" w:rsidRDefault="00407449" w:rsidP="00407449">
      <w:r w:rsidRPr="004E6CFC">
        <w:t>En cada factura de los usuarios se debe indicar el nivel de calidad mínimo garantizado al cual tiene derecho el usuario,</w:t>
      </w:r>
      <w:r w:rsidRPr="004E6CFC">
        <w:rPr>
          <w:i/>
        </w:rPr>
        <w:t xml:space="preserve"> DIUG</w:t>
      </w:r>
      <w:r w:rsidRPr="004E6CFC">
        <w:rPr>
          <w:i/>
          <w:vertAlign w:val="subscript"/>
        </w:rPr>
        <w:t>j,n,q</w:t>
      </w:r>
      <w:r w:rsidRPr="004E6CFC">
        <w:t xml:space="preserve"> y </w:t>
      </w:r>
      <w:r w:rsidRPr="004E6CFC">
        <w:rPr>
          <w:i/>
        </w:rPr>
        <w:t>FIUG</w:t>
      </w:r>
      <w:r w:rsidRPr="004E6CFC">
        <w:rPr>
          <w:i/>
          <w:vertAlign w:val="subscript"/>
        </w:rPr>
        <w:t>j,n,q</w:t>
      </w:r>
      <w:r w:rsidRPr="004E6CFC">
        <w:t xml:space="preserve">, la calidad </w:t>
      </w:r>
      <w:r w:rsidRPr="004E6CFC">
        <w:lastRenderedPageBreak/>
        <w:t xml:space="preserve">individual real brindada hasta el mes de corte de la factura, </w:t>
      </w:r>
      <w:r w:rsidRPr="004E6CFC">
        <w:rPr>
          <w:i/>
        </w:rPr>
        <w:t>DIU</w:t>
      </w:r>
      <w:r w:rsidRPr="004E6CFC">
        <w:rPr>
          <w:i/>
          <w:vertAlign w:val="subscript"/>
        </w:rPr>
        <w:t>u,te</w:t>
      </w:r>
      <w:r w:rsidRPr="004E6CFC">
        <w:t xml:space="preserve"> y </w:t>
      </w:r>
      <w:r w:rsidRPr="004E6CFC">
        <w:rPr>
          <w:i/>
        </w:rPr>
        <w:t>FIU</w:t>
      </w:r>
      <w:r w:rsidRPr="004E6CFC">
        <w:rPr>
          <w:i/>
          <w:vertAlign w:val="subscript"/>
        </w:rPr>
        <w:t>u,te,</w:t>
      </w:r>
      <w:r w:rsidRPr="004E6CFC">
        <w:t xml:space="preserve"> y los indicadores </w:t>
      </w:r>
      <w:r w:rsidRPr="004E6CFC">
        <w:rPr>
          <w:i/>
        </w:rPr>
        <w:t>DIU</w:t>
      </w:r>
      <w:r w:rsidRPr="004E6CFC">
        <w:rPr>
          <w:i/>
          <w:vertAlign w:val="subscript"/>
        </w:rPr>
        <w:t>u,n,q,m</w:t>
      </w:r>
      <w:r w:rsidRPr="004E6CFC">
        <w:rPr>
          <w:i/>
        </w:rPr>
        <w:t xml:space="preserve"> </w:t>
      </w:r>
      <w:r w:rsidRPr="004E6CFC">
        <w:t xml:space="preserve">y </w:t>
      </w:r>
      <w:r w:rsidRPr="004E6CFC">
        <w:rPr>
          <w:i/>
        </w:rPr>
        <w:t>FIU</w:t>
      </w:r>
      <w:r w:rsidRPr="004E6CFC">
        <w:rPr>
          <w:i/>
          <w:vertAlign w:val="subscript"/>
        </w:rPr>
        <w:t>u,n,q,m</w:t>
      </w:r>
      <w:r w:rsidRPr="004E6CFC">
        <w:t xml:space="preserve"> del correspondiente mes. Si la factura corresponde a más de un mes, se deberá indicar esta información de calidad de cada uno de los meses cubiertos por la factura.  </w:t>
      </w:r>
    </w:p>
    <w:p w:rsidR="00407449" w:rsidRPr="004E6CFC" w:rsidRDefault="00407449" w:rsidP="00407449">
      <w:r w:rsidRPr="004E6CFC">
        <w:t>Los criterios y condiciones para determinar el valor de la compensación son los siguientes:</w:t>
      </w:r>
    </w:p>
    <w:p w:rsidR="00407449" w:rsidRPr="004E6CFC" w:rsidRDefault="00407449" w:rsidP="009C086B">
      <w:pPr>
        <w:pStyle w:val="Prrafodelista"/>
        <w:numPr>
          <w:ilvl w:val="0"/>
          <w:numId w:val="89"/>
        </w:numPr>
        <w:ind w:left="284" w:hanging="284"/>
        <w:rPr>
          <w:rFonts w:cs="Arial"/>
        </w:rPr>
      </w:pPr>
      <w:r w:rsidRPr="004E6CFC">
        <w:t xml:space="preserve">Si en el mes </w:t>
      </w:r>
      <w:r w:rsidRPr="004E6CFC">
        <w:rPr>
          <w:i/>
        </w:rPr>
        <w:t>m</w:t>
      </w:r>
      <w:r w:rsidRPr="004E6CFC">
        <w:t xml:space="preserve"> se obtiene que el indicador </w:t>
      </w:r>
      <w:r w:rsidRPr="004E6CFC">
        <w:rPr>
          <w:i/>
        </w:rPr>
        <w:t>DIU</w:t>
      </w:r>
      <w:r w:rsidRPr="004E6CFC">
        <w:rPr>
          <w:i/>
          <w:vertAlign w:val="subscript"/>
        </w:rPr>
        <w:t>u,</w:t>
      </w:r>
      <w:r>
        <w:rPr>
          <w:i/>
          <w:vertAlign w:val="subscript"/>
        </w:rPr>
        <w:t>n,q,m</w:t>
      </w:r>
      <w:r w:rsidRPr="004E6CFC">
        <w:rPr>
          <w:i/>
          <w:vertAlign w:val="subscript"/>
        </w:rPr>
        <w:t xml:space="preserve"> </w:t>
      </w:r>
      <w:r w:rsidRPr="004E6CFC">
        <w:t xml:space="preserve">de un usuario es menor </w:t>
      </w:r>
      <w:r>
        <w:t xml:space="preserve">o igual </w:t>
      </w:r>
      <w:r w:rsidRPr="004E6CFC">
        <w:t>al</w:t>
      </w:r>
      <w:r w:rsidRPr="004E6CFC">
        <w:rPr>
          <w:i/>
          <w:vertAlign w:val="subscript"/>
        </w:rPr>
        <w:t xml:space="preserve"> </w:t>
      </w:r>
      <w:r w:rsidRPr="004E6CFC">
        <w:rPr>
          <w:i/>
        </w:rPr>
        <w:t>DIUG</w:t>
      </w:r>
      <w:r w:rsidRPr="004E6CFC">
        <w:rPr>
          <w:i/>
          <w:vertAlign w:val="subscript"/>
        </w:rPr>
        <w:t xml:space="preserve">j,n,q  </w:t>
      </w:r>
      <w:r w:rsidRPr="004E6CFC">
        <w:t xml:space="preserve">establecido para el OR, el valor de la variable </w:t>
      </w:r>
      <m:oMath>
        <m:sSub>
          <m:sSubPr>
            <m:ctrlPr>
              <w:rPr>
                <w:rFonts w:ascii="Cambria Math" w:hAnsi="Cambria Math"/>
                <w:i/>
              </w:rPr>
            </m:ctrlPr>
          </m:sSubPr>
          <m:e>
            <m:r>
              <w:rPr>
                <w:rFonts w:ascii="Cambria Math" w:hAnsi="Cambria Math"/>
              </w:rPr>
              <m:t>VCD</m:t>
            </m:r>
          </m:e>
          <m:sub>
            <m:r>
              <w:rPr>
                <w:rFonts w:ascii="Cambria Math" w:hAnsi="Cambria Math"/>
              </w:rPr>
              <m:t>f</m:t>
            </m:r>
          </m:sub>
        </m:sSub>
      </m:oMath>
      <w:r w:rsidRPr="004E6CFC">
        <w:t xml:space="preserve"> que se indica mas adelante será </w:t>
      </w:r>
      <w:r>
        <w:t xml:space="preserve">igual a </w:t>
      </w:r>
      <w:r w:rsidRPr="004E6CFC">
        <w:t>cero.</w:t>
      </w:r>
    </w:p>
    <w:p w:rsidR="00407449" w:rsidRPr="00576110" w:rsidRDefault="00407449" w:rsidP="009C086B">
      <w:pPr>
        <w:pStyle w:val="Prrafodelista"/>
        <w:numPr>
          <w:ilvl w:val="0"/>
          <w:numId w:val="89"/>
        </w:numPr>
        <w:ind w:left="284" w:hanging="284"/>
        <w:rPr>
          <w:rFonts w:cs="Arial"/>
        </w:rPr>
      </w:pPr>
      <w:r w:rsidRPr="00576110">
        <w:t>S</w:t>
      </w:r>
      <w:r w:rsidRPr="00576110">
        <w:rPr>
          <w:rFonts w:cs="Arial"/>
        </w:rPr>
        <w:t xml:space="preserve">i en el mes </w:t>
      </w:r>
      <w:r w:rsidRPr="00576110">
        <w:rPr>
          <w:rFonts w:cs="Arial"/>
          <w:i/>
        </w:rPr>
        <w:t>m</w:t>
      </w:r>
      <w:r w:rsidRPr="00576110">
        <w:rPr>
          <w:rFonts w:cs="Arial"/>
        </w:rPr>
        <w:t xml:space="preserve"> se obtiene que </w:t>
      </w:r>
      <w:r w:rsidRPr="00576110">
        <w:rPr>
          <w:i/>
        </w:rPr>
        <w:t>DIU</w:t>
      </w:r>
      <w:r w:rsidRPr="00576110">
        <w:rPr>
          <w:i/>
          <w:vertAlign w:val="subscript"/>
        </w:rPr>
        <w:t xml:space="preserve">u,n,q,m  </w:t>
      </w:r>
      <w:r w:rsidRPr="00576110">
        <w:rPr>
          <w:rFonts w:cs="Arial"/>
        </w:rPr>
        <w:t xml:space="preserve">es mayor o igual al </w:t>
      </w:r>
      <w:r w:rsidRPr="00576110">
        <w:rPr>
          <w:i/>
        </w:rPr>
        <w:t>DIUG</w:t>
      </w:r>
      <w:r w:rsidRPr="00576110">
        <w:rPr>
          <w:i/>
          <w:vertAlign w:val="subscript"/>
        </w:rPr>
        <w:t xml:space="preserve">j,n,q  </w:t>
      </w:r>
      <w:r w:rsidRPr="00576110">
        <w:rPr>
          <w:rFonts w:cs="Arial"/>
        </w:rPr>
        <w:t>el usuario recibirá compensación si se cumple la siguiente condición:</w:t>
      </w:r>
    </w:p>
    <w:p w:rsidR="00407449" w:rsidRPr="00576110" w:rsidRDefault="00C9592F" w:rsidP="00407449">
      <w:pPr>
        <w:jc w:val="center"/>
        <w:rPr>
          <w:rFonts w:cs="Arial"/>
        </w:rPr>
      </w:pPr>
      <m:oMathPara>
        <m:oMath>
          <m:sSub>
            <m:sSubPr>
              <m:ctrlPr>
                <w:rPr>
                  <w:rFonts w:ascii="Cambria Math" w:hAnsi="Cambria Math" w:cs="Arial"/>
                  <w:i/>
                </w:rPr>
              </m:ctrlPr>
            </m:sSubPr>
            <m:e>
              <m:r>
                <w:rPr>
                  <w:rFonts w:ascii="Cambria Math" w:hAnsi="Cambria Math" w:cs="Arial"/>
                </w:rPr>
                <m:t>DIUG</m:t>
              </m:r>
            </m:e>
            <m:sub>
              <m:r>
                <w:rPr>
                  <w:rFonts w:ascii="Cambria Math" w:hAnsi="Cambria Math" w:cs="Arial"/>
                </w:rPr>
                <m:t>j,n,q</m:t>
              </m:r>
            </m:sub>
          </m:sSub>
          <m:r>
            <w:rPr>
              <w:rFonts w:ascii="Cambria Math" w:hAnsi="Cambria Math" w:cs="Arial"/>
            </w:rPr>
            <m:t>-</m:t>
          </m:r>
          <m:sSub>
            <m:sSubPr>
              <m:ctrlPr>
                <w:rPr>
                  <w:rFonts w:ascii="Cambria Math" w:hAnsi="Cambria Math" w:cs="Arial"/>
                  <w:i/>
                </w:rPr>
              </m:ctrlPr>
            </m:sSubPr>
            <m:e>
              <m:r>
                <w:rPr>
                  <w:rFonts w:ascii="Cambria Math" w:hAnsi="Cambria Math" w:cs="Arial"/>
                </w:rPr>
                <m:t>DIU</m:t>
              </m:r>
            </m:e>
            <m:sub>
              <m:r>
                <w:rPr>
                  <w:rFonts w:ascii="Cambria Math" w:hAnsi="Cambria Math" w:cs="Arial"/>
                </w:rPr>
                <m:t xml:space="preserve">u,n,q,m </m:t>
              </m:r>
            </m:sub>
          </m:sSub>
          <m:r>
            <w:rPr>
              <w:rFonts w:ascii="Cambria Math" w:hAnsi="Cambria Math" w:cs="Arial"/>
            </w:rPr>
            <m:t>-</m:t>
          </m:r>
          <m:sSub>
            <m:sSubPr>
              <m:ctrlPr>
                <w:rPr>
                  <w:rFonts w:ascii="Cambria Math" w:hAnsi="Cambria Math" w:cs="Arial"/>
                  <w:i/>
                </w:rPr>
              </m:ctrlPr>
            </m:sSubPr>
            <m:e>
              <m:r>
                <w:rPr>
                  <w:rFonts w:ascii="Cambria Math" w:hAnsi="Cambria Math" w:cs="Arial"/>
                </w:rPr>
                <m:t>THC</m:t>
              </m:r>
            </m:e>
            <m:sub>
              <m:r>
                <w:rPr>
                  <w:rFonts w:ascii="Cambria Math" w:hAnsi="Cambria Math" w:cs="Arial"/>
                </w:rPr>
                <m:t>u,n,q,m-1</m:t>
              </m:r>
            </m:sub>
          </m:sSub>
          <m:r>
            <w:rPr>
              <w:rFonts w:ascii="Cambria Math" w:hAnsi="Cambria Math" w:cs="Arial"/>
            </w:rPr>
            <m:t>&lt;0</m:t>
          </m:r>
        </m:oMath>
      </m:oMathPara>
    </w:p>
    <w:p w:rsidR="00407449" w:rsidRPr="00576110" w:rsidRDefault="00C9592F" w:rsidP="00407449">
      <w:pPr>
        <w:jc w:val="center"/>
        <w:rPr>
          <w:rFonts w:cs="Arial"/>
        </w:rPr>
      </w:pPr>
      <m:oMathPara>
        <m:oMath>
          <m:sSub>
            <m:sSubPr>
              <m:ctrlPr>
                <w:rPr>
                  <w:rFonts w:ascii="Cambria Math" w:hAnsi="Cambria Math" w:cs="Arial"/>
                  <w:i/>
                </w:rPr>
              </m:ctrlPr>
            </m:sSubPr>
            <m:e>
              <m:r>
                <w:rPr>
                  <w:rFonts w:ascii="Cambria Math" w:hAnsi="Cambria Math" w:cs="Arial"/>
                </w:rPr>
                <m:t>THC</m:t>
              </m:r>
            </m:e>
            <m:sub>
              <m:r>
                <w:rPr>
                  <w:rFonts w:ascii="Cambria Math" w:hAnsi="Cambria Math" w:cs="Arial"/>
                </w:rPr>
                <m:t>u,n,q,m-1</m:t>
              </m:r>
            </m:sub>
          </m:sSub>
          <m:r>
            <w:rPr>
              <w:rFonts w:ascii="Cambria Math" w:hAnsi="Cambria Math" w:cs="Arial"/>
            </w:rPr>
            <m:t>=</m:t>
          </m:r>
          <m:nary>
            <m:naryPr>
              <m:chr m:val="∑"/>
              <m:limLoc m:val="undOvr"/>
              <m:ctrlPr>
                <w:rPr>
                  <w:rFonts w:ascii="Cambria Math" w:hAnsi="Cambria Math" w:cs="Arial"/>
                  <w:i/>
                </w:rPr>
              </m:ctrlPr>
            </m:naryPr>
            <m:sub>
              <m:r>
                <w:rPr>
                  <w:rFonts w:ascii="Cambria Math" w:hAnsi="Cambria Math" w:cs="Arial"/>
                </w:rPr>
                <m:t>ma=m-11</m:t>
              </m:r>
            </m:sub>
            <m:sup>
              <m:r>
                <w:rPr>
                  <w:rFonts w:ascii="Cambria Math" w:hAnsi="Cambria Math" w:cs="Arial"/>
                </w:rPr>
                <m:t>m-1</m:t>
              </m:r>
            </m:sup>
            <m:e>
              <m:sSub>
                <m:sSubPr>
                  <m:ctrlPr>
                    <w:rPr>
                      <w:rFonts w:ascii="Cambria Math" w:hAnsi="Cambria Math" w:cs="Arial"/>
                      <w:i/>
                    </w:rPr>
                  </m:ctrlPr>
                </m:sSubPr>
                <m:e>
                  <m:r>
                    <w:rPr>
                      <w:rFonts w:ascii="Cambria Math" w:hAnsi="Cambria Math" w:cs="Arial"/>
                    </w:rPr>
                    <m:t>HC</m:t>
                  </m:r>
                </m:e>
                <m:sub>
                  <m:r>
                    <w:rPr>
                      <w:rFonts w:ascii="Cambria Math" w:hAnsi="Cambria Math" w:cs="Arial"/>
                    </w:rPr>
                    <m:t>u,n,q,ma</m:t>
                  </m:r>
                </m:sub>
              </m:sSub>
            </m:e>
          </m:nary>
        </m:oMath>
      </m:oMathPara>
    </w:p>
    <w:p w:rsidR="00407449" w:rsidRPr="00576110" w:rsidRDefault="00C9592F" w:rsidP="00407449">
      <w:pPr>
        <w:jc w:val="center"/>
        <w:rPr>
          <w:rFonts w:cs="Arial"/>
          <w:position w:val="-28"/>
        </w:rPr>
      </w:pPr>
      <m:oMathPara>
        <m:oMath>
          <m:sSub>
            <m:sSubPr>
              <m:ctrlPr>
                <w:rPr>
                  <w:rFonts w:ascii="Cambria Math" w:hAnsi="Cambria Math" w:cs="Arial"/>
                  <w:i/>
                  <w:szCs w:val="22"/>
                </w:rPr>
              </m:ctrlPr>
            </m:sSubPr>
            <m:e>
              <m:r>
                <w:rPr>
                  <w:rFonts w:ascii="Cambria Math" w:hAnsi="Cambria Math" w:cs="Arial"/>
                  <w:szCs w:val="22"/>
                </w:rPr>
                <m:t>HC</m:t>
              </m:r>
            </m:e>
            <m:sub>
              <m:r>
                <w:rPr>
                  <w:rFonts w:ascii="Cambria Math" w:hAnsi="Cambria Math" w:cs="Arial"/>
                  <w:szCs w:val="22"/>
                </w:rPr>
                <m:t>u,n,q,m</m:t>
              </m:r>
            </m:sub>
          </m:sSub>
          <m:r>
            <w:rPr>
              <w:rFonts w:ascii="Cambria Math" w:hAnsi="Cambria Math" w:cs="Arial"/>
              <w:szCs w:val="22"/>
            </w:rPr>
            <m:t>=min</m:t>
          </m:r>
          <m:d>
            <m:dPr>
              <m:ctrlPr>
                <w:rPr>
                  <w:rFonts w:ascii="Cambria Math" w:hAnsi="Cambria Math" w:cs="Arial"/>
                  <w:i/>
                  <w:szCs w:val="22"/>
                </w:rPr>
              </m:ctrlPr>
            </m:dPr>
            <m:e>
              <m:r>
                <w:rPr>
                  <w:rFonts w:ascii="Cambria Math" w:hAnsi="Cambria Math" w:cs="Arial"/>
                  <w:szCs w:val="22"/>
                </w:rPr>
                <m:t>0,</m:t>
              </m:r>
              <m:sSub>
                <m:sSubPr>
                  <m:ctrlPr>
                    <w:rPr>
                      <w:rFonts w:ascii="Cambria Math" w:hAnsi="Cambria Math" w:cs="Arial"/>
                      <w:i/>
                    </w:rPr>
                  </m:ctrlPr>
                </m:sSubPr>
                <m:e>
                  <m:sSub>
                    <m:sSubPr>
                      <m:ctrlPr>
                        <w:rPr>
                          <w:rFonts w:ascii="Cambria Math" w:hAnsi="Cambria Math" w:cs="Arial"/>
                          <w:i/>
                        </w:rPr>
                      </m:ctrlPr>
                    </m:sSubPr>
                    <m:e>
                      <m:r>
                        <w:rPr>
                          <w:rFonts w:ascii="Cambria Math" w:hAnsi="Cambria Math" w:cs="Arial"/>
                        </w:rPr>
                        <m:t xml:space="preserve"> DIUG</m:t>
                      </m:r>
                    </m:e>
                    <m:sub>
                      <m:r>
                        <w:rPr>
                          <w:rFonts w:ascii="Cambria Math" w:hAnsi="Cambria Math" w:cs="Arial"/>
                        </w:rPr>
                        <m:t>j,n,q</m:t>
                      </m:r>
                    </m:sub>
                  </m:sSub>
                  <m:r>
                    <w:rPr>
                      <w:rFonts w:ascii="Cambria Math" w:hAnsi="Cambria Math" w:cs="Arial"/>
                    </w:rPr>
                    <m:t>-DIU</m:t>
                  </m:r>
                </m:e>
                <m:sub>
                  <m:r>
                    <w:rPr>
                      <w:rFonts w:ascii="Cambria Math" w:hAnsi="Cambria Math" w:cs="Arial"/>
                    </w:rPr>
                    <m:t>u,n,q,m</m:t>
                  </m:r>
                </m:sub>
              </m:sSub>
              <m:r>
                <w:rPr>
                  <w:rFonts w:ascii="Cambria Math" w:hAnsi="Cambria Math" w:cs="Arial"/>
                </w:rPr>
                <m:t>-</m:t>
              </m:r>
              <m:sSub>
                <m:sSubPr>
                  <m:ctrlPr>
                    <w:rPr>
                      <w:rFonts w:ascii="Cambria Math" w:hAnsi="Cambria Math" w:cs="Arial"/>
                      <w:i/>
                    </w:rPr>
                  </m:ctrlPr>
                </m:sSubPr>
                <m:e>
                  <m:r>
                    <w:rPr>
                      <w:rFonts w:ascii="Cambria Math" w:hAnsi="Cambria Math" w:cs="Arial"/>
                    </w:rPr>
                    <m:t>THC</m:t>
                  </m:r>
                </m:e>
                <m:sub>
                  <m:r>
                    <w:rPr>
                      <w:rFonts w:ascii="Cambria Math" w:hAnsi="Cambria Math" w:cs="Arial"/>
                    </w:rPr>
                    <m:t>u,n,q,m-1</m:t>
                  </m:r>
                </m:sub>
              </m:sSub>
            </m:e>
          </m:d>
        </m:oMath>
      </m:oMathPara>
    </w:p>
    <w:p w:rsidR="00407449" w:rsidRPr="00576110" w:rsidRDefault="00407449" w:rsidP="00407449">
      <w:pPr>
        <w:ind w:left="339"/>
      </w:pPr>
      <w:r w:rsidRPr="00576110">
        <w:t>Donde:</w:t>
      </w:r>
    </w:p>
    <w:p w:rsidR="00407449" w:rsidRPr="00576110" w:rsidRDefault="00407449" w:rsidP="00407449">
      <w:pPr>
        <w:ind w:left="1688" w:hanging="1404"/>
        <w:rPr>
          <w:i/>
        </w:rPr>
      </w:pPr>
      <w:r w:rsidRPr="00576110">
        <w:rPr>
          <w:i/>
        </w:rPr>
        <w:t>THC</w:t>
      </w:r>
      <w:r w:rsidRPr="00576110">
        <w:rPr>
          <w:i/>
          <w:vertAlign w:val="subscript"/>
        </w:rPr>
        <w:t>u,n,q,m-1</w:t>
      </w:r>
      <w:r w:rsidRPr="00576110">
        <w:t>:</w:t>
      </w:r>
      <w:r w:rsidRPr="00576110">
        <w:tab/>
        <w:t xml:space="preserve">Total de horas compensadas al usuario </w:t>
      </w:r>
      <w:r w:rsidRPr="00576110">
        <w:rPr>
          <w:i/>
        </w:rPr>
        <w:t>u,</w:t>
      </w:r>
      <w:r w:rsidRPr="00576110">
        <w:t xml:space="preserve"> </w:t>
      </w:r>
      <w:r w:rsidRPr="00576110">
        <w:rPr>
          <w:lang w:val="es-CO"/>
        </w:rPr>
        <w:t>conectado al nivel de tensión</w:t>
      </w:r>
      <w:r w:rsidRPr="00576110">
        <w:rPr>
          <w:i/>
          <w:lang w:val="es-CO"/>
        </w:rPr>
        <w:t xml:space="preserve"> n, </w:t>
      </w:r>
      <w:r w:rsidRPr="00576110">
        <w:rPr>
          <w:lang w:val="es-CO"/>
        </w:rPr>
        <w:t xml:space="preserve">que pertenece al grupo de calidad </w:t>
      </w:r>
      <w:r w:rsidRPr="00576110">
        <w:rPr>
          <w:i/>
          <w:lang w:val="es-CO"/>
        </w:rPr>
        <w:t>q,</w:t>
      </w:r>
      <w:r w:rsidRPr="00576110">
        <w:rPr>
          <w:rFonts w:cs="Arial"/>
        </w:rPr>
        <w:t xml:space="preserve"> </w:t>
      </w:r>
      <w:r w:rsidRPr="00576110">
        <w:t xml:space="preserve">hasta el mes </w:t>
      </w:r>
      <w:r w:rsidRPr="00576110">
        <w:rPr>
          <w:i/>
        </w:rPr>
        <w:t>m-1</w:t>
      </w:r>
    </w:p>
    <w:p w:rsidR="00407449" w:rsidRPr="00576110" w:rsidRDefault="00407449" w:rsidP="00407449">
      <w:pPr>
        <w:ind w:left="1688" w:hanging="1404"/>
      </w:pPr>
      <w:r w:rsidRPr="00576110">
        <w:t xml:space="preserve">De lo contrario el valor de la variable </w:t>
      </w:r>
      <w:r w:rsidRPr="00576110">
        <w:rPr>
          <w:i/>
        </w:rPr>
        <w:t>VCD</w:t>
      </w:r>
      <w:r w:rsidRPr="00576110">
        <w:rPr>
          <w:i/>
          <w:vertAlign w:val="subscript"/>
        </w:rPr>
        <w:t>f</w:t>
      </w:r>
      <w:r w:rsidRPr="00576110">
        <w:rPr>
          <w:vertAlign w:val="subscript"/>
        </w:rPr>
        <w:t xml:space="preserve"> </w:t>
      </w:r>
      <w:r w:rsidRPr="00576110">
        <w:t xml:space="preserve"> será cero.</w:t>
      </w:r>
    </w:p>
    <w:p w:rsidR="00407449" w:rsidRPr="00576110" w:rsidRDefault="00407449" w:rsidP="009C086B">
      <w:pPr>
        <w:pStyle w:val="Prrafodelista"/>
        <w:numPr>
          <w:ilvl w:val="0"/>
          <w:numId w:val="89"/>
        </w:numPr>
        <w:ind w:left="284" w:hanging="284"/>
        <w:rPr>
          <w:rFonts w:cs="Arial"/>
        </w:rPr>
      </w:pPr>
      <w:r w:rsidRPr="00576110">
        <w:t xml:space="preserve">Si en el mes </w:t>
      </w:r>
      <w:r w:rsidRPr="00576110">
        <w:rPr>
          <w:i/>
        </w:rPr>
        <w:t>m</w:t>
      </w:r>
      <w:r w:rsidRPr="00576110">
        <w:t xml:space="preserve"> se obtiene que el indicador </w:t>
      </w:r>
      <w:r w:rsidRPr="00576110">
        <w:rPr>
          <w:i/>
        </w:rPr>
        <w:t>FIU</w:t>
      </w:r>
      <w:r w:rsidRPr="00576110">
        <w:rPr>
          <w:i/>
          <w:vertAlign w:val="subscript"/>
        </w:rPr>
        <w:t xml:space="preserve">u,n,q,m </w:t>
      </w:r>
      <w:r w:rsidRPr="00576110">
        <w:t>de un usuario es menor o igual al</w:t>
      </w:r>
      <w:r w:rsidRPr="00576110">
        <w:rPr>
          <w:i/>
          <w:vertAlign w:val="subscript"/>
        </w:rPr>
        <w:t xml:space="preserve"> </w:t>
      </w:r>
      <w:r w:rsidRPr="00576110">
        <w:rPr>
          <w:i/>
        </w:rPr>
        <w:t>FIUG</w:t>
      </w:r>
      <w:r w:rsidRPr="00576110">
        <w:rPr>
          <w:i/>
          <w:vertAlign w:val="subscript"/>
        </w:rPr>
        <w:t xml:space="preserve">j,n,q </w:t>
      </w:r>
      <w:r w:rsidRPr="00576110">
        <w:t xml:space="preserve">establecido para el OR, el valor de la variable </w:t>
      </w:r>
      <w:r w:rsidRPr="00576110">
        <w:rPr>
          <w:i/>
        </w:rPr>
        <w:t>VCF</w:t>
      </w:r>
      <w:r w:rsidRPr="00576110">
        <w:rPr>
          <w:i/>
          <w:vertAlign w:val="subscript"/>
        </w:rPr>
        <w:t>f</w:t>
      </w:r>
      <w:r w:rsidRPr="00576110">
        <w:t xml:space="preserve"> que se define más adelante será igual a cero. </w:t>
      </w:r>
    </w:p>
    <w:p w:rsidR="00407449" w:rsidRPr="00576110" w:rsidRDefault="00407449" w:rsidP="009C086B">
      <w:pPr>
        <w:pStyle w:val="Prrafodelista"/>
        <w:numPr>
          <w:ilvl w:val="0"/>
          <w:numId w:val="89"/>
        </w:numPr>
        <w:ind w:left="284" w:hanging="284"/>
        <w:rPr>
          <w:rFonts w:cs="Arial"/>
        </w:rPr>
      </w:pPr>
      <w:r w:rsidRPr="00576110">
        <w:t>S</w:t>
      </w:r>
      <w:r w:rsidRPr="00576110">
        <w:rPr>
          <w:rFonts w:cs="Arial"/>
        </w:rPr>
        <w:t xml:space="preserve">i en el mes </w:t>
      </w:r>
      <w:r w:rsidRPr="00576110">
        <w:rPr>
          <w:rFonts w:cs="Arial"/>
          <w:i/>
        </w:rPr>
        <w:t>m</w:t>
      </w:r>
      <w:r w:rsidRPr="00576110">
        <w:rPr>
          <w:rFonts w:cs="Arial"/>
        </w:rPr>
        <w:t xml:space="preserve"> se obtiene que </w:t>
      </w:r>
      <w:r w:rsidRPr="00576110">
        <w:rPr>
          <w:i/>
        </w:rPr>
        <w:t>FIU</w:t>
      </w:r>
      <w:r w:rsidRPr="00576110">
        <w:rPr>
          <w:i/>
          <w:vertAlign w:val="subscript"/>
        </w:rPr>
        <w:t xml:space="preserve">u,n,q,m  </w:t>
      </w:r>
      <w:r w:rsidRPr="00576110">
        <w:rPr>
          <w:rFonts w:cs="Arial"/>
        </w:rPr>
        <w:t xml:space="preserve">es mayor o igual al </w:t>
      </w:r>
      <w:r w:rsidRPr="00576110">
        <w:rPr>
          <w:i/>
        </w:rPr>
        <w:t>FIUG</w:t>
      </w:r>
      <w:r w:rsidRPr="00576110">
        <w:rPr>
          <w:i/>
          <w:vertAlign w:val="subscript"/>
        </w:rPr>
        <w:t xml:space="preserve">j,n,q </w:t>
      </w:r>
      <w:r w:rsidRPr="00576110">
        <w:rPr>
          <w:rFonts w:cs="Arial"/>
        </w:rPr>
        <w:t xml:space="preserve">el usuario recibirá compensación si se cumple la siguiente condición: </w:t>
      </w:r>
    </w:p>
    <w:p w:rsidR="00407449" w:rsidRPr="00576110" w:rsidRDefault="00C9592F" w:rsidP="00407449">
      <w:pPr>
        <w:rPr>
          <w:rFonts w:cs="Arial"/>
        </w:rPr>
      </w:pPr>
      <m:oMathPara>
        <m:oMath>
          <m:sSub>
            <m:sSubPr>
              <m:ctrlPr>
                <w:rPr>
                  <w:rFonts w:ascii="Cambria Math" w:hAnsi="Cambria Math" w:cs="Arial"/>
                  <w:i/>
                </w:rPr>
              </m:ctrlPr>
            </m:sSubPr>
            <m:e>
              <m:r>
                <w:rPr>
                  <w:rFonts w:ascii="Cambria Math" w:hAnsi="Cambria Math" w:cs="Arial"/>
                </w:rPr>
                <m:t>FIUG</m:t>
              </m:r>
            </m:e>
            <m:sub>
              <m:r>
                <w:rPr>
                  <w:rFonts w:ascii="Cambria Math" w:hAnsi="Cambria Math" w:cs="Arial"/>
                </w:rPr>
                <m:t>j,n,q</m:t>
              </m:r>
            </m:sub>
          </m:sSub>
          <m:r>
            <w:rPr>
              <w:rFonts w:ascii="Cambria Math" w:hAnsi="Cambria Math" w:cs="Arial"/>
            </w:rPr>
            <m:t>-</m:t>
          </m:r>
          <m:sSub>
            <m:sSubPr>
              <m:ctrlPr>
                <w:rPr>
                  <w:rFonts w:ascii="Cambria Math" w:hAnsi="Cambria Math" w:cs="Arial"/>
                  <w:i/>
                </w:rPr>
              </m:ctrlPr>
            </m:sSubPr>
            <m:e>
              <m:r>
                <w:rPr>
                  <w:rFonts w:ascii="Cambria Math" w:hAnsi="Cambria Math" w:cs="Arial"/>
                </w:rPr>
                <m:t>FIU</m:t>
              </m:r>
            </m:e>
            <m:sub>
              <m:r>
                <w:rPr>
                  <w:rFonts w:ascii="Cambria Math" w:hAnsi="Cambria Math" w:cs="Arial"/>
                </w:rPr>
                <m:t xml:space="preserve">u,n,q,m </m:t>
              </m:r>
            </m:sub>
          </m:sSub>
          <m:r>
            <w:rPr>
              <w:rFonts w:ascii="Cambria Math" w:hAnsi="Cambria Math" w:cs="Arial"/>
            </w:rPr>
            <m:t>-</m:t>
          </m:r>
          <m:sSub>
            <m:sSubPr>
              <m:ctrlPr>
                <w:rPr>
                  <w:rFonts w:ascii="Cambria Math" w:hAnsi="Cambria Math" w:cs="Arial"/>
                  <w:i/>
                </w:rPr>
              </m:ctrlPr>
            </m:sSubPr>
            <m:e>
              <m:r>
                <w:rPr>
                  <w:rFonts w:ascii="Cambria Math" w:hAnsi="Cambria Math" w:cs="Arial"/>
                </w:rPr>
                <m:t>TVC</m:t>
              </m:r>
            </m:e>
            <m:sub>
              <m:r>
                <w:rPr>
                  <w:rFonts w:ascii="Cambria Math" w:hAnsi="Cambria Math" w:cs="Arial"/>
                </w:rPr>
                <m:t>u,n,q,m-1</m:t>
              </m:r>
            </m:sub>
          </m:sSub>
          <m:r>
            <w:rPr>
              <w:rFonts w:ascii="Cambria Math" w:hAnsi="Cambria Math" w:cs="Arial"/>
            </w:rPr>
            <m:t>&lt;0</m:t>
          </m:r>
        </m:oMath>
      </m:oMathPara>
    </w:p>
    <w:p w:rsidR="00407449" w:rsidRPr="00576110" w:rsidRDefault="00C9592F" w:rsidP="00407449">
      <w:pPr>
        <w:jc w:val="center"/>
        <w:rPr>
          <w:rFonts w:cs="Arial"/>
        </w:rPr>
      </w:pPr>
      <m:oMathPara>
        <m:oMath>
          <m:sSub>
            <m:sSubPr>
              <m:ctrlPr>
                <w:rPr>
                  <w:rFonts w:ascii="Cambria Math" w:hAnsi="Cambria Math" w:cs="Arial"/>
                  <w:i/>
                </w:rPr>
              </m:ctrlPr>
            </m:sSubPr>
            <m:e>
              <m:r>
                <w:rPr>
                  <w:rFonts w:ascii="Cambria Math" w:hAnsi="Cambria Math" w:cs="Arial"/>
                </w:rPr>
                <m:t>TVC</m:t>
              </m:r>
            </m:e>
            <m:sub>
              <m:r>
                <w:rPr>
                  <w:rFonts w:ascii="Cambria Math" w:hAnsi="Cambria Math" w:cs="Arial"/>
                </w:rPr>
                <m:t>u,n,q,m-1</m:t>
              </m:r>
            </m:sub>
          </m:sSub>
          <m:r>
            <w:rPr>
              <w:rFonts w:ascii="Cambria Math" w:hAnsi="Cambria Math" w:cs="Arial"/>
            </w:rPr>
            <m:t>=</m:t>
          </m:r>
          <m:nary>
            <m:naryPr>
              <m:chr m:val="∑"/>
              <m:limLoc m:val="undOvr"/>
              <m:ctrlPr>
                <w:rPr>
                  <w:rFonts w:ascii="Cambria Math" w:hAnsi="Cambria Math" w:cs="Arial"/>
                  <w:i/>
                </w:rPr>
              </m:ctrlPr>
            </m:naryPr>
            <m:sub>
              <m:r>
                <w:rPr>
                  <w:rFonts w:ascii="Cambria Math" w:hAnsi="Cambria Math" w:cs="Arial"/>
                </w:rPr>
                <m:t>ma=m-11</m:t>
              </m:r>
            </m:sub>
            <m:sup>
              <m:r>
                <w:rPr>
                  <w:rFonts w:ascii="Cambria Math" w:hAnsi="Cambria Math" w:cs="Arial"/>
                </w:rPr>
                <m:t>m-1</m:t>
              </m:r>
            </m:sup>
            <m:e>
              <m:sSub>
                <m:sSubPr>
                  <m:ctrlPr>
                    <w:rPr>
                      <w:rFonts w:ascii="Cambria Math" w:hAnsi="Cambria Math" w:cs="Arial"/>
                      <w:i/>
                    </w:rPr>
                  </m:ctrlPr>
                </m:sSubPr>
                <m:e>
                  <m:r>
                    <w:rPr>
                      <w:rFonts w:ascii="Cambria Math" w:hAnsi="Cambria Math" w:cs="Arial"/>
                    </w:rPr>
                    <m:t>VC</m:t>
                  </m:r>
                </m:e>
                <m:sub>
                  <m:r>
                    <w:rPr>
                      <w:rFonts w:ascii="Cambria Math" w:hAnsi="Cambria Math" w:cs="Arial"/>
                    </w:rPr>
                    <m:t>u,n,q,ma</m:t>
                  </m:r>
                </m:sub>
              </m:sSub>
            </m:e>
          </m:nary>
        </m:oMath>
      </m:oMathPara>
    </w:p>
    <w:p w:rsidR="00407449" w:rsidRPr="00576110" w:rsidRDefault="00407449" w:rsidP="00407449">
      <w:pPr>
        <w:jc w:val="center"/>
        <w:rPr>
          <w:rFonts w:cs="Arial"/>
          <w:position w:val="-28"/>
        </w:rPr>
      </w:pPr>
      <m:oMathPara>
        <m:oMath>
          <m:r>
            <w:rPr>
              <w:rFonts w:ascii="Cambria Math" w:hAnsi="Cambria Math" w:cs="Arial"/>
              <w:szCs w:val="22"/>
            </w:rPr>
            <m:t>V</m:t>
          </m:r>
          <m:sSub>
            <m:sSubPr>
              <m:ctrlPr>
                <w:rPr>
                  <w:rFonts w:ascii="Cambria Math" w:hAnsi="Cambria Math" w:cs="Arial"/>
                  <w:i/>
                  <w:szCs w:val="22"/>
                </w:rPr>
              </m:ctrlPr>
            </m:sSubPr>
            <m:e>
              <m:r>
                <w:rPr>
                  <w:rFonts w:ascii="Cambria Math" w:hAnsi="Cambria Math" w:cs="Arial"/>
                  <w:szCs w:val="22"/>
                </w:rPr>
                <m:t>C</m:t>
              </m:r>
            </m:e>
            <m:sub>
              <m:r>
                <w:rPr>
                  <w:rFonts w:ascii="Cambria Math" w:hAnsi="Cambria Math" w:cs="Arial"/>
                  <w:szCs w:val="22"/>
                </w:rPr>
                <m:t>u,n,q,m</m:t>
              </m:r>
            </m:sub>
          </m:sSub>
          <m:r>
            <w:rPr>
              <w:rFonts w:ascii="Cambria Math" w:hAnsi="Cambria Math" w:cs="Arial"/>
              <w:szCs w:val="22"/>
            </w:rPr>
            <m:t>=min</m:t>
          </m:r>
          <m:d>
            <m:dPr>
              <m:ctrlPr>
                <w:rPr>
                  <w:rFonts w:ascii="Cambria Math" w:hAnsi="Cambria Math" w:cs="Arial"/>
                  <w:i/>
                  <w:szCs w:val="22"/>
                </w:rPr>
              </m:ctrlPr>
            </m:dPr>
            <m:e>
              <m:r>
                <w:rPr>
                  <w:rFonts w:ascii="Cambria Math" w:hAnsi="Cambria Math" w:cs="Arial"/>
                  <w:szCs w:val="22"/>
                </w:rPr>
                <m:t>0,</m:t>
              </m:r>
              <m:sSub>
                <m:sSubPr>
                  <m:ctrlPr>
                    <w:rPr>
                      <w:rFonts w:ascii="Cambria Math" w:hAnsi="Cambria Math" w:cs="Arial"/>
                      <w:i/>
                    </w:rPr>
                  </m:ctrlPr>
                </m:sSubPr>
                <m:e>
                  <m:sSub>
                    <m:sSubPr>
                      <m:ctrlPr>
                        <w:rPr>
                          <w:rFonts w:ascii="Cambria Math" w:hAnsi="Cambria Math" w:cs="Arial"/>
                          <w:i/>
                        </w:rPr>
                      </m:ctrlPr>
                    </m:sSubPr>
                    <m:e>
                      <m:r>
                        <w:rPr>
                          <w:rFonts w:ascii="Cambria Math" w:hAnsi="Cambria Math" w:cs="Arial"/>
                        </w:rPr>
                        <m:t xml:space="preserve"> FIUG</m:t>
                      </m:r>
                    </m:e>
                    <m:sub>
                      <m:r>
                        <w:rPr>
                          <w:rFonts w:ascii="Cambria Math" w:hAnsi="Cambria Math" w:cs="Arial"/>
                        </w:rPr>
                        <m:t>j,n,q</m:t>
                      </m:r>
                    </m:sub>
                  </m:sSub>
                  <m:r>
                    <w:rPr>
                      <w:rFonts w:ascii="Cambria Math" w:hAnsi="Cambria Math" w:cs="Arial"/>
                    </w:rPr>
                    <m:t>-FIU</m:t>
                  </m:r>
                </m:e>
                <m:sub>
                  <m:r>
                    <w:rPr>
                      <w:rFonts w:ascii="Cambria Math" w:hAnsi="Cambria Math" w:cs="Arial"/>
                    </w:rPr>
                    <m:t>u,n,q,m</m:t>
                  </m:r>
                </m:sub>
              </m:sSub>
              <m:r>
                <w:rPr>
                  <w:rFonts w:ascii="Cambria Math" w:hAnsi="Cambria Math" w:cs="Arial"/>
                </w:rPr>
                <m:t>-</m:t>
              </m:r>
              <m:sSub>
                <m:sSubPr>
                  <m:ctrlPr>
                    <w:rPr>
                      <w:rFonts w:ascii="Cambria Math" w:hAnsi="Cambria Math" w:cs="Arial"/>
                      <w:i/>
                    </w:rPr>
                  </m:ctrlPr>
                </m:sSubPr>
                <m:e>
                  <m:r>
                    <w:rPr>
                      <w:rFonts w:ascii="Cambria Math" w:hAnsi="Cambria Math" w:cs="Arial"/>
                    </w:rPr>
                    <m:t>TVC</m:t>
                  </m:r>
                </m:e>
                <m:sub>
                  <m:r>
                    <w:rPr>
                      <w:rFonts w:ascii="Cambria Math" w:hAnsi="Cambria Math" w:cs="Arial"/>
                    </w:rPr>
                    <m:t>u,n,q,m-1</m:t>
                  </m:r>
                </m:sub>
              </m:sSub>
            </m:e>
          </m:d>
        </m:oMath>
      </m:oMathPara>
    </w:p>
    <w:p w:rsidR="00407449" w:rsidRPr="00576110" w:rsidRDefault="00407449" w:rsidP="00407449">
      <w:pPr>
        <w:ind w:left="226" w:firstLine="113"/>
      </w:pPr>
      <w:r w:rsidRPr="00576110">
        <w:t>Donde:</w:t>
      </w:r>
    </w:p>
    <w:p w:rsidR="00407449" w:rsidRPr="00576110" w:rsidRDefault="00407449" w:rsidP="00407449">
      <w:pPr>
        <w:ind w:left="1582" w:hanging="1296"/>
        <w:rPr>
          <w:i/>
        </w:rPr>
      </w:pPr>
      <w:r w:rsidRPr="00576110">
        <w:rPr>
          <w:i/>
        </w:rPr>
        <w:t>TVC</w:t>
      </w:r>
      <w:r w:rsidRPr="00576110">
        <w:rPr>
          <w:i/>
          <w:vertAlign w:val="subscript"/>
        </w:rPr>
        <w:t>u,n,q,m-1</w:t>
      </w:r>
      <w:r w:rsidRPr="00576110">
        <w:t>:</w:t>
      </w:r>
      <w:r w:rsidRPr="00576110">
        <w:tab/>
        <w:t xml:space="preserve">Total de eventos compensados al usuario </w:t>
      </w:r>
      <w:r w:rsidRPr="00576110">
        <w:rPr>
          <w:i/>
        </w:rPr>
        <w:t xml:space="preserve">u, </w:t>
      </w:r>
      <w:r w:rsidRPr="00576110">
        <w:rPr>
          <w:lang w:val="es-CO"/>
        </w:rPr>
        <w:t>conectado al nivel de tensión</w:t>
      </w:r>
      <w:r w:rsidRPr="00576110">
        <w:rPr>
          <w:i/>
          <w:lang w:val="es-CO"/>
        </w:rPr>
        <w:t xml:space="preserve"> n, </w:t>
      </w:r>
      <w:r w:rsidRPr="00576110">
        <w:rPr>
          <w:lang w:val="es-CO"/>
        </w:rPr>
        <w:t xml:space="preserve">que pertenece al grupo de calidad </w:t>
      </w:r>
      <w:r w:rsidRPr="00576110">
        <w:rPr>
          <w:i/>
          <w:lang w:val="es-CO"/>
        </w:rPr>
        <w:t>q,</w:t>
      </w:r>
      <w:r w:rsidRPr="00576110">
        <w:t xml:space="preserve"> hasta el mes </w:t>
      </w:r>
      <w:r w:rsidRPr="00576110">
        <w:rPr>
          <w:i/>
        </w:rPr>
        <w:t>m-1</w:t>
      </w:r>
    </w:p>
    <w:p w:rsidR="00407449" w:rsidRPr="007771AE" w:rsidRDefault="00407449" w:rsidP="00407449">
      <w:pPr>
        <w:ind w:left="1688" w:hanging="1404"/>
      </w:pPr>
      <w:r w:rsidRPr="00576110">
        <w:t xml:space="preserve">De lo contrario el valor de la variable </w:t>
      </w:r>
      <w:r w:rsidRPr="00576110">
        <w:rPr>
          <w:i/>
        </w:rPr>
        <w:t>VCF</w:t>
      </w:r>
      <w:r w:rsidRPr="00576110">
        <w:rPr>
          <w:i/>
          <w:vertAlign w:val="subscript"/>
        </w:rPr>
        <w:t>f</w:t>
      </w:r>
      <w:r w:rsidRPr="00576110">
        <w:rPr>
          <w:vertAlign w:val="subscript"/>
        </w:rPr>
        <w:t xml:space="preserve"> </w:t>
      </w:r>
      <w:r w:rsidRPr="00576110">
        <w:t xml:space="preserve"> será cero.</w:t>
      </w:r>
    </w:p>
    <w:p w:rsidR="00407449" w:rsidRPr="004E6CFC" w:rsidRDefault="00407449" w:rsidP="00407449">
      <w:r w:rsidRPr="004E6CFC">
        <w:lastRenderedPageBreak/>
        <w:t>Cuando al corte de un mes un usuario sea sujeto de compensación por uno o por ambos indicadores, el valor a descontar por el OR en la factura en la que s</w:t>
      </w:r>
      <w:r>
        <w:t xml:space="preserve">e incluya ese mes, se estimará </w:t>
      </w:r>
      <w:r w:rsidRPr="004E6CFC">
        <w:t>utilizando la siguiente expresión:</w:t>
      </w:r>
    </w:p>
    <w:p w:rsidR="00407449" w:rsidRPr="004E6CFC" w:rsidRDefault="00C9592F" w:rsidP="00407449">
      <w:pPr>
        <w:jc w:val="center"/>
      </w:pPr>
      <m:oMathPara>
        <m:oMath>
          <m:sSub>
            <m:sSubPr>
              <m:ctrlPr>
                <w:rPr>
                  <w:rFonts w:ascii="Cambria Math" w:hAnsi="Cambria Math"/>
                  <w:i/>
                </w:rPr>
              </m:ctrlPr>
            </m:sSubPr>
            <m:e>
              <m:r>
                <w:rPr>
                  <w:rFonts w:ascii="Cambria Math" w:hAnsi="Cambria Math"/>
                </w:rPr>
                <m:t>VC</m:t>
              </m:r>
            </m:e>
            <m:sub>
              <m:r>
                <w:rPr>
                  <w:rFonts w:ascii="Cambria Math" w:hAnsi="Cambria Math"/>
                </w:rPr>
                <m:t>f</m:t>
              </m:r>
            </m:sub>
          </m:sSub>
          <m:r>
            <w:rPr>
              <w:rFonts w:ascii="Cambria Math" w:hAnsi="Cambria Math"/>
            </w:rPr>
            <m:t>=</m:t>
          </m:r>
          <m:sSub>
            <m:sSubPr>
              <m:ctrlPr>
                <w:rPr>
                  <w:rFonts w:ascii="Cambria Math" w:hAnsi="Cambria Math"/>
                  <w:i/>
                </w:rPr>
              </m:ctrlPr>
            </m:sSubPr>
            <m:e>
              <m:r>
                <w:rPr>
                  <w:rFonts w:ascii="Cambria Math" w:hAnsi="Cambria Math"/>
                </w:rPr>
                <m:t>VCD</m:t>
              </m:r>
            </m:e>
            <m:sub>
              <m:r>
                <w:rPr>
                  <w:rFonts w:ascii="Cambria Math" w:hAnsi="Cambria Math"/>
                </w:rPr>
                <m:t>f</m:t>
              </m:r>
            </m:sub>
          </m:sSub>
          <m:r>
            <w:rPr>
              <w:rFonts w:ascii="Cambria Math" w:hAnsi="Cambria Math"/>
            </w:rPr>
            <m:t>+</m:t>
          </m:r>
          <m:sSub>
            <m:sSubPr>
              <m:ctrlPr>
                <w:rPr>
                  <w:rFonts w:ascii="Cambria Math" w:hAnsi="Cambria Math"/>
                  <w:i/>
                </w:rPr>
              </m:ctrlPr>
            </m:sSubPr>
            <m:e>
              <m:r>
                <w:rPr>
                  <w:rFonts w:ascii="Cambria Math" w:hAnsi="Cambria Math"/>
                </w:rPr>
                <m:t>VCF</m:t>
              </m:r>
            </m:e>
            <m:sub>
              <m:r>
                <w:rPr>
                  <w:rFonts w:ascii="Cambria Math" w:hAnsi="Cambria Math"/>
                </w:rPr>
                <m:t>f</m:t>
              </m:r>
            </m:sub>
          </m:sSub>
        </m:oMath>
      </m:oMathPara>
    </w:p>
    <w:p w:rsidR="00407449" w:rsidRPr="004E6CFC" w:rsidRDefault="00C9592F" w:rsidP="00407449">
      <m:oMathPara>
        <m:oMath>
          <m:sSub>
            <m:sSubPr>
              <m:ctrlPr>
                <w:rPr>
                  <w:rFonts w:ascii="Cambria Math" w:hAnsi="Cambria Math"/>
                  <w:i/>
                </w:rPr>
              </m:ctrlPr>
            </m:sSubPr>
            <m:e>
              <m:r>
                <w:rPr>
                  <w:rFonts w:ascii="Cambria Math" w:hAnsi="Cambria Math"/>
                </w:rPr>
                <m:t>VCD</m:t>
              </m:r>
            </m:e>
            <m:sub>
              <m:r>
                <w:rPr>
                  <w:rFonts w:ascii="Cambria Math" w:hAnsi="Cambria Math"/>
                </w:rPr>
                <m:t>f</m:t>
              </m:r>
            </m:sub>
          </m:sSub>
          <m:r>
            <w:rPr>
              <w:rFonts w:ascii="Cambria Math" w:hAnsi="Cambria Math"/>
            </w:rPr>
            <m:t>=</m:t>
          </m:r>
          <m:sSub>
            <m:sSubPr>
              <m:ctrlPr>
                <w:rPr>
                  <w:rFonts w:ascii="Cambria Math" w:hAnsi="Cambria Math"/>
                  <w:i/>
                </w:rPr>
              </m:ctrlPr>
            </m:sSubPr>
            <m:e>
              <m:r>
                <w:rPr>
                  <w:rFonts w:ascii="Cambria Math" w:hAnsi="Cambria Math"/>
                </w:rPr>
                <m:t>%</m:t>
              </m:r>
            </m:e>
            <m:sub>
              <m:r>
                <w:rPr>
                  <w:rFonts w:ascii="Cambria Math" w:hAnsi="Cambria Math"/>
                </w:rPr>
                <m:t>t</m:t>
              </m:r>
            </m:sub>
          </m:sSub>
          <m:r>
            <w:rPr>
              <w:rFonts w:ascii="Cambria Math" w:hAnsi="Cambria Math"/>
            </w:rPr>
            <m:t>*</m:t>
          </m:r>
          <m:sSub>
            <m:sSubPr>
              <m:ctrlPr>
                <w:rPr>
                  <w:rFonts w:ascii="Cambria Math" w:hAnsi="Cambria Math"/>
                  <w:i/>
                </w:rPr>
              </m:ctrlPr>
            </m:sSubPr>
            <m:e>
              <m:r>
                <w:rPr>
                  <w:rFonts w:ascii="Cambria Math" w:hAnsi="Cambria Math"/>
                </w:rPr>
                <m:t>Dt</m:t>
              </m:r>
            </m:e>
            <m:sub>
              <m:r>
                <w:rPr>
                  <w:rFonts w:ascii="Cambria Math" w:hAnsi="Cambria Math"/>
                </w:rPr>
                <m:t>n,j,m,t</m:t>
              </m:r>
            </m:sub>
          </m:sSub>
          <m:r>
            <w:rPr>
              <w:rFonts w:ascii="Cambria Math" w:hAnsi="Cambria Math"/>
            </w:rPr>
            <m:t>*CEC</m:t>
          </m:r>
        </m:oMath>
      </m:oMathPara>
    </w:p>
    <w:p w:rsidR="00407449" w:rsidRPr="004E6CFC" w:rsidRDefault="00C9592F" w:rsidP="00407449">
      <m:oMathPara>
        <m:oMath>
          <m:sSub>
            <m:sSubPr>
              <m:ctrlPr>
                <w:rPr>
                  <w:rFonts w:ascii="Cambria Math" w:hAnsi="Cambria Math"/>
                  <w:i/>
                </w:rPr>
              </m:ctrlPr>
            </m:sSubPr>
            <m:e>
              <m:r>
                <w:rPr>
                  <w:rFonts w:ascii="Cambria Math" w:hAnsi="Cambria Math"/>
                </w:rPr>
                <m:t>VCF</m:t>
              </m:r>
            </m:e>
            <m:sub>
              <m:r>
                <w:rPr>
                  <w:rFonts w:ascii="Cambria Math" w:hAnsi="Cambria Math"/>
                </w:rPr>
                <m:t>f</m:t>
              </m:r>
            </m:sub>
          </m:sSub>
          <m:r>
            <w:rPr>
              <w:rFonts w:ascii="Cambria Math" w:hAnsi="Cambria Math"/>
            </w:rPr>
            <m:t>=</m:t>
          </m:r>
          <m:sSub>
            <m:sSubPr>
              <m:ctrlPr>
                <w:rPr>
                  <w:rFonts w:ascii="Cambria Math" w:hAnsi="Cambria Math"/>
                  <w:i/>
                </w:rPr>
              </m:ctrlPr>
            </m:sSubPr>
            <m:e>
              <m:r>
                <w:rPr>
                  <w:rFonts w:ascii="Cambria Math" w:hAnsi="Cambria Math"/>
                </w:rPr>
                <m:t>%</m:t>
              </m:r>
            </m:e>
            <m:sub>
              <m:r>
                <w:rPr>
                  <w:rFonts w:ascii="Cambria Math" w:hAnsi="Cambria Math"/>
                </w:rPr>
                <m:t>t</m:t>
              </m:r>
            </m:sub>
          </m:sSub>
          <m:r>
            <w:rPr>
              <w:rFonts w:ascii="Cambria Math" w:hAnsi="Cambria Math"/>
            </w:rPr>
            <m:t>*</m:t>
          </m:r>
          <m:sSub>
            <m:sSubPr>
              <m:ctrlPr>
                <w:rPr>
                  <w:rFonts w:ascii="Cambria Math" w:hAnsi="Cambria Math"/>
                  <w:i/>
                </w:rPr>
              </m:ctrlPr>
            </m:sSubPr>
            <m:e>
              <m:r>
                <w:rPr>
                  <w:rFonts w:ascii="Cambria Math" w:hAnsi="Cambria Math"/>
                </w:rPr>
                <m:t>Dt</m:t>
              </m:r>
            </m:e>
            <m:sub>
              <m:r>
                <w:rPr>
                  <w:rFonts w:ascii="Cambria Math" w:hAnsi="Cambria Math"/>
                </w:rPr>
                <m:t>n,j,m,t</m:t>
              </m:r>
            </m:sub>
          </m:sSub>
          <m:r>
            <w:rPr>
              <w:rFonts w:ascii="Cambria Math" w:hAnsi="Cambria Math"/>
            </w:rPr>
            <m:t>*CEC</m:t>
          </m:r>
        </m:oMath>
      </m:oMathPara>
    </w:p>
    <w:p w:rsidR="00407449" w:rsidRPr="004E6CFC" w:rsidRDefault="00407449" w:rsidP="00407449">
      <w:r w:rsidRPr="004E6CFC">
        <w:t>Donde:</w:t>
      </w:r>
    </w:p>
    <w:p w:rsidR="00407449" w:rsidRPr="004E6CFC" w:rsidRDefault="00407449" w:rsidP="00407449">
      <w:pPr>
        <w:ind w:left="1416" w:hanging="1416"/>
        <w:rPr>
          <w:i/>
        </w:rPr>
      </w:pPr>
      <w:r w:rsidRPr="004E6CFC">
        <w:rPr>
          <w:i/>
        </w:rPr>
        <w:t>VC</w:t>
      </w:r>
      <w:r w:rsidRPr="004E6CFC">
        <w:rPr>
          <w:i/>
          <w:vertAlign w:val="subscript"/>
        </w:rPr>
        <w:t>f</w:t>
      </w:r>
      <w:r w:rsidRPr="004E6CFC">
        <w:rPr>
          <w:i/>
        </w:rPr>
        <w:t>:</w:t>
      </w:r>
      <w:r w:rsidRPr="004E6CFC">
        <w:rPr>
          <w:i/>
        </w:rPr>
        <w:tab/>
      </w:r>
      <w:r>
        <w:t xml:space="preserve">Valor </w:t>
      </w:r>
      <w:r w:rsidRPr="004E6CFC">
        <w:t xml:space="preserve">total a compensar al usuario en la factura </w:t>
      </w:r>
      <w:r w:rsidRPr="004E6CFC">
        <w:rPr>
          <w:i/>
        </w:rPr>
        <w:t>f.</w:t>
      </w:r>
    </w:p>
    <w:p w:rsidR="00407449" w:rsidRPr="004E6CFC" w:rsidRDefault="00407449" w:rsidP="00407449">
      <w:pPr>
        <w:ind w:left="1416" w:hanging="1416"/>
      </w:pPr>
      <w:r w:rsidRPr="004E6CFC">
        <w:rPr>
          <w:i/>
        </w:rPr>
        <w:t>VCD</w:t>
      </w:r>
      <w:r w:rsidRPr="004E6CFC">
        <w:rPr>
          <w:i/>
          <w:vertAlign w:val="subscript"/>
        </w:rPr>
        <w:t>f</w:t>
      </w:r>
      <w:r w:rsidRPr="004E6CFC">
        <w:rPr>
          <w:i/>
        </w:rPr>
        <w:t>:</w:t>
      </w:r>
      <w:r w:rsidRPr="004E6CFC">
        <w:tab/>
        <w:t xml:space="preserve">Valor a compensar al usuario en la factura </w:t>
      </w:r>
      <w:r w:rsidRPr="004E6CFC">
        <w:rPr>
          <w:i/>
        </w:rPr>
        <w:t>f</w:t>
      </w:r>
      <w:r w:rsidRPr="004E6CFC">
        <w:t xml:space="preserve"> por incumplimiento de la duración máxima de eventos. </w:t>
      </w:r>
    </w:p>
    <w:p w:rsidR="00407449" w:rsidRPr="004E6CFC" w:rsidRDefault="00407449" w:rsidP="00407449">
      <w:pPr>
        <w:ind w:left="1416" w:hanging="1416"/>
      </w:pPr>
      <w:r w:rsidRPr="004E6CFC">
        <w:rPr>
          <w:i/>
        </w:rPr>
        <w:t>VCF</w:t>
      </w:r>
      <w:r w:rsidRPr="004E6CFC">
        <w:rPr>
          <w:i/>
          <w:vertAlign w:val="subscript"/>
        </w:rPr>
        <w:t>f</w:t>
      </w:r>
      <w:r w:rsidRPr="004E6CFC">
        <w:rPr>
          <w:i/>
        </w:rPr>
        <w:t>:</w:t>
      </w:r>
      <w:r w:rsidRPr="004E6CFC">
        <w:tab/>
        <w:t xml:space="preserve">Valor a compensar al usuario en la factura </w:t>
      </w:r>
      <w:r w:rsidRPr="004E6CFC">
        <w:rPr>
          <w:i/>
        </w:rPr>
        <w:t>f</w:t>
      </w:r>
      <w:r w:rsidRPr="004E6CFC">
        <w:t xml:space="preserve"> por incumplimiento del número máximo de eventos garantizado. </w:t>
      </w:r>
    </w:p>
    <w:p w:rsidR="00407449" w:rsidRPr="007771AE" w:rsidRDefault="00407449" w:rsidP="00407449">
      <w:pPr>
        <w:ind w:left="1416" w:hanging="1416"/>
        <w:rPr>
          <w:i/>
        </w:rPr>
      </w:pPr>
      <w:r w:rsidRPr="004E6CFC">
        <w:rPr>
          <w:i/>
        </w:rPr>
        <w:t>%</w:t>
      </w:r>
      <w:r w:rsidRPr="004E6CFC">
        <w:rPr>
          <w:i/>
          <w:vertAlign w:val="subscript"/>
        </w:rPr>
        <w:t>t</w:t>
      </w:r>
      <w:r w:rsidRPr="004E6CFC">
        <w:rPr>
          <w:i/>
        </w:rPr>
        <w:t xml:space="preserve"> :</w:t>
      </w:r>
      <w:r w:rsidRPr="004E6CFC">
        <w:rPr>
          <w:i/>
        </w:rPr>
        <w:tab/>
      </w:r>
      <w:r w:rsidRPr="004E6CFC">
        <w:t xml:space="preserve">Porcentaje de descuento del cargo de distribución por compensación aplicable al año </w:t>
      </w:r>
      <w:r w:rsidRPr="004E6CFC">
        <w:rPr>
          <w:i/>
        </w:rPr>
        <w:t xml:space="preserve">t, </w:t>
      </w:r>
      <w:r w:rsidRPr="004E6CFC">
        <w:t>el cual se aplicará así:</w:t>
      </w:r>
      <w:r w:rsidRPr="004E6CFC">
        <w:rPr>
          <w:i/>
        </w:rPr>
        <w:t xml:space="preserve"> </w:t>
      </w:r>
      <w:r w:rsidRPr="004E6CFC">
        <w:t xml:space="preserve">Para </w:t>
      </w:r>
      <w:r w:rsidRPr="004E6CFC">
        <w:rPr>
          <w:i/>
        </w:rPr>
        <w:t xml:space="preserve">t=1, 8%; t=2, 10%; t=3, 12%; t=4, 14% </w:t>
      </w:r>
      <w:r>
        <w:t>;</w:t>
      </w:r>
      <w:r>
        <w:rPr>
          <w:i/>
        </w:rPr>
        <w:t xml:space="preserve"> t=5, 16%; t=6, 18% </w:t>
      </w:r>
      <w:r>
        <w:t xml:space="preserve">y </w:t>
      </w:r>
      <w:r>
        <w:rPr>
          <w:i/>
        </w:rPr>
        <w:t>t≥7, 20%.</w:t>
      </w:r>
    </w:p>
    <w:p w:rsidR="00407449" w:rsidRPr="004E6CFC" w:rsidRDefault="00407449" w:rsidP="00407449">
      <w:pPr>
        <w:ind w:left="1416" w:hanging="1416"/>
      </w:pPr>
      <w:r w:rsidRPr="004E6CFC">
        <w:rPr>
          <w:i/>
        </w:rPr>
        <w:t>Dt</w:t>
      </w:r>
      <w:r w:rsidRPr="004E6CFC">
        <w:rPr>
          <w:i/>
          <w:vertAlign w:val="subscript"/>
        </w:rPr>
        <w:t>n,j,m,t</w:t>
      </w:r>
      <w:r w:rsidRPr="004E6CFC">
        <w:rPr>
          <w:i/>
        </w:rPr>
        <w:t>:</w:t>
      </w:r>
      <w:r w:rsidRPr="004E6CFC">
        <w:rPr>
          <w:i/>
        </w:rPr>
        <w:tab/>
      </w:r>
      <w:r w:rsidRPr="004E6CFC">
        <w:t xml:space="preserve">Cargo de distribución del nivel de tensión </w:t>
      </w:r>
      <w:r w:rsidRPr="004E6CFC">
        <w:rPr>
          <w:i/>
        </w:rPr>
        <w:t>n</w:t>
      </w:r>
      <w:r w:rsidRPr="004E6CFC">
        <w:t xml:space="preserve"> del OR </w:t>
      </w:r>
      <w:r w:rsidRPr="004E6CFC">
        <w:rPr>
          <w:i/>
        </w:rPr>
        <w:t xml:space="preserve">j </w:t>
      </w:r>
      <w:r w:rsidRPr="004E6CFC">
        <w:t>para el mes</w:t>
      </w:r>
      <w:r w:rsidRPr="004E6CFC">
        <w:rPr>
          <w:i/>
        </w:rPr>
        <w:t xml:space="preserve"> m </w:t>
      </w:r>
      <w:r w:rsidRPr="004E6CFC">
        <w:t>del año</w:t>
      </w:r>
      <w:r w:rsidRPr="004E6CFC">
        <w:rPr>
          <w:i/>
        </w:rPr>
        <w:t xml:space="preserve"> t</w:t>
      </w:r>
      <w:r w:rsidRPr="004E6CFC">
        <w:t>.</w:t>
      </w:r>
    </w:p>
    <w:p w:rsidR="00407449" w:rsidRPr="004E6CFC" w:rsidRDefault="00407449" w:rsidP="00407449">
      <w:pPr>
        <w:ind w:left="1416" w:hanging="1416"/>
      </w:pPr>
      <w:r w:rsidRPr="004E6CFC">
        <w:rPr>
          <w:i/>
        </w:rPr>
        <w:t>CEC:</w:t>
      </w:r>
      <w:r w:rsidRPr="004E6CFC">
        <w:rPr>
          <w:i/>
        </w:rPr>
        <w:tab/>
      </w:r>
      <w:r w:rsidRPr="004E6CFC">
        <w:t xml:space="preserve">Consumo estimado a compensar en kWh según factura </w:t>
      </w:r>
      <w:r w:rsidRPr="004E6CFC">
        <w:rPr>
          <w:i/>
        </w:rPr>
        <w:t>f</w:t>
      </w:r>
      <w:r w:rsidRPr="004E6CFC">
        <w:t>.</w:t>
      </w:r>
    </w:p>
    <w:p w:rsidR="00407449" w:rsidRPr="004E6CFC" w:rsidRDefault="00407449" w:rsidP="00407449">
      <w:r w:rsidRPr="004E6CFC">
        <w:t xml:space="preserve">El consumo estimado a compensar del usuario, </w:t>
      </w:r>
      <w:r w:rsidRPr="004E6CFC">
        <w:rPr>
          <w:i/>
        </w:rPr>
        <w:t>CEC</w:t>
      </w:r>
      <w:r w:rsidRPr="004E6CFC">
        <w:t>, se calcula utilizando la siguiente expresión:</w:t>
      </w:r>
    </w:p>
    <w:p w:rsidR="00407449" w:rsidRPr="004E6CFC" w:rsidRDefault="00407449" w:rsidP="00407449">
      <w:pPr>
        <w:jc w:val="center"/>
      </w:pPr>
      <m:oMathPara>
        <m:oMath>
          <m:r>
            <w:rPr>
              <w:rFonts w:ascii="Cambria Math" w:hAnsi="Cambria Math"/>
            </w:rPr>
            <m:t>CEC=</m:t>
          </m:r>
          <m:f>
            <m:fPr>
              <m:ctrlPr>
                <w:rPr>
                  <w:rFonts w:ascii="Cambria Math" w:hAnsi="Cambria Math"/>
                  <w:i/>
                </w:rPr>
              </m:ctrlPr>
            </m:fPr>
            <m:num>
              <m:sSub>
                <m:sSubPr>
                  <m:ctrlPr>
                    <w:rPr>
                      <w:rFonts w:ascii="Cambria Math" w:hAnsi="Cambria Math"/>
                      <w:i/>
                    </w:rPr>
                  </m:ctrlPr>
                </m:sSubPr>
                <m:e>
                  <m:r>
                    <w:rPr>
                      <w:rFonts w:ascii="Cambria Math" w:hAnsi="Cambria Math"/>
                    </w:rPr>
                    <m:t>CF</m:t>
                  </m:r>
                </m:e>
                <m:sub>
                  <m:r>
                    <w:rPr>
                      <w:rFonts w:ascii="Cambria Math" w:hAnsi="Cambria Math"/>
                    </w:rPr>
                    <m:t>f</m:t>
                  </m:r>
                </m:sub>
              </m:sSub>
            </m:num>
            <m:den>
              <m:sSub>
                <m:sSubPr>
                  <m:ctrlPr>
                    <w:rPr>
                      <w:rFonts w:ascii="Cambria Math" w:hAnsi="Cambria Math"/>
                      <w:i/>
                    </w:rPr>
                  </m:ctrlPr>
                </m:sSubPr>
                <m:e>
                  <m:r>
                    <w:rPr>
                      <w:rFonts w:ascii="Cambria Math" w:hAnsi="Cambria Math"/>
                    </w:rPr>
                    <m:t>720*m</m:t>
                  </m:r>
                </m:e>
                <m:sub>
                  <m:r>
                    <w:rPr>
                      <w:rFonts w:ascii="Cambria Math" w:hAnsi="Cambria Math"/>
                    </w:rPr>
                    <m:t>f</m:t>
                  </m:r>
                </m:sub>
              </m:sSub>
              <m:r>
                <w:rPr>
                  <w:rFonts w:ascii="Cambria Math" w:hAnsi="Cambria Math"/>
                </w:rPr>
                <m:t>-</m:t>
              </m:r>
              <m:sSub>
                <m:sSubPr>
                  <m:ctrlPr>
                    <w:rPr>
                      <w:rFonts w:ascii="Cambria Math" w:hAnsi="Cambria Math"/>
                      <w:i/>
                    </w:rPr>
                  </m:ctrlPr>
                </m:sSubPr>
                <m:e>
                  <m:r>
                    <w:rPr>
                      <w:rFonts w:ascii="Cambria Math" w:hAnsi="Cambria Math"/>
                    </w:rPr>
                    <m:t>EXC</m:t>
                  </m:r>
                </m:e>
                <m:sub>
                  <m:r>
                    <w:rPr>
                      <w:rFonts w:ascii="Cambria Math" w:hAnsi="Cambria Math"/>
                    </w:rPr>
                    <m:t>T</m:t>
                  </m:r>
                </m:sub>
              </m:sSub>
              <m:r>
                <w:rPr>
                  <w:rFonts w:ascii="Cambria Math" w:hAnsi="Cambria Math"/>
                </w:rPr>
                <m:t>-</m:t>
              </m:r>
              <m:sSub>
                <m:sSubPr>
                  <m:ctrlPr>
                    <w:rPr>
                      <w:rFonts w:ascii="Cambria Math" w:hAnsi="Cambria Math"/>
                      <w:i/>
                    </w:rPr>
                  </m:ctrlPr>
                </m:sSubPr>
                <m:e>
                  <m:r>
                    <w:rPr>
                      <w:rFonts w:ascii="Cambria Math" w:hAnsi="Cambria Math"/>
                    </w:rPr>
                    <m:t>DIU</m:t>
                  </m:r>
                </m:e>
                <m:sub>
                  <m:r>
                    <w:rPr>
                      <w:rFonts w:ascii="Cambria Math" w:hAnsi="Cambria Math"/>
                    </w:rPr>
                    <m:t>T</m:t>
                  </m:r>
                </m:sub>
              </m:sSub>
            </m:den>
          </m:f>
          <m:r>
            <w:rPr>
              <w:rFonts w:ascii="Cambria Math" w:hAnsi="Cambria Math"/>
            </w:rPr>
            <m:t xml:space="preserve">* </m:t>
          </m:r>
          <m:nary>
            <m:naryPr>
              <m:chr m:val="∑"/>
              <m:limLoc m:val="undOvr"/>
              <m:ctrlPr>
                <w:rPr>
                  <w:rFonts w:ascii="Cambria Math" w:hAnsi="Cambria Math"/>
                  <w:i/>
                </w:rPr>
              </m:ctrlPr>
            </m:naryPr>
            <m:sub>
              <m:r>
                <w:rPr>
                  <w:rFonts w:ascii="Cambria Math" w:hAnsi="Cambria Math"/>
                </w:rPr>
                <m:t>m=1</m:t>
              </m:r>
            </m:sub>
            <m:sup>
              <m:r>
                <w:rPr>
                  <w:rFonts w:ascii="Cambria Math" w:hAnsi="Cambria Math"/>
                </w:rPr>
                <m:t>mf</m:t>
              </m:r>
            </m:sup>
            <m:e>
              <m:d>
                <m:dPr>
                  <m:ctrlPr>
                    <w:rPr>
                      <w:rFonts w:ascii="Cambria Math" w:hAnsi="Cambria Math"/>
                      <w:i/>
                    </w:rPr>
                  </m:ctrlPr>
                </m:dPr>
                <m:e>
                  <m:sSub>
                    <m:sSubPr>
                      <m:ctrlPr>
                        <w:rPr>
                          <w:rFonts w:ascii="Cambria Math" w:hAnsi="Cambria Math"/>
                          <w:i/>
                        </w:rPr>
                      </m:ctrlPr>
                    </m:sSubPr>
                    <m:e>
                      <m:r>
                        <w:rPr>
                          <w:rFonts w:ascii="Cambria Math" w:hAnsi="Cambria Math"/>
                        </w:rPr>
                        <m:t>DIUM</m:t>
                      </m:r>
                    </m:e>
                    <m:sub>
                      <m:r>
                        <w:rPr>
                          <w:rFonts w:ascii="Cambria Math" w:hAnsi="Cambria Math"/>
                        </w:rPr>
                        <m:t>u,n,q,m</m:t>
                      </m:r>
                    </m:sub>
                  </m:sSub>
                </m:e>
              </m:d>
            </m:e>
          </m:nary>
          <m:r>
            <w:rPr>
              <w:rFonts w:ascii="Cambria Math" w:hAnsi="Cambria Math"/>
            </w:rPr>
            <m:t>+</m:t>
          </m:r>
          <m:sSub>
            <m:sSubPr>
              <m:ctrlPr>
                <w:rPr>
                  <w:rFonts w:ascii="Cambria Math" w:hAnsi="Cambria Math"/>
                  <w:i/>
                </w:rPr>
              </m:ctrlPr>
            </m:sSubPr>
            <m:e>
              <m:r>
                <w:rPr>
                  <w:rFonts w:ascii="Cambria Math" w:hAnsi="Cambria Math"/>
                </w:rPr>
                <m:t>m</m:t>
              </m:r>
            </m:e>
            <m:sub>
              <m:r>
                <w:rPr>
                  <w:rFonts w:ascii="Cambria Math" w:hAnsi="Cambria Math"/>
                </w:rPr>
                <m:t>c</m:t>
              </m:r>
            </m:sub>
          </m:sSub>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CF</m:t>
                  </m:r>
                </m:e>
                <m:sub>
                  <m:r>
                    <w:rPr>
                      <w:rFonts w:ascii="Cambria Math" w:hAnsi="Cambria Math"/>
                    </w:rPr>
                    <m:t>f</m:t>
                  </m:r>
                </m:sub>
              </m:sSub>
            </m:num>
            <m:den>
              <m:sSub>
                <m:sSubPr>
                  <m:ctrlPr>
                    <w:rPr>
                      <w:rFonts w:ascii="Cambria Math" w:hAnsi="Cambria Math"/>
                      <w:i/>
                    </w:rPr>
                  </m:ctrlPr>
                </m:sSubPr>
                <m:e>
                  <m:r>
                    <w:rPr>
                      <w:rFonts w:ascii="Cambria Math" w:hAnsi="Cambria Math"/>
                    </w:rPr>
                    <m:t>m</m:t>
                  </m:r>
                </m:e>
                <m:sub>
                  <m:r>
                    <w:rPr>
                      <w:rFonts w:ascii="Cambria Math" w:hAnsi="Cambria Math"/>
                    </w:rPr>
                    <m:t>f</m:t>
                  </m:r>
                </m:sub>
              </m:sSub>
            </m:den>
          </m:f>
        </m:oMath>
      </m:oMathPara>
    </w:p>
    <w:p w:rsidR="00407449" w:rsidRPr="004E6CFC" w:rsidRDefault="00407449" w:rsidP="00407449">
      <w:r w:rsidRPr="004E6CFC">
        <w:t>Donde:</w:t>
      </w:r>
    </w:p>
    <w:p w:rsidR="00407449" w:rsidRPr="004E6CFC" w:rsidRDefault="00407449" w:rsidP="00407449">
      <w:r w:rsidRPr="004E6CFC">
        <w:rPr>
          <w:i/>
        </w:rPr>
        <w:t>CF</w:t>
      </w:r>
      <w:r w:rsidRPr="004E6CFC">
        <w:rPr>
          <w:i/>
          <w:vertAlign w:val="subscript"/>
        </w:rPr>
        <w:t>f</w:t>
      </w:r>
      <w:r w:rsidRPr="004E6CFC">
        <w:rPr>
          <w:i/>
        </w:rPr>
        <w:t>:</w:t>
      </w:r>
      <w:r w:rsidRPr="004E6CFC">
        <w:tab/>
      </w:r>
      <w:r w:rsidRPr="004E6CFC">
        <w:tab/>
      </w:r>
      <w:r w:rsidRPr="004E6CFC">
        <w:tab/>
      </w:r>
      <w:r w:rsidRPr="004E6CFC">
        <w:tab/>
      </w:r>
      <w:r w:rsidRPr="004E6CFC">
        <w:tab/>
      </w:r>
      <w:r w:rsidRPr="004E6CFC">
        <w:tab/>
      </w:r>
      <w:r w:rsidRPr="004E6CFC">
        <w:tab/>
      </w:r>
      <w:r w:rsidRPr="004E6CFC">
        <w:tab/>
      </w:r>
      <w:r w:rsidRPr="004E6CFC">
        <w:tab/>
        <w:t xml:space="preserve">Consumo facturado al usuario en la factura </w:t>
      </w:r>
      <w:r w:rsidRPr="004E6CFC">
        <w:rPr>
          <w:i/>
        </w:rPr>
        <w:t>f</w:t>
      </w:r>
      <w:r w:rsidRPr="004E6CFC">
        <w:t xml:space="preserve"> en kWh.</w:t>
      </w:r>
    </w:p>
    <w:p w:rsidR="00407449" w:rsidRDefault="00407449" w:rsidP="00407449">
      <w:pPr>
        <w:ind w:left="1418" w:hanging="1418"/>
        <w:jc w:val="left"/>
        <w:rPr>
          <w:i/>
        </w:rPr>
      </w:pPr>
      <w:r>
        <w:rPr>
          <w:i/>
        </w:rPr>
        <w:t>EXC</w:t>
      </w:r>
      <w:r>
        <w:rPr>
          <w:i/>
          <w:vertAlign w:val="subscript"/>
        </w:rPr>
        <w:t>T</w:t>
      </w:r>
      <w:r w:rsidRPr="004E6CFC">
        <w:rPr>
          <w:i/>
        </w:rPr>
        <w:t xml:space="preserve"> :</w:t>
      </w:r>
      <w:r w:rsidRPr="004E6CFC">
        <w:rPr>
          <w:i/>
        </w:rPr>
        <w:tab/>
      </w:r>
      <w:r w:rsidRPr="004E6CFC">
        <w:t xml:space="preserve">Duración </w:t>
      </w:r>
      <w:r>
        <w:t xml:space="preserve">agregada </w:t>
      </w:r>
      <w:r w:rsidRPr="004E6CFC">
        <w:t>de los eventos</w:t>
      </w:r>
      <w:r>
        <w:t xml:space="preserve"> excluidos</w:t>
      </w:r>
      <w:r w:rsidRPr="004E6CFC">
        <w:t xml:space="preserve"> que afectaron al usuario </w:t>
      </w:r>
      <w:r w:rsidRPr="004E6CFC">
        <w:rPr>
          <w:i/>
        </w:rPr>
        <w:t>u</w:t>
      </w:r>
      <w:r w:rsidRPr="004E6CFC">
        <w:t xml:space="preserve"> durante el período facturado.</w:t>
      </w:r>
    </w:p>
    <w:p w:rsidR="00407449" w:rsidRDefault="00407449" w:rsidP="00407449">
      <w:pPr>
        <w:ind w:left="1418" w:hanging="1418"/>
        <w:jc w:val="left"/>
        <w:rPr>
          <w:i/>
        </w:rPr>
      </w:pPr>
      <w:r w:rsidRPr="004E6CFC">
        <w:rPr>
          <w:i/>
        </w:rPr>
        <w:t>DIU</w:t>
      </w:r>
      <w:r>
        <w:rPr>
          <w:i/>
          <w:vertAlign w:val="subscript"/>
        </w:rPr>
        <w:t>T</w:t>
      </w:r>
      <w:r w:rsidRPr="004E6CFC">
        <w:rPr>
          <w:i/>
        </w:rPr>
        <w:t xml:space="preserve"> :</w:t>
      </w:r>
      <w:r w:rsidRPr="004E6CFC">
        <w:rPr>
          <w:i/>
        </w:rPr>
        <w:tab/>
      </w:r>
      <w:r w:rsidRPr="004E6CFC">
        <w:t xml:space="preserve">Duración </w:t>
      </w:r>
      <w:r>
        <w:t xml:space="preserve">agregada </w:t>
      </w:r>
      <w:r w:rsidRPr="004E6CFC">
        <w:t xml:space="preserve">de los eventos que afectaron al usuario </w:t>
      </w:r>
      <w:r w:rsidRPr="004E6CFC">
        <w:rPr>
          <w:i/>
        </w:rPr>
        <w:t>u</w:t>
      </w:r>
      <w:r w:rsidRPr="004E6CFC">
        <w:t xml:space="preserve"> durante el período facturado.</w:t>
      </w:r>
    </w:p>
    <w:p w:rsidR="00407449" w:rsidRPr="00E708F1" w:rsidRDefault="00407449" w:rsidP="00407449">
      <w:pPr>
        <w:ind w:left="1418" w:hanging="1418"/>
        <w:jc w:val="left"/>
      </w:pPr>
      <w:r w:rsidRPr="004E6CFC">
        <w:rPr>
          <w:i/>
        </w:rPr>
        <w:t>DIU</w:t>
      </w:r>
      <w:r>
        <w:rPr>
          <w:i/>
        </w:rPr>
        <w:t>M</w:t>
      </w:r>
      <w:r w:rsidRPr="004E6CFC">
        <w:rPr>
          <w:i/>
          <w:vertAlign w:val="subscript"/>
        </w:rPr>
        <w:t>u,</w:t>
      </w:r>
      <w:r>
        <w:rPr>
          <w:i/>
          <w:vertAlign w:val="subscript"/>
        </w:rPr>
        <w:t>n,q,</w:t>
      </w:r>
      <w:r w:rsidRPr="004E6CFC">
        <w:rPr>
          <w:i/>
          <w:vertAlign w:val="subscript"/>
        </w:rPr>
        <w:t>m</w:t>
      </w:r>
      <w:r w:rsidRPr="004E6CFC">
        <w:rPr>
          <w:i/>
        </w:rPr>
        <w:t xml:space="preserve"> :</w:t>
      </w:r>
      <w:r w:rsidRPr="004E6CFC">
        <w:rPr>
          <w:i/>
        </w:rPr>
        <w:tab/>
      </w:r>
      <w:r>
        <w:t>Según se define en el numeral 5.2.4.1</w:t>
      </w:r>
      <w:r w:rsidRPr="004E6CFC">
        <w:t>.</w:t>
      </w:r>
      <w:r>
        <w:t xml:space="preserve"> Cuando el usuario no sea objeto de compensación en el mes </w:t>
      </w:r>
      <w:r w:rsidRPr="00BB4610">
        <w:rPr>
          <w:i/>
        </w:rPr>
        <w:t>m</w:t>
      </w:r>
      <w:r>
        <w:t>, esta variable toma el valor de cero.</w:t>
      </w:r>
    </w:p>
    <w:p w:rsidR="00407449" w:rsidRPr="004E6CFC" w:rsidRDefault="00407449" w:rsidP="00407449">
      <w:pPr>
        <w:ind w:left="1418" w:hanging="1418"/>
        <w:jc w:val="left"/>
        <w:rPr>
          <w:i/>
        </w:rPr>
      </w:pPr>
      <w:r w:rsidRPr="004E6CFC">
        <w:rPr>
          <w:i/>
        </w:rPr>
        <w:t>m</w:t>
      </w:r>
      <w:r w:rsidRPr="004E6CFC">
        <w:rPr>
          <w:i/>
          <w:vertAlign w:val="subscript"/>
        </w:rPr>
        <w:t>f</w:t>
      </w:r>
      <w:r w:rsidRPr="004E6CFC">
        <w:rPr>
          <w:i/>
        </w:rPr>
        <w:t xml:space="preserve"> :</w:t>
      </w:r>
      <w:r w:rsidRPr="004E6CFC">
        <w:rPr>
          <w:i/>
        </w:rPr>
        <w:tab/>
      </w:r>
      <w:r w:rsidRPr="004E6CFC">
        <w:t xml:space="preserve">Número de meses facturados en la factura </w:t>
      </w:r>
      <w:r w:rsidRPr="004E6CFC">
        <w:rPr>
          <w:i/>
        </w:rPr>
        <w:t>f</w:t>
      </w:r>
    </w:p>
    <w:p w:rsidR="00407449" w:rsidRPr="004E6CFC" w:rsidRDefault="00407449" w:rsidP="00407449">
      <w:pPr>
        <w:ind w:left="1418" w:hanging="1418"/>
        <w:jc w:val="left"/>
        <w:rPr>
          <w:i/>
        </w:rPr>
      </w:pPr>
      <w:r w:rsidRPr="004E6CFC">
        <w:rPr>
          <w:i/>
        </w:rPr>
        <w:t>m</w:t>
      </w:r>
      <w:r>
        <w:rPr>
          <w:i/>
          <w:vertAlign w:val="subscript"/>
        </w:rPr>
        <w:t>c</w:t>
      </w:r>
      <w:r w:rsidRPr="004E6CFC">
        <w:rPr>
          <w:i/>
        </w:rPr>
        <w:t xml:space="preserve"> :</w:t>
      </w:r>
      <w:r w:rsidRPr="004E6CFC">
        <w:rPr>
          <w:i/>
        </w:rPr>
        <w:tab/>
      </w:r>
      <w:r w:rsidRPr="004E6CFC">
        <w:t xml:space="preserve">Número de meses </w:t>
      </w:r>
      <w:r>
        <w:t>del período facturado durante los cuales el usuario recibe compensación</w:t>
      </w:r>
    </w:p>
    <w:p w:rsidR="00407449" w:rsidRPr="004E6CFC" w:rsidRDefault="00407449" w:rsidP="00407449">
      <w:r w:rsidRPr="004E6CFC">
        <w:lastRenderedPageBreak/>
        <w:t>El comercializador será el responsable de calcular y aplicar las compensaciones correspondientes a cada usuario y en cada factura, con base en los indicadores de cada usuario, información reportada por el OR al SUI.</w:t>
      </w:r>
    </w:p>
    <w:p w:rsidR="00407449" w:rsidRPr="004E6CFC" w:rsidRDefault="00407449" w:rsidP="00407449">
      <w:r w:rsidRPr="004E6CFC">
        <w:t xml:space="preserve">Si un usuario sujeto de compensación se encuentra en mora en el mes de aplicación de la compensación, ésta no le será pagada. El comercializador debe reportar de manera independiente las compensaciones efectivamente pagadas y las no pagadas en los formatos que establezca para el efecto el SUI. La suma total de las compensaciones no pagadas a los usuarios durante un año del período tarifario, por encontrarse en mora, deberá ser reportada por el OR al LAC durante los primeros diez (10) días calendario del siguiente año, con el objeto de que este último lo descuente del cargo de distribución por calidad correspondiente al siguiente año. </w:t>
      </w:r>
    </w:p>
    <w:p w:rsidR="00407449" w:rsidRPr="004E6CFC" w:rsidRDefault="00C9592F" w:rsidP="00407449">
      <m:oMathPara>
        <m:oMath>
          <m:sSub>
            <m:sSubPr>
              <m:ctrlPr>
                <w:rPr>
                  <w:rFonts w:ascii="Cambria Math" w:hAnsi="Cambria Math"/>
                  <w:i/>
                </w:rPr>
              </m:ctrlPr>
            </m:sSubPr>
            <m:e>
              <m:r>
                <w:rPr>
                  <w:rFonts w:ascii="Cambria Math" w:hAnsi="Cambria Math"/>
                </w:rPr>
                <m:t>CONP</m:t>
              </m:r>
            </m:e>
            <m:sub>
              <m:r>
                <w:rPr>
                  <w:rFonts w:ascii="Cambria Math" w:hAnsi="Cambria Math"/>
                </w:rPr>
                <m:t>j,t</m:t>
              </m:r>
            </m:sub>
          </m:sSub>
          <m:r>
            <w:rPr>
              <w:rFonts w:ascii="Cambria Math" w:hAnsi="Cambria Math"/>
            </w:rPr>
            <m:t>=</m:t>
          </m:r>
          <m:nary>
            <m:naryPr>
              <m:chr m:val="∑"/>
              <m:limLoc m:val="subSup"/>
              <m:ctrlPr>
                <w:rPr>
                  <w:rFonts w:ascii="Cambria Math" w:hAnsi="Cambria Math"/>
                  <w:i/>
                </w:rPr>
              </m:ctrlPr>
            </m:naryPr>
            <m:sub>
              <m:r>
                <w:rPr>
                  <w:rFonts w:ascii="Cambria Math" w:hAnsi="Cambria Math"/>
                </w:rPr>
                <m:t>um=1</m:t>
              </m:r>
            </m:sub>
            <m:sup>
              <m:r>
                <w:rPr>
                  <w:rFonts w:ascii="Cambria Math" w:hAnsi="Cambria Math"/>
                </w:rPr>
                <m:t>n</m:t>
              </m:r>
            </m:sup>
            <m:e>
              <m:sSub>
                <m:sSubPr>
                  <m:ctrlPr>
                    <w:rPr>
                      <w:rFonts w:ascii="Cambria Math" w:hAnsi="Cambria Math"/>
                      <w:i/>
                    </w:rPr>
                  </m:ctrlPr>
                </m:sSubPr>
                <m:e>
                  <m:r>
                    <w:rPr>
                      <w:rFonts w:ascii="Cambria Math" w:hAnsi="Cambria Math"/>
                    </w:rPr>
                    <m:t>VC</m:t>
                  </m:r>
                </m:e>
                <m:sub>
                  <m:r>
                    <w:rPr>
                      <w:rFonts w:ascii="Cambria Math" w:hAnsi="Cambria Math"/>
                    </w:rPr>
                    <m:t>f,um,t-1</m:t>
                  </m:r>
                </m:sub>
              </m:sSub>
              <m:r>
                <w:rPr>
                  <w:rFonts w:ascii="Cambria Math" w:hAnsi="Cambria Math"/>
                </w:rPr>
                <m:t xml:space="preserve">       </m:t>
              </m:r>
            </m:e>
          </m:nary>
        </m:oMath>
      </m:oMathPara>
    </w:p>
    <w:p w:rsidR="00407449" w:rsidRPr="004E6CFC" w:rsidRDefault="00407449" w:rsidP="00407449">
      <w:r w:rsidRPr="004E6CFC">
        <w:t>Donde:</w:t>
      </w:r>
    </w:p>
    <w:p w:rsidR="00407449" w:rsidRPr="004E6CFC" w:rsidRDefault="00407449" w:rsidP="00407449">
      <w:pPr>
        <w:ind w:left="1276" w:hanging="1276"/>
      </w:pPr>
      <w:r w:rsidRPr="004E6CFC">
        <w:rPr>
          <w:i/>
        </w:rPr>
        <w:t>CONP</w:t>
      </w:r>
      <w:r w:rsidRPr="004E6CFC">
        <w:rPr>
          <w:i/>
          <w:vertAlign w:val="subscript"/>
        </w:rPr>
        <w:t>j,t</w:t>
      </w:r>
      <w:r w:rsidRPr="004E6CFC">
        <w:t xml:space="preserve"> : </w:t>
      </w:r>
      <w:r w:rsidRPr="004E6CFC">
        <w:tab/>
        <w:t xml:space="preserve">Valor total a descontar al OR j en el año t por las compensaciones no pagadas durante el año </w:t>
      </w:r>
      <w:r w:rsidRPr="004E6CFC">
        <w:rPr>
          <w:i/>
        </w:rPr>
        <w:t>t-1.</w:t>
      </w:r>
    </w:p>
    <w:p w:rsidR="00407449" w:rsidRPr="00974332" w:rsidRDefault="00407449" w:rsidP="00407449">
      <w:pPr>
        <w:rPr>
          <w:lang w:val="es-ES_tradnl"/>
        </w:rPr>
      </w:pPr>
      <w:r w:rsidRPr="004E6CFC">
        <w:rPr>
          <w:i/>
        </w:rPr>
        <w:t>VC</w:t>
      </w:r>
      <w:r w:rsidRPr="004E6CFC">
        <w:rPr>
          <w:i/>
          <w:vertAlign w:val="subscript"/>
        </w:rPr>
        <w:t>f,um</w:t>
      </w:r>
      <w:r w:rsidRPr="004E6CFC">
        <w:t xml:space="preserve"> :</w:t>
      </w:r>
      <w:r w:rsidRPr="004E6CFC">
        <w:tab/>
        <w:t xml:space="preserve">Valor a compensar en la factura </w:t>
      </w:r>
      <w:r w:rsidRPr="004E6CFC">
        <w:rPr>
          <w:i/>
        </w:rPr>
        <w:t>f</w:t>
      </w:r>
      <w:r w:rsidRPr="004E6CFC">
        <w:t xml:space="preserve"> del año </w:t>
      </w:r>
      <w:r w:rsidRPr="004E6CFC">
        <w:rPr>
          <w:i/>
        </w:rPr>
        <w:t>t-1</w:t>
      </w:r>
      <w:r w:rsidRPr="004E6CFC">
        <w:t xml:space="preserve"> del usuario en mora</w:t>
      </w:r>
      <w:r w:rsidRPr="004E6CFC">
        <w:rPr>
          <w:i/>
        </w:rPr>
        <w:t xml:space="preserve"> um</w:t>
      </w:r>
      <w:r w:rsidRPr="004E6CFC">
        <w:t>.</w:t>
      </w:r>
    </w:p>
    <w:p w:rsidR="00407449" w:rsidRPr="004E6CFC" w:rsidRDefault="00407449" w:rsidP="00407449">
      <w:pPr>
        <w:pStyle w:val="Ttulo3"/>
      </w:pPr>
      <w:bookmarkStart w:id="527" w:name="_Toc504742944"/>
      <w:bookmarkStart w:id="528" w:name="_Toc504742947"/>
      <w:bookmarkStart w:id="529" w:name="_Toc504742949"/>
      <w:bookmarkStart w:id="530" w:name="_Toc504742952"/>
      <w:bookmarkStart w:id="531" w:name="_Toc504742953"/>
      <w:bookmarkStart w:id="532" w:name="_Toc504742958"/>
      <w:bookmarkStart w:id="533" w:name="_Toc504742972"/>
      <w:bookmarkStart w:id="534" w:name="_Toc504742979"/>
      <w:bookmarkStart w:id="535" w:name="_Toc504742986"/>
      <w:bookmarkStart w:id="536" w:name="_Toc504742989"/>
      <w:bookmarkStart w:id="537" w:name="_Toc504742991"/>
      <w:bookmarkStart w:id="538" w:name="_Toc504742992"/>
      <w:bookmarkStart w:id="539" w:name="_Toc504742995"/>
      <w:bookmarkStart w:id="540" w:name="_Toc504742996"/>
      <w:bookmarkStart w:id="541" w:name="_Toc504742998"/>
      <w:bookmarkStart w:id="542" w:name="_Toc504743000"/>
      <w:bookmarkStart w:id="543" w:name="_Toc504743001"/>
      <w:bookmarkStart w:id="544" w:name="_Toc504743004"/>
      <w:bookmarkStart w:id="545" w:name="_Toc504743005"/>
      <w:bookmarkStart w:id="546" w:name="_Toc504743006"/>
      <w:bookmarkStart w:id="547" w:name="_Toc504743007"/>
      <w:bookmarkStart w:id="548" w:name="_Toc504743008"/>
      <w:bookmarkStart w:id="549" w:name="_Toc504743015"/>
      <w:bookmarkStart w:id="550" w:name="_Toc504743016"/>
      <w:bookmarkStart w:id="551" w:name="_Toc504743019"/>
      <w:bookmarkStart w:id="552" w:name="_Toc504743020"/>
      <w:bookmarkStart w:id="553" w:name="_Toc504743022"/>
      <w:bookmarkStart w:id="554" w:name="_Toc504743023"/>
      <w:bookmarkStart w:id="555" w:name="_Toc504743024"/>
      <w:bookmarkStart w:id="556" w:name="_Toc504743027"/>
      <w:bookmarkStart w:id="557" w:name="_Toc504743029"/>
      <w:bookmarkStart w:id="558" w:name="_Toc504743030"/>
      <w:bookmarkStart w:id="559" w:name="_Toc504743033"/>
      <w:bookmarkStart w:id="560" w:name="_Toc504743034"/>
      <w:bookmarkStart w:id="561" w:name="_Toc504743035"/>
      <w:bookmarkStart w:id="562" w:name="_Toc504743036"/>
      <w:bookmarkStart w:id="563" w:name="_Toc504743038"/>
      <w:bookmarkStart w:id="564" w:name="_Toc504743043"/>
      <w:bookmarkStart w:id="565" w:name="_Toc504743044"/>
      <w:bookmarkStart w:id="566" w:name="_Toc504743046"/>
      <w:bookmarkStart w:id="567" w:name="_Toc504743048"/>
      <w:bookmarkStart w:id="568" w:name="_Toc504743056"/>
      <w:bookmarkStart w:id="569" w:name="_Toc504743058"/>
      <w:bookmarkStart w:id="570" w:name="_Ref476729618"/>
      <w:bookmarkStart w:id="571" w:name="_Ref476815612"/>
      <w:bookmarkStart w:id="572" w:name="_Toc505070095"/>
      <w:bookmarkStart w:id="573" w:name="_Toc505335951"/>
      <w:bookmarkStart w:id="574" w:name="_Toc445214107"/>
      <w:bookmarkStart w:id="575" w:name="_Toc466009878"/>
      <w:bookmarkStart w:id="576" w:name="_Toc408493183"/>
      <w:bookmarkStart w:id="577" w:name="_Toc411243828"/>
      <w:bookmarkStart w:id="578" w:name="_Toc440382544"/>
      <w:bookmarkStart w:id="579" w:name="_Toc408493185"/>
      <w:bookmarkStart w:id="580" w:name="_Toc411243830"/>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r w:rsidRPr="004E6CFC">
        <w:t xml:space="preserve">Indicadores de referencia </w:t>
      </w:r>
      <w:bookmarkEnd w:id="570"/>
      <w:r w:rsidRPr="004E6CFC">
        <w:t>y de calidad mínima garantizada</w:t>
      </w:r>
      <w:bookmarkEnd w:id="571"/>
      <w:bookmarkEnd w:id="572"/>
      <w:bookmarkEnd w:id="573"/>
    </w:p>
    <w:p w:rsidR="00407449" w:rsidRPr="004E6CFC" w:rsidRDefault="00407449" w:rsidP="00407449">
      <w:r w:rsidRPr="004E6CFC">
        <w:t xml:space="preserve">Los indicadores de referencia, </w:t>
      </w:r>
      <w:r w:rsidRPr="004E6CFC">
        <w:rPr>
          <w:i/>
        </w:rPr>
        <w:t>SAIDI_R</w:t>
      </w:r>
      <w:r w:rsidRPr="004E6CFC">
        <w:rPr>
          <w:i/>
          <w:vertAlign w:val="subscript"/>
        </w:rPr>
        <w:t>j</w:t>
      </w:r>
      <w:r w:rsidRPr="004E6CFC">
        <w:t xml:space="preserve"> y </w:t>
      </w:r>
      <w:r w:rsidRPr="004E6CFC">
        <w:rPr>
          <w:i/>
        </w:rPr>
        <w:t>SAIFI_R</w:t>
      </w:r>
      <w:r w:rsidRPr="004E6CFC">
        <w:rPr>
          <w:i/>
          <w:vertAlign w:val="subscript"/>
        </w:rPr>
        <w:t>j</w:t>
      </w:r>
      <w:r w:rsidRPr="004E6CFC">
        <w:t xml:space="preserve">, y los indicadores de calidad mínima garantizada, </w:t>
      </w:r>
      <w:r w:rsidRPr="004E6CFC">
        <w:rPr>
          <w:i/>
        </w:rPr>
        <w:t>DIUG</w:t>
      </w:r>
      <w:r w:rsidRPr="004E6CFC">
        <w:rPr>
          <w:i/>
          <w:vertAlign w:val="subscript"/>
        </w:rPr>
        <w:t>j,n,q</w:t>
      </w:r>
      <w:r w:rsidRPr="004E6CFC">
        <w:t xml:space="preserve"> y </w:t>
      </w:r>
      <w:r w:rsidRPr="004E6CFC">
        <w:rPr>
          <w:i/>
        </w:rPr>
        <w:t>FIUG</w:t>
      </w:r>
      <w:r w:rsidRPr="004E6CFC">
        <w:rPr>
          <w:i/>
          <w:vertAlign w:val="subscript"/>
        </w:rPr>
        <w:t>j,n,q</w:t>
      </w:r>
      <w:r w:rsidRPr="004E6CFC">
        <w:t xml:space="preserve"> s</w:t>
      </w:r>
      <w:r>
        <w:t>erán</w:t>
      </w:r>
      <w:r w:rsidRPr="004E6CFC">
        <w:t xml:space="preserve"> calculados y definidos en la resolución de aprobación de cargos que expida la CREG, a partir de la información contenida en los reportes diarios y trimestrales hechos por el OR </w:t>
      </w:r>
      <w:r w:rsidRPr="004E6CFC">
        <w:rPr>
          <w:i/>
        </w:rPr>
        <w:t>j</w:t>
      </w:r>
      <w:r w:rsidRPr="004E6CFC">
        <w:t xml:space="preserve">, durante </w:t>
      </w:r>
      <w:r>
        <w:t>el año</w:t>
      </w:r>
      <w:r w:rsidRPr="004E6CFC">
        <w:t xml:space="preserve"> 2016, al sistema denominado “índices de calidad SDL, INDICA”, considerando </w:t>
      </w:r>
      <w:r>
        <w:t>las</w:t>
      </w:r>
      <w:r w:rsidRPr="004E6CFC">
        <w:t xml:space="preserve"> exclusi</w:t>
      </w:r>
      <w:r>
        <w:t>ones que allí se reportaron,</w:t>
      </w:r>
      <w:r w:rsidRPr="004E6CFC">
        <w:t xml:space="preserve"> </w:t>
      </w:r>
      <w:r>
        <w:t>pero excluyendo adicionalmente la duración y frecuencia de los eventos</w:t>
      </w:r>
      <w:r w:rsidRPr="004E6CFC">
        <w:t xml:space="preserve"> con duración menor o igual a </w:t>
      </w:r>
      <w:r>
        <w:t>tres</w:t>
      </w:r>
      <w:r w:rsidRPr="004E6CFC">
        <w:t xml:space="preserve"> (</w:t>
      </w:r>
      <w:r>
        <w:t>3</w:t>
      </w:r>
      <w:r w:rsidRPr="004E6CFC">
        <w:t>) minuto</w:t>
      </w:r>
      <w:r>
        <w:t>s</w:t>
      </w:r>
      <w:r w:rsidRPr="004E6CFC">
        <w:t xml:space="preserve">. La información de vinculación de los usuarios a las redes de distribución </w:t>
      </w:r>
      <w:r>
        <w:t xml:space="preserve">será obtenida del </w:t>
      </w:r>
      <w:r w:rsidRPr="004E6CFC">
        <w:t xml:space="preserve">SUI. </w:t>
      </w:r>
    </w:p>
    <w:p w:rsidR="00407449" w:rsidRPr="004E6CFC" w:rsidRDefault="00407449" w:rsidP="00407449">
      <w:r w:rsidRPr="004E6CFC">
        <w:t xml:space="preserve">Para el cálculo de los indicadores de referencia de los OR que no reportaron información al sistema INDICA se utiliza la información reportada al SUI durante </w:t>
      </w:r>
      <w:r>
        <w:t>el año 2016</w:t>
      </w:r>
      <w:r w:rsidRPr="004E6CFC">
        <w:t xml:space="preserve">, afectando este cálculo por la relación que resulta de comparar la información con y sin la desagregación de los eventos menores o iguales a </w:t>
      </w:r>
      <w:r>
        <w:t xml:space="preserve">tres </w:t>
      </w:r>
      <w:r w:rsidRPr="004E6CFC">
        <w:t>(</w:t>
      </w:r>
      <w:r>
        <w:t>3</w:t>
      </w:r>
      <w:r w:rsidRPr="004E6CFC">
        <w:t>) minuto</w:t>
      </w:r>
      <w:r>
        <w:t>s</w:t>
      </w:r>
      <w:r w:rsidRPr="004E6CFC">
        <w:t xml:space="preserve"> de los OR que reportaron a INDICA. </w:t>
      </w:r>
    </w:p>
    <w:p w:rsidR="00407449" w:rsidRPr="004E6CFC" w:rsidRDefault="00407449" w:rsidP="00407449">
      <w:r w:rsidRPr="004E6CFC">
        <w:t xml:space="preserve">Para las empresas que no reportaron información al sistema INDICA </w:t>
      </w:r>
      <w:r>
        <w:t>y tampoco</w:t>
      </w:r>
      <w:r w:rsidRPr="004E6CFC">
        <w:t xml:space="preserve"> reportaron información al SUI o el reporte a este sistema es incompleto o de mala calidad, los indicadores de referencia son calculados por la CREG como un promedio de los indicadores de referencia de las empresas que más se parezcan en cantidad de km de redes de media tensión y transformadores de nivel 1, por grupo de calidad.  </w:t>
      </w:r>
    </w:p>
    <w:p w:rsidR="00407449" w:rsidRDefault="00407449" w:rsidP="00407449">
      <w:pPr>
        <w:pStyle w:val="Ttulo3"/>
      </w:pPr>
      <w:bookmarkStart w:id="581" w:name="_Ref492462841"/>
      <w:bookmarkStart w:id="582" w:name="_Toc505070096"/>
      <w:bookmarkStart w:id="583" w:name="_Toc505335952"/>
      <w:r>
        <w:t>Indicadores adicionales</w:t>
      </w:r>
      <w:bookmarkEnd w:id="581"/>
      <w:bookmarkEnd w:id="582"/>
      <w:bookmarkEnd w:id="583"/>
    </w:p>
    <w:p w:rsidR="00407449" w:rsidRDefault="00407449" w:rsidP="00407449">
      <w:r>
        <w:rPr>
          <w:lang w:val="es-ES_tradnl"/>
        </w:rPr>
        <w:t>Además de los indicadores de calidad media e individual utilizados para la aplicación del esquema de incentivos y compensaciones los OR deben calcular y reportar los indicadores adicionales que se describen a continuación.</w:t>
      </w:r>
    </w:p>
    <w:p w:rsidR="00407449" w:rsidRPr="00EE4A60" w:rsidRDefault="00407449" w:rsidP="00407449">
      <w:pPr>
        <w:rPr>
          <w:lang w:val="es-ES_tradnl"/>
        </w:rPr>
      </w:pPr>
      <w:r w:rsidRPr="00EE4A60">
        <w:rPr>
          <w:lang w:val="es-ES_tradnl"/>
        </w:rPr>
        <w:lastRenderedPageBreak/>
        <w:t xml:space="preserve">Estos indicadores adicionales no serán tenidos en cuenta para la aplicación del esquema de incentivos y compensaciones y solo serán utilizados con fines de análisis estadísticos. </w:t>
      </w:r>
    </w:p>
    <w:p w:rsidR="00407449" w:rsidRDefault="00407449" w:rsidP="00407449">
      <w:pPr>
        <w:pStyle w:val="Ttulo4"/>
      </w:pPr>
      <w:r>
        <w:t>Indicadores con eventos de circuitos de nivel de tensión 1</w:t>
      </w:r>
    </w:p>
    <w:p w:rsidR="00407449" w:rsidRPr="00756450" w:rsidRDefault="00407449" w:rsidP="00407449">
      <w:r w:rsidRPr="00756450">
        <w:rPr>
          <w:lang w:val="es-ES_tradnl"/>
        </w:rPr>
        <w:t xml:space="preserve">Los OR deben calcular indicadores adicionales de calidad media e individual </w:t>
      </w:r>
      <w:r>
        <w:rPr>
          <w:lang w:val="es-ES_tradnl"/>
        </w:rPr>
        <w:t xml:space="preserve">con </w:t>
      </w:r>
      <w:r w:rsidRPr="00BD3D58">
        <w:rPr>
          <w:lang w:val="es-ES_tradnl"/>
        </w:rPr>
        <w:t>la información de eventos en circuitos y transformadores de nivel de tensión 2 y 3 y transformadores de nivel de tensión 1</w:t>
      </w:r>
      <w:r>
        <w:rPr>
          <w:lang w:val="es-ES_tradnl"/>
        </w:rPr>
        <w:t xml:space="preserve"> más l</w:t>
      </w:r>
      <w:r w:rsidRPr="00756450">
        <w:rPr>
          <w:lang w:val="es-ES_tradnl"/>
        </w:rPr>
        <w:t>a información de eventos sucedidos en los circuitos de nivel de tensión 1.</w:t>
      </w:r>
    </w:p>
    <w:p w:rsidR="00407449" w:rsidRDefault="00407449" w:rsidP="00407449">
      <w:r>
        <w:rPr>
          <w:lang w:val="es-ES_tradnl"/>
        </w:rPr>
        <w:t xml:space="preserve">Los </w:t>
      </w:r>
      <w:r w:rsidRPr="00756450">
        <w:rPr>
          <w:lang w:val="es-ES_tradnl"/>
        </w:rPr>
        <w:t xml:space="preserve">indicadores adicionales </w:t>
      </w:r>
      <w:r>
        <w:rPr>
          <w:lang w:val="es-ES_tradnl"/>
        </w:rPr>
        <w:t xml:space="preserve">que incluyen </w:t>
      </w:r>
      <w:r w:rsidRPr="000D10B2">
        <w:rPr>
          <w:lang w:val="es-ES_tradnl"/>
        </w:rPr>
        <w:t>eventos de circuitos de nivel de tensión 1</w:t>
      </w:r>
      <w:r>
        <w:rPr>
          <w:lang w:val="es-ES_tradnl"/>
        </w:rPr>
        <w:t>, deberán notarse de manera diferente a la notación utilizada para los indicadores que se emplean en la aplicación del esquema de incentivos y compensaciones a la calidad</w:t>
      </w:r>
      <w:r w:rsidRPr="00D13BA0">
        <w:t>.</w:t>
      </w:r>
    </w:p>
    <w:p w:rsidR="00407449" w:rsidRDefault="00407449" w:rsidP="00407449">
      <w:pPr>
        <w:pStyle w:val="Ttulo4"/>
      </w:pPr>
      <w:r>
        <w:t>Indicadores adicionales de calidad media</w:t>
      </w:r>
    </w:p>
    <w:p w:rsidR="00407449" w:rsidRDefault="00407449" w:rsidP="00407449">
      <w:r w:rsidRPr="00EE4A60">
        <w:rPr>
          <w:lang w:val="es-ES_tradnl"/>
        </w:rPr>
        <w:t>Los OR</w:t>
      </w:r>
      <w:r>
        <w:rPr>
          <w:lang w:val="es-ES_tradnl"/>
        </w:rPr>
        <w:t xml:space="preserve"> y el LAC</w:t>
      </w:r>
      <w:r w:rsidRPr="00EE4A60">
        <w:rPr>
          <w:lang w:val="es-ES_tradnl"/>
        </w:rPr>
        <w:t xml:space="preserve"> deben calcular</w:t>
      </w:r>
      <w:r>
        <w:rPr>
          <w:lang w:val="es-ES_tradnl"/>
        </w:rPr>
        <w:t xml:space="preserve"> los siguientes indicadores adicionales de calidad media:</w:t>
      </w:r>
    </w:p>
    <w:p w:rsidR="00407449" w:rsidRPr="00B73291" w:rsidRDefault="00407449" w:rsidP="009C086B">
      <w:pPr>
        <w:pStyle w:val="Prrafodelista"/>
        <w:numPr>
          <w:ilvl w:val="0"/>
          <w:numId w:val="90"/>
        </w:numPr>
      </w:pPr>
      <w:r>
        <w:rPr>
          <w:lang w:val="es-ES_tradnl"/>
        </w:rPr>
        <w:t>I</w:t>
      </w:r>
      <w:r w:rsidRPr="00756450">
        <w:rPr>
          <w:lang w:val="es-ES_tradnl"/>
        </w:rPr>
        <w:t xml:space="preserve">ndicador de frecuencia momentánea de eventos, </w:t>
      </w:r>
      <w:r w:rsidRPr="00756450">
        <w:rPr>
          <w:i/>
          <w:lang w:val="es-ES_tradnl"/>
        </w:rPr>
        <w:t>MAIFI</w:t>
      </w:r>
      <w:r w:rsidRPr="00756450">
        <w:rPr>
          <w:i/>
          <w:vertAlign w:val="subscript"/>
          <w:lang w:val="es-ES_tradnl"/>
        </w:rPr>
        <w:t>j,t</w:t>
      </w:r>
      <w:r>
        <w:rPr>
          <w:vertAlign w:val="subscript"/>
          <w:lang w:val="es-ES_tradnl"/>
        </w:rPr>
        <w:t xml:space="preserve">, </w:t>
      </w:r>
      <w:r w:rsidRPr="00756450">
        <w:rPr>
          <w:lang w:val="es-ES_tradnl"/>
        </w:rPr>
        <w:t>calculado</w:t>
      </w:r>
      <w:r w:rsidRPr="00167409">
        <w:rPr>
          <w:lang w:val="es-ES_tradnl"/>
        </w:rPr>
        <w:t xml:space="preserve"> utilizando la</w:t>
      </w:r>
      <w:r w:rsidRPr="00756450">
        <w:rPr>
          <w:lang w:val="es-ES_tradnl"/>
        </w:rPr>
        <w:t xml:space="preserve"> información de los eventos menores a tres</w:t>
      </w:r>
      <w:r>
        <w:rPr>
          <w:lang w:val="es-ES_tradnl"/>
        </w:rPr>
        <w:t xml:space="preserve"> (3)</w:t>
      </w:r>
      <w:r w:rsidRPr="00756450">
        <w:rPr>
          <w:lang w:val="es-ES_tradnl"/>
        </w:rPr>
        <w:t xml:space="preserve"> minutos, como se describe a continuación:</w:t>
      </w:r>
    </w:p>
    <w:p w:rsidR="00407449" w:rsidRDefault="00C9592F" w:rsidP="00407449">
      <m:oMathPara>
        <m:oMath>
          <m:sSub>
            <m:sSubPr>
              <m:ctrlPr>
                <w:rPr>
                  <w:rFonts w:ascii="Cambria Math" w:hAnsi="Cambria Math"/>
                  <w:i/>
                </w:rPr>
              </m:ctrlPr>
            </m:sSubPr>
            <m:e>
              <m:r>
                <w:rPr>
                  <w:rFonts w:ascii="Cambria Math" w:hAnsi="Cambria Math"/>
                </w:rPr>
                <m:t>MAIFI</m:t>
              </m:r>
            </m:e>
            <m:sub>
              <m:r>
                <w:rPr>
                  <w:rFonts w:ascii="Cambria Math" w:hAnsi="Cambria Math"/>
                </w:rPr>
                <m:t>j,t</m:t>
              </m:r>
            </m:sub>
          </m:sSub>
          <m:r>
            <w:rPr>
              <w:rFonts w:ascii="Cambria Math" w:hAnsi="Cambria Math"/>
            </w:rPr>
            <m:t>=</m:t>
          </m:r>
          <m:f>
            <m:fPr>
              <m:type m:val="lin"/>
              <m:ctrlPr>
                <w:rPr>
                  <w:rFonts w:ascii="Cambria Math" w:hAnsi="Cambria Math"/>
                  <w:i/>
                </w:rPr>
              </m:ctrlPr>
            </m:fPr>
            <m:num>
              <m:f>
                <m:fPr>
                  <m:ctrlPr>
                    <w:rPr>
                      <w:rFonts w:ascii="Cambria Math" w:hAnsi="Cambria Math"/>
                      <w:i/>
                    </w:rPr>
                  </m:ctrlPr>
                </m:fPr>
                <m:num>
                  <m:nary>
                    <m:naryPr>
                      <m:chr m:val="∑"/>
                      <m:limLoc m:val="subSup"/>
                      <m:ctrlPr>
                        <w:rPr>
                          <w:rFonts w:ascii="Cambria Math" w:hAnsi="Cambria Math"/>
                          <w:i/>
                        </w:rPr>
                      </m:ctrlPr>
                    </m:naryPr>
                    <m:sub>
                      <m:r>
                        <w:rPr>
                          <w:rFonts w:ascii="Cambria Math" w:hAnsi="Cambria Math"/>
                        </w:rPr>
                        <m:t>i=1</m:t>
                      </m:r>
                    </m:sub>
                    <m:sup>
                      <m:r>
                        <w:rPr>
                          <w:rFonts w:ascii="Cambria Math" w:hAnsi="Cambria Math"/>
                        </w:rPr>
                        <m:t>n</m:t>
                      </m:r>
                    </m:sup>
                    <m:e>
                      <m:sSub>
                        <m:sSubPr>
                          <m:ctrlPr>
                            <w:rPr>
                              <w:rFonts w:ascii="Cambria Math" w:hAnsi="Cambria Math"/>
                              <w:i/>
                            </w:rPr>
                          </m:ctrlPr>
                        </m:sSubPr>
                        <m:e>
                          <m:r>
                            <w:rPr>
                              <w:rFonts w:ascii="Cambria Math" w:hAnsi="Cambria Math"/>
                            </w:rPr>
                            <m:t>NU</m:t>
                          </m:r>
                        </m:e>
                        <m:sub>
                          <m:r>
                            <w:rPr>
                              <w:rFonts w:ascii="Cambria Math" w:hAnsi="Cambria Math"/>
                            </w:rPr>
                            <m:t>i,u,t</m:t>
                          </m:r>
                        </m:sub>
                      </m:sSub>
                    </m:e>
                  </m:nary>
                </m:num>
                <m:den>
                  <m:sSub>
                    <m:sSubPr>
                      <m:ctrlPr>
                        <w:rPr>
                          <w:rFonts w:ascii="Cambria Math" w:hAnsi="Cambria Math"/>
                          <w:i/>
                        </w:rPr>
                      </m:ctrlPr>
                    </m:sSubPr>
                    <m:e>
                      <m:r>
                        <w:rPr>
                          <w:rFonts w:ascii="Cambria Math" w:hAnsi="Cambria Math"/>
                        </w:rPr>
                        <m:t>UT</m:t>
                      </m:r>
                    </m:e>
                    <m:sub>
                      <m:r>
                        <w:rPr>
                          <w:rFonts w:ascii="Cambria Math" w:hAnsi="Cambria Math"/>
                        </w:rPr>
                        <m:t>j,t</m:t>
                      </m:r>
                    </m:sub>
                  </m:sSub>
                </m:den>
              </m:f>
            </m:num>
            <m:den>
              <m:r>
                <w:rPr>
                  <w:rFonts w:ascii="Cambria Math" w:hAnsi="Cambria Math"/>
                </w:rPr>
                <m:t>60</m:t>
              </m:r>
            </m:den>
          </m:f>
        </m:oMath>
      </m:oMathPara>
    </w:p>
    <w:p w:rsidR="00407449" w:rsidRPr="004E6CFC" w:rsidRDefault="00407449" w:rsidP="00407449">
      <w:pPr>
        <w:ind w:left="1701" w:hanging="992"/>
        <w:rPr>
          <w:i/>
          <w:lang w:val="es-CO"/>
        </w:rPr>
      </w:pPr>
      <w:r>
        <w:rPr>
          <w:i/>
          <w:lang w:val="es-CO"/>
        </w:rPr>
        <w:t>MAIF</w:t>
      </w:r>
      <w:r w:rsidRPr="004E6CFC">
        <w:rPr>
          <w:i/>
          <w:lang w:val="es-CO"/>
        </w:rPr>
        <w:t>I</w:t>
      </w:r>
      <w:r w:rsidRPr="004E6CFC">
        <w:rPr>
          <w:i/>
          <w:vertAlign w:val="subscript"/>
          <w:lang w:val="es-CO"/>
        </w:rPr>
        <w:t>j,t</w:t>
      </w:r>
      <w:r w:rsidRPr="004E6CFC">
        <w:rPr>
          <w:i/>
          <w:lang w:val="es-CO"/>
        </w:rPr>
        <w:t>:</w:t>
      </w:r>
      <w:r w:rsidRPr="004E6CFC">
        <w:rPr>
          <w:i/>
          <w:lang w:val="es-CO"/>
        </w:rPr>
        <w:tab/>
      </w:r>
      <w:r w:rsidRPr="004E6CFC">
        <w:rPr>
          <w:lang w:val="es-CO"/>
        </w:rPr>
        <w:t xml:space="preserve">Indicador </w:t>
      </w:r>
      <w:r>
        <w:rPr>
          <w:lang w:val="es-ES_tradnl"/>
        </w:rPr>
        <w:t xml:space="preserve">de frecuencia momentánea de </w:t>
      </w:r>
      <w:r w:rsidRPr="004E6CFC">
        <w:rPr>
          <w:lang w:val="es-CO"/>
        </w:rPr>
        <w:t xml:space="preserve">eventos sucedidos en el SDL del OR </w:t>
      </w:r>
      <w:r w:rsidRPr="004E6CFC">
        <w:rPr>
          <w:i/>
          <w:lang w:val="es-CO"/>
        </w:rPr>
        <w:t>j</w:t>
      </w:r>
      <w:r w:rsidRPr="004E6CFC">
        <w:rPr>
          <w:lang w:val="es-CO"/>
        </w:rPr>
        <w:t xml:space="preserve">, durante el año </w:t>
      </w:r>
      <w:r w:rsidRPr="004E6CFC">
        <w:rPr>
          <w:i/>
          <w:lang w:val="es-CO"/>
        </w:rPr>
        <w:t>t</w:t>
      </w:r>
      <w:r>
        <w:rPr>
          <w:lang w:val="es-CO"/>
        </w:rPr>
        <w:t>. [veces/año]</w:t>
      </w:r>
    </w:p>
    <w:p w:rsidR="00407449" w:rsidRPr="004E6CFC" w:rsidRDefault="00407449" w:rsidP="00407449">
      <w:pPr>
        <w:ind w:left="1701" w:hanging="992"/>
        <w:rPr>
          <w:lang w:val="es-CO"/>
        </w:rPr>
      </w:pPr>
      <w:r w:rsidRPr="004E6CFC">
        <w:rPr>
          <w:i/>
          <w:lang w:val="es-CO"/>
        </w:rPr>
        <w:t>NU</w:t>
      </w:r>
      <w:r w:rsidRPr="004E6CFC">
        <w:rPr>
          <w:i/>
          <w:vertAlign w:val="subscript"/>
          <w:lang w:val="es-CO"/>
        </w:rPr>
        <w:t>i,u,t</w:t>
      </w:r>
      <w:r w:rsidRPr="004E6CFC">
        <w:rPr>
          <w:i/>
          <w:lang w:val="es-CO"/>
        </w:rPr>
        <w:t>:</w:t>
      </w:r>
      <w:r w:rsidRPr="004E6CFC">
        <w:rPr>
          <w:i/>
          <w:lang w:val="es-CO"/>
        </w:rPr>
        <w:tab/>
      </w:r>
      <w:r w:rsidRPr="004E6CFC">
        <w:rPr>
          <w:lang w:val="es-CO"/>
        </w:rPr>
        <w:t xml:space="preserve">Número de usuarios conectados al activo </w:t>
      </w:r>
      <w:r w:rsidRPr="004E6CFC">
        <w:rPr>
          <w:i/>
          <w:lang w:val="es-CO"/>
        </w:rPr>
        <w:t>u</w:t>
      </w:r>
      <w:r w:rsidRPr="004E6CFC">
        <w:rPr>
          <w:lang w:val="es-CO"/>
        </w:rPr>
        <w:t xml:space="preserve"> que fueron afectados por el evento </w:t>
      </w:r>
      <w:r w:rsidRPr="004E6CFC">
        <w:rPr>
          <w:i/>
          <w:lang w:val="es-CO"/>
        </w:rPr>
        <w:t>i</w:t>
      </w:r>
      <w:r>
        <w:rPr>
          <w:i/>
          <w:lang w:val="es-CO"/>
        </w:rPr>
        <w:t xml:space="preserve"> </w:t>
      </w:r>
      <w:r w:rsidRPr="00756450">
        <w:rPr>
          <w:lang w:val="es-CO"/>
        </w:rPr>
        <w:t>de duración menor a</w:t>
      </w:r>
      <w:r>
        <w:rPr>
          <w:lang w:val="es-CO"/>
        </w:rPr>
        <w:t xml:space="preserve"> tres</w:t>
      </w:r>
      <w:r w:rsidRPr="00756450">
        <w:rPr>
          <w:lang w:val="es-CO"/>
        </w:rPr>
        <w:t xml:space="preserve"> </w:t>
      </w:r>
      <w:r>
        <w:rPr>
          <w:lang w:val="es-CO"/>
        </w:rPr>
        <w:t>(</w:t>
      </w:r>
      <w:r w:rsidRPr="00756450">
        <w:rPr>
          <w:lang w:val="es-CO"/>
        </w:rPr>
        <w:t>3</w:t>
      </w:r>
      <w:r>
        <w:rPr>
          <w:lang w:val="es-CO"/>
        </w:rPr>
        <w:t>)</w:t>
      </w:r>
      <w:r w:rsidRPr="00756450">
        <w:rPr>
          <w:lang w:val="es-CO"/>
        </w:rPr>
        <w:t xml:space="preserve"> minutos,</w:t>
      </w:r>
      <w:r w:rsidRPr="00FA133D">
        <w:rPr>
          <w:lang w:val="es-CO"/>
        </w:rPr>
        <w:t xml:space="preserve"> </w:t>
      </w:r>
      <w:r w:rsidRPr="004E6CFC">
        <w:rPr>
          <w:lang w:val="es-CO"/>
        </w:rPr>
        <w:t xml:space="preserve">sucedido durante el año </w:t>
      </w:r>
      <w:r w:rsidRPr="004E6CFC">
        <w:rPr>
          <w:i/>
          <w:lang w:val="es-CO"/>
        </w:rPr>
        <w:t>t</w:t>
      </w:r>
      <w:r w:rsidRPr="004E6CFC">
        <w:rPr>
          <w:lang w:val="es-CO"/>
        </w:rPr>
        <w:t xml:space="preserve">. </w:t>
      </w:r>
    </w:p>
    <w:p w:rsidR="00407449" w:rsidRPr="004E6CFC" w:rsidRDefault="00407449" w:rsidP="00407449">
      <w:pPr>
        <w:ind w:left="1701" w:hanging="992"/>
        <w:rPr>
          <w:lang w:val="es-CO"/>
        </w:rPr>
      </w:pPr>
      <w:r w:rsidRPr="004E6CFC">
        <w:rPr>
          <w:i/>
          <w:lang w:val="es-CO"/>
        </w:rPr>
        <w:t>UT</w:t>
      </w:r>
      <w:r w:rsidRPr="004E6CFC">
        <w:rPr>
          <w:i/>
          <w:vertAlign w:val="subscript"/>
          <w:lang w:val="es-CO"/>
        </w:rPr>
        <w:t>j,t</w:t>
      </w:r>
      <w:r w:rsidRPr="004E6CFC">
        <w:rPr>
          <w:i/>
          <w:lang w:val="es-CO"/>
        </w:rPr>
        <w:t xml:space="preserve">: </w:t>
      </w:r>
      <w:r w:rsidRPr="004E6CFC">
        <w:rPr>
          <w:i/>
          <w:lang w:val="es-CO"/>
        </w:rPr>
        <w:tab/>
      </w:r>
      <w:r w:rsidRPr="004E6CFC">
        <w:rPr>
          <w:lang w:val="es-CO"/>
        </w:rPr>
        <w:t xml:space="preserve">Número total de usuarios conectados al SDL del OR </w:t>
      </w:r>
      <w:r w:rsidRPr="004E6CFC">
        <w:rPr>
          <w:i/>
          <w:lang w:val="es-CO"/>
        </w:rPr>
        <w:t>j</w:t>
      </w:r>
      <w:r w:rsidRPr="004E6CFC">
        <w:rPr>
          <w:lang w:val="es-CO"/>
        </w:rPr>
        <w:t xml:space="preserve"> en el año </w:t>
      </w:r>
      <w:r w:rsidRPr="004E6CFC">
        <w:rPr>
          <w:i/>
          <w:lang w:val="es-CO"/>
        </w:rPr>
        <w:t>t.</w:t>
      </w:r>
    </w:p>
    <w:p w:rsidR="00407449" w:rsidRDefault="00407449" w:rsidP="009C086B">
      <w:pPr>
        <w:pStyle w:val="Prrafodelista"/>
        <w:numPr>
          <w:ilvl w:val="0"/>
          <w:numId w:val="90"/>
        </w:numPr>
      </w:pPr>
      <w:r>
        <w:rPr>
          <w:lang w:val="es-ES_tradnl"/>
        </w:rPr>
        <w:t xml:space="preserve">Indicador de duración promedio de eventos por usuario, </w:t>
      </w:r>
      <w:r w:rsidRPr="00756450">
        <w:rPr>
          <w:i/>
          <w:lang w:val="es-ES_tradnl"/>
        </w:rPr>
        <w:t>CAIDI</w:t>
      </w:r>
      <w:r w:rsidRPr="00756450">
        <w:rPr>
          <w:i/>
          <w:vertAlign w:val="subscript"/>
          <w:lang w:val="es-ES_tradnl"/>
        </w:rPr>
        <w:t>j,t</w:t>
      </w:r>
      <w:r>
        <w:rPr>
          <w:lang w:val="es-ES_tradnl"/>
        </w:rPr>
        <w:t xml:space="preserve">, </w:t>
      </w:r>
      <w:r w:rsidRPr="00EE4A60">
        <w:rPr>
          <w:lang w:val="es-ES_tradnl"/>
        </w:rPr>
        <w:t>calculado</w:t>
      </w:r>
      <w:r w:rsidRPr="00167409">
        <w:rPr>
          <w:lang w:val="es-ES_tradnl"/>
        </w:rPr>
        <w:t xml:space="preserve"> </w:t>
      </w:r>
      <w:r w:rsidRPr="00EE4A60">
        <w:rPr>
          <w:lang w:val="es-ES_tradnl"/>
        </w:rPr>
        <w:t>como se describe a continuación:</w:t>
      </w:r>
    </w:p>
    <w:p w:rsidR="00407449" w:rsidRPr="002E7B7E" w:rsidRDefault="00407449" w:rsidP="00407449">
      <w:pPr>
        <w:pStyle w:val="Prrafodelista"/>
        <w:ind w:left="792"/>
      </w:pPr>
      <m:oMathPara>
        <m:oMath>
          <m:r>
            <w:rPr>
              <w:rFonts w:ascii="Cambria Math" w:hAnsi="Cambria Math"/>
            </w:rPr>
            <m:t>CAID</m:t>
          </m:r>
          <m:sSub>
            <m:sSubPr>
              <m:ctrlPr>
                <w:rPr>
                  <w:rFonts w:ascii="Cambria Math" w:hAnsi="Cambria Math"/>
                  <w:i/>
                </w:rPr>
              </m:ctrlPr>
            </m:sSubPr>
            <m:e>
              <m:r>
                <w:rPr>
                  <w:rFonts w:ascii="Cambria Math" w:hAnsi="Cambria Math"/>
                </w:rPr>
                <m:t>I</m:t>
              </m:r>
            </m:e>
            <m:sub>
              <m:r>
                <w:rPr>
                  <w:rFonts w:ascii="Cambria Math" w:hAnsi="Cambria Math"/>
                </w:rPr>
                <m:t>j,t</m:t>
              </m:r>
            </m:sub>
          </m:sSub>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SAIDI</m:t>
                  </m:r>
                </m:e>
                <m:sub>
                  <m:r>
                    <w:rPr>
                      <w:rFonts w:ascii="Cambria Math" w:hAnsi="Cambria Math"/>
                    </w:rPr>
                    <m:t>j,t</m:t>
                  </m:r>
                </m:sub>
              </m:sSub>
            </m:num>
            <m:den>
              <m:sSub>
                <m:sSubPr>
                  <m:ctrlPr>
                    <w:rPr>
                      <w:rFonts w:ascii="Cambria Math" w:hAnsi="Cambria Math"/>
                      <w:i/>
                    </w:rPr>
                  </m:ctrlPr>
                </m:sSubPr>
                <m:e>
                  <m:r>
                    <w:rPr>
                      <w:rFonts w:ascii="Cambria Math" w:hAnsi="Cambria Math"/>
                    </w:rPr>
                    <m:t>SAIFI</m:t>
                  </m:r>
                </m:e>
                <m:sub>
                  <m:r>
                    <w:rPr>
                      <w:rFonts w:ascii="Cambria Math" w:hAnsi="Cambria Math"/>
                    </w:rPr>
                    <m:t>j,t</m:t>
                  </m:r>
                </m:sub>
              </m:sSub>
            </m:den>
          </m:f>
        </m:oMath>
      </m:oMathPara>
    </w:p>
    <w:p w:rsidR="00407449" w:rsidRDefault="00407449" w:rsidP="00407449">
      <w:pPr>
        <w:pStyle w:val="Prrafodelista"/>
        <w:keepNext/>
        <w:ind w:left="794"/>
      </w:pPr>
      <w:r>
        <w:rPr>
          <w:lang w:val="es-ES_tradnl"/>
        </w:rPr>
        <w:t>Donde:</w:t>
      </w:r>
    </w:p>
    <w:p w:rsidR="00407449" w:rsidRDefault="00407449" w:rsidP="00407449">
      <w:pPr>
        <w:ind w:left="1701" w:hanging="992"/>
        <w:rPr>
          <w:lang w:val="es-CO"/>
        </w:rPr>
      </w:pPr>
      <w:r w:rsidRPr="004E6CFC">
        <w:rPr>
          <w:i/>
          <w:lang w:val="es-CO"/>
        </w:rPr>
        <w:t>SAIDI</w:t>
      </w:r>
      <w:r w:rsidRPr="004E6CFC">
        <w:rPr>
          <w:i/>
          <w:vertAlign w:val="subscript"/>
          <w:lang w:val="es-CO"/>
        </w:rPr>
        <w:t>j,t</w:t>
      </w:r>
      <w:r w:rsidRPr="004E6CFC">
        <w:rPr>
          <w:i/>
          <w:lang w:val="es-CO"/>
        </w:rPr>
        <w:t>:</w:t>
      </w:r>
      <w:r w:rsidRPr="004E6CFC">
        <w:rPr>
          <w:i/>
          <w:lang w:val="es-CO"/>
        </w:rPr>
        <w:tab/>
      </w:r>
      <w:r w:rsidRPr="004E6CFC">
        <w:rPr>
          <w:lang w:val="es-CO"/>
        </w:rPr>
        <w:t xml:space="preserve">Indicador de duración promedio de los eventos sucedidos en el SDL del OR </w:t>
      </w:r>
      <w:r w:rsidRPr="004E6CFC">
        <w:rPr>
          <w:i/>
          <w:lang w:val="es-CO"/>
        </w:rPr>
        <w:t>j</w:t>
      </w:r>
      <w:r w:rsidRPr="004E6CFC">
        <w:rPr>
          <w:lang w:val="es-CO"/>
        </w:rPr>
        <w:t xml:space="preserve">, durante el año </w:t>
      </w:r>
      <w:r w:rsidRPr="004E6CFC">
        <w:rPr>
          <w:i/>
          <w:lang w:val="es-CO"/>
        </w:rPr>
        <w:t>t</w:t>
      </w:r>
      <w:r w:rsidRPr="004E6CFC">
        <w:rPr>
          <w:lang w:val="es-CO"/>
        </w:rPr>
        <w:t>. [horas</w:t>
      </w:r>
      <w:r>
        <w:rPr>
          <w:lang w:val="es-CO"/>
        </w:rPr>
        <w:t>/año</w:t>
      </w:r>
      <w:r w:rsidRPr="004E6CFC">
        <w:rPr>
          <w:lang w:val="es-CO"/>
        </w:rPr>
        <w:t>]</w:t>
      </w:r>
    </w:p>
    <w:p w:rsidR="00407449" w:rsidRPr="004E6CFC" w:rsidRDefault="00407449" w:rsidP="00407449">
      <w:pPr>
        <w:ind w:left="1701" w:hanging="992"/>
        <w:rPr>
          <w:lang w:val="es-CO"/>
        </w:rPr>
      </w:pPr>
      <w:r w:rsidRPr="004E6CFC">
        <w:rPr>
          <w:i/>
          <w:lang w:val="es-CO"/>
        </w:rPr>
        <w:t>SAIFI</w:t>
      </w:r>
      <w:r w:rsidRPr="004E6CFC">
        <w:rPr>
          <w:i/>
          <w:vertAlign w:val="subscript"/>
          <w:lang w:val="es-CO"/>
        </w:rPr>
        <w:t>j,t</w:t>
      </w:r>
      <w:r w:rsidRPr="004E6CFC">
        <w:rPr>
          <w:i/>
          <w:lang w:val="es-CO"/>
        </w:rPr>
        <w:t>:</w:t>
      </w:r>
      <w:r w:rsidRPr="004E6CFC">
        <w:rPr>
          <w:i/>
          <w:lang w:val="es-CO"/>
        </w:rPr>
        <w:tab/>
      </w:r>
      <w:r w:rsidRPr="004E6CFC">
        <w:rPr>
          <w:lang w:val="es-CO"/>
        </w:rPr>
        <w:t xml:space="preserve">Indicador de frecuencia promedio de los eventos sucedidos en el SDL del OR </w:t>
      </w:r>
      <w:r w:rsidRPr="004E6CFC">
        <w:rPr>
          <w:i/>
          <w:lang w:val="es-CO"/>
        </w:rPr>
        <w:t>j</w:t>
      </w:r>
      <w:r w:rsidRPr="004E6CFC">
        <w:rPr>
          <w:lang w:val="es-CO"/>
        </w:rPr>
        <w:t xml:space="preserve">, durante el año </w:t>
      </w:r>
      <w:r w:rsidRPr="004E6CFC">
        <w:rPr>
          <w:i/>
          <w:lang w:val="es-CO"/>
        </w:rPr>
        <w:t>t</w:t>
      </w:r>
      <w:r w:rsidRPr="004E6CFC">
        <w:rPr>
          <w:lang w:val="es-CO"/>
        </w:rPr>
        <w:t>.</w:t>
      </w:r>
      <w:r>
        <w:rPr>
          <w:lang w:val="es-CO"/>
        </w:rPr>
        <w:t xml:space="preserve"> [veces/año]</w:t>
      </w:r>
    </w:p>
    <w:p w:rsidR="00407449" w:rsidRPr="004E6CFC" w:rsidRDefault="00407449" w:rsidP="00407449">
      <w:pPr>
        <w:pStyle w:val="Ttulo3"/>
      </w:pPr>
      <w:bookmarkStart w:id="584" w:name="_Toc505070097"/>
      <w:bookmarkStart w:id="585" w:name="_Toc505335953"/>
      <w:r w:rsidRPr="004E6CFC">
        <w:lastRenderedPageBreak/>
        <w:t>Alumbrado público</w:t>
      </w:r>
      <w:bookmarkEnd w:id="584"/>
      <w:bookmarkEnd w:id="585"/>
    </w:p>
    <w:p w:rsidR="00407449" w:rsidRPr="004E6CFC" w:rsidRDefault="00407449" w:rsidP="00407449">
      <w:r w:rsidRPr="004E6CFC">
        <w:t>Al servicio de distribución prestado por el OR para el servicio de alumbrado público, SALP, le aplicarán las reglas de calidad definidas en esta resolución.  Para todos los efectos, en cada transformador al cual se halle conectada una red de alumbrado público se considerará que existe un consumidor de alumbrado público del OR, CALP, que será contabilizado para efectos de realizar la estimación de los indicadores de calidad media para aplicar el esquema de incentivos, y los ind</w:t>
      </w:r>
      <w:r>
        <w:t xml:space="preserve">icadores de calidad individual </w:t>
      </w:r>
      <w:r w:rsidRPr="004E6CFC">
        <w:t>para compensarlo cuando haya lugar.</w:t>
      </w:r>
    </w:p>
    <w:p w:rsidR="00407449" w:rsidRPr="004E6CFC" w:rsidRDefault="00407449" w:rsidP="00407449">
      <w:r w:rsidRPr="004E6CFC">
        <w:t>Cuando el transformador sea de uso compartido con el SALP, el CALP pertenecerá al nivel de tensión 1, en caso contrario pertenecerá al nivel 2.  Para la medición del consumo, el OR debe utilizar los medidores instalados por el municipio de acuerdo con la obligación establecida en el artículo 16 de la Resolución CREG 123 de 2011. En caso de no contar con medidor, el consumo debe estimarse con base en el aforo de la carga de la red de alumbrado público conectada al transformador.</w:t>
      </w:r>
    </w:p>
    <w:p w:rsidR="00407449" w:rsidRPr="004E6CFC" w:rsidRDefault="00407449" w:rsidP="00407449">
      <w:r w:rsidRPr="004E6CFC">
        <w:t xml:space="preserve">La suma de las compensaciones ocasionadas por el servicio prestado, medido en cada transformador, será la compensación total que debe incluirse en la factura. </w:t>
      </w:r>
    </w:p>
    <w:p w:rsidR="00407449" w:rsidRPr="004E6CFC" w:rsidRDefault="00407449" w:rsidP="00407449">
      <w:pPr>
        <w:pStyle w:val="Ttulo3"/>
      </w:pPr>
      <w:bookmarkStart w:id="586" w:name="_Ref504745846"/>
      <w:bookmarkStart w:id="587" w:name="_Toc505070098"/>
      <w:bookmarkStart w:id="588" w:name="_Toc505335954"/>
      <w:r w:rsidRPr="004E6CFC">
        <w:t>Usuarios que inyectan energía a la red</w:t>
      </w:r>
      <w:bookmarkEnd w:id="574"/>
      <w:bookmarkEnd w:id="575"/>
      <w:bookmarkEnd w:id="586"/>
      <w:bookmarkEnd w:id="587"/>
      <w:bookmarkEnd w:id="588"/>
    </w:p>
    <w:p w:rsidR="00407449" w:rsidRPr="004E6CFC" w:rsidRDefault="00407449" w:rsidP="00407449">
      <w:r w:rsidRPr="004E6CFC">
        <w:t xml:space="preserve">En los contratos de conexión de generación, </w:t>
      </w:r>
      <w:r>
        <w:t xml:space="preserve">asociada a excedentes de autogeneración </w:t>
      </w:r>
      <w:r w:rsidRPr="004E6CFC">
        <w:t>sin excepción, debe incluirse una cláusula explicita en la cual se establezca la compensación monetaria que el OR deberá pagar a este usuario cuando la red no esté disponible para inyectar energía generada por la planta. Tanto los contratos nuevos, como los contratos vigentes a la entrada en vigencia de esta resolución, deben ajustarse a lo dispuesto en este artículo. En los reportes de eventos al LAC, los OR tienen la obligación de indicar cuando un evento afectó una conexión de generación.</w:t>
      </w:r>
    </w:p>
    <w:p w:rsidR="00407449" w:rsidRPr="004E6CFC" w:rsidRDefault="00407449" w:rsidP="00407449">
      <w:pPr>
        <w:pStyle w:val="Ttulo3"/>
        <w:rPr>
          <w:color w:val="auto"/>
        </w:rPr>
      </w:pPr>
      <w:bookmarkStart w:id="589" w:name="_Ref445104740"/>
      <w:bookmarkStart w:id="590" w:name="_Toc445214108"/>
      <w:bookmarkStart w:id="591" w:name="_Toc466009879"/>
      <w:bookmarkStart w:id="592" w:name="_Toc505070099"/>
      <w:bookmarkStart w:id="593" w:name="_Toc505335955"/>
      <w:r w:rsidRPr="004E6CFC">
        <w:rPr>
          <w:color w:val="auto"/>
        </w:rPr>
        <w:t>Contratos de calidad extra</w:t>
      </w:r>
      <w:bookmarkEnd w:id="576"/>
      <w:bookmarkEnd w:id="577"/>
      <w:bookmarkEnd w:id="578"/>
      <w:bookmarkEnd w:id="589"/>
      <w:bookmarkEnd w:id="590"/>
      <w:bookmarkEnd w:id="591"/>
      <w:bookmarkEnd w:id="592"/>
      <w:bookmarkEnd w:id="593"/>
    </w:p>
    <w:p w:rsidR="00407449" w:rsidRPr="004E6CFC" w:rsidRDefault="00407449" w:rsidP="00407449">
      <w:pPr>
        <w:rPr>
          <w:lang w:val="es-CO"/>
        </w:rPr>
      </w:pPr>
      <w:r w:rsidRPr="004E6CFC">
        <w:rPr>
          <w:lang w:val="es-CO"/>
        </w:rPr>
        <w:t>El usuario que lo requiera podrá solicitar al OR la realización de un contrato de calidad extra, mediante el cual las partes acordarán los valores máximos de duración y frecuencia de los eventos que el OR se comprometerá a brindarle en forma adicional a los mínimos garantizados establecidos por la regulación, la forma en que el usuario pagará por esta calidad adicional y las compensaciones que se generarán por el incumplimiento.</w:t>
      </w:r>
    </w:p>
    <w:p w:rsidR="00407449" w:rsidRPr="004E6CFC" w:rsidRDefault="00407449" w:rsidP="00407449">
      <w:r w:rsidRPr="004E6CFC">
        <w:t>La negociación de estos contratos considerará la posibilidad de realizar un acuerdo de mayor pago por el servicio de distribución a cambio de garantizar las mejores condiciones de continuidad acordadas.</w:t>
      </w:r>
    </w:p>
    <w:p w:rsidR="00407449" w:rsidRPr="004E6CFC" w:rsidRDefault="00407449" w:rsidP="00407449">
      <w:pPr>
        <w:rPr>
          <w:lang w:val="es-CO"/>
        </w:rPr>
      </w:pPr>
      <w:r w:rsidRPr="004E6CFC">
        <w:rPr>
          <w:lang w:val="es-CO"/>
        </w:rPr>
        <w:t xml:space="preserve">Los acuerdos objeto de estos contratos deben tener en cuenta que en todo caso el OR deberá cumplirle al usuario los estándares mínimos garantizados de que trata el </w:t>
      </w:r>
      <w:r w:rsidRPr="004E6CFC">
        <w:t xml:space="preserve">numeral </w:t>
      </w:r>
      <w:r>
        <w:fldChar w:fldCharType="begin" w:fldLock="1"/>
      </w:r>
      <w:r>
        <w:instrText xml:space="preserve"> REF _Ref476812416 \r \h </w:instrText>
      </w:r>
      <w:r>
        <w:fldChar w:fldCharType="separate"/>
      </w:r>
      <w:r>
        <w:t>5.2.4</w:t>
      </w:r>
      <w:r>
        <w:fldChar w:fldCharType="end"/>
      </w:r>
      <w:r w:rsidRPr="004E6CFC">
        <w:t xml:space="preserve"> </w:t>
      </w:r>
      <w:r w:rsidRPr="004E6CFC">
        <w:rPr>
          <w:lang w:val="es-CO"/>
        </w:rPr>
        <w:t>y las compensaciones que de estos se derivan, por lo que el acuerdo que se haga en el contrato de calidad extra será por la diferencia entre los niveles mínimos garantizados y los nuevos valores que se acuerden entre el OR y el usuario.</w:t>
      </w:r>
    </w:p>
    <w:p w:rsidR="00407449" w:rsidRPr="004E6CFC" w:rsidRDefault="00407449" w:rsidP="00407449">
      <w:r w:rsidRPr="004E6CFC">
        <w:lastRenderedPageBreak/>
        <w:t>Para el efecto, dentro un término máximo de seis meses, contados a partir de la entrada en vigencia de esta resolución, cada OR deberá adoptar un procedimiento para la solicitud y acuerdo final de este tipo de contratos, el cual deberá ser informado a cada uno de los clientes y publicados en su página de internet en forma visible y de fácil acceso para todos los usuarios. Máximo 15 días calendario después de realizada una solicitud por parte de un usuario, el OR deberá enviar copia de la misma a la CREG y a la SSPD a través de los medios y las condiciones que para el efecto definan estas entidades. El resultado final de las negociaciones debe ser también enviado a la CREG y a la SSPD, en las condiciones que para el efecto definan estas entidades.</w:t>
      </w:r>
    </w:p>
    <w:p w:rsidR="00407449" w:rsidRPr="004E6CFC" w:rsidRDefault="00407449" w:rsidP="00407449">
      <w:pPr>
        <w:pStyle w:val="Ttulo3"/>
      </w:pPr>
      <w:bookmarkStart w:id="594" w:name="_Ref405298629"/>
      <w:bookmarkStart w:id="595" w:name="_Toc408493184"/>
      <w:bookmarkStart w:id="596" w:name="_Toc411243829"/>
      <w:bookmarkStart w:id="597" w:name="_Toc440382545"/>
      <w:bookmarkStart w:id="598" w:name="_Toc445214109"/>
      <w:bookmarkStart w:id="599" w:name="_Toc466009880"/>
      <w:bookmarkStart w:id="600" w:name="_Toc505070100"/>
      <w:bookmarkStart w:id="601" w:name="_Toc505335956"/>
      <w:r w:rsidRPr="004E6CFC">
        <w:t>Requisitos del esquema de incentivos y compensaciones</w:t>
      </w:r>
      <w:bookmarkEnd w:id="594"/>
      <w:bookmarkEnd w:id="595"/>
      <w:bookmarkEnd w:id="596"/>
      <w:bookmarkEnd w:id="597"/>
      <w:bookmarkEnd w:id="598"/>
      <w:bookmarkEnd w:id="599"/>
      <w:bookmarkEnd w:id="600"/>
      <w:bookmarkEnd w:id="601"/>
    </w:p>
    <w:p w:rsidR="00407449" w:rsidRPr="004E6CFC" w:rsidRDefault="00407449" w:rsidP="00407449">
      <w:r w:rsidRPr="004E6CFC">
        <w:t>Los OR tienen la obligación de cumplir en forma permanente los requisitos que se indican a continuación:</w:t>
      </w:r>
    </w:p>
    <w:p w:rsidR="00407449" w:rsidRPr="004E6CFC" w:rsidRDefault="00407449" w:rsidP="009C086B">
      <w:pPr>
        <w:pStyle w:val="Prrafodelista"/>
        <w:numPr>
          <w:ilvl w:val="0"/>
          <w:numId w:val="23"/>
        </w:numPr>
      </w:pPr>
      <w:bookmarkStart w:id="602" w:name="_Ref405199276"/>
      <w:r w:rsidRPr="004E6CFC">
        <w:t xml:space="preserve">Vinculación de </w:t>
      </w:r>
      <w:r>
        <w:t xml:space="preserve">cada </w:t>
      </w:r>
      <w:r w:rsidRPr="004E6CFC">
        <w:t xml:space="preserve">usuario a la red de distribución, identificando </w:t>
      </w:r>
      <w:r>
        <w:t>los</w:t>
      </w:r>
      <w:r w:rsidRPr="004E6CFC">
        <w:t xml:space="preserve"> elemento</w:t>
      </w:r>
      <w:r>
        <w:t>s</w:t>
      </w:r>
      <w:r w:rsidRPr="004E6CFC">
        <w:t xml:space="preserve"> </w:t>
      </w:r>
      <w:r>
        <w:t>a través de los cuales se conecta al SDL</w:t>
      </w:r>
      <w:r w:rsidRPr="004E6CFC">
        <w:t>,</w:t>
      </w:r>
      <w:r>
        <w:t xml:space="preserve"> como son los </w:t>
      </w:r>
      <w:r w:rsidRPr="004E6CFC">
        <w:t>transformador</w:t>
      </w:r>
      <w:r>
        <w:t>es de nivel de tensión 1, 2 y 3</w:t>
      </w:r>
      <w:r w:rsidRPr="004E6CFC">
        <w:t xml:space="preserve"> </w:t>
      </w:r>
      <w:r>
        <w:t>y</w:t>
      </w:r>
      <w:r w:rsidRPr="004E6CFC">
        <w:t xml:space="preserve"> </w:t>
      </w:r>
      <w:r>
        <w:t>los</w:t>
      </w:r>
      <w:r w:rsidRPr="004E6CFC">
        <w:t xml:space="preserve"> circuito</w:t>
      </w:r>
      <w:r>
        <w:t>s</w:t>
      </w:r>
      <w:r w:rsidRPr="004E6CFC">
        <w:t xml:space="preserve"> de nivel de tensión </w:t>
      </w:r>
      <w:r>
        <w:t xml:space="preserve">1, </w:t>
      </w:r>
      <w:r w:rsidRPr="004E6CFC">
        <w:t xml:space="preserve">2 </w:t>
      </w:r>
      <w:r>
        <w:t>y</w:t>
      </w:r>
      <w:r w:rsidRPr="004E6CFC">
        <w:t xml:space="preserve"> 3. </w:t>
      </w:r>
      <w:r w:rsidRPr="004E6CFC">
        <w:rPr>
          <w:rFonts w:cs="Arial"/>
          <w:lang w:eastAsia="es-CO"/>
        </w:rPr>
        <w:t>El OR deberá contar con un procedimiento que garantice la actualización permanente de la información de georreferenciación de la red y de la vinculación de usuarios a</w:t>
      </w:r>
      <w:r w:rsidRPr="004E6CFC">
        <w:t xml:space="preserve"> la red de distribución</w:t>
      </w:r>
      <w:r w:rsidRPr="004E6CFC">
        <w:rPr>
          <w:rFonts w:cs="Arial"/>
          <w:lang w:eastAsia="es-CO"/>
        </w:rPr>
        <w:t>, que haga parte de su certificación de gestión de la calidad.</w:t>
      </w:r>
      <w:bookmarkEnd w:id="602"/>
      <w:r w:rsidRPr="004E6CFC">
        <w:rPr>
          <w:rFonts w:cs="Arial"/>
          <w:lang w:eastAsia="es-CO"/>
        </w:rPr>
        <w:t xml:space="preserve"> </w:t>
      </w:r>
    </w:p>
    <w:p w:rsidR="00407449" w:rsidRPr="004E6CFC" w:rsidRDefault="00407449" w:rsidP="009C086B">
      <w:pPr>
        <w:pStyle w:val="Prrafodelista"/>
        <w:numPr>
          <w:ilvl w:val="0"/>
          <w:numId w:val="23"/>
        </w:numPr>
      </w:pPr>
      <w:bookmarkStart w:id="603" w:name="_Ref405199323"/>
      <w:r w:rsidRPr="004E6CFC">
        <w:t>Certificación del sistema de medición y procedimientos de registro y reporte del OR, en el que se incluyen como mínimo las condiciones establecidas en esta resolución.</w:t>
      </w:r>
      <w:bookmarkEnd w:id="603"/>
    </w:p>
    <w:p w:rsidR="00407449" w:rsidRPr="004E6CFC" w:rsidRDefault="00407449" w:rsidP="009C086B">
      <w:pPr>
        <w:pStyle w:val="Prrafodelista"/>
        <w:numPr>
          <w:ilvl w:val="0"/>
          <w:numId w:val="23"/>
        </w:numPr>
      </w:pPr>
      <w:bookmarkStart w:id="604" w:name="_Ref405913495"/>
      <w:r w:rsidRPr="004E6CFC">
        <w:t>Sistema de gestión de la distribución, DMS.</w:t>
      </w:r>
      <w:bookmarkEnd w:id="604"/>
    </w:p>
    <w:p w:rsidR="00407449" w:rsidRPr="004E6CFC" w:rsidRDefault="00407449" w:rsidP="009C086B">
      <w:pPr>
        <w:pStyle w:val="Prrafodelista"/>
        <w:numPr>
          <w:ilvl w:val="0"/>
          <w:numId w:val="23"/>
        </w:numPr>
        <w:rPr>
          <w:rStyle w:val="apple-converted-space"/>
        </w:rPr>
      </w:pPr>
      <w:bookmarkStart w:id="605" w:name="_Ref405212766"/>
      <w:r w:rsidRPr="004E6CFC">
        <w:t>Telemedición y control automático en elementos de corte y maniobra instalados en todas las cabeceras de circuito.</w:t>
      </w:r>
      <w:bookmarkEnd w:id="605"/>
      <w:r w:rsidRPr="004E6CFC">
        <w:t xml:space="preserve">  </w:t>
      </w:r>
    </w:p>
    <w:p w:rsidR="00407449" w:rsidRPr="004E6CFC" w:rsidRDefault="00407449" w:rsidP="009C086B">
      <w:pPr>
        <w:pStyle w:val="Prrafodelista"/>
        <w:numPr>
          <w:ilvl w:val="0"/>
          <w:numId w:val="23"/>
        </w:numPr>
        <w:rPr>
          <w:shd w:val="clear" w:color="auto" w:fill="FFFFFF"/>
        </w:rPr>
      </w:pPr>
      <w:bookmarkStart w:id="606" w:name="_Ref476663916"/>
      <w:bookmarkStart w:id="607" w:name="_Ref405199290"/>
      <w:r w:rsidRPr="004E6CFC">
        <w:t xml:space="preserve">Contar con un segundo equipo instalado </w:t>
      </w:r>
      <w:r w:rsidRPr="004E6CFC">
        <w:rPr>
          <w:shd w:val="clear" w:color="auto" w:fill="FFFFFF"/>
        </w:rPr>
        <w:t>en</w:t>
      </w:r>
      <w:r w:rsidRPr="004E6CFC">
        <w:t xml:space="preserve"> </w:t>
      </w:r>
      <w:r w:rsidRPr="004E6CFC">
        <w:rPr>
          <w:shd w:val="clear" w:color="auto" w:fill="FFFFFF"/>
        </w:rPr>
        <w:t xml:space="preserve">por lo menos el 90% de los circuitos de los niveles de tensión 2 y 3 del OR, el cual por lo menos debe ser telemedido y detectar ausencia o presencia de tensión en el circuito. Este equipo es adicional al mencionado en el literal </w:t>
      </w:r>
      <w:r w:rsidRPr="004E6CFC">
        <w:rPr>
          <w:shd w:val="clear" w:color="auto" w:fill="FFFFFF"/>
        </w:rPr>
        <w:fldChar w:fldCharType="begin" w:fldLock="1"/>
      </w:r>
      <w:r w:rsidRPr="004E6CFC">
        <w:rPr>
          <w:shd w:val="clear" w:color="auto" w:fill="FFFFFF"/>
        </w:rPr>
        <w:instrText xml:space="preserve"> REF _Ref405212766 \r \h  \* MERGEFORMAT </w:instrText>
      </w:r>
      <w:r w:rsidRPr="004E6CFC">
        <w:rPr>
          <w:shd w:val="clear" w:color="auto" w:fill="FFFFFF"/>
        </w:rPr>
      </w:r>
      <w:r w:rsidRPr="004E6CFC">
        <w:rPr>
          <w:shd w:val="clear" w:color="auto" w:fill="FFFFFF"/>
        </w:rPr>
        <w:fldChar w:fldCharType="separate"/>
      </w:r>
      <w:r>
        <w:rPr>
          <w:shd w:val="clear" w:color="auto" w:fill="FFFFFF"/>
        </w:rPr>
        <w:t>d</w:t>
      </w:r>
      <w:r w:rsidRPr="004E6CFC">
        <w:rPr>
          <w:shd w:val="clear" w:color="auto" w:fill="FFFFFF"/>
        </w:rPr>
        <w:fldChar w:fldCharType="end"/>
      </w:r>
      <w:r w:rsidRPr="004E6CFC">
        <w:rPr>
          <w:shd w:val="clear" w:color="auto" w:fill="FFFFFF"/>
        </w:rPr>
        <w:t xml:space="preserve"> anterior</w:t>
      </w:r>
      <w:r w:rsidRPr="004E6CFC">
        <w:t>.</w:t>
      </w:r>
      <w:bookmarkEnd w:id="606"/>
      <w:r w:rsidRPr="004E6CFC">
        <w:t xml:space="preserve"> </w:t>
      </w:r>
    </w:p>
    <w:p w:rsidR="00407449" w:rsidRPr="004E6CFC" w:rsidRDefault="00407449" w:rsidP="009C086B">
      <w:pPr>
        <w:pStyle w:val="Prrafodelista"/>
        <w:numPr>
          <w:ilvl w:val="0"/>
          <w:numId w:val="23"/>
        </w:numPr>
        <w:rPr>
          <w:shd w:val="clear" w:color="auto" w:fill="FFFFFF"/>
        </w:rPr>
      </w:pPr>
      <w:bookmarkStart w:id="608" w:name="_Ref476664427"/>
      <w:r w:rsidRPr="004E6CFC">
        <w:rPr>
          <w:shd w:val="clear" w:color="auto" w:fill="FFFFFF"/>
        </w:rPr>
        <w:t xml:space="preserve">Contar con un tercer equipo de telemedición, que sea de corte y maniobra y telecontrolado y que sea adicional a los mencionados en los literales </w:t>
      </w:r>
      <w:r w:rsidRPr="004E6CFC">
        <w:rPr>
          <w:shd w:val="clear" w:color="auto" w:fill="FFFFFF"/>
        </w:rPr>
        <w:fldChar w:fldCharType="begin" w:fldLock="1"/>
      </w:r>
      <w:r w:rsidRPr="004E6CFC">
        <w:rPr>
          <w:shd w:val="clear" w:color="auto" w:fill="FFFFFF"/>
        </w:rPr>
        <w:instrText xml:space="preserve"> REF _Ref405212766 \r \h  \* MERGEFORMAT </w:instrText>
      </w:r>
      <w:r w:rsidRPr="004E6CFC">
        <w:rPr>
          <w:shd w:val="clear" w:color="auto" w:fill="FFFFFF"/>
        </w:rPr>
      </w:r>
      <w:r w:rsidRPr="004E6CFC">
        <w:rPr>
          <w:shd w:val="clear" w:color="auto" w:fill="FFFFFF"/>
        </w:rPr>
        <w:fldChar w:fldCharType="separate"/>
      </w:r>
      <w:r>
        <w:rPr>
          <w:shd w:val="clear" w:color="auto" w:fill="FFFFFF"/>
        </w:rPr>
        <w:t>d</w:t>
      </w:r>
      <w:r w:rsidRPr="004E6CFC">
        <w:rPr>
          <w:shd w:val="clear" w:color="auto" w:fill="FFFFFF"/>
        </w:rPr>
        <w:fldChar w:fldCharType="end"/>
      </w:r>
      <w:r w:rsidRPr="004E6CFC">
        <w:rPr>
          <w:shd w:val="clear" w:color="auto" w:fill="FFFFFF"/>
        </w:rPr>
        <w:t xml:space="preserve"> y </w:t>
      </w:r>
      <w:r w:rsidRPr="004E6CFC">
        <w:rPr>
          <w:shd w:val="clear" w:color="auto" w:fill="FFFFFF"/>
        </w:rPr>
        <w:fldChar w:fldCharType="begin" w:fldLock="1"/>
      </w:r>
      <w:r w:rsidRPr="004E6CFC">
        <w:rPr>
          <w:shd w:val="clear" w:color="auto" w:fill="FFFFFF"/>
        </w:rPr>
        <w:instrText xml:space="preserve"> REF _Ref476663916 \r \h  \* MERGEFORMAT </w:instrText>
      </w:r>
      <w:r w:rsidRPr="004E6CFC">
        <w:rPr>
          <w:shd w:val="clear" w:color="auto" w:fill="FFFFFF"/>
        </w:rPr>
      </w:r>
      <w:r w:rsidRPr="004E6CFC">
        <w:rPr>
          <w:shd w:val="clear" w:color="auto" w:fill="FFFFFF"/>
        </w:rPr>
        <w:fldChar w:fldCharType="separate"/>
      </w:r>
      <w:r>
        <w:rPr>
          <w:shd w:val="clear" w:color="auto" w:fill="FFFFFF"/>
        </w:rPr>
        <w:t>e</w:t>
      </w:r>
      <w:r w:rsidRPr="004E6CFC">
        <w:rPr>
          <w:shd w:val="clear" w:color="auto" w:fill="FFFFFF"/>
        </w:rPr>
        <w:fldChar w:fldCharType="end"/>
      </w:r>
      <w:r w:rsidRPr="004E6CFC">
        <w:rPr>
          <w:shd w:val="clear" w:color="auto" w:fill="FFFFFF"/>
        </w:rPr>
        <w:t>. Estos equipos deben estas instalados en por lo menos el 70% de los circuitos de los niveles de tensión 2 y 3. Los OR tendrán un plazo máximo de un año para el cumplimiento de este requisito, contado a partir de la entrada en vigencia de esta resolución.</w:t>
      </w:r>
      <w:bookmarkEnd w:id="607"/>
      <w:bookmarkEnd w:id="608"/>
    </w:p>
    <w:p w:rsidR="00407449" w:rsidRPr="004E6CFC" w:rsidRDefault="00407449" w:rsidP="00407449">
      <w:pPr>
        <w:rPr>
          <w:b/>
        </w:rPr>
      </w:pPr>
      <w:r w:rsidRPr="004E6CFC">
        <w:t xml:space="preserve">El OR deberá garantizar que en todo momento los requisitos </w:t>
      </w:r>
      <w:r w:rsidRPr="004E6CFC">
        <w:fldChar w:fldCharType="begin" w:fldLock="1"/>
      </w:r>
      <w:r w:rsidRPr="004E6CFC">
        <w:instrText xml:space="preserve"> REF _Ref405212766 \r \h  \* MERGEFORMAT </w:instrText>
      </w:r>
      <w:r w:rsidRPr="004E6CFC">
        <w:fldChar w:fldCharType="separate"/>
      </w:r>
      <w:r>
        <w:t>d</w:t>
      </w:r>
      <w:r w:rsidRPr="004E6CFC">
        <w:fldChar w:fldCharType="end"/>
      </w:r>
      <w:r w:rsidRPr="004E6CFC">
        <w:t xml:space="preserve">, </w:t>
      </w:r>
      <w:r w:rsidRPr="004E6CFC">
        <w:fldChar w:fldCharType="begin" w:fldLock="1"/>
      </w:r>
      <w:r w:rsidRPr="004E6CFC">
        <w:instrText xml:space="preserve"> REF _Ref476663916 \r \h  \* MERGEFORMAT </w:instrText>
      </w:r>
      <w:r w:rsidRPr="004E6CFC">
        <w:fldChar w:fldCharType="separate"/>
      </w:r>
      <w:r>
        <w:t>e</w:t>
      </w:r>
      <w:r w:rsidRPr="004E6CFC">
        <w:fldChar w:fldCharType="end"/>
      </w:r>
      <w:r w:rsidRPr="004E6CFC">
        <w:t xml:space="preserve"> y </w:t>
      </w:r>
      <w:r w:rsidRPr="004E6CFC">
        <w:fldChar w:fldCharType="begin" w:fldLock="1"/>
      </w:r>
      <w:r w:rsidRPr="004E6CFC">
        <w:instrText xml:space="preserve"> REF _Ref476664427 \r \h  \* MERGEFORMAT </w:instrText>
      </w:r>
      <w:r w:rsidRPr="004E6CFC">
        <w:fldChar w:fldCharType="separate"/>
      </w:r>
      <w:r>
        <w:t>f</w:t>
      </w:r>
      <w:r w:rsidRPr="004E6CFC">
        <w:fldChar w:fldCharType="end"/>
      </w:r>
      <w:r w:rsidRPr="004E6CFC">
        <w:t xml:space="preserve"> se mantengan operativos por lo menos en el 90% de los circuitos que deben contar con el equipo. </w:t>
      </w:r>
    </w:p>
    <w:p w:rsidR="00407449" w:rsidRPr="004E6CFC" w:rsidRDefault="00407449" w:rsidP="00407449">
      <w:r w:rsidRPr="004E6CFC">
        <w:t xml:space="preserve">La verificación de estos requisitos deberá ser contratada por el OR y realizada por firmas seleccionadas del listado definido por el CNO según lo establecido en la Resolución CREG 025 de 2013 o la que la modifique o sustituya. </w:t>
      </w:r>
    </w:p>
    <w:p w:rsidR="00407449" w:rsidRPr="004E6CFC" w:rsidRDefault="00407449" w:rsidP="00407449">
      <w:r w:rsidRPr="004E6CFC">
        <w:lastRenderedPageBreak/>
        <w:t>Como resultado de la verificación el OR deberá enviar dentro de los plazos y condiciones previstos en la mencionada resolución, copia a la CREG y a la SSPD del informe de la firma seleccionada en el que se certifique, en forma clara y sin ambigüedades, el cumplimiento de los mencionados requisitos. En el caso de las empresas que no entraron a aplicar el esquema de calidad definido en la Resolución CREG 097 de 2008, el primer informe de verificación debe ser enviado a la CREG y a la SSPD en un plazo máximo de seis meses contados a partir de la entrada en vigencia de la presente resolución y los informes posteriores deben ser enviados dentro de los plazos y condiciones previstos en la Resolución CREG 025 de 2013 o la que la modifique o sustituya.</w:t>
      </w:r>
    </w:p>
    <w:p w:rsidR="00407449" w:rsidRPr="004E6CFC" w:rsidRDefault="00407449" w:rsidP="00407449">
      <w:pPr>
        <w:pStyle w:val="Ttulo4"/>
        <w:ind w:left="864" w:hanging="864"/>
        <w:rPr>
          <w:shd w:val="clear" w:color="auto" w:fill="FFFFFF"/>
        </w:rPr>
      </w:pPr>
      <w:bookmarkStart w:id="609" w:name="_Ref445106432"/>
      <w:r w:rsidRPr="004E6CFC">
        <w:rPr>
          <w:shd w:val="clear" w:color="auto" w:fill="FFFFFF"/>
        </w:rPr>
        <w:t>Condiciones para el cumplimiento de requisitos</w:t>
      </w:r>
      <w:bookmarkEnd w:id="609"/>
    </w:p>
    <w:p w:rsidR="00407449" w:rsidRPr="004E6CFC" w:rsidRDefault="00407449" w:rsidP="00407449">
      <w:r w:rsidRPr="004E6CFC">
        <w:t xml:space="preserve">El cumplimiento de los anteriores requisitos estará sujeto a las siguientes condiciones de verificación y de aplicación del esquema de incentivos, sin perjuicio de las acciones que adelante la SSPD para los OR que han incumplido la aplicación del esquema de calidad establecido en la Resolución CREG 097 de 2008. </w:t>
      </w:r>
    </w:p>
    <w:p w:rsidR="00407449" w:rsidRPr="004E6CFC" w:rsidRDefault="00407449" w:rsidP="009C086B">
      <w:pPr>
        <w:pStyle w:val="Prrafodelista"/>
        <w:numPr>
          <w:ilvl w:val="0"/>
          <w:numId w:val="57"/>
        </w:numPr>
      </w:pPr>
      <w:r w:rsidRPr="004E6CFC">
        <w:t xml:space="preserve">Todos los OR tendrán un plazo máximo de 24 meses contados a partir de la entrada en vigencia de la Resolución que apruebe sus ingresos anuales para certificar por primera vez el cumplimiento del requisito establecido en el literal </w:t>
      </w:r>
      <w:r w:rsidRPr="004E6CFC">
        <w:fldChar w:fldCharType="begin" w:fldLock="1"/>
      </w:r>
      <w:r w:rsidRPr="004E6CFC">
        <w:instrText xml:space="preserve"> REF _Ref476664427 \r \h  \* MERGEFORMAT </w:instrText>
      </w:r>
      <w:r w:rsidRPr="004E6CFC">
        <w:fldChar w:fldCharType="separate"/>
      </w:r>
      <w:r>
        <w:t>f</w:t>
      </w:r>
      <w:r w:rsidRPr="004E6CFC">
        <w:fldChar w:fldCharType="end"/>
      </w:r>
      <w:r w:rsidRPr="004E6CFC">
        <w:t xml:space="preserve"> del numeral </w:t>
      </w:r>
      <w:r w:rsidRPr="004E6CFC">
        <w:fldChar w:fldCharType="begin" w:fldLock="1"/>
      </w:r>
      <w:r w:rsidRPr="004E6CFC">
        <w:instrText xml:space="preserve"> REF _Ref405298629 \r \h  \* MERGEFORMAT </w:instrText>
      </w:r>
      <w:r w:rsidRPr="004E6CFC">
        <w:fldChar w:fldCharType="separate"/>
      </w:r>
      <w:r>
        <w:t>5.2.10</w:t>
      </w:r>
      <w:r w:rsidRPr="004E6CFC">
        <w:fldChar w:fldCharType="end"/>
      </w:r>
      <w:r w:rsidRPr="004E6CFC">
        <w:t xml:space="preserve">.  En caso contrario,  a partir del mes 25 se les aplicará un incentivo negativo que se calculará de acuerdo con lo que se establece en el numeral </w:t>
      </w:r>
      <w:r w:rsidRPr="004E6CFC">
        <w:fldChar w:fldCharType="begin" w:fldLock="1"/>
      </w:r>
      <w:r w:rsidRPr="004E6CFC">
        <w:instrText xml:space="preserve"> REF _Ref460927688 \r \h  \* MERGEFORMAT </w:instrText>
      </w:r>
      <w:r w:rsidRPr="004E6CFC">
        <w:fldChar w:fldCharType="separate"/>
      </w:r>
      <w:r>
        <w:t>5.2.3.2</w:t>
      </w:r>
      <w:r w:rsidRPr="004E6CFC">
        <w:fldChar w:fldCharType="end"/>
      </w:r>
      <w:r w:rsidRPr="004E6CFC">
        <w:t xml:space="preserve">, utilizando los máximos valores posibles. Este incentivo negativo se mantendrá hasta el mes en el que el OR certifique el cumplimiento de los requisitos. A partir de la certificación recibirá el incentivo calculado de acuerdo con lo que se establece en el numeral </w:t>
      </w:r>
      <w:r w:rsidRPr="004E6CFC">
        <w:fldChar w:fldCharType="begin" w:fldLock="1"/>
      </w:r>
      <w:r w:rsidRPr="004E6CFC">
        <w:instrText xml:space="preserve"> REF _Ref460927688 \r \h  \* MERGEFORMAT </w:instrText>
      </w:r>
      <w:r w:rsidRPr="004E6CFC">
        <w:fldChar w:fldCharType="separate"/>
      </w:r>
      <w:r>
        <w:t>5.2.3.2</w:t>
      </w:r>
      <w:r w:rsidRPr="004E6CFC">
        <w:fldChar w:fldCharType="end"/>
      </w:r>
      <w:r w:rsidRPr="004E6CFC">
        <w:t>.</w:t>
      </w:r>
    </w:p>
    <w:p w:rsidR="00407449" w:rsidRPr="004E6CFC" w:rsidRDefault="00407449" w:rsidP="009C086B">
      <w:pPr>
        <w:pStyle w:val="Prrafodelista"/>
        <w:numPr>
          <w:ilvl w:val="0"/>
          <w:numId w:val="57"/>
        </w:numPr>
      </w:pPr>
      <w:r w:rsidRPr="004E6CFC">
        <w:t xml:space="preserve">Los OR que al primer mes del primer año completo de aplicación de su ingreso aprobado no tengan certificados los requisitos del esquema de calidad establecido en la Resolución CREG 097 de 2008, o no hayan certificado el cumplimiento de los requisitos establecidos en esta Resolución, exceptuando el requisito indicado en el literal a anterior, en forma inmediata estarán sujetos a la aplicación de un incentivo negativo que se calculará de acuerdo con lo que se establece en el numeral </w:t>
      </w:r>
      <w:r w:rsidRPr="004E6CFC">
        <w:fldChar w:fldCharType="begin" w:fldLock="1"/>
      </w:r>
      <w:r w:rsidRPr="004E6CFC">
        <w:instrText xml:space="preserve"> REF _Ref460927688 \r \h  \* MERGEFORMAT </w:instrText>
      </w:r>
      <w:r w:rsidRPr="004E6CFC">
        <w:fldChar w:fldCharType="separate"/>
      </w:r>
      <w:r>
        <w:t>5.2.3.2</w:t>
      </w:r>
      <w:r w:rsidRPr="004E6CFC">
        <w:fldChar w:fldCharType="end"/>
      </w:r>
      <w:r w:rsidRPr="004E6CFC">
        <w:t xml:space="preserve">, utilizando los máximos valores posibles. Este incentivo negativo se mantendrá hasta el mes en el que el OR certifique el cumplimiento de los requisitos. De todas formas, el plazo máximo para la certificación es de quince (15) días antes del inicio del segundo año. A partir de la certificación recibirá el incentivo calculado de acuerdo con lo que se establece en el numeral </w:t>
      </w:r>
      <w:r w:rsidRPr="004E6CFC">
        <w:fldChar w:fldCharType="begin" w:fldLock="1"/>
      </w:r>
      <w:r w:rsidRPr="004E6CFC">
        <w:instrText xml:space="preserve"> REF _Ref460927688 \r \h  \* MERGEFORMAT </w:instrText>
      </w:r>
      <w:r w:rsidRPr="004E6CFC">
        <w:fldChar w:fldCharType="separate"/>
      </w:r>
      <w:r>
        <w:t>5.2.3.2</w:t>
      </w:r>
      <w:r w:rsidRPr="004E6CFC">
        <w:fldChar w:fldCharType="end"/>
      </w:r>
      <w:r w:rsidRPr="004E6CFC">
        <w:t xml:space="preserve">. </w:t>
      </w:r>
    </w:p>
    <w:p w:rsidR="00407449" w:rsidRPr="004E6CFC" w:rsidRDefault="00407449" w:rsidP="00407449">
      <w:pPr>
        <w:pStyle w:val="Ttulo4"/>
        <w:ind w:left="864" w:hanging="864"/>
      </w:pPr>
      <w:r w:rsidRPr="004E6CFC">
        <w:t>Remuneración de inversiones para cumplimiento de requisitos</w:t>
      </w:r>
    </w:p>
    <w:p w:rsidR="00407449" w:rsidRPr="004E6CFC" w:rsidRDefault="00407449" w:rsidP="00407449">
      <w:r w:rsidRPr="004E6CFC">
        <w:rPr>
          <w:lang w:val="es-ES_tradnl"/>
        </w:rPr>
        <w:t>Todos los OR tendrán la obligación de incluir l</w:t>
      </w:r>
      <w:r w:rsidRPr="004E6CFC">
        <w:t xml:space="preserve">as inversiones necesarias para cumplir los requisitos del numeral </w:t>
      </w:r>
      <w:r w:rsidRPr="004E6CFC">
        <w:fldChar w:fldCharType="begin" w:fldLock="1"/>
      </w:r>
      <w:r w:rsidRPr="004E6CFC">
        <w:instrText xml:space="preserve"> REF _Ref405298629 \r \h  \* MERGEFORMAT </w:instrText>
      </w:r>
      <w:r w:rsidRPr="004E6CFC">
        <w:fldChar w:fldCharType="separate"/>
      </w:r>
      <w:r>
        <w:t>5.2.10</w:t>
      </w:r>
      <w:r w:rsidRPr="004E6CFC">
        <w:fldChar w:fldCharType="end"/>
      </w:r>
      <w:r w:rsidRPr="004E6CFC">
        <w:t xml:space="preserve">, con excepción del requisito establecido en el literal </w:t>
      </w:r>
      <w:r w:rsidRPr="004E6CFC">
        <w:fldChar w:fldCharType="begin" w:fldLock="1"/>
      </w:r>
      <w:r w:rsidRPr="004E6CFC">
        <w:instrText xml:space="preserve"> REF _Ref476664427 \r \h  \* MERGEFORMAT </w:instrText>
      </w:r>
      <w:r w:rsidRPr="004E6CFC">
        <w:fldChar w:fldCharType="separate"/>
      </w:r>
      <w:r>
        <w:t>f</w:t>
      </w:r>
      <w:r w:rsidRPr="004E6CFC">
        <w:fldChar w:fldCharType="end"/>
      </w:r>
      <w:r w:rsidRPr="004E6CFC">
        <w:t xml:space="preserve"> del mismo numeral, en: i) en los planes de inversión que para el primer año presente el OR según lo establecido en el literal </w:t>
      </w:r>
      <w:r w:rsidRPr="004E6CFC">
        <w:fldChar w:fldCharType="begin" w:fldLock="1"/>
      </w:r>
      <w:r w:rsidRPr="004E6CFC">
        <w:instrText xml:space="preserve"> REF _Ref461093293 \n \h  \* MERGEFORMAT </w:instrText>
      </w:r>
      <w:r w:rsidRPr="004E6CFC">
        <w:fldChar w:fldCharType="separate"/>
      </w:r>
      <w:r w:rsidRPr="00866EC2">
        <w:rPr>
          <w:bCs/>
        </w:rPr>
        <w:t>b</w:t>
      </w:r>
      <w:r w:rsidRPr="004E6CFC">
        <w:fldChar w:fldCharType="end"/>
      </w:r>
      <w:r w:rsidRPr="004E6CFC">
        <w:t xml:space="preserve"> del numeral </w:t>
      </w:r>
      <w:r w:rsidRPr="004E6CFC">
        <w:fldChar w:fldCharType="begin" w:fldLock="1"/>
      </w:r>
      <w:r w:rsidRPr="004E6CFC">
        <w:instrText xml:space="preserve"> REF _Ref404192237 \r \h  \* MERGEFORMAT </w:instrText>
      </w:r>
      <w:r w:rsidRPr="004E6CFC">
        <w:fldChar w:fldCharType="separate"/>
      </w:r>
      <w:r w:rsidRPr="00866EC2">
        <w:rPr>
          <w:bCs/>
        </w:rPr>
        <w:t>6.4</w:t>
      </w:r>
      <w:r w:rsidRPr="004E6CFC">
        <w:fldChar w:fldCharType="end"/>
      </w:r>
      <w:r w:rsidRPr="004E6CFC">
        <w:t xml:space="preserve"> o, ii) en caso de que el OR escoja la opción de presentar su plan de inversiones a partir del segundo año, el mínimo reconocimiento de inversiones que le aplicará la CREG para ese primer año.  </w:t>
      </w:r>
    </w:p>
    <w:p w:rsidR="00407449" w:rsidRPr="004E6CFC" w:rsidRDefault="00407449" w:rsidP="00407449">
      <w:r w:rsidRPr="004E6CFC">
        <w:lastRenderedPageBreak/>
        <w:t xml:space="preserve">Lo anterior, siempre y cuando los activos necesarios no se encuentren dentro del inventario de activos utilizado para la definición de la base regulatoria de activos del OR al inicio del periodo tarifario, según numeral </w:t>
      </w:r>
      <w:r w:rsidRPr="004E6CFC">
        <w:fldChar w:fldCharType="begin" w:fldLock="1"/>
      </w:r>
      <w:r w:rsidRPr="004E6CFC">
        <w:instrText xml:space="preserve"> REF _Ref408308421 \r \h  \* MERGEFORMAT </w:instrText>
      </w:r>
      <w:r w:rsidRPr="004E6CFC">
        <w:fldChar w:fldCharType="separate"/>
      </w:r>
      <w:r w:rsidRPr="00866EC2">
        <w:rPr>
          <w:bCs/>
        </w:rPr>
        <w:t>3.1.1.1</w:t>
      </w:r>
      <w:r w:rsidRPr="004E6CFC">
        <w:fldChar w:fldCharType="end"/>
      </w:r>
      <w:r w:rsidRPr="004E6CFC">
        <w:t>.</w:t>
      </w:r>
    </w:p>
    <w:p w:rsidR="00407449" w:rsidRPr="004E6CFC" w:rsidRDefault="00407449" w:rsidP="00407449">
      <w:pPr>
        <w:pStyle w:val="Ttulo3"/>
      </w:pPr>
      <w:bookmarkStart w:id="610" w:name="_Toc440382546"/>
      <w:bookmarkStart w:id="611" w:name="_Toc445214110"/>
      <w:bookmarkStart w:id="612" w:name="_Ref460927895"/>
      <w:bookmarkStart w:id="613" w:name="_Ref460927910"/>
      <w:bookmarkStart w:id="614" w:name="_Ref460927944"/>
      <w:bookmarkStart w:id="615" w:name="_Toc466009881"/>
      <w:bookmarkStart w:id="616" w:name="_Toc505070101"/>
      <w:bookmarkStart w:id="617" w:name="_Toc505335957"/>
      <w:r w:rsidRPr="004E6CFC">
        <w:t>Información básica para la aplicación del esquema de incentivos</w:t>
      </w:r>
      <w:bookmarkEnd w:id="579"/>
      <w:bookmarkEnd w:id="580"/>
      <w:bookmarkEnd w:id="610"/>
      <w:bookmarkEnd w:id="611"/>
      <w:bookmarkEnd w:id="612"/>
      <w:bookmarkEnd w:id="613"/>
      <w:bookmarkEnd w:id="614"/>
      <w:bookmarkEnd w:id="615"/>
      <w:r w:rsidRPr="004E6CFC">
        <w:t xml:space="preserve"> y compensaciones</w:t>
      </w:r>
      <w:bookmarkEnd w:id="616"/>
      <w:bookmarkEnd w:id="617"/>
    </w:p>
    <w:p w:rsidR="00407449" w:rsidRPr="004E6CFC" w:rsidRDefault="00407449" w:rsidP="00407449">
      <w:r w:rsidRPr="004E6CFC">
        <w:t xml:space="preserve">La información básica para la aplicación del esquema de incentivos y compensaciones debe ser medida, registrada y reportada de acuerdo con lo que se establece en este numeral. </w:t>
      </w:r>
    </w:p>
    <w:p w:rsidR="00407449" w:rsidRPr="004E6CFC" w:rsidRDefault="00407449" w:rsidP="00407449">
      <w:pPr>
        <w:pStyle w:val="Ttulo4"/>
        <w:ind w:left="864" w:hanging="864"/>
      </w:pPr>
      <w:bookmarkStart w:id="618" w:name="_Ref404151322"/>
      <w:bookmarkStart w:id="619" w:name="_Ref476662590"/>
      <w:r w:rsidRPr="004E6CFC">
        <w:t xml:space="preserve">Medición de </w:t>
      </w:r>
      <w:bookmarkEnd w:id="618"/>
      <w:r w:rsidRPr="004E6CFC">
        <w:t>los eventos</w:t>
      </w:r>
      <w:bookmarkEnd w:id="619"/>
    </w:p>
    <w:p w:rsidR="00407449" w:rsidRPr="004E6CFC" w:rsidRDefault="00407449" w:rsidP="00407449">
      <w:pPr>
        <w:rPr>
          <w:lang w:val="es-ES_tradnl"/>
        </w:rPr>
      </w:pPr>
      <w:r w:rsidRPr="004E6CFC">
        <w:rPr>
          <w:lang w:val="es-ES_tradnl"/>
        </w:rPr>
        <w:t xml:space="preserve">Los OR deben disponer de dos equipos de corte y maniobra en las redes de los niveles de tensión 2 y 3, que puedan ser medidos y controlados de manera remota. El primero de los equipos mencionados debe estar instalado en la cabecera de cada circuito mientras que el segundo debe estar instalado en el punto del circuito que el OR determine, dentro de los plazos que para tal fin se definen en el numeral </w:t>
      </w:r>
      <w:r w:rsidRPr="004E6CFC">
        <w:rPr>
          <w:lang w:val="es-ES_tradnl"/>
        </w:rPr>
        <w:fldChar w:fldCharType="begin" w:fldLock="1"/>
      </w:r>
      <w:r w:rsidRPr="004E6CFC">
        <w:rPr>
          <w:lang w:val="es-ES_tradnl"/>
        </w:rPr>
        <w:instrText xml:space="preserve"> REF _Ref405298629 \r \h  \* MERGEFORMAT </w:instrText>
      </w:r>
      <w:r w:rsidRPr="004E6CFC">
        <w:rPr>
          <w:lang w:val="es-ES_tradnl"/>
        </w:rPr>
      </w:r>
      <w:r w:rsidRPr="004E6CFC">
        <w:rPr>
          <w:lang w:val="es-ES_tradnl"/>
        </w:rPr>
        <w:fldChar w:fldCharType="separate"/>
      </w:r>
      <w:r>
        <w:rPr>
          <w:lang w:val="es-ES_tradnl"/>
        </w:rPr>
        <w:t>5.2.10</w:t>
      </w:r>
      <w:r w:rsidRPr="004E6CFC">
        <w:rPr>
          <w:lang w:val="es-ES_tradnl"/>
        </w:rPr>
        <w:fldChar w:fldCharType="end"/>
      </w:r>
      <w:r w:rsidRPr="004E6CFC">
        <w:rPr>
          <w:lang w:val="es-ES_tradnl"/>
        </w:rPr>
        <w:t>.</w:t>
      </w:r>
    </w:p>
    <w:p w:rsidR="00407449" w:rsidRPr="004E6CFC" w:rsidRDefault="00407449" w:rsidP="00407449">
      <w:pPr>
        <w:rPr>
          <w:lang w:val="es-ES_tradnl"/>
        </w:rPr>
      </w:pPr>
      <w:r w:rsidRPr="004E6CFC">
        <w:rPr>
          <w:lang w:val="es-ES_tradnl"/>
        </w:rPr>
        <w:t>Adicional a los dos equipos de corte y maniobra mencionados, los OR deberán tener instalado en cada circuito de su sistema otro elemento telemedido de detección de ausencia/presencia de tensión, que debe estar ubicado con base en los criterios de carga o longitud que el OR determine.</w:t>
      </w:r>
    </w:p>
    <w:p w:rsidR="00407449" w:rsidRPr="004E6CFC" w:rsidRDefault="00407449" w:rsidP="00407449">
      <w:pPr>
        <w:rPr>
          <w:lang w:val="es-ES_tradnl"/>
        </w:rPr>
      </w:pPr>
      <w:r w:rsidRPr="004E6CFC">
        <w:rPr>
          <w:lang w:val="es-ES_tradnl"/>
        </w:rPr>
        <w:t>Para los equipos instalados en la cabecera de los circuitos se deberá capturar y registrar tanto las medidas de corriente y tensión como los eventos de aperturas o cierres durante su operación con la respectiva estampa de tiempo en una resolución de un (1) milisegundo. En el caso de los equipos de corte y de detección de ausencia o presencia de tensión, instalados en puntos diferentes a la cabecera de los circuitos, como mínimo se deberá capturar y registrar los eventos de aperturas o cierres durante su operación con la respectiva estampa de tiempo en una resolución de un (1) milisegundo.</w:t>
      </w:r>
    </w:p>
    <w:p w:rsidR="00407449" w:rsidRPr="004E6CFC" w:rsidRDefault="00407449" w:rsidP="00407449">
      <w:pPr>
        <w:rPr>
          <w:rFonts w:cs="Arial"/>
          <w:lang w:val="es-CO" w:eastAsia="es-CO"/>
        </w:rPr>
      </w:pPr>
      <w:r w:rsidRPr="004E6CFC">
        <w:rPr>
          <w:lang w:val="es-ES_tradnl"/>
        </w:rPr>
        <w:t>El OR debe garantizar que los equipos se mantengan funcionado el 90% del tiempo y que las estampas de tiempo de los eventos estén sincronizadas con la hora oficial colombiana, a través de los protocolos utilizados para su supervisión</w:t>
      </w:r>
      <w:r w:rsidRPr="004E6CFC">
        <w:rPr>
          <w:rFonts w:cs="Arial"/>
          <w:lang w:val="es-CO" w:eastAsia="es-CO"/>
        </w:rPr>
        <w:t>.</w:t>
      </w:r>
    </w:p>
    <w:p w:rsidR="00407449" w:rsidRPr="004E6CFC" w:rsidRDefault="00407449" w:rsidP="00407449">
      <w:pPr>
        <w:pStyle w:val="Ttulo4"/>
        <w:ind w:left="864" w:hanging="864"/>
      </w:pPr>
      <w:bookmarkStart w:id="620" w:name="_Ref476132690"/>
      <w:r w:rsidRPr="004E6CFC">
        <w:t xml:space="preserve">Registro de la información de </w:t>
      </w:r>
      <w:bookmarkEnd w:id="620"/>
      <w:r w:rsidRPr="004E6CFC">
        <w:t>los eventos</w:t>
      </w:r>
    </w:p>
    <w:p w:rsidR="00407449" w:rsidRPr="004E6CFC" w:rsidRDefault="00407449" w:rsidP="00407449">
      <w:pPr>
        <w:rPr>
          <w:lang w:val="es-ES_tradnl"/>
        </w:rPr>
      </w:pPr>
      <w:r w:rsidRPr="004E6CFC">
        <w:rPr>
          <w:lang w:val="es-ES_tradnl"/>
        </w:rPr>
        <w:t xml:space="preserve">El sistema de gestión de la distribución, DMS, deberá contar con la capacidad de registro de los eventos sucedidos en las redes del OR; los cuales deberán estar almacenados en una sola base de datos, de tal forma que puedan ser utilizados para los procesos de consulta y reporte. El DMS deberá estar compuesto por un sistema SCADA, un sistema de información histórica, HIS; un sistema de información geográfico, GIS; un sistema de gestión de eventos, OMS; un sistema de información de usuarios, CIS; un sistema de información de cuadrillas, CMS y un </w:t>
      </w:r>
      <w:r w:rsidRPr="004E6CFC">
        <w:t>servicio de reporte de eventos vía telefónica, IVR</w:t>
      </w:r>
      <w:r w:rsidRPr="004E6CFC">
        <w:rPr>
          <w:lang w:val="es-ES_tradnl"/>
        </w:rPr>
        <w:t>. Todos estos sistemas deben contar con una plataforma integrada de operación con interfaces que les permitan comunicarse entre ellos.</w:t>
      </w:r>
    </w:p>
    <w:p w:rsidR="00407449" w:rsidRPr="004E6CFC" w:rsidRDefault="00407449" w:rsidP="00407449">
      <w:r w:rsidRPr="004E6CFC">
        <w:t xml:space="preserve">La información de eventos debe ser registrada en el OMS con base en la información capturada a través de los equipos de corte y maniobra mencionados en el numeral </w:t>
      </w:r>
      <w:r w:rsidRPr="004E6CFC">
        <w:fldChar w:fldCharType="begin" w:fldLock="1"/>
      </w:r>
      <w:r w:rsidRPr="004E6CFC">
        <w:instrText xml:space="preserve"> REF _Ref405298629 \r \h  \* MERGEFORMAT </w:instrText>
      </w:r>
      <w:r w:rsidRPr="004E6CFC">
        <w:fldChar w:fldCharType="separate"/>
      </w:r>
      <w:r>
        <w:t>5.2.10</w:t>
      </w:r>
      <w:r w:rsidRPr="004E6CFC">
        <w:fldChar w:fldCharType="end"/>
      </w:r>
      <w:r w:rsidRPr="004E6CFC">
        <w:t xml:space="preserve">. La información de eventos en circuitos que no sea </w:t>
      </w:r>
      <w:r w:rsidRPr="004E6CFC">
        <w:lastRenderedPageBreak/>
        <w:t xml:space="preserve">capturada través de estos equipos y la información de eventos en transformadores y </w:t>
      </w:r>
      <w:r>
        <w:t>circuitos</w:t>
      </w:r>
      <w:r w:rsidRPr="004E6CFC">
        <w:t xml:space="preserve"> de nivel de tensión 1 deberá ser registrada en el OMS con base en los reportes de eventos hechos por los usuarios a través de la interfaz con el IVR y por la</w:t>
      </w:r>
      <w:r>
        <w:t>s</w:t>
      </w:r>
      <w:r w:rsidRPr="004E6CFC">
        <w:t xml:space="preserve"> cuadrillas a través del CMS.</w:t>
      </w:r>
    </w:p>
    <w:p w:rsidR="00407449" w:rsidRPr="004E6CFC" w:rsidRDefault="00407449" w:rsidP="00407449">
      <w:r w:rsidRPr="004E6CFC">
        <w:t xml:space="preserve">A efectos de garantizar la confiabilidad </w:t>
      </w:r>
      <w:r>
        <w:t xml:space="preserve">y la calidad </w:t>
      </w:r>
      <w:r w:rsidRPr="004E6CFC">
        <w:t xml:space="preserve">de la medición y de la información resultante, el OR deberá obtener y mantener vigente una certificación de gestión de calidad de su proceso de distribución. </w:t>
      </w:r>
    </w:p>
    <w:p w:rsidR="00407449" w:rsidRPr="004E6CFC" w:rsidRDefault="00407449" w:rsidP="00407449">
      <w:r w:rsidRPr="004E6CFC">
        <w:t>El registro de los eventos debe responder a un procedimiento el cual garantice que, de manera veraz y verificable, el OR mantenga un seguimiento cronológico de tod</w:t>
      </w:r>
      <w:r>
        <w:t>o</w:t>
      </w:r>
      <w:r w:rsidRPr="004E6CFC">
        <w:t xml:space="preserve">s los eventos que suceden a nivel de circuito, transformador </w:t>
      </w:r>
      <w:r>
        <w:t xml:space="preserve">y red de nivel de tensión 1. Para este registro debe haberse </w:t>
      </w:r>
      <w:r w:rsidRPr="004E6CFC">
        <w:t xml:space="preserve">utilizado la información capturada por los elementos que miden los eventos, tales como equipos de corte y maniobra e indicadores de falla y los reportes hechos por los usuarios y las cuadrillas de mantenimiento.  </w:t>
      </w:r>
    </w:p>
    <w:p w:rsidR="00407449" w:rsidRPr="004E6CFC" w:rsidRDefault="00407449" w:rsidP="00407449">
      <w:r w:rsidRPr="004E6CFC">
        <w:t xml:space="preserve">Los procedimientos de registro deben ser diseñados por cada OR y ser parte del certificado de gestión de calidad mencionado. </w:t>
      </w:r>
    </w:p>
    <w:p w:rsidR="00407449" w:rsidRPr="004E6CFC" w:rsidRDefault="00407449" w:rsidP="00407449">
      <w:pPr>
        <w:rPr>
          <w:lang w:val="es-CO"/>
        </w:rPr>
      </w:pPr>
      <w:r w:rsidRPr="004E6CFC">
        <w:rPr>
          <w:lang w:val="es-CO"/>
        </w:rPr>
        <w:t>Toda la información registrada en el HIS de cada OR deberá mantenerse salvaguardada y estar disponible en línea para consulta por un término mínimo de cinco (5) años para efectos de vigilancia, control y regulación. Posteriormente a este período, la información deberá ser almacenada en un sistema de archivamiento externo de largo plazo.</w:t>
      </w:r>
    </w:p>
    <w:p w:rsidR="00407449" w:rsidRPr="004E6CFC" w:rsidRDefault="00407449" w:rsidP="00407449">
      <w:pPr>
        <w:rPr>
          <w:lang w:val="es-CO"/>
        </w:rPr>
      </w:pPr>
      <w:r w:rsidRPr="004E6CFC">
        <w:rPr>
          <w:lang w:val="es-CO"/>
        </w:rPr>
        <w:t>La información a registrar para cada evento será la siguiente:</w:t>
      </w:r>
    </w:p>
    <w:p w:rsidR="00407449" w:rsidRPr="004E6CFC" w:rsidRDefault="00407449" w:rsidP="009C086B">
      <w:pPr>
        <w:pStyle w:val="Prrafodelista"/>
        <w:numPr>
          <w:ilvl w:val="0"/>
          <w:numId w:val="49"/>
        </w:numPr>
      </w:pPr>
      <w:r w:rsidRPr="004E6CFC">
        <w:t>código de evento,</w:t>
      </w:r>
    </w:p>
    <w:p w:rsidR="00407449" w:rsidRPr="004E6CFC" w:rsidRDefault="00407449" w:rsidP="009C086B">
      <w:pPr>
        <w:pStyle w:val="Prrafodelista"/>
        <w:numPr>
          <w:ilvl w:val="0"/>
          <w:numId w:val="49"/>
        </w:numPr>
      </w:pPr>
      <w:r w:rsidRPr="004E6CFC">
        <w:t xml:space="preserve">estampa de tiempo </w:t>
      </w:r>
      <w:r>
        <w:t xml:space="preserve">de inicio y finalización del evento </w:t>
      </w:r>
      <w:r w:rsidRPr="004E6CFC">
        <w:t>en una resolución de un (1) milisegundo del evento,</w:t>
      </w:r>
    </w:p>
    <w:p w:rsidR="00407449" w:rsidRPr="004E6CFC" w:rsidRDefault="00407449" w:rsidP="009C086B">
      <w:pPr>
        <w:pStyle w:val="Prrafodelista"/>
        <w:numPr>
          <w:ilvl w:val="0"/>
          <w:numId w:val="49"/>
        </w:numPr>
      </w:pPr>
      <w:r w:rsidRPr="004E6CFC">
        <w:t>código de</w:t>
      </w:r>
      <w:r>
        <w:t xml:space="preserve"> elementos</w:t>
      </w:r>
      <w:r w:rsidRPr="004E6CFC">
        <w:t xml:space="preserve"> afectados</w:t>
      </w:r>
      <w:r>
        <w:t>, ya sea</w:t>
      </w:r>
      <w:r w:rsidRPr="004E6CFC">
        <w:t xml:space="preserve"> circuitos de niveles de tensión </w:t>
      </w:r>
      <w:r>
        <w:t xml:space="preserve">1, </w:t>
      </w:r>
      <w:r w:rsidRPr="004E6CFC">
        <w:t xml:space="preserve">2 </w:t>
      </w:r>
      <w:r>
        <w:t>o</w:t>
      </w:r>
      <w:r w:rsidRPr="004E6CFC">
        <w:t xml:space="preserve"> 3</w:t>
      </w:r>
      <w:r>
        <w:t xml:space="preserve"> o</w:t>
      </w:r>
      <w:r w:rsidRPr="004E6CFC">
        <w:t xml:space="preserve"> transformadores de niveles de tensión </w:t>
      </w:r>
      <w:r>
        <w:t xml:space="preserve">1, </w:t>
      </w:r>
      <w:r w:rsidRPr="004E6CFC">
        <w:t xml:space="preserve">2 </w:t>
      </w:r>
      <w:r>
        <w:t>o</w:t>
      </w:r>
      <w:r w:rsidRPr="004E6CFC">
        <w:t xml:space="preserve"> 3,</w:t>
      </w:r>
    </w:p>
    <w:p w:rsidR="00407449" w:rsidRPr="004E6CFC" w:rsidRDefault="00407449" w:rsidP="009C086B">
      <w:pPr>
        <w:pStyle w:val="Prrafodelista"/>
        <w:numPr>
          <w:ilvl w:val="0"/>
          <w:numId w:val="49"/>
        </w:numPr>
      </w:pPr>
      <w:bookmarkStart w:id="621" w:name="_Ref476125231"/>
      <w:r w:rsidRPr="004E6CFC">
        <w:t>causa del evento,</w:t>
      </w:r>
      <w:bookmarkEnd w:id="621"/>
    </w:p>
    <w:p w:rsidR="00407449" w:rsidRPr="004E6CFC" w:rsidRDefault="00407449" w:rsidP="009C086B">
      <w:pPr>
        <w:pStyle w:val="Prrafodelista"/>
        <w:numPr>
          <w:ilvl w:val="0"/>
          <w:numId w:val="49"/>
        </w:numPr>
      </w:pPr>
      <w:r w:rsidRPr="004E6CFC">
        <w:t>carga total interrumpida o energía no suministrada en kWh por cada evento, y,</w:t>
      </w:r>
    </w:p>
    <w:p w:rsidR="00407449" w:rsidRPr="004E6CFC" w:rsidRDefault="00407449" w:rsidP="009C086B">
      <w:pPr>
        <w:pStyle w:val="Prrafodelista"/>
        <w:numPr>
          <w:ilvl w:val="0"/>
          <w:numId w:val="49"/>
        </w:numPr>
      </w:pPr>
      <w:r w:rsidRPr="004E6CFC">
        <w:t>de existir, cantidad de energía declarada como disponible que no puedo ser entregada e identificación del generador afectado.</w:t>
      </w:r>
    </w:p>
    <w:p w:rsidR="00407449" w:rsidRPr="004E6CFC" w:rsidRDefault="00407449" w:rsidP="00407449">
      <w:r w:rsidRPr="004E6CFC">
        <w:t xml:space="preserve">La causa del evento mencionado en el literal </w:t>
      </w:r>
      <w:r w:rsidRPr="004E6CFC">
        <w:fldChar w:fldCharType="begin" w:fldLock="1"/>
      </w:r>
      <w:r w:rsidRPr="004E6CFC">
        <w:instrText xml:space="preserve"> REF _Ref476125231 \r \h  \* MERGEFORMAT </w:instrText>
      </w:r>
      <w:r w:rsidRPr="004E6CFC">
        <w:fldChar w:fldCharType="separate"/>
      </w:r>
      <w:r>
        <w:t>d</w:t>
      </w:r>
      <w:r w:rsidRPr="004E6CFC">
        <w:fldChar w:fldCharType="end"/>
      </w:r>
      <w:r w:rsidRPr="004E6CFC">
        <w:t xml:space="preserve"> debe ser seleccionada del listado de causas que para tal fin defina la CREG mediante circular. Para esto, el CNO deberá proponer a la CREG un listado en donde se identifiquen todas las posibles causas de eventos que pueden darse en los SDL y deberá asociar cada uno de ellos según la clasificación de eventos definida en el numeral </w:t>
      </w:r>
      <w:r w:rsidRPr="004E6CFC">
        <w:fldChar w:fldCharType="begin" w:fldLock="1"/>
      </w:r>
      <w:r w:rsidRPr="004E6CFC">
        <w:instrText xml:space="preserve"> REF _Ref403662475 \r \h  \* MERGEFORMAT </w:instrText>
      </w:r>
      <w:r w:rsidRPr="004E6CFC">
        <w:fldChar w:fldCharType="separate"/>
      </w:r>
      <w:r>
        <w:t>5.2.1</w:t>
      </w:r>
      <w:r w:rsidRPr="004E6CFC">
        <w:fldChar w:fldCharType="end"/>
      </w:r>
      <w:r w:rsidRPr="004E6CFC">
        <w:t xml:space="preserve"> y en caso de que ser excluible, deberá asociase a alguno de los eventos que se identifican en el numeral </w:t>
      </w:r>
      <w:r w:rsidRPr="004E6CFC">
        <w:fldChar w:fldCharType="begin" w:fldLock="1"/>
      </w:r>
      <w:r w:rsidRPr="004E6CFC">
        <w:instrText xml:space="preserve"> REF _Ref404852129 \r \h  \* MERGEFORMAT </w:instrText>
      </w:r>
      <w:r w:rsidRPr="004E6CFC">
        <w:fldChar w:fldCharType="separate"/>
      </w:r>
      <w:r>
        <w:t>5.2.2</w:t>
      </w:r>
      <w:r w:rsidRPr="004E6CFC">
        <w:fldChar w:fldCharType="end"/>
      </w:r>
      <w:r w:rsidRPr="004E6CFC">
        <w:t>. Este listado deberá publicarse para comentarios de todos los interesados y enviarse a la CREG en un plazo de tres (3) meses contados a partir de la entrada en vigencia de la presente resolución.</w:t>
      </w:r>
    </w:p>
    <w:p w:rsidR="00407449" w:rsidRPr="004E6CFC" w:rsidRDefault="00407449" w:rsidP="00407449">
      <w:pPr>
        <w:pStyle w:val="Ttulo4"/>
        <w:ind w:left="864" w:hanging="864"/>
      </w:pPr>
      <w:bookmarkStart w:id="622" w:name="_Ref404161161"/>
      <w:bookmarkStart w:id="623" w:name="_Ref474402692"/>
      <w:r w:rsidRPr="004E6CFC">
        <w:lastRenderedPageBreak/>
        <w:t>Reporte de la información de eventos</w:t>
      </w:r>
      <w:bookmarkEnd w:id="622"/>
      <w:bookmarkEnd w:id="623"/>
    </w:p>
    <w:p w:rsidR="00407449" w:rsidRDefault="00407449" w:rsidP="00407449">
      <w:r w:rsidRPr="004E6CFC">
        <w:t>Los</w:t>
      </w:r>
      <w:r>
        <w:t xml:space="preserve"> OR deben reportar al LAC los</w:t>
      </w:r>
      <w:r w:rsidRPr="004E6CFC">
        <w:t xml:space="preserve"> eventos sucedidos en las redes</w:t>
      </w:r>
      <w:r>
        <w:t xml:space="preserve"> y transformadores</w:t>
      </w:r>
      <w:r w:rsidRPr="004E6CFC">
        <w:t xml:space="preserve"> de los niveles de tensión 1, 2 y 3 y</w:t>
      </w:r>
      <w:r>
        <w:t>,</w:t>
      </w:r>
      <w:r w:rsidRPr="004E6CFC">
        <w:t xml:space="preserve"> con base en esta información</w:t>
      </w:r>
      <w:r>
        <w:t>,</w:t>
      </w:r>
      <w:r w:rsidRPr="004E6CFC">
        <w:t xml:space="preserve"> los OR deben calcular los </w:t>
      </w:r>
      <w:r>
        <w:t xml:space="preserve">diferentes </w:t>
      </w:r>
      <w:r w:rsidRPr="004E6CFC">
        <w:t xml:space="preserve">indicadores de calidad </w:t>
      </w:r>
      <w:r>
        <w:t>que se definen en esta resolución.</w:t>
      </w:r>
    </w:p>
    <w:p w:rsidR="00407449" w:rsidRPr="004E6CFC" w:rsidRDefault="00407449" w:rsidP="00407449">
      <w:r>
        <w:t xml:space="preserve">A continuación, se describe el procedimiento y los tipos de reporte de información de eventos que deben realizar los OR al LAC, así como el informe que debe realizar el LAC a partir de esta información. </w:t>
      </w:r>
    </w:p>
    <w:p w:rsidR="00407449" w:rsidRPr="004E6CFC" w:rsidRDefault="00407449" w:rsidP="00407449">
      <w:pPr>
        <w:pStyle w:val="Ttulo5"/>
        <w:ind w:left="1008" w:hanging="1008"/>
      </w:pPr>
      <w:r w:rsidRPr="004E6CFC">
        <w:t xml:space="preserve">Procedimiento de reporte al LAC. </w:t>
      </w:r>
    </w:p>
    <w:p w:rsidR="00407449" w:rsidRDefault="00407449" w:rsidP="00407449">
      <w:pPr>
        <w:pStyle w:val="Prrafodelista"/>
        <w:ind w:left="0"/>
      </w:pPr>
      <w:r w:rsidRPr="00C354C5">
        <w:t>A efectos de reportar al LAC la información de eventos, los OR deberán hacerlo a través de un servicio web automático definido por el LAC, en cumplimiento de los detalles técnicos establecidos por este</w:t>
      </w:r>
      <w:r>
        <w:t>.</w:t>
      </w:r>
    </w:p>
    <w:p w:rsidR="00407449" w:rsidRDefault="00407449" w:rsidP="00407449">
      <w:pPr>
        <w:pStyle w:val="Prrafodelista"/>
        <w:ind w:left="0"/>
      </w:pPr>
      <w:r w:rsidRPr="004E6CFC">
        <w:t>Es responsabilidad del LAC definir las características que deben cumplir los reportes y archivos del OR para garantizar la calidad y adecuada utilización de los reportes recibidos.</w:t>
      </w:r>
    </w:p>
    <w:p w:rsidR="00407449" w:rsidRDefault="00407449" w:rsidP="00407449">
      <w:pPr>
        <w:pStyle w:val="Prrafodelista"/>
        <w:ind w:left="0"/>
      </w:pPr>
      <w:r w:rsidRPr="00B85F2C">
        <w:t>El reporte debe realizarse de forma automática desde los DMS (Sistema de Gestión de la Distribución) aplicando las reglas establecidas en este capítulo.</w:t>
      </w:r>
    </w:p>
    <w:p w:rsidR="00407449" w:rsidRPr="00B85F2C" w:rsidRDefault="00407449" w:rsidP="00407449">
      <w:pPr>
        <w:pStyle w:val="Prrafodelista"/>
        <w:ind w:left="0"/>
      </w:pPr>
      <w:r w:rsidRPr="00B85F2C">
        <w:t xml:space="preserve">El LAC deberá publicar, dentro de los seis (6) meses siguientes a la entrada en vigencia de esta resolución, un plan de adecuaciones para la implementación del servicio web, las especificaciones técnicas y los formatos de reporte. </w:t>
      </w:r>
    </w:p>
    <w:p w:rsidR="00407449" w:rsidRDefault="00407449" w:rsidP="00407449">
      <w:pPr>
        <w:pStyle w:val="Prrafodelista"/>
        <w:ind w:left="0"/>
      </w:pPr>
      <w:r w:rsidRPr="00B85F2C">
        <w:t xml:space="preserve">Los </w:t>
      </w:r>
      <w:r>
        <w:t>OR</w:t>
      </w:r>
      <w:r w:rsidRPr="00B85F2C">
        <w:t xml:space="preserve"> y el LAC dispondrán de 18 meses contados a partir de la expedición de la presente resolución para la implementación y adecuación del servicio web. Mientras se realizan las implementaciones acá indicadas, los OR deberán continuar realizando el reporte de eventos, mediante el mecanismo que venga utilizando para tal propósito.</w:t>
      </w:r>
    </w:p>
    <w:p w:rsidR="00407449" w:rsidRDefault="00407449" w:rsidP="00407449">
      <w:pPr>
        <w:pStyle w:val="Prrafodelista"/>
        <w:ind w:left="0"/>
      </w:pPr>
      <w:r>
        <w:t xml:space="preserve">En caso de que la SSPD o la CREG así lo requiera, el sistema dispuesto por el LAC deberá estar en capacidad de reportar información sobre los eventos en particular de un OR antes del plazo definido del reporte diario de información. A través de este requerimiento se podrá solicitar información inclusive del mismo día de operación. </w:t>
      </w:r>
    </w:p>
    <w:p w:rsidR="00407449" w:rsidRDefault="00407449" w:rsidP="00407449">
      <w:pPr>
        <w:pStyle w:val="Prrafodelista"/>
        <w:ind w:left="0"/>
      </w:pPr>
      <w:r>
        <w:t xml:space="preserve">Los eventos de alto impacto, definidos en el artículo </w:t>
      </w:r>
      <w:r>
        <w:fldChar w:fldCharType="begin" w:fldLock="1"/>
      </w:r>
      <w:r>
        <w:instrText xml:space="preserve"> REF _Ref445135063 \r \h\t </w:instrText>
      </w:r>
      <w:r>
        <w:fldChar w:fldCharType="separate"/>
      </w:r>
      <w:r>
        <w:t>3</w:t>
      </w:r>
      <w:r>
        <w:fldChar w:fldCharType="end"/>
      </w:r>
      <w:r>
        <w:t>, deberán ser reportados por los OR a la SSPD de manera inmediata a través del sistema dispuesto por el LAC.</w:t>
      </w:r>
    </w:p>
    <w:p w:rsidR="00407449" w:rsidRPr="00D94BA3" w:rsidRDefault="00407449" w:rsidP="00407449">
      <w:pPr>
        <w:pStyle w:val="Prrafodelista"/>
        <w:ind w:left="0"/>
      </w:pPr>
      <w:r w:rsidRPr="00D94BA3">
        <w:t xml:space="preserve">Mientras el sistema dispuesto por el LAC no se encuentre activo, los eventos de alto impacto deberán ser reportados por los OR a la SSPD de manera inmediata a través de cualquier medio idóneo. </w:t>
      </w:r>
    </w:p>
    <w:p w:rsidR="00407449" w:rsidRDefault="00407449" w:rsidP="00407449">
      <w:pPr>
        <w:pStyle w:val="Prrafodelista"/>
        <w:ind w:left="0"/>
      </w:pPr>
      <w:r>
        <w:t>Los requerimientos que se realicen a través del sistema dispuesto por el LAC se harán acorde con la estructura que previamente definan la SSPD, la CREG y el LAC, estructura que será dada a conocer por el LAC a los OR.</w:t>
      </w:r>
    </w:p>
    <w:p w:rsidR="00407449" w:rsidRPr="004E6CFC" w:rsidRDefault="00407449" w:rsidP="00407449">
      <w:pPr>
        <w:pStyle w:val="Ttulo5"/>
        <w:ind w:left="1008" w:hanging="1008"/>
      </w:pPr>
      <w:bookmarkStart w:id="624" w:name="_Ref405914767"/>
      <w:r w:rsidRPr="004E6CFC">
        <w:lastRenderedPageBreak/>
        <w:t>Reporte diario de eventos al LAC.</w:t>
      </w:r>
      <w:bookmarkEnd w:id="624"/>
      <w:r w:rsidRPr="004E6CFC">
        <w:t xml:space="preserve"> </w:t>
      </w:r>
    </w:p>
    <w:p w:rsidR="00407449" w:rsidRPr="004E6CFC" w:rsidRDefault="00407449" w:rsidP="00407449">
      <w:pPr>
        <w:pStyle w:val="Prrafodelista"/>
        <w:ind w:left="0"/>
      </w:pPr>
      <w:r w:rsidRPr="004E6CFC">
        <w:t xml:space="preserve">El OR debe reportar cada uno de los eventos sucedidos en su red durante las 24 horas del día de la operación. Esta información debe ser reportada al LAC en un plazo máximo de 36 horas contadas a partir de la finalización de cada día. </w:t>
      </w:r>
    </w:p>
    <w:p w:rsidR="00407449" w:rsidRPr="004E6CFC" w:rsidRDefault="00407449" w:rsidP="00407449">
      <w:pPr>
        <w:pStyle w:val="Prrafodelista"/>
        <w:ind w:left="0"/>
      </w:pPr>
      <w:r w:rsidRPr="004E6CFC">
        <w:t xml:space="preserve">Con el fin de evitar posibles congestiones en los canales de comunicación y para garantizar la oportunidad de los reportes diarios, el LAC debe definir una hora de reporte a cada OR, entre las 9:00 horas y las 12:00 horas del día siguiente a la operación, la cual </w:t>
      </w:r>
      <w:r>
        <w:t>podrá</w:t>
      </w:r>
      <w:r w:rsidRPr="004E6CFC">
        <w:t xml:space="preserve"> rotarse mensualmente entre todos los OR a fin de procurar la posibilidad de reporte en los diferentes horarios posibles.</w:t>
      </w:r>
    </w:p>
    <w:p w:rsidR="00407449" w:rsidRPr="004E6CFC" w:rsidRDefault="00407449" w:rsidP="00407449">
      <w:pPr>
        <w:pStyle w:val="Prrafodelista"/>
        <w:ind w:left="0"/>
      </w:pPr>
      <w:r w:rsidRPr="004E6CFC">
        <w:t>Dentro del rango horario establecido por el LAC al OR, este último debe reportar diariamente cada una de los eventos sucedidos en su red durante las 24 horas del día de la operación, informando para cada uno de ellos:</w:t>
      </w:r>
    </w:p>
    <w:p w:rsidR="00407449" w:rsidRPr="004E6CFC" w:rsidRDefault="00407449" w:rsidP="009C086B">
      <w:pPr>
        <w:pStyle w:val="Prrafodelista"/>
        <w:numPr>
          <w:ilvl w:val="0"/>
          <w:numId w:val="48"/>
        </w:numPr>
      </w:pPr>
      <w:r w:rsidRPr="004E6CFC">
        <w:t>código de evento,</w:t>
      </w:r>
    </w:p>
    <w:p w:rsidR="00407449" w:rsidRPr="004E6CFC" w:rsidRDefault="00407449" w:rsidP="009C086B">
      <w:pPr>
        <w:pStyle w:val="Prrafodelista"/>
        <w:numPr>
          <w:ilvl w:val="0"/>
          <w:numId w:val="48"/>
        </w:numPr>
      </w:pPr>
      <w:r w:rsidRPr="004E6CFC">
        <w:t>fecha (dd/mm/aaaa)</w:t>
      </w:r>
    </w:p>
    <w:p w:rsidR="00407449" w:rsidRPr="004E6CFC" w:rsidRDefault="00407449" w:rsidP="009C086B">
      <w:pPr>
        <w:pStyle w:val="Prrafodelista"/>
        <w:numPr>
          <w:ilvl w:val="0"/>
          <w:numId w:val="48"/>
        </w:numPr>
      </w:pPr>
      <w:r w:rsidRPr="004E6CFC">
        <w:t>hora inicial (hh:mm:ss),</w:t>
      </w:r>
    </w:p>
    <w:p w:rsidR="00407449" w:rsidRPr="004E6CFC" w:rsidRDefault="00407449" w:rsidP="009C086B">
      <w:pPr>
        <w:pStyle w:val="Prrafodelista"/>
        <w:numPr>
          <w:ilvl w:val="0"/>
          <w:numId w:val="48"/>
        </w:numPr>
      </w:pPr>
      <w:r w:rsidRPr="004E6CFC">
        <w:t>hora final (hh:mm:ss),</w:t>
      </w:r>
    </w:p>
    <w:p w:rsidR="00407449" w:rsidRPr="004E6CFC" w:rsidRDefault="00407449" w:rsidP="009C086B">
      <w:pPr>
        <w:pStyle w:val="Prrafodelista"/>
        <w:numPr>
          <w:ilvl w:val="0"/>
          <w:numId w:val="48"/>
        </w:numPr>
      </w:pPr>
      <w:r w:rsidRPr="004E6CFC">
        <w:t>código del elemento afectado (transformador de nivel</w:t>
      </w:r>
      <w:r>
        <w:t xml:space="preserve"> de tensión</w:t>
      </w:r>
      <w:r w:rsidRPr="004E6CFC">
        <w:t xml:space="preserve"> 1, 2 o 3, o circuito de nivel de tensión </w:t>
      </w:r>
      <w:r>
        <w:t xml:space="preserve">1, </w:t>
      </w:r>
      <w:r w:rsidRPr="004E6CFC">
        <w:t>2 o 3),</w:t>
      </w:r>
    </w:p>
    <w:p w:rsidR="00407449" w:rsidRDefault="00407449" w:rsidP="009C086B">
      <w:pPr>
        <w:pStyle w:val="Prrafodelista"/>
        <w:numPr>
          <w:ilvl w:val="0"/>
          <w:numId w:val="48"/>
        </w:numPr>
      </w:pPr>
      <w:r w:rsidRPr="004E6CFC">
        <w:t xml:space="preserve">causa asimilada a alguna de las identificadas en el listado de causas publicado en la circular de la CREG, de que trata el numeral </w:t>
      </w:r>
      <w:r w:rsidRPr="004E6CFC">
        <w:fldChar w:fldCharType="begin" w:fldLock="1"/>
      </w:r>
      <w:r w:rsidRPr="004E6CFC">
        <w:instrText xml:space="preserve"> REF _Ref476132690 \r \h  \* MERGEFORMAT </w:instrText>
      </w:r>
      <w:r w:rsidRPr="004E6CFC">
        <w:fldChar w:fldCharType="separate"/>
      </w:r>
      <w:r>
        <w:t>5.2.11.2</w:t>
      </w:r>
      <w:r w:rsidRPr="004E6CFC">
        <w:fldChar w:fldCharType="end"/>
      </w:r>
      <w:r w:rsidRPr="004E6CFC">
        <w:t>,</w:t>
      </w:r>
    </w:p>
    <w:p w:rsidR="00407449" w:rsidRPr="000073B0" w:rsidRDefault="00407449" w:rsidP="009C086B">
      <w:pPr>
        <w:pStyle w:val="Prrafodelista"/>
        <w:numPr>
          <w:ilvl w:val="0"/>
          <w:numId w:val="48"/>
        </w:numPr>
      </w:pPr>
      <w:r w:rsidRPr="000073B0">
        <w:t xml:space="preserve">En caso </w:t>
      </w:r>
      <w:r>
        <w:t xml:space="preserve">de </w:t>
      </w:r>
      <w:r w:rsidRPr="000073B0">
        <w:t>que el evento haya finalizado</w:t>
      </w:r>
      <w:r>
        <w:t>,</w:t>
      </w:r>
      <w:r w:rsidRPr="000073B0">
        <w:t xml:space="preserve"> se debe indicar con la letra N</w:t>
      </w:r>
      <w:r>
        <w:t xml:space="preserve"> que el evento no continú</w:t>
      </w:r>
      <w:r w:rsidRPr="000073B0">
        <w:t xml:space="preserve">a. En caso que el evento no haya finalizado, se debe identificar con la letra S, que el evento continúa. </w:t>
      </w:r>
    </w:p>
    <w:p w:rsidR="00407449" w:rsidRPr="000073B0" w:rsidRDefault="00407449" w:rsidP="009C086B">
      <w:pPr>
        <w:pStyle w:val="Prrafodelista"/>
        <w:numPr>
          <w:ilvl w:val="0"/>
          <w:numId w:val="48"/>
        </w:numPr>
      </w:pPr>
      <w:r w:rsidRPr="000073B0">
        <w:t>Para la aplicación del numeral</w:t>
      </w:r>
      <w:r>
        <w:t xml:space="preserve"> </w:t>
      </w:r>
      <w:r>
        <w:fldChar w:fldCharType="begin" w:fldLock="1"/>
      </w:r>
      <w:r>
        <w:instrText xml:space="preserve"> REF _Ref504745756 \r \h </w:instrText>
      </w:r>
      <w:r>
        <w:fldChar w:fldCharType="separate"/>
      </w:r>
      <w:r>
        <w:t>5.2.14</w:t>
      </w:r>
      <w:r>
        <w:fldChar w:fldCharType="end"/>
      </w:r>
      <w:r w:rsidRPr="000073B0">
        <w:t>, se debe indicar si el evento debe excluirse del cálculo de indicadores, dado que la red estaba en una ZNI.</w:t>
      </w:r>
    </w:p>
    <w:p w:rsidR="00407449" w:rsidRPr="000073B0" w:rsidRDefault="00407449" w:rsidP="009C086B">
      <w:pPr>
        <w:pStyle w:val="Prrafodelista"/>
        <w:numPr>
          <w:ilvl w:val="0"/>
          <w:numId w:val="48"/>
        </w:numPr>
      </w:pPr>
      <w:r w:rsidRPr="000073B0">
        <w:t xml:space="preserve">Para la aplicación del numeral </w:t>
      </w:r>
      <w:r>
        <w:fldChar w:fldCharType="begin" w:fldLock="1"/>
      </w:r>
      <w:r>
        <w:instrText xml:space="preserve"> REF _Ref504745846 \r \h </w:instrText>
      </w:r>
      <w:r>
        <w:fldChar w:fldCharType="separate"/>
      </w:r>
      <w:r>
        <w:t>5.2.8</w:t>
      </w:r>
      <w:r>
        <w:fldChar w:fldCharType="end"/>
      </w:r>
      <w:r>
        <w:t xml:space="preserve"> </w:t>
      </w:r>
      <w:r w:rsidRPr="000073B0">
        <w:t>el OR debe informar si el evento afectó una conexión de generación</w:t>
      </w:r>
      <w:r>
        <w:t>.</w:t>
      </w:r>
    </w:p>
    <w:p w:rsidR="00407449" w:rsidRPr="004E6CFC" w:rsidRDefault="00407449" w:rsidP="00407449">
      <w:r w:rsidRPr="004E6CFC">
        <w:t>Este reporte debe realizarse en los formatos y condiciones que definidos por el LAC para tal fin.</w:t>
      </w:r>
    </w:p>
    <w:p w:rsidR="00407449" w:rsidRPr="004E6CFC" w:rsidRDefault="00407449" w:rsidP="00407449">
      <w:pPr>
        <w:pStyle w:val="Prrafodelista"/>
        <w:ind w:left="0"/>
      </w:pPr>
      <w:r>
        <w:t>Los</w:t>
      </w:r>
      <w:r w:rsidRPr="004E6CFC">
        <w:t xml:space="preserve"> transformadores o circuitos no afectados por algún evento, deben reportarse identificando que no se presentaron incidencias en estos elementos. </w:t>
      </w:r>
    </w:p>
    <w:p w:rsidR="00407449" w:rsidRPr="004E6CFC" w:rsidRDefault="00407449" w:rsidP="00407449">
      <w:pPr>
        <w:pStyle w:val="Prrafodelista"/>
        <w:ind w:left="0"/>
      </w:pPr>
      <w:r w:rsidRPr="004E6CFC">
        <w:t>E</w:t>
      </w:r>
      <w:r>
        <w:t>l</w:t>
      </w:r>
      <w:r w:rsidRPr="004E6CFC">
        <w:t xml:space="preserve"> reporte debe ser conservado por el LAC por un periodo mínimo de </w:t>
      </w:r>
      <w:r>
        <w:t>cinco</w:t>
      </w:r>
      <w:r w:rsidRPr="004E6CFC">
        <w:t xml:space="preserve"> (</w:t>
      </w:r>
      <w:r>
        <w:t>5</w:t>
      </w:r>
      <w:r w:rsidRPr="004E6CFC">
        <w:t>) años, para someterlo a verificación de la información o para revisión y consulta de la SSPD, si esta así lo requiere. Posterior a este período, la información debe ser almacenada en un sistema de archivamiento externo de largo plazo.</w:t>
      </w:r>
    </w:p>
    <w:p w:rsidR="00407449" w:rsidRDefault="00407449" w:rsidP="00407449">
      <w:pPr>
        <w:pStyle w:val="Prrafodelista"/>
        <w:ind w:left="0"/>
      </w:pPr>
      <w:r w:rsidRPr="004E6CFC">
        <w:t>E</w:t>
      </w:r>
      <w:r>
        <w:t>l</w:t>
      </w:r>
      <w:r w:rsidRPr="004E6CFC">
        <w:t xml:space="preserve"> OR</w:t>
      </w:r>
      <w:r>
        <w:t xml:space="preserve"> debe</w:t>
      </w:r>
      <w:r w:rsidRPr="004E6CFC">
        <w:t xml:space="preserve"> utilizar para todos sus reportes el mismo código de elemento asignado para la vinculación reportada al SUI. </w:t>
      </w:r>
    </w:p>
    <w:p w:rsidR="00407449" w:rsidRPr="004E6CFC" w:rsidRDefault="00407449" w:rsidP="00407449">
      <w:pPr>
        <w:pStyle w:val="Ttulo5"/>
        <w:ind w:left="1008" w:hanging="1008"/>
      </w:pPr>
      <w:bookmarkStart w:id="625" w:name="_Ref504746383"/>
      <w:r>
        <w:lastRenderedPageBreak/>
        <w:t>Ajuste al r</w:t>
      </w:r>
      <w:r w:rsidRPr="004E6CFC">
        <w:t xml:space="preserve">eporte </w:t>
      </w:r>
      <w:r>
        <w:t>de eventos ante el</w:t>
      </w:r>
      <w:r w:rsidRPr="004E6CFC">
        <w:t xml:space="preserve"> LAC.</w:t>
      </w:r>
      <w:bookmarkEnd w:id="625"/>
      <w:r w:rsidRPr="004E6CFC">
        <w:t xml:space="preserve"> </w:t>
      </w:r>
    </w:p>
    <w:p w:rsidR="00407449" w:rsidRPr="002A7160" w:rsidRDefault="00407449" w:rsidP="00407449">
      <w:pPr>
        <w:rPr>
          <w:lang w:val="es-ES_tradnl"/>
        </w:rPr>
      </w:pPr>
      <w:r w:rsidRPr="002A7160">
        <w:rPr>
          <w:lang w:val="es-ES_tradnl"/>
        </w:rPr>
        <w:t xml:space="preserve">El OR podrá realizar modificar o eliminar eventos realizados en los reportes diarios cuando hayan existido errores. Para esto, dentro de los dos días hábiles siguientes a la finalización de cada mes el OR debe entregar al LAC, en los medios que este disponga, la constancia de radicación a la SSPD del informe de justificación de la modificación o eliminación de eventos el cual debe detallar, sustentar y probar las causas que generan la modificación o la eliminación de dicho evento. </w:t>
      </w:r>
    </w:p>
    <w:p w:rsidR="00407449" w:rsidRPr="002A7160" w:rsidRDefault="00407449" w:rsidP="00407449">
      <w:pPr>
        <w:rPr>
          <w:lang w:val="es-ES_tradnl"/>
        </w:rPr>
      </w:pPr>
      <w:r w:rsidRPr="002A7160">
        <w:rPr>
          <w:lang w:val="es-ES_tradnl"/>
        </w:rPr>
        <w:t>El LAC no podrá permitir la modificación ni la eliminación de los eventos que el OR no haya incluido dentro del informe de justificación entregado a la SSPD.</w:t>
      </w:r>
    </w:p>
    <w:p w:rsidR="00407449" w:rsidRDefault="00407449" w:rsidP="00407449">
      <w:pPr>
        <w:pStyle w:val="Prrafodelista"/>
        <w:ind w:left="0"/>
      </w:pPr>
      <w:r>
        <w:t>El OR únicamente podrá ajustar sus cálculos de los indicadores de calidad media e individual, cuando haya cumplido con su obligación de radicar ante la SSPD el informe de justificación y cuando haya ajustado su reporte ante el LAC.</w:t>
      </w:r>
    </w:p>
    <w:p w:rsidR="00407449" w:rsidRDefault="00407449" w:rsidP="00407449">
      <w:pPr>
        <w:pStyle w:val="Ttulo5"/>
        <w:ind w:left="1008" w:hanging="1008"/>
      </w:pPr>
      <w:bookmarkStart w:id="626" w:name="_Ref504746344"/>
      <w:r>
        <w:t>Informe de j</w:t>
      </w:r>
      <w:r w:rsidRPr="000073B0">
        <w:t xml:space="preserve">ustificación de </w:t>
      </w:r>
      <w:r>
        <w:t>ajustes a</w:t>
      </w:r>
      <w:r w:rsidRPr="000073B0">
        <w:t xml:space="preserve"> eventos</w:t>
      </w:r>
      <w:bookmarkEnd w:id="626"/>
    </w:p>
    <w:p w:rsidR="00407449" w:rsidRPr="00752571" w:rsidRDefault="00407449" w:rsidP="00407449">
      <w:pPr>
        <w:rPr>
          <w:lang w:val="es-ES_tradnl"/>
        </w:rPr>
      </w:pPr>
      <w:r w:rsidRPr="00752571">
        <w:rPr>
          <w:lang w:val="es-ES_tradnl"/>
        </w:rPr>
        <w:t>Previo a la modificación o eliminación de eventos a las que s</w:t>
      </w:r>
      <w:r>
        <w:rPr>
          <w:lang w:val="es-ES_tradnl"/>
        </w:rPr>
        <w:t xml:space="preserve">e refiere el numeral </w:t>
      </w:r>
      <w:r>
        <w:rPr>
          <w:lang w:val="es-ES_tradnl"/>
        </w:rPr>
        <w:fldChar w:fldCharType="begin" w:fldLock="1"/>
      </w:r>
      <w:r>
        <w:rPr>
          <w:lang w:val="es-ES_tradnl"/>
        </w:rPr>
        <w:instrText xml:space="preserve"> REF _Ref504746383 \r \h </w:instrText>
      </w:r>
      <w:r>
        <w:rPr>
          <w:lang w:val="es-ES_tradnl"/>
        </w:rPr>
      </w:r>
      <w:r>
        <w:rPr>
          <w:lang w:val="es-ES_tradnl"/>
        </w:rPr>
        <w:fldChar w:fldCharType="separate"/>
      </w:r>
      <w:r>
        <w:rPr>
          <w:lang w:val="es-ES_tradnl"/>
        </w:rPr>
        <w:t>5.2.11.3.3</w:t>
      </w:r>
      <w:r>
        <w:rPr>
          <w:lang w:val="es-ES_tradnl"/>
        </w:rPr>
        <w:fldChar w:fldCharType="end"/>
      </w:r>
      <w:r w:rsidRPr="00752571">
        <w:rPr>
          <w:lang w:val="es-ES_tradnl"/>
        </w:rPr>
        <w:t xml:space="preserve">, el OR radicará ante la SSPD un informe de justificación de la modificación o eliminación de eventos que pretenda solicitar al LAC. </w:t>
      </w:r>
    </w:p>
    <w:p w:rsidR="00407449" w:rsidRPr="00752571" w:rsidRDefault="00407449" w:rsidP="00407449">
      <w:pPr>
        <w:rPr>
          <w:lang w:val="es-ES_tradnl"/>
        </w:rPr>
      </w:pPr>
      <w:r w:rsidRPr="00752571">
        <w:rPr>
          <w:lang w:val="es-ES_tradnl"/>
        </w:rPr>
        <w:t xml:space="preserve">En el informe el OR tendrá la carga de detallar, sustentar y probar las causas que causaron la modificación o la eliminación de dicho evento. </w:t>
      </w:r>
    </w:p>
    <w:p w:rsidR="00407449" w:rsidRPr="00C354C5" w:rsidRDefault="00407449" w:rsidP="00407449">
      <w:pPr>
        <w:rPr>
          <w:lang w:val="es-ES_tradnl"/>
        </w:rPr>
      </w:pPr>
      <w:r w:rsidRPr="00752571">
        <w:rPr>
          <w:lang w:val="es-ES_tradnl"/>
        </w:rPr>
        <w:t>En caso de que el OR no presente ante la SSPD el informe de justificación, este deberá abstenerse de eliminar y modificar los eventos ante el LAC y deberá incluirlos en el cálculo de los indicadores de calidad media e individual.</w:t>
      </w:r>
    </w:p>
    <w:p w:rsidR="00407449" w:rsidRPr="004E6CFC" w:rsidRDefault="00407449" w:rsidP="00407449">
      <w:pPr>
        <w:pStyle w:val="Ttulo5"/>
        <w:ind w:left="1008" w:hanging="1008"/>
      </w:pPr>
      <w:r w:rsidRPr="004E6CFC">
        <w:t xml:space="preserve">Informe del LAC. </w:t>
      </w:r>
    </w:p>
    <w:p w:rsidR="00407449" w:rsidRPr="00360502" w:rsidRDefault="00407449" w:rsidP="00407449">
      <w:pPr>
        <w:pStyle w:val="Prrafodelista"/>
        <w:ind w:left="0"/>
      </w:pPr>
      <w:r w:rsidRPr="00360502">
        <w:t xml:space="preserve">Dentro de los quince (15) días siguientes a la finalización de cada mes el LAC debe calcular los indicadores </w:t>
      </w:r>
      <w:r>
        <w:t>de calidad media e individual</w:t>
      </w:r>
      <w:r w:rsidRPr="00360502">
        <w:t xml:space="preserve"> de cada OR, con base en los reportes diarios y mensuales realizados por estos y la información reportada al SUI de vinculación de los usuarios a la red de distribución. El LAC deberá publicar los cálculos en su página web para consulta de los OR, de la SSPD y de la CREG.</w:t>
      </w:r>
    </w:p>
    <w:p w:rsidR="00407449" w:rsidRPr="004E6CFC" w:rsidRDefault="00407449" w:rsidP="00407449">
      <w:pPr>
        <w:pStyle w:val="Prrafodelista"/>
        <w:ind w:left="0"/>
      </w:pPr>
      <w:r w:rsidRPr="004E6CFC">
        <w:t xml:space="preserve">Esta información deberá utilizarse como insumo de comparación durante las verificaciones a la información de que trata el numeral </w:t>
      </w:r>
      <w:r w:rsidRPr="004E6CFC">
        <w:fldChar w:fldCharType="begin" w:fldLock="1"/>
      </w:r>
      <w:r w:rsidRPr="004E6CFC">
        <w:instrText xml:space="preserve"> REF _Ref405913308 \r \h  \* MERGEFORMAT </w:instrText>
      </w:r>
      <w:r w:rsidRPr="004E6CFC">
        <w:fldChar w:fldCharType="separate"/>
      </w:r>
      <w:r>
        <w:t>5.2.12</w:t>
      </w:r>
      <w:r w:rsidRPr="004E6CFC">
        <w:fldChar w:fldCharType="end"/>
      </w:r>
      <w:r w:rsidRPr="004E6CFC">
        <w:t xml:space="preserve"> y por lo tanto, en caso de existir diferencias entre los cálculos del LAC y del OR, el OR debe identificarlas y justificarlas dentro del documento de soporte de que trata el numeral </w:t>
      </w:r>
      <w:r w:rsidRPr="004E6CFC">
        <w:fldChar w:fldCharType="begin" w:fldLock="1"/>
      </w:r>
      <w:r w:rsidRPr="004E6CFC">
        <w:instrText xml:space="preserve"> REF _Ref476660803 \r \h  \* MERGEFORMAT </w:instrText>
      </w:r>
      <w:r w:rsidRPr="004E6CFC">
        <w:fldChar w:fldCharType="separate"/>
      </w:r>
      <w:r>
        <w:t>5.2.11.4</w:t>
      </w:r>
      <w:r w:rsidRPr="004E6CFC">
        <w:fldChar w:fldCharType="end"/>
      </w:r>
      <w:r w:rsidRPr="004E6CFC">
        <w:t xml:space="preserve">. </w:t>
      </w:r>
    </w:p>
    <w:p w:rsidR="00407449" w:rsidRPr="004E6CFC" w:rsidRDefault="00407449" w:rsidP="00407449">
      <w:pPr>
        <w:pStyle w:val="Ttulo4"/>
        <w:ind w:left="864" w:hanging="864"/>
      </w:pPr>
      <w:bookmarkStart w:id="627" w:name="_Ref476660803"/>
      <w:r w:rsidRPr="004E6CFC">
        <w:t>Reporte de indicadores, incentivos y compensaciones al SUI</w:t>
      </w:r>
      <w:bookmarkEnd w:id="627"/>
    </w:p>
    <w:p w:rsidR="00407449" w:rsidRPr="004E6CFC" w:rsidRDefault="00407449" w:rsidP="00407449">
      <w:pPr>
        <w:rPr>
          <w:lang w:val="es-ES_tradnl"/>
        </w:rPr>
      </w:pPr>
      <w:r w:rsidRPr="004E6CFC">
        <w:rPr>
          <w:lang w:val="es-ES_tradnl"/>
        </w:rPr>
        <w:t>La información de los indicadores de calidad media e individual, así como los incentivos y compensaciones resultantes de la aplicación del esquema definido en esta resolución, deben ser reportados por los OR al SUI.</w:t>
      </w:r>
    </w:p>
    <w:p w:rsidR="00407449" w:rsidRPr="004E6CFC" w:rsidRDefault="00407449" w:rsidP="00407449">
      <w:pPr>
        <w:shd w:val="clear" w:color="auto" w:fill="FFFFFF"/>
        <w:rPr>
          <w:lang w:val="es-CO" w:eastAsia="es-CO"/>
        </w:rPr>
      </w:pPr>
      <w:r w:rsidRPr="004E6CFC">
        <w:t xml:space="preserve">Dentro de los primeros </w:t>
      </w:r>
      <w:r w:rsidRPr="004E6CFC">
        <w:rPr>
          <w:lang w:val="es-CO" w:eastAsia="es-CO"/>
        </w:rPr>
        <w:t xml:space="preserve">quince (15) días de cada mes el OR debe reportar al SUI los indicadores de calidad media acumulados hasta el mes anterior, en los formatos establecidos para tal fin. Los indicadores de calidad media </w:t>
      </w:r>
      <w:r w:rsidRPr="004E6CFC">
        <w:rPr>
          <w:rFonts w:cs="Arial"/>
          <w:lang w:val="es-CO" w:eastAsia="es-CO"/>
        </w:rPr>
        <w:t xml:space="preserve">y los </w:t>
      </w:r>
      <w:r w:rsidRPr="004E6CFC">
        <w:rPr>
          <w:rFonts w:cs="Arial"/>
          <w:lang w:val="es-CO" w:eastAsia="es-CO"/>
        </w:rPr>
        <w:lastRenderedPageBreak/>
        <w:t>incentivos resultantes de la aplicación del esquema</w:t>
      </w:r>
      <w:r w:rsidRPr="004E6CFC">
        <w:rPr>
          <w:lang w:val="es-CO" w:eastAsia="es-CO"/>
        </w:rPr>
        <w:t xml:space="preserve"> deben ser reportados por los OR dentro de los primeros quince (15) días del mes de enero del año </w:t>
      </w:r>
      <w:r w:rsidRPr="004E6CFC">
        <w:rPr>
          <w:i/>
          <w:lang w:val="es-CO" w:eastAsia="es-CO"/>
        </w:rPr>
        <w:t>t+1</w:t>
      </w:r>
      <w:r w:rsidRPr="004E6CFC">
        <w:rPr>
          <w:lang w:val="es-CO" w:eastAsia="es-CO"/>
        </w:rPr>
        <w:t xml:space="preserve"> y a partir del mes de febrero del año </w:t>
      </w:r>
      <w:r w:rsidRPr="004E6CFC">
        <w:rPr>
          <w:i/>
          <w:lang w:val="es-CO" w:eastAsia="es-CO"/>
        </w:rPr>
        <w:t>t+1</w:t>
      </w:r>
      <w:r w:rsidRPr="004E6CFC">
        <w:rPr>
          <w:lang w:val="es-CO" w:eastAsia="es-CO"/>
        </w:rPr>
        <w:t xml:space="preserve"> debe iniciarse un nuevo acumulado con el reporte de los indicadores de calidad media del ese año.</w:t>
      </w:r>
      <w:r>
        <w:rPr>
          <w:lang w:val="es-CO" w:eastAsia="es-CO"/>
        </w:rPr>
        <w:t xml:space="preserve"> En estas mismas condiciones y plazos los OR deben reportar los indicadores de calidad adicionales de que trata el numeral </w:t>
      </w:r>
      <w:r>
        <w:rPr>
          <w:lang w:val="es-CO" w:eastAsia="es-CO"/>
        </w:rPr>
        <w:fldChar w:fldCharType="begin" w:fldLock="1"/>
      </w:r>
      <w:r>
        <w:rPr>
          <w:lang w:val="es-CO" w:eastAsia="es-CO"/>
        </w:rPr>
        <w:instrText xml:space="preserve"> REF _Ref492462841 \r \h </w:instrText>
      </w:r>
      <w:r>
        <w:rPr>
          <w:lang w:val="es-CO" w:eastAsia="es-CO"/>
        </w:rPr>
      </w:r>
      <w:r>
        <w:rPr>
          <w:lang w:val="es-CO" w:eastAsia="es-CO"/>
        </w:rPr>
        <w:fldChar w:fldCharType="separate"/>
      </w:r>
      <w:r>
        <w:rPr>
          <w:lang w:val="es-CO" w:eastAsia="es-CO"/>
        </w:rPr>
        <w:t>5.2.6</w:t>
      </w:r>
      <w:r>
        <w:rPr>
          <w:lang w:val="es-CO" w:eastAsia="es-CO"/>
        </w:rPr>
        <w:fldChar w:fldCharType="end"/>
      </w:r>
      <w:r>
        <w:rPr>
          <w:lang w:val="es-CO" w:eastAsia="es-CO"/>
        </w:rPr>
        <w:t>.</w:t>
      </w:r>
    </w:p>
    <w:p w:rsidR="00407449" w:rsidRPr="004E6CFC" w:rsidRDefault="00407449" w:rsidP="00407449">
      <w:pPr>
        <w:shd w:val="clear" w:color="auto" w:fill="FFFFFF"/>
        <w:rPr>
          <w:rFonts w:cs="Arial"/>
          <w:lang w:val="es-CO" w:eastAsia="es-CO"/>
        </w:rPr>
      </w:pPr>
      <w:r w:rsidRPr="004E6CFC">
        <w:rPr>
          <w:rFonts w:cs="Arial"/>
          <w:lang w:val="es-CO" w:eastAsia="es-CO"/>
        </w:rPr>
        <w:t>Con respecto a los indicadores de calidad individual el OR debe reportar</w:t>
      </w:r>
      <w:r>
        <w:rPr>
          <w:rFonts w:cs="Arial"/>
          <w:lang w:val="es-CO" w:eastAsia="es-CO"/>
        </w:rPr>
        <w:t>los</w:t>
      </w:r>
      <w:r w:rsidRPr="004E6CFC">
        <w:rPr>
          <w:rFonts w:cs="Arial"/>
          <w:lang w:val="es-CO" w:eastAsia="es-CO"/>
        </w:rPr>
        <w:t xml:space="preserve"> al SUI dentro de los primeros quince (15) días de cada mes, y para cada uno de los usuarios que se conectan a su red. Esta información debe ser consultada por el comercializador que atiende al respectivo usuario quien debe calcular</w:t>
      </w:r>
      <w:r>
        <w:rPr>
          <w:rFonts w:cs="Arial"/>
          <w:lang w:val="es-CO" w:eastAsia="es-CO"/>
        </w:rPr>
        <w:t xml:space="preserve"> </w:t>
      </w:r>
      <w:r w:rsidRPr="004E6CFC">
        <w:rPr>
          <w:rFonts w:cs="Arial"/>
          <w:lang w:val="es-CO" w:eastAsia="es-CO"/>
        </w:rPr>
        <w:t xml:space="preserve">la compensación a que haya lugar, según el periodo que se esté facturando. </w:t>
      </w:r>
    </w:p>
    <w:p w:rsidR="00407449" w:rsidRPr="004E6CFC" w:rsidRDefault="00407449" w:rsidP="00407449">
      <w:pPr>
        <w:shd w:val="clear" w:color="auto" w:fill="FFFFFF"/>
        <w:rPr>
          <w:rFonts w:ascii="Arial" w:hAnsi="Arial"/>
          <w:lang w:val="es-CO" w:eastAsia="es-CO"/>
        </w:rPr>
      </w:pPr>
      <w:r w:rsidRPr="004E6CFC">
        <w:rPr>
          <w:lang w:val="es-CO" w:eastAsia="es-CO"/>
        </w:rPr>
        <w:t>El OR debe elaborar un documento de soporte del cálculo de los indicadores de calidad media e individual y de los incentivos calculados y debe mantenerlo disponible para el proceso de verificación de la información que se establece en esta resolución o para revisión de la SSPD si esta entidad así lo requiere.  Este documento debe</w:t>
      </w:r>
      <w:r w:rsidRPr="004E6CFC">
        <w:rPr>
          <w:rFonts w:cs="Arial"/>
          <w:lang w:val="es-CO" w:eastAsia="es-CO"/>
        </w:rPr>
        <w:t xml:space="preserve"> ser conservado por el OR por un término mínimo de </w:t>
      </w:r>
      <w:r>
        <w:rPr>
          <w:rFonts w:cs="Arial"/>
          <w:lang w:val="es-CO" w:eastAsia="es-CO"/>
        </w:rPr>
        <w:t>cinco</w:t>
      </w:r>
      <w:r w:rsidRPr="004E6CFC">
        <w:rPr>
          <w:rFonts w:cs="Arial"/>
          <w:lang w:val="es-CO" w:eastAsia="es-CO"/>
        </w:rPr>
        <w:t xml:space="preserve"> (</w:t>
      </w:r>
      <w:r>
        <w:rPr>
          <w:rFonts w:cs="Arial"/>
          <w:lang w:val="es-CO" w:eastAsia="es-CO"/>
        </w:rPr>
        <w:t>5</w:t>
      </w:r>
      <w:r w:rsidRPr="004E6CFC">
        <w:rPr>
          <w:rFonts w:cs="Arial"/>
          <w:lang w:val="es-CO" w:eastAsia="es-CO"/>
        </w:rPr>
        <w:t>) años.</w:t>
      </w:r>
    </w:p>
    <w:p w:rsidR="00407449" w:rsidRDefault="00407449" w:rsidP="00407449">
      <w:pPr>
        <w:shd w:val="clear" w:color="auto" w:fill="FFFFFF"/>
        <w:rPr>
          <w:rFonts w:cs="Arial"/>
          <w:lang w:val="es-CO" w:eastAsia="es-CO"/>
        </w:rPr>
      </w:pPr>
      <w:r w:rsidRPr="004E6CFC">
        <w:rPr>
          <w:rFonts w:cs="Arial"/>
          <w:lang w:val="es-CO" w:eastAsia="es-CO"/>
        </w:rPr>
        <w:t xml:space="preserve">El comercializador debe reportar las compensaciones aplicadas a cada usuario y </w:t>
      </w:r>
      <w:r>
        <w:rPr>
          <w:rFonts w:cs="Arial"/>
          <w:lang w:val="es-CO" w:eastAsia="es-CO"/>
        </w:rPr>
        <w:t xml:space="preserve">todas </w:t>
      </w:r>
      <w:r w:rsidRPr="004E6CFC">
        <w:rPr>
          <w:rFonts w:cs="Arial"/>
          <w:lang w:val="es-CO" w:eastAsia="es-CO"/>
        </w:rPr>
        <w:t xml:space="preserve">las variables </w:t>
      </w:r>
      <w:r>
        <w:rPr>
          <w:rFonts w:cs="Arial"/>
          <w:lang w:val="es-CO" w:eastAsia="es-CO"/>
        </w:rPr>
        <w:t>que calcule</w:t>
      </w:r>
      <w:r w:rsidRPr="004E6CFC">
        <w:rPr>
          <w:rFonts w:cs="Arial"/>
          <w:lang w:val="es-CO" w:eastAsia="es-CO"/>
        </w:rPr>
        <w:t xml:space="preserve"> en los formatos comerciales en los que reporta periódicamente el consumo de energía facturado. </w:t>
      </w:r>
    </w:p>
    <w:p w:rsidR="00407449" w:rsidRPr="004E6CFC" w:rsidRDefault="00407449" w:rsidP="00407449">
      <w:pPr>
        <w:pStyle w:val="Ttulo3"/>
      </w:pPr>
      <w:bookmarkStart w:id="628" w:name="_Toc504556324"/>
      <w:bookmarkStart w:id="629" w:name="_Toc504743067"/>
      <w:bookmarkStart w:id="630" w:name="_Ref405913308"/>
      <w:bookmarkStart w:id="631" w:name="_Toc408493186"/>
      <w:bookmarkStart w:id="632" w:name="_Toc411243831"/>
      <w:bookmarkStart w:id="633" w:name="_Toc440382547"/>
      <w:bookmarkStart w:id="634" w:name="_Toc445214111"/>
      <w:bookmarkStart w:id="635" w:name="_Toc466009882"/>
      <w:bookmarkStart w:id="636" w:name="_Toc505070102"/>
      <w:bookmarkStart w:id="637" w:name="_Toc505335958"/>
      <w:bookmarkEnd w:id="628"/>
      <w:bookmarkEnd w:id="629"/>
      <w:r w:rsidRPr="004E6CFC">
        <w:t>Verificaciones a la información</w:t>
      </w:r>
      <w:bookmarkEnd w:id="630"/>
      <w:bookmarkEnd w:id="631"/>
      <w:bookmarkEnd w:id="632"/>
      <w:bookmarkEnd w:id="633"/>
      <w:bookmarkEnd w:id="634"/>
      <w:bookmarkEnd w:id="635"/>
      <w:bookmarkEnd w:id="636"/>
      <w:bookmarkEnd w:id="637"/>
    </w:p>
    <w:p w:rsidR="00407449" w:rsidRPr="004E6CFC" w:rsidRDefault="00407449" w:rsidP="00407449">
      <w:r w:rsidRPr="004E6CFC">
        <w:t xml:space="preserve">Adicional a las verificaciones de cumplimiento de los requisitos establecidos en el numeral </w:t>
      </w:r>
      <w:r w:rsidRPr="004E6CFC">
        <w:fldChar w:fldCharType="begin" w:fldLock="1"/>
      </w:r>
      <w:r w:rsidRPr="004E6CFC">
        <w:instrText xml:space="preserve"> REF _Ref405298629 \r \h  \* MERGEFORMAT </w:instrText>
      </w:r>
      <w:r w:rsidRPr="004E6CFC">
        <w:fldChar w:fldCharType="separate"/>
      </w:r>
      <w:r>
        <w:t>5.2.10</w:t>
      </w:r>
      <w:r w:rsidRPr="004E6CFC">
        <w:fldChar w:fldCharType="end"/>
      </w:r>
      <w:r w:rsidRPr="004E6CFC">
        <w:t>, el OR debe contratar una verificación a la información registrada y reportada sobre los eventos sucedidos en su sistema, así como a la aplicación del esquema de incentivos y compensaciones, en los términos establecidos en la Resolución CREG 025 de 2013 o la que la adicione, modifique o sustituya.</w:t>
      </w:r>
    </w:p>
    <w:p w:rsidR="00407449" w:rsidRPr="004E6CFC" w:rsidRDefault="00407449" w:rsidP="00407449">
      <w:r w:rsidRPr="004E6CFC">
        <w:t xml:space="preserve">Los resultados de estas verificaciones deberán ser entregados a la CREG y la SSPD con el propósito de que esta última, en ejercicio de sus funciones, establezca si el respectivo OR ha incurrido en conductas sancionables por violaciones a la ley y/o a los actos administrativos a los que está sujeto, todo sin perjuicio de la responsabilidad penal que pueda deducirse de estas conductas. </w:t>
      </w:r>
    </w:p>
    <w:p w:rsidR="00407449" w:rsidRPr="004E6CFC" w:rsidRDefault="00407449" w:rsidP="00407449">
      <w:pPr>
        <w:pStyle w:val="Ttulo3"/>
      </w:pPr>
      <w:bookmarkStart w:id="638" w:name="_Toc408493187"/>
      <w:bookmarkStart w:id="639" w:name="_Toc411243832"/>
      <w:bookmarkStart w:id="640" w:name="_Toc440382548"/>
      <w:bookmarkStart w:id="641" w:name="_Toc445214112"/>
      <w:bookmarkStart w:id="642" w:name="_Toc466009883"/>
      <w:bookmarkStart w:id="643" w:name="_Toc505070103"/>
      <w:bookmarkStart w:id="644" w:name="_Toc505335959"/>
      <w:r w:rsidRPr="004E6CFC">
        <w:t>Responsabilidades de información sobre la calidad en los SDL</w:t>
      </w:r>
      <w:bookmarkEnd w:id="638"/>
      <w:bookmarkEnd w:id="639"/>
      <w:bookmarkEnd w:id="640"/>
      <w:bookmarkEnd w:id="641"/>
      <w:bookmarkEnd w:id="642"/>
      <w:bookmarkEnd w:id="643"/>
      <w:bookmarkEnd w:id="644"/>
    </w:p>
    <w:p w:rsidR="00407449" w:rsidRPr="004E6CFC" w:rsidRDefault="00407449" w:rsidP="00407449">
      <w:pPr>
        <w:pStyle w:val="Ttulo4"/>
        <w:ind w:left="864" w:hanging="864"/>
        <w:rPr>
          <w:lang w:eastAsia="es-CO"/>
        </w:rPr>
      </w:pPr>
      <w:r w:rsidRPr="004E6CFC">
        <w:rPr>
          <w:lang w:eastAsia="es-CO"/>
        </w:rPr>
        <w:t>Responsabilidades de los OR</w:t>
      </w:r>
    </w:p>
    <w:p w:rsidR="00407449" w:rsidRPr="004E6CFC" w:rsidRDefault="00407449" w:rsidP="00407449">
      <w:pPr>
        <w:shd w:val="clear" w:color="auto" w:fill="FFFFFF"/>
        <w:spacing w:before="100" w:beforeAutospacing="1" w:after="100" w:afterAutospacing="1"/>
        <w:rPr>
          <w:rFonts w:ascii="Arial" w:hAnsi="Arial" w:cs="Arial"/>
          <w:lang w:val="es-CO" w:eastAsia="es-CO"/>
        </w:rPr>
      </w:pPr>
      <w:r w:rsidRPr="004E6CFC">
        <w:rPr>
          <w:rFonts w:cs="Arial"/>
          <w:lang w:val="es-CO" w:eastAsia="es-CO"/>
        </w:rPr>
        <w:t>Los OR tienen las siguientes responsabilidades y obligaciones con respecto al esquema de calidad del servicio en el SDL:</w:t>
      </w:r>
    </w:p>
    <w:p w:rsidR="00407449" w:rsidRPr="004E6CFC" w:rsidRDefault="00407449" w:rsidP="009C086B">
      <w:pPr>
        <w:pStyle w:val="Prrafodelista"/>
        <w:numPr>
          <w:ilvl w:val="0"/>
          <w:numId w:val="46"/>
        </w:numPr>
      </w:pPr>
      <w:r w:rsidRPr="004E6CFC">
        <w:t>Asignar los códigos de circuitos, transformadores y usuarios de su red.</w:t>
      </w:r>
    </w:p>
    <w:p w:rsidR="00407449" w:rsidRPr="004E6CFC" w:rsidRDefault="00407449" w:rsidP="009C086B">
      <w:pPr>
        <w:pStyle w:val="Prrafodelista"/>
        <w:numPr>
          <w:ilvl w:val="0"/>
          <w:numId w:val="46"/>
        </w:numPr>
      </w:pPr>
      <w:r w:rsidRPr="004E6CFC">
        <w:t>Suministrar al comercializador los códigos de vinculación de usuarios a circuitos</w:t>
      </w:r>
      <w:r>
        <w:t xml:space="preserve"> y</w:t>
      </w:r>
      <w:r w:rsidRPr="004E6CFC">
        <w:t xml:space="preserve"> transformadores.</w:t>
      </w:r>
    </w:p>
    <w:p w:rsidR="00407449" w:rsidRPr="004E6CFC" w:rsidRDefault="00407449" w:rsidP="009C086B">
      <w:pPr>
        <w:pStyle w:val="Prrafodelista"/>
        <w:numPr>
          <w:ilvl w:val="0"/>
          <w:numId w:val="46"/>
        </w:numPr>
      </w:pPr>
      <w:r w:rsidRPr="004E6CFC">
        <w:t>Mantener actualizada la vinculación de usuarios a las redes del SDL para garantizar la aplicación adecuada del esquema de incentivos y compensaciones.</w:t>
      </w:r>
    </w:p>
    <w:p w:rsidR="00407449" w:rsidRPr="004E6CFC" w:rsidRDefault="00407449" w:rsidP="009C086B">
      <w:pPr>
        <w:pStyle w:val="Prrafodelista"/>
        <w:numPr>
          <w:ilvl w:val="0"/>
          <w:numId w:val="46"/>
        </w:numPr>
      </w:pPr>
      <w:r w:rsidRPr="004E6CFC">
        <w:lastRenderedPageBreak/>
        <w:t>Garantizar que cada usuario pueda comunicarse de manera gratuita con el sistema de atención telefónica IVR a través de cualquier línea telefónica móvil o fija disponible en el país, la cual debe ser exclusiva para el reporte de los eventos percibidos por el usuario.</w:t>
      </w:r>
    </w:p>
    <w:p w:rsidR="00407449" w:rsidRPr="004E6CFC" w:rsidRDefault="00407449" w:rsidP="009C086B">
      <w:pPr>
        <w:pStyle w:val="Prrafodelista"/>
        <w:numPr>
          <w:ilvl w:val="0"/>
          <w:numId w:val="46"/>
        </w:numPr>
      </w:pPr>
      <w:r w:rsidRPr="004E6CFC">
        <w:t xml:space="preserve">Dentro de los plazos establecidos, calcular los indicadores de calidad media y los incentivos correspondientes.  </w:t>
      </w:r>
    </w:p>
    <w:p w:rsidR="00407449" w:rsidRPr="004E6CFC" w:rsidRDefault="00407449" w:rsidP="009C086B">
      <w:pPr>
        <w:pStyle w:val="Prrafodelista"/>
        <w:numPr>
          <w:ilvl w:val="0"/>
          <w:numId w:val="46"/>
        </w:numPr>
      </w:pPr>
      <w:r w:rsidRPr="004E6CFC">
        <w:t xml:space="preserve">Reportar la información de indicadores e incentivos al SUI, de acuerdo con los requerimientos y plazos establecidos para tal fin. </w:t>
      </w:r>
    </w:p>
    <w:p w:rsidR="00407449" w:rsidRPr="004E6CFC" w:rsidRDefault="00407449" w:rsidP="009C086B">
      <w:pPr>
        <w:pStyle w:val="Prrafodelista"/>
        <w:numPr>
          <w:ilvl w:val="0"/>
          <w:numId w:val="46"/>
        </w:numPr>
      </w:pPr>
      <w:r w:rsidRPr="004E6CFC">
        <w:t>Reportar la información de eventos</w:t>
      </w:r>
      <w:r w:rsidRPr="004E6CFC" w:rsidDel="00B119FF">
        <w:t xml:space="preserve"> </w:t>
      </w:r>
      <w:r w:rsidRPr="004E6CFC">
        <w:t>al LAC, de acuerdo con los requerimientos y plazos establecidos en esta resolución.</w:t>
      </w:r>
    </w:p>
    <w:p w:rsidR="00407449" w:rsidRPr="004E6CFC" w:rsidRDefault="00407449" w:rsidP="009C086B">
      <w:pPr>
        <w:pStyle w:val="Prrafodelista"/>
        <w:numPr>
          <w:ilvl w:val="0"/>
          <w:numId w:val="46"/>
        </w:numPr>
      </w:pPr>
      <w:r w:rsidRPr="004E6CFC">
        <w:t>Mantener permanentemente actualizada y reportada al SUI la base de datos georreferenciada de su red, e informar mensualmente al comercializador sobre los cambios en la vinculación que se hayan producido.</w:t>
      </w:r>
    </w:p>
    <w:p w:rsidR="00407449" w:rsidRDefault="00407449" w:rsidP="009C086B">
      <w:pPr>
        <w:pStyle w:val="Prrafodelista"/>
        <w:numPr>
          <w:ilvl w:val="0"/>
          <w:numId w:val="46"/>
        </w:numPr>
      </w:pPr>
      <w:r w:rsidRPr="004E6CFC">
        <w:t xml:space="preserve">Mantener por un término mínimo de </w:t>
      </w:r>
      <w:r>
        <w:t>cinco</w:t>
      </w:r>
      <w:r w:rsidRPr="004E6CFC">
        <w:t xml:space="preserve"> años, para efectos de la aplicación de las verificaciones a la información o para revisión y consulta de la SSPD si esta así lo requiere, el soporte de cada una de las clasificaciones de eventos por exclusión o eliminación realizadas con respecto a sus reportes diarios y mensuales al LAC.</w:t>
      </w:r>
    </w:p>
    <w:p w:rsidR="00407449" w:rsidRPr="004E6CFC" w:rsidRDefault="00407449" w:rsidP="009C086B">
      <w:pPr>
        <w:pStyle w:val="Prrafodelista"/>
        <w:numPr>
          <w:ilvl w:val="0"/>
          <w:numId w:val="46"/>
        </w:numPr>
      </w:pPr>
      <w:r>
        <w:t>Las demás responsabilidades y obligaciones establecidas en esta resolución con respecto a la calidad del servicio en los SDL.</w:t>
      </w:r>
    </w:p>
    <w:p w:rsidR="00407449" w:rsidRPr="004E6CFC" w:rsidRDefault="00407449" w:rsidP="00407449">
      <w:pPr>
        <w:pStyle w:val="Ttulo4"/>
        <w:ind w:left="864" w:hanging="864"/>
        <w:rPr>
          <w:lang w:eastAsia="es-CO"/>
        </w:rPr>
      </w:pPr>
      <w:r w:rsidRPr="004E6CFC">
        <w:rPr>
          <w:lang w:eastAsia="es-CO"/>
        </w:rPr>
        <w:t>Responsabilidades de los comercializadores</w:t>
      </w:r>
    </w:p>
    <w:p w:rsidR="00407449" w:rsidRPr="004E6CFC" w:rsidRDefault="00407449" w:rsidP="00407449">
      <w:pPr>
        <w:shd w:val="clear" w:color="auto" w:fill="FFFFFF"/>
        <w:rPr>
          <w:rFonts w:ascii="Arial" w:hAnsi="Arial" w:cs="Arial"/>
          <w:lang w:val="es-CO" w:eastAsia="es-CO"/>
        </w:rPr>
      </w:pPr>
      <w:r w:rsidRPr="004E6CFC">
        <w:rPr>
          <w:rFonts w:cs="Arial"/>
          <w:bCs/>
          <w:lang w:val="es-CO" w:eastAsia="es-CO"/>
        </w:rPr>
        <w:t>Son responsabilidades y obligaciones del comercializador:</w:t>
      </w:r>
    </w:p>
    <w:p w:rsidR="00407449" w:rsidRPr="004E6CFC" w:rsidRDefault="00407449" w:rsidP="009C086B">
      <w:pPr>
        <w:pStyle w:val="Prrafodelista"/>
        <w:numPr>
          <w:ilvl w:val="0"/>
          <w:numId w:val="47"/>
        </w:numPr>
      </w:pPr>
      <w:r w:rsidRPr="004E6CFC">
        <w:t>Con base en la información de indicadores reportada por los OR al SUI, calcular las compensaciones mensuales a aplicar a cada usuario sujeto de la misma.</w:t>
      </w:r>
    </w:p>
    <w:p w:rsidR="00407449" w:rsidRPr="004E6CFC" w:rsidRDefault="00407449" w:rsidP="009C086B">
      <w:pPr>
        <w:pStyle w:val="Prrafodelista"/>
        <w:numPr>
          <w:ilvl w:val="0"/>
          <w:numId w:val="47"/>
        </w:numPr>
      </w:pPr>
      <w:r w:rsidRPr="004E6CFC">
        <w:t>En la factura de energía, aplicar los valores a compensar que se deriven del esquema de calidad del servicio.</w:t>
      </w:r>
    </w:p>
    <w:p w:rsidR="00407449" w:rsidRPr="004E6CFC" w:rsidRDefault="00407449" w:rsidP="009C086B">
      <w:pPr>
        <w:pStyle w:val="Prrafodelista"/>
        <w:numPr>
          <w:ilvl w:val="0"/>
          <w:numId w:val="47"/>
        </w:numPr>
        <w:rPr>
          <w:rFonts w:ascii="Arial" w:hAnsi="Arial"/>
          <w:lang w:eastAsia="es-CO"/>
        </w:rPr>
      </w:pPr>
      <w:r w:rsidRPr="004E6CFC">
        <w:t>En cada factura que emita el comercializador a sus usuarios deberá presentar</w:t>
      </w:r>
      <w:r w:rsidRPr="004E6CFC">
        <w:rPr>
          <w:lang w:eastAsia="es-CO"/>
        </w:rPr>
        <w:t xml:space="preserve"> la siguiente información, con base en la información contenida en el SUI:</w:t>
      </w:r>
    </w:p>
    <w:p w:rsidR="00407449" w:rsidRPr="004E6CFC" w:rsidRDefault="00407449" w:rsidP="009C086B">
      <w:pPr>
        <w:pStyle w:val="Prrafodelista"/>
        <w:numPr>
          <w:ilvl w:val="0"/>
          <w:numId w:val="24"/>
        </w:numPr>
        <w:rPr>
          <w:rFonts w:ascii="Arial" w:hAnsi="Arial"/>
          <w:lang w:eastAsia="es-CO"/>
        </w:rPr>
      </w:pPr>
      <w:r w:rsidRPr="004E6CFC">
        <w:rPr>
          <w:lang w:eastAsia="es-CO"/>
        </w:rPr>
        <w:t>Código del circuito</w:t>
      </w:r>
      <w:r>
        <w:rPr>
          <w:lang w:eastAsia="es-CO"/>
        </w:rPr>
        <w:t xml:space="preserve"> y del</w:t>
      </w:r>
      <w:r w:rsidRPr="004E6CFC">
        <w:rPr>
          <w:lang w:eastAsia="es-CO"/>
        </w:rPr>
        <w:t xml:space="preserve"> transformador al cual se encuentra conectado el usuario.</w:t>
      </w:r>
    </w:p>
    <w:p w:rsidR="00407449" w:rsidRPr="00C354C5" w:rsidRDefault="00407449" w:rsidP="009C086B">
      <w:pPr>
        <w:pStyle w:val="Prrafodelista"/>
        <w:numPr>
          <w:ilvl w:val="0"/>
          <w:numId w:val="24"/>
        </w:numPr>
        <w:rPr>
          <w:rFonts w:ascii="Arial" w:hAnsi="Arial"/>
          <w:lang w:eastAsia="es-CO"/>
        </w:rPr>
      </w:pPr>
      <w:r w:rsidRPr="004E6CFC">
        <w:rPr>
          <w:lang w:eastAsia="es-CO"/>
        </w:rPr>
        <w:t>Grupo de calidad al cual pertenece el usuario.</w:t>
      </w:r>
    </w:p>
    <w:p w:rsidR="00407449" w:rsidRPr="004E6CFC" w:rsidRDefault="00407449" w:rsidP="009C086B">
      <w:pPr>
        <w:pStyle w:val="Prrafodelista"/>
        <w:numPr>
          <w:ilvl w:val="0"/>
          <w:numId w:val="24"/>
        </w:numPr>
        <w:rPr>
          <w:lang w:eastAsia="es-CO"/>
        </w:rPr>
      </w:pPr>
      <w:r w:rsidRPr="004E6CFC">
        <w:rPr>
          <w:lang w:eastAsia="es-CO"/>
        </w:rPr>
        <w:t xml:space="preserve">Indicadores </w:t>
      </w:r>
      <w:r>
        <w:rPr>
          <w:lang w:eastAsia="es-CO"/>
        </w:rPr>
        <w:t>de calidad individual garantizada</w:t>
      </w:r>
      <w:r w:rsidRPr="004E6CFC">
        <w:rPr>
          <w:lang w:eastAsia="es-CO"/>
        </w:rPr>
        <w:t xml:space="preserve"> utilizados en la facturación del mes o meses correspondientes. </w:t>
      </w:r>
    </w:p>
    <w:p w:rsidR="00407449" w:rsidRPr="004E6CFC" w:rsidRDefault="00407449" w:rsidP="009C086B">
      <w:pPr>
        <w:pStyle w:val="Prrafodelista"/>
        <w:numPr>
          <w:ilvl w:val="0"/>
          <w:numId w:val="24"/>
        </w:numPr>
        <w:rPr>
          <w:lang w:eastAsia="es-CO"/>
        </w:rPr>
      </w:pPr>
      <w:r w:rsidRPr="004E6CFC">
        <w:rPr>
          <w:lang w:eastAsia="es-CO"/>
        </w:rPr>
        <w:t xml:space="preserve">Indicadores </w:t>
      </w:r>
      <w:r>
        <w:rPr>
          <w:lang w:eastAsia="es-CO"/>
        </w:rPr>
        <w:t>de calidad individual</w:t>
      </w:r>
      <w:r w:rsidRPr="004E6CFC">
        <w:rPr>
          <w:lang w:eastAsia="es-CO"/>
        </w:rPr>
        <w:t xml:space="preserve"> utilizados en la facturación del mes o meses correspondientes. Cuando la facturación corresponda a más de un mes, esta información debe incluirse de manera discriminada.</w:t>
      </w:r>
    </w:p>
    <w:p w:rsidR="00407449" w:rsidRPr="004E6CFC" w:rsidRDefault="00407449" w:rsidP="009C086B">
      <w:pPr>
        <w:pStyle w:val="Prrafodelista"/>
        <w:numPr>
          <w:ilvl w:val="0"/>
          <w:numId w:val="24"/>
        </w:numPr>
        <w:rPr>
          <w:lang w:eastAsia="es-CO"/>
        </w:rPr>
      </w:pPr>
      <w:r w:rsidRPr="004E6CFC">
        <w:rPr>
          <w:lang w:eastAsia="es-CO"/>
        </w:rPr>
        <w:t>Valor a compensar</w:t>
      </w:r>
      <w:r>
        <w:rPr>
          <w:lang w:eastAsia="es-CO"/>
        </w:rPr>
        <w:t xml:space="preserve"> al usuario</w:t>
      </w:r>
      <w:r w:rsidRPr="004E6CFC">
        <w:rPr>
          <w:lang w:eastAsia="es-CO"/>
        </w:rPr>
        <w:t xml:space="preserve"> cuando </w:t>
      </w:r>
      <w:r>
        <w:rPr>
          <w:lang w:eastAsia="es-CO"/>
        </w:rPr>
        <w:t>sea a lugar</w:t>
      </w:r>
      <w:r w:rsidRPr="004E6CFC">
        <w:rPr>
          <w:lang w:eastAsia="es-CO"/>
        </w:rPr>
        <w:t xml:space="preserve">. </w:t>
      </w:r>
    </w:p>
    <w:p w:rsidR="00407449" w:rsidRPr="004E6CFC" w:rsidRDefault="00407449" w:rsidP="009C086B">
      <w:pPr>
        <w:pStyle w:val="Prrafodelista"/>
        <w:numPr>
          <w:ilvl w:val="0"/>
          <w:numId w:val="24"/>
        </w:numPr>
        <w:rPr>
          <w:rFonts w:ascii="Arial" w:hAnsi="Arial"/>
          <w:lang w:eastAsia="es-CO"/>
        </w:rPr>
      </w:pPr>
      <w:r w:rsidRPr="004E6CFC">
        <w:rPr>
          <w:lang w:eastAsia="es-CO"/>
        </w:rPr>
        <w:lastRenderedPageBreak/>
        <w:t>Nombre y dirección del OR del sistema al que se conecta el usuario y el número telefónico a través del cual se puede comunicar con el IVR del OR para informar sobre la ocurrencia de eventos.</w:t>
      </w:r>
    </w:p>
    <w:p w:rsidR="00407449" w:rsidRPr="004E6CFC" w:rsidRDefault="00407449" w:rsidP="00407449">
      <w:pPr>
        <w:pStyle w:val="Ttulo3"/>
      </w:pPr>
      <w:bookmarkStart w:id="645" w:name="_Toc408493188"/>
      <w:bookmarkStart w:id="646" w:name="_Toc411243833"/>
      <w:bookmarkStart w:id="647" w:name="_Toc440382549"/>
      <w:bookmarkStart w:id="648" w:name="_Toc445214113"/>
      <w:bookmarkStart w:id="649" w:name="_Toc466009884"/>
      <w:bookmarkStart w:id="650" w:name="_Ref504745756"/>
      <w:bookmarkStart w:id="651" w:name="_Toc505070104"/>
      <w:bookmarkStart w:id="652" w:name="_Toc505335960"/>
      <w:r w:rsidRPr="004E6CFC">
        <w:t>Calidad en empresas o en redes que se interconecten al SIN</w:t>
      </w:r>
      <w:bookmarkEnd w:id="645"/>
      <w:bookmarkEnd w:id="646"/>
      <w:bookmarkEnd w:id="647"/>
      <w:bookmarkEnd w:id="648"/>
      <w:bookmarkEnd w:id="649"/>
      <w:bookmarkEnd w:id="650"/>
      <w:bookmarkEnd w:id="651"/>
      <w:bookmarkEnd w:id="652"/>
      <w:r w:rsidRPr="004E6CFC">
        <w:t> </w:t>
      </w:r>
    </w:p>
    <w:p w:rsidR="00407449" w:rsidRPr="004E6CFC" w:rsidRDefault="00407449" w:rsidP="00407449">
      <w:pPr>
        <w:pStyle w:val="Ttulo4"/>
        <w:ind w:left="864" w:hanging="864"/>
      </w:pPr>
      <w:r w:rsidRPr="004E6CFC">
        <w:t xml:space="preserve">Empresas que se conectan al SIN provenientes de una ZNI </w:t>
      </w:r>
    </w:p>
    <w:p w:rsidR="00407449" w:rsidRPr="004E6CFC" w:rsidRDefault="00407449" w:rsidP="00407449">
      <w:r w:rsidRPr="004E6CFC">
        <w:t xml:space="preserve">Las empresas distribuidoras que venían prestando el servicio en una zona no interconectada, ZNI, y se interconectan al SIN adquiriendo la calidad de OR, en los términos definidos en esta resolución, deberán comenzar a reportar al LAC la información de eventos sucedidos en su sistema, a partir de la entrada en vigencia de la resolución que apruebe su ingreso. </w:t>
      </w:r>
    </w:p>
    <w:p w:rsidR="00407449" w:rsidRPr="004E6CFC" w:rsidRDefault="00407449" w:rsidP="00407449">
      <w:r w:rsidRPr="004E6CFC">
        <w:t xml:space="preserve">El nuevo OR contará con un plazo máximo de </w:t>
      </w:r>
      <w:r>
        <w:t>cinco (5) años</w:t>
      </w:r>
      <w:r w:rsidRPr="004E6CFC">
        <w:t xml:space="preserve">, contados a partir de la fecha de entrada en vigencia de la resolución que apruebe su ingreso, para certificar el cumplimiento de los requisitos establecidos en el numeral </w:t>
      </w:r>
      <w:r w:rsidRPr="004E6CFC">
        <w:fldChar w:fldCharType="begin" w:fldLock="1"/>
      </w:r>
      <w:r w:rsidRPr="004E6CFC">
        <w:instrText xml:space="preserve"> REF _Ref405298629 \r \h  \* MERGEFORMAT </w:instrText>
      </w:r>
      <w:r w:rsidRPr="004E6CFC">
        <w:fldChar w:fldCharType="separate"/>
      </w:r>
      <w:r>
        <w:t>5.2.10</w:t>
      </w:r>
      <w:r w:rsidRPr="004E6CFC">
        <w:fldChar w:fldCharType="end"/>
      </w:r>
      <w:r w:rsidRPr="004E6CFC">
        <w:t xml:space="preserve">. A partir de ese momento el OR deberá dar inicio a la aplicación del esquema de incentivos y compensaciones establecido en este capítulo. </w:t>
      </w:r>
    </w:p>
    <w:p w:rsidR="00407449" w:rsidRPr="004E6CFC" w:rsidRDefault="00407449" w:rsidP="00407449">
      <w:r w:rsidRPr="004E6CFC">
        <w:t xml:space="preserve">Si transcurrido este plazo el OR no ha certificado el cumplimiento de requisitos, a partir del siguiente mes, y durante todo el siguiente año, se le aplicará un incentivo negativo máximo que se calculará de acuerdo con lo que se establece en el numeral </w:t>
      </w:r>
      <w:r w:rsidRPr="004E6CFC">
        <w:fldChar w:fldCharType="begin" w:fldLock="1"/>
      </w:r>
      <w:r w:rsidRPr="004E6CFC">
        <w:instrText xml:space="preserve"> REF _Ref460927688 \r \h  \* MERGEFORMAT </w:instrText>
      </w:r>
      <w:r w:rsidRPr="004E6CFC">
        <w:fldChar w:fldCharType="separate"/>
      </w:r>
      <w:r>
        <w:t>5.2.3.2</w:t>
      </w:r>
      <w:r w:rsidRPr="004E6CFC">
        <w:fldChar w:fldCharType="end"/>
      </w:r>
      <w:r w:rsidRPr="004E6CFC">
        <w:t>.</w:t>
      </w:r>
    </w:p>
    <w:p w:rsidR="00407449" w:rsidRPr="004E6CFC" w:rsidRDefault="00407449" w:rsidP="00407449">
      <w:r w:rsidRPr="004E6CFC">
        <w:t xml:space="preserve">Las metas de calidad media que deberán alcanzar estos OR, para cada año restante del periodo tarifario, serán establecidas por la CREG y por tanto el OR deberá solicitarlas mediante comunicación escrita, con una antelación mínima de dos meses al inicio de la aplicación del esquema de incentivos y compensaciones. Las metas serán establecidas con  los mismos criterios definidos en el numeral </w:t>
      </w:r>
      <w:r w:rsidRPr="004E6CFC">
        <w:fldChar w:fldCharType="begin" w:fldLock="1"/>
      </w:r>
      <w:r w:rsidRPr="004E6CFC">
        <w:instrText xml:space="preserve"> REF _Ref474852686 \r \h  \* MERGEFORMAT </w:instrText>
      </w:r>
      <w:r w:rsidRPr="004E6CFC">
        <w:fldChar w:fldCharType="separate"/>
      </w:r>
      <w:r>
        <w:t>5.2.3.2.1</w:t>
      </w:r>
      <w:r w:rsidRPr="004E6CFC">
        <w:fldChar w:fldCharType="end"/>
      </w:r>
      <w:r w:rsidRPr="004E6CFC">
        <w:t>, pero considerando la información reportada durante los últimos veinticuatro (24) meses.</w:t>
      </w:r>
    </w:p>
    <w:p w:rsidR="00407449" w:rsidRPr="004E6CFC" w:rsidRDefault="00407449" w:rsidP="00407449">
      <w:pPr>
        <w:pStyle w:val="Ttulo4"/>
        <w:ind w:left="864" w:hanging="864"/>
      </w:pPr>
      <w:r w:rsidRPr="004E6CFC">
        <w:t xml:space="preserve">ZNI que se conecta a la red de un OR del SIN </w:t>
      </w:r>
    </w:p>
    <w:p w:rsidR="00407449" w:rsidRPr="004E6CFC" w:rsidRDefault="00407449" w:rsidP="00407449">
      <w:r w:rsidRPr="004E6CFC">
        <w:t xml:space="preserve">Cuando la red de una empresa distribuidora que venía prestando el servicio en una ZNI es interconectada a la red de un OR existente del SIN, su información de eventos deberá ser reportada al LAC y al SUI pero no será considerada para el cálculo de los indicadores de calidad media y calidad individual del OR ni para la estimación de los incentivos y compensaciones correspondientes, hasta que hayan transcurrido </w:t>
      </w:r>
      <w:r>
        <w:t>cinco (5) años</w:t>
      </w:r>
      <w:r w:rsidRPr="004E6CFC">
        <w:t xml:space="preserve"> después de su interconexión. Dentro de este plazo, el OR debe certificar nuevamente el cumplimiento de los requisitos de tele medición y telecontrol en los circuitos de la red interconectada, y de vinculación cliente-transformador.</w:t>
      </w:r>
    </w:p>
    <w:p w:rsidR="00407449" w:rsidRPr="004E6CFC" w:rsidRDefault="00407449" w:rsidP="00407449">
      <w:r w:rsidRPr="004E6CFC">
        <w:t xml:space="preserve">Si transcurrido este plazo el OR no ha certificado el cumplimiento de estos requisitos, a partir del siguiente mes, y durante todo el siguiente año, se le aplicará un incentivo negativo máximo que se calculará de acuerdo con lo que se establece en el numeral </w:t>
      </w:r>
      <w:r w:rsidRPr="004E6CFC">
        <w:fldChar w:fldCharType="begin" w:fldLock="1"/>
      </w:r>
      <w:r w:rsidRPr="004E6CFC">
        <w:instrText xml:space="preserve"> REF _Ref460927688 \r \h  \* MERGEFORMAT </w:instrText>
      </w:r>
      <w:r w:rsidRPr="004E6CFC">
        <w:fldChar w:fldCharType="separate"/>
      </w:r>
      <w:r>
        <w:t>5.2.3.2</w:t>
      </w:r>
      <w:r w:rsidRPr="004E6CFC">
        <w:fldChar w:fldCharType="end"/>
      </w:r>
      <w:r w:rsidRPr="004E6CFC">
        <w:t>.</w:t>
      </w:r>
    </w:p>
    <w:p w:rsidR="00407449" w:rsidRPr="004E6CFC" w:rsidRDefault="00407449" w:rsidP="00407449">
      <w:r w:rsidRPr="004E6CFC">
        <w:t>El responsable de la medición, registro y reporte de la calidad y de la aplicación del esquema de incentivos y compensaciones siempre será el OR al cual se han conectado las redes provenientes de la ZNI. Las metas de calidad media y de calidad individual que deberá alcanzar el OR no tendrán ninguna modificación.</w:t>
      </w:r>
    </w:p>
    <w:p w:rsidR="00407449" w:rsidRPr="004E6CFC" w:rsidRDefault="00407449" w:rsidP="00407449">
      <w:pPr>
        <w:pStyle w:val="Ttulo4"/>
        <w:ind w:left="1418" w:hanging="1418"/>
      </w:pPr>
      <w:r w:rsidRPr="004E6CFC">
        <w:lastRenderedPageBreak/>
        <w:t>Conexión de nuevos usuarios por ampliación de cobertura</w:t>
      </w:r>
    </w:p>
    <w:p w:rsidR="00407449" w:rsidRPr="004E6CFC" w:rsidRDefault="00407449" w:rsidP="00407449">
      <w:r w:rsidRPr="004E6CFC">
        <w:t>Si un OR, con el propósito de ampliar la cobertura del SIN, instala nuevas redes para conectar usuarios que previamente no tenían servicio, la información de eventos de la red ampliada deberá reportarse al LAC y será considerada para el cálculo de los indicadores de calidad media y calidad individual del OR que se utilizan para la estimación de los incentivos y compensaciones correspondientes. Las metas de calidad media y de calidad individual que deberá alcanzar el OR no tendrán ninguna modificación.</w:t>
      </w:r>
    </w:p>
    <w:p w:rsidR="00407449" w:rsidRPr="004E6CFC" w:rsidRDefault="00407449" w:rsidP="00407449">
      <w:r w:rsidRPr="004E6CFC">
        <w:t xml:space="preserve">El OR tendrá un plazo máximo de tres (3) meses para recertificar el cumplimiento de los requisitos de tele medición y telecontrol y de vinculación cliente-usuario. Si transcurrido este plazo el OR no ha certificado el cumplimiento de estos requisitos, a partir del siguiente mes, y durante todo el siguiente año, se le aplicará un incentivo negativo máximo que se calculará de acuerdo con lo que se establece en el numeral </w:t>
      </w:r>
      <w:r w:rsidRPr="004E6CFC">
        <w:fldChar w:fldCharType="begin" w:fldLock="1"/>
      </w:r>
      <w:r w:rsidRPr="004E6CFC">
        <w:instrText xml:space="preserve"> REF _Ref460927688 \r \h  \* MERGEFORMAT </w:instrText>
      </w:r>
      <w:r w:rsidRPr="004E6CFC">
        <w:fldChar w:fldCharType="separate"/>
      </w:r>
      <w:r>
        <w:t>5.2.3.2</w:t>
      </w:r>
      <w:r w:rsidRPr="004E6CFC">
        <w:fldChar w:fldCharType="end"/>
      </w:r>
      <w:r w:rsidRPr="004E6CFC">
        <w:t>.</w:t>
      </w:r>
    </w:p>
    <w:p w:rsidR="00407449" w:rsidRPr="004E6CFC" w:rsidRDefault="00407449" w:rsidP="00407449">
      <w:pPr>
        <w:pStyle w:val="Ttulo3"/>
      </w:pPr>
      <w:bookmarkStart w:id="653" w:name="_Toc466009885"/>
      <w:bookmarkStart w:id="654" w:name="_Toc505070105"/>
      <w:bookmarkStart w:id="655" w:name="_Toc505335961"/>
      <w:r w:rsidRPr="004E6CFC">
        <w:t>Calidad de empresas que se fusionan o se escinden</w:t>
      </w:r>
      <w:bookmarkEnd w:id="653"/>
      <w:bookmarkEnd w:id="654"/>
      <w:bookmarkEnd w:id="655"/>
    </w:p>
    <w:p w:rsidR="00407449" w:rsidRPr="004E6CFC" w:rsidRDefault="00407449" w:rsidP="00407449">
      <w:r w:rsidRPr="004E6CFC">
        <w:t>Cuando una empresa distribuidora que venía prestando el servicio se escinde en dos o más empresas, cada una de las empresas escindidas deberá continuar reportando al LAC la información de eventos sucedidos en su correspondiente sistema, a partir de la entrada en vigencia de la resolución que apruebe su ingreso.</w:t>
      </w:r>
    </w:p>
    <w:p w:rsidR="00407449" w:rsidRPr="004E6CFC" w:rsidRDefault="00407449" w:rsidP="00407449">
      <w:r w:rsidRPr="004E6CFC">
        <w:t xml:space="preserve">Cada OR contará con un plazo máximo de seis (6) meses, contados a partir de la fecha de entrada en vigencia de la resolución que apruebe su ingreso, para certificar el cumplimiento de los requisitos establecidos en el numeral </w:t>
      </w:r>
      <w:r w:rsidRPr="004E6CFC">
        <w:fldChar w:fldCharType="begin" w:fldLock="1"/>
      </w:r>
      <w:r w:rsidRPr="004E6CFC">
        <w:instrText xml:space="preserve"> REF _Ref405298629 \r \h  \* MERGEFORMAT </w:instrText>
      </w:r>
      <w:r w:rsidRPr="004E6CFC">
        <w:fldChar w:fldCharType="separate"/>
      </w:r>
      <w:r>
        <w:t>5.2.10</w:t>
      </w:r>
      <w:r w:rsidRPr="004E6CFC">
        <w:fldChar w:fldCharType="end"/>
      </w:r>
      <w:r w:rsidRPr="004E6CFC">
        <w:t xml:space="preserve">. A partir del momento en que quede en firme la resolución que apruebe el ingreso, cada nuevo OR deberá dar inicio a la aplicación del esquema de incentivos y compensaciones establecido en este capítulo. </w:t>
      </w:r>
    </w:p>
    <w:p w:rsidR="00407449" w:rsidRPr="004E6CFC" w:rsidRDefault="00407449" w:rsidP="00407449">
      <w:r w:rsidRPr="004E6CFC">
        <w:t xml:space="preserve">Transcurrido el plazo indicado anteriormente, el OR que no haya certificado el cumplimiento de requisitos, a partir del siguiente mes, y durante todo el siguiente año, se le aplicará un incentivo negativo máximo que se calculará de acuerdo con lo que se establece en el numeral </w:t>
      </w:r>
      <w:r w:rsidRPr="004E6CFC">
        <w:fldChar w:fldCharType="begin" w:fldLock="1"/>
      </w:r>
      <w:r w:rsidRPr="004E6CFC">
        <w:instrText xml:space="preserve"> REF _Ref460927688 \r \h  \* MERGEFORMAT </w:instrText>
      </w:r>
      <w:r w:rsidRPr="004E6CFC">
        <w:fldChar w:fldCharType="separate"/>
      </w:r>
      <w:r>
        <w:t>5.2.3.2</w:t>
      </w:r>
      <w:r w:rsidRPr="004E6CFC">
        <w:fldChar w:fldCharType="end"/>
      </w:r>
      <w:r w:rsidRPr="004E6CFC">
        <w:t>.</w:t>
      </w:r>
    </w:p>
    <w:p w:rsidR="00407449" w:rsidRPr="004E6CFC" w:rsidRDefault="00407449" w:rsidP="00407449">
      <w:r w:rsidRPr="004E6CFC">
        <w:t xml:space="preserve">Las metas de calidad media que deberán alcanzar estos OR, para cada año restante del periodo tarifario, serán establecidas por la CREG y por tanto cada OR deberá solicitarlas mediante comunicación escrita, con una antelación mínima de dos meses al inicio de la aplicación del esquema de incentivos y compensaciones. Las metas serán establecidas con los mismos criterios definidos en el numeral </w:t>
      </w:r>
      <w:r w:rsidRPr="004E6CFC">
        <w:fldChar w:fldCharType="begin" w:fldLock="1"/>
      </w:r>
      <w:r w:rsidRPr="004E6CFC">
        <w:instrText xml:space="preserve"> REF _Ref474852686 \r \h  \* MERGEFORMAT </w:instrText>
      </w:r>
      <w:r w:rsidRPr="004E6CFC">
        <w:fldChar w:fldCharType="separate"/>
      </w:r>
      <w:r>
        <w:t>5.2.3.2.1</w:t>
      </w:r>
      <w:r w:rsidRPr="004E6CFC">
        <w:fldChar w:fldCharType="end"/>
      </w:r>
      <w:r w:rsidRPr="004E6CFC">
        <w:t xml:space="preserve">, pero considerando los eventos correspondientes a los transformadores y circuitos que le corresponden a cada OR. </w:t>
      </w:r>
    </w:p>
    <w:p w:rsidR="00407449" w:rsidRPr="004E6CFC" w:rsidRDefault="00407449" w:rsidP="00407449">
      <w:r w:rsidRPr="004E6CFC">
        <w:t>Las mismas condiciones y criterios establecidos anteriormente aplicarán para el OR resultante de la fusión de una o más empresas.</w:t>
      </w:r>
    </w:p>
    <w:p w:rsidR="00407449" w:rsidRPr="004E6CFC" w:rsidRDefault="00407449" w:rsidP="00407449">
      <w:pPr>
        <w:pStyle w:val="Ttulo3"/>
      </w:pPr>
      <w:bookmarkStart w:id="656" w:name="_Toc505070106"/>
      <w:bookmarkStart w:id="657" w:name="_Toc505335962"/>
      <w:r w:rsidRPr="004E6CFC">
        <w:t>Transición</w:t>
      </w:r>
      <w:bookmarkEnd w:id="656"/>
      <w:bookmarkEnd w:id="657"/>
      <w:r w:rsidRPr="004E6CFC">
        <w:t> </w:t>
      </w:r>
    </w:p>
    <w:p w:rsidR="00407449" w:rsidRPr="004E6CFC" w:rsidRDefault="00407449" w:rsidP="00407449">
      <w:r w:rsidRPr="004E6CFC">
        <w:t xml:space="preserve">A partir del primer día del mes siguiente al de finalización del trimestre al que pertenece el mes en el que entra en vigencia la resolución con la que se aprueba el ingreso de cada OR, debe iniciarse el reporte de información de eventos y la </w:t>
      </w:r>
      <w:r w:rsidRPr="004E6CFC">
        <w:lastRenderedPageBreak/>
        <w:t xml:space="preserve">aplicación de las disposiciones de calidad individual, con base en lo establecido en el numeral </w:t>
      </w:r>
      <w:r w:rsidRPr="004E6CFC">
        <w:fldChar w:fldCharType="begin" w:fldLock="1"/>
      </w:r>
      <w:r w:rsidRPr="004E6CFC">
        <w:instrText xml:space="preserve"> REF _Ref476812416 \r \h  \* MERGEFORMAT </w:instrText>
      </w:r>
      <w:r w:rsidRPr="004E6CFC">
        <w:fldChar w:fldCharType="separate"/>
      </w:r>
      <w:r>
        <w:t>5.2.4</w:t>
      </w:r>
      <w:r w:rsidRPr="004E6CFC">
        <w:fldChar w:fldCharType="end"/>
      </w:r>
      <w:r w:rsidRPr="004E6CFC">
        <w:t xml:space="preserve"> de esta resolución. </w:t>
      </w:r>
    </w:p>
    <w:p w:rsidR="00407449" w:rsidRPr="004E6CFC" w:rsidRDefault="00407449" w:rsidP="00407449">
      <w:r w:rsidRPr="004E6CFC">
        <w:t>Es obligación del OR y del comercializador aplicar los incentivos y compensaciones resultantes de la aplicación de las disposiciones de la Resolución CREG 097 de 2008, hasta el último trimestre reportado en cumplimiento de las disposiciones que dicha resolución definió, aun cuando exista traslapo en el reporte de los indicadores y en la aplicación de las compensaciones de las dos resoluciones.</w:t>
      </w:r>
    </w:p>
    <w:p w:rsidR="00193054" w:rsidRPr="004E6CFC" w:rsidRDefault="00193054" w:rsidP="00193054">
      <w:pPr>
        <w:spacing w:before="0" w:after="0"/>
        <w:jc w:val="left"/>
      </w:pPr>
      <w:bookmarkStart w:id="658" w:name="_Ref403662422"/>
      <w:bookmarkEnd w:id="291"/>
      <w:r w:rsidRPr="004E6CFC">
        <w:br w:type="page"/>
      </w:r>
    </w:p>
    <w:p w:rsidR="00193054" w:rsidRPr="004E77B3" w:rsidRDefault="00193054" w:rsidP="00193054">
      <w:pPr>
        <w:pStyle w:val="Ttulo1"/>
      </w:pPr>
      <w:bookmarkStart w:id="659" w:name="_Ref406575088"/>
      <w:bookmarkStart w:id="660" w:name="_Toc408493189"/>
      <w:bookmarkStart w:id="661" w:name="_Toc505335963"/>
      <w:r w:rsidRPr="004E77B3">
        <w:lastRenderedPageBreak/>
        <w:t>PLANES DE INVERSIÓN</w:t>
      </w:r>
      <w:bookmarkEnd w:id="658"/>
      <w:bookmarkEnd w:id="659"/>
      <w:bookmarkEnd w:id="660"/>
      <w:bookmarkEnd w:id="661"/>
    </w:p>
    <w:p w:rsidR="00D70E3B" w:rsidRPr="00DD6FDE" w:rsidRDefault="00D70E3B" w:rsidP="00D70E3B">
      <w:pPr>
        <w:rPr>
          <w:lang w:val="es-CO"/>
        </w:rPr>
      </w:pPr>
      <w:r w:rsidRPr="00DD6FDE">
        <w:rPr>
          <w:lang w:val="es-CO"/>
        </w:rPr>
        <w:t>Los OR deben presentar el plan de inversión para el periodo tarifario considerando los siguientes tipos de proyectos:</w:t>
      </w:r>
    </w:p>
    <w:p w:rsidR="00D70E3B" w:rsidRPr="00DD6FDE" w:rsidRDefault="00D70E3B" w:rsidP="009C086B">
      <w:pPr>
        <w:pStyle w:val="Prrafodelista"/>
        <w:numPr>
          <w:ilvl w:val="0"/>
          <w:numId w:val="60"/>
        </w:numPr>
      </w:pPr>
      <w:r w:rsidRPr="00DD6FDE">
        <w:rPr>
          <w:b/>
        </w:rPr>
        <w:t>Tipo I:</w:t>
      </w:r>
      <w:r w:rsidRPr="00DD6FDE">
        <w:t xml:space="preserve"> proyectos de inversión motivados en la atención de demanda que ocasionan el remplazo de activos existentes para obtener una mayor capacidad del sistema. </w:t>
      </w:r>
    </w:p>
    <w:p w:rsidR="00D70E3B" w:rsidRPr="00DD6FDE" w:rsidRDefault="00D70E3B" w:rsidP="009C086B">
      <w:pPr>
        <w:pStyle w:val="Prrafodelista"/>
        <w:numPr>
          <w:ilvl w:val="0"/>
          <w:numId w:val="60"/>
        </w:numPr>
      </w:pPr>
      <w:r w:rsidRPr="00DD6FDE">
        <w:rPr>
          <w:b/>
        </w:rPr>
        <w:t>Tipo II:</w:t>
      </w:r>
      <w:r w:rsidRPr="00DD6FDE">
        <w:t xml:space="preserve"> proyectos de inversión motivados en la atención de demanda que ocasionan la instalación de nuevos activos sin reemplazo de activos de existentes. </w:t>
      </w:r>
    </w:p>
    <w:p w:rsidR="00D70E3B" w:rsidRPr="00577D56" w:rsidRDefault="00D70E3B" w:rsidP="009C086B">
      <w:pPr>
        <w:pStyle w:val="Prrafodelista"/>
        <w:numPr>
          <w:ilvl w:val="0"/>
          <w:numId w:val="60"/>
        </w:numPr>
      </w:pPr>
      <w:r w:rsidRPr="00577D56">
        <w:rPr>
          <w:b/>
        </w:rPr>
        <w:t>Tipo III:</w:t>
      </w:r>
      <w:r w:rsidRPr="00577D56">
        <w:t xml:space="preserve"> proyectos de inversión no motivados en la atención de demanda que remplazan activos existentes sin obtener una mayor capacidad del sistema.</w:t>
      </w:r>
    </w:p>
    <w:p w:rsidR="00D70E3B" w:rsidRPr="00577D56" w:rsidRDefault="00D70E3B" w:rsidP="009C086B">
      <w:pPr>
        <w:pStyle w:val="Prrafodelista"/>
        <w:numPr>
          <w:ilvl w:val="0"/>
          <w:numId w:val="60"/>
        </w:numPr>
      </w:pPr>
      <w:r w:rsidRPr="00577D56">
        <w:rPr>
          <w:b/>
        </w:rPr>
        <w:t>Tipo IV:</w:t>
      </w:r>
      <w:r w:rsidRPr="00577D56">
        <w:t xml:space="preserve"> proyectos de inversión no motivados en la atención de demanda que ocasionan la instalación de nuevos activos.</w:t>
      </w:r>
    </w:p>
    <w:p w:rsidR="00D70E3B" w:rsidRPr="00577D56" w:rsidRDefault="00D70E3B" w:rsidP="00D70E3B">
      <w:r w:rsidRPr="00577D56">
        <w:t>El OR debe asignar cada uno de los proyectos de inversión a los tipos señalados anteriormente.</w:t>
      </w:r>
    </w:p>
    <w:p w:rsidR="00D70E3B" w:rsidRPr="00577D56" w:rsidRDefault="00D70E3B" w:rsidP="00D70E3B">
      <w:pPr>
        <w:pStyle w:val="Ttulo2"/>
      </w:pPr>
      <w:bookmarkStart w:id="662" w:name="_Toc408493190"/>
      <w:bookmarkStart w:id="663" w:name="_Toc440029137"/>
      <w:bookmarkStart w:id="664" w:name="_Toc460840626"/>
      <w:bookmarkStart w:id="665" w:name="_Toc504809456"/>
      <w:bookmarkStart w:id="666" w:name="_Ref505067698"/>
      <w:bookmarkStart w:id="667" w:name="_Ref505069335"/>
      <w:bookmarkStart w:id="668" w:name="_Toc505335964"/>
      <w:r w:rsidRPr="00577D56">
        <w:t>Criterios de generales</w:t>
      </w:r>
      <w:bookmarkEnd w:id="662"/>
      <w:bookmarkEnd w:id="663"/>
      <w:bookmarkEnd w:id="664"/>
      <w:bookmarkEnd w:id="665"/>
      <w:bookmarkEnd w:id="666"/>
      <w:bookmarkEnd w:id="667"/>
      <w:bookmarkEnd w:id="668"/>
    </w:p>
    <w:p w:rsidR="00D70E3B" w:rsidRPr="00577D56" w:rsidRDefault="00D70E3B" w:rsidP="00D70E3B">
      <w:pPr>
        <w:rPr>
          <w:lang w:val="es-CO"/>
        </w:rPr>
      </w:pPr>
      <w:r w:rsidRPr="00577D56">
        <w:rPr>
          <w:lang w:val="es-CO"/>
        </w:rPr>
        <w:t>Los criterios generales que el OR debe aplicar para la formulación y presentación del plan de inversión son los siguientes:</w:t>
      </w:r>
    </w:p>
    <w:p w:rsidR="00D70E3B" w:rsidRPr="00577D56" w:rsidRDefault="00D70E3B" w:rsidP="009C086B">
      <w:pPr>
        <w:pStyle w:val="Prrafodelista"/>
        <w:numPr>
          <w:ilvl w:val="0"/>
          <w:numId w:val="30"/>
        </w:numPr>
        <w:ind w:left="426" w:hanging="426"/>
      </w:pPr>
      <w:r w:rsidRPr="00577D56">
        <w:t xml:space="preserve">La identificación, evaluación de alternativas, valoración, priorización y ejecución de los proyectos de inversión es responsabilidad del OR. </w:t>
      </w:r>
    </w:p>
    <w:p w:rsidR="00D70E3B" w:rsidRPr="00577D56" w:rsidRDefault="00D70E3B" w:rsidP="009C086B">
      <w:pPr>
        <w:pStyle w:val="Prrafodelista"/>
        <w:numPr>
          <w:ilvl w:val="0"/>
          <w:numId w:val="30"/>
        </w:numPr>
        <w:ind w:left="426" w:hanging="426"/>
      </w:pPr>
      <w:r w:rsidRPr="00577D56">
        <w:t>En el plan de inversión se debe analizar, cuantificar y valorar las necesidades de los usuarios y del mercado de comercialización atendido por el OR. Así como las diferentes alternativas consideradas para la solución de las necesidades identificadas.</w:t>
      </w:r>
    </w:p>
    <w:p w:rsidR="00D70E3B" w:rsidRPr="00577D56" w:rsidRDefault="00D70E3B" w:rsidP="009C086B">
      <w:pPr>
        <w:pStyle w:val="Prrafodelista"/>
        <w:numPr>
          <w:ilvl w:val="0"/>
          <w:numId w:val="30"/>
        </w:numPr>
        <w:ind w:left="426" w:hanging="426"/>
      </w:pPr>
      <w:r w:rsidRPr="00577D56">
        <w:t xml:space="preserve">El horizonte de planeación del plan de inversión es de largo plazo (diez años) y los proyectos de inversión incluidos en la solicitud de remuneración deben corresponder a aquellos en un horizonte de ejecución de mediano plazo (cinco años). </w:t>
      </w:r>
    </w:p>
    <w:p w:rsidR="00D70E3B" w:rsidRPr="00577D56" w:rsidRDefault="00D70E3B" w:rsidP="009C086B">
      <w:pPr>
        <w:pStyle w:val="Prrafodelista"/>
        <w:numPr>
          <w:ilvl w:val="0"/>
          <w:numId w:val="30"/>
        </w:numPr>
        <w:ind w:left="426" w:hanging="426"/>
      </w:pPr>
      <w:r w:rsidRPr="00577D56">
        <w:t>Todos los proyectos incluidos en el plan deben permitir el cumplimiento de las metas propuestas por los OR en los horizontes de planeación señalados.</w:t>
      </w:r>
    </w:p>
    <w:p w:rsidR="00D70E3B" w:rsidRPr="00577D56" w:rsidRDefault="00D70E3B" w:rsidP="009C086B">
      <w:pPr>
        <w:pStyle w:val="Prrafodelista"/>
        <w:numPr>
          <w:ilvl w:val="0"/>
          <w:numId w:val="30"/>
        </w:numPr>
        <w:ind w:left="426" w:hanging="426"/>
      </w:pPr>
      <w:r w:rsidRPr="00577D56">
        <w:t>Las metas que se tracen los OR para la expansión, reposición, calidad del servicio y reducción y mantenimiento de los niveles de pérdidas deben ser alcanzables en el horizonte de tiempo del plan y deben corresponder con la situación actual y futura del mercado de comercialización.</w:t>
      </w:r>
    </w:p>
    <w:p w:rsidR="00D70E3B" w:rsidRPr="00577D56" w:rsidRDefault="00D70E3B" w:rsidP="009C086B">
      <w:pPr>
        <w:pStyle w:val="Prrafodelista"/>
        <w:numPr>
          <w:ilvl w:val="0"/>
          <w:numId w:val="30"/>
        </w:numPr>
        <w:ind w:left="426" w:hanging="426"/>
      </w:pPr>
      <w:r w:rsidRPr="00577D56">
        <w:t xml:space="preserve">Los planes deben ser flexibles y adaptables a la evolución del mercado de comercialización, además deben considerar los riesgos potenciales y las acciones para mitigarlos.   </w:t>
      </w:r>
    </w:p>
    <w:p w:rsidR="00D70E3B" w:rsidRPr="00577D56" w:rsidRDefault="00D70E3B" w:rsidP="009C086B">
      <w:pPr>
        <w:pStyle w:val="Prrafodelista"/>
        <w:numPr>
          <w:ilvl w:val="0"/>
          <w:numId w:val="30"/>
        </w:numPr>
        <w:spacing w:before="280"/>
        <w:ind w:left="425" w:hanging="425"/>
      </w:pPr>
      <w:r w:rsidRPr="00577D56">
        <w:t>El plan de inversión debe identificar y valorar los beneficios esperados y los costos asociados.</w:t>
      </w:r>
    </w:p>
    <w:p w:rsidR="00D70E3B" w:rsidRPr="00577D56" w:rsidRDefault="00D70E3B" w:rsidP="009C086B">
      <w:pPr>
        <w:pStyle w:val="Prrafodelista"/>
        <w:numPr>
          <w:ilvl w:val="0"/>
          <w:numId w:val="30"/>
        </w:numPr>
        <w:spacing w:before="280"/>
        <w:ind w:left="425" w:hanging="425"/>
      </w:pPr>
      <w:r w:rsidRPr="00577D56">
        <w:lastRenderedPageBreak/>
        <w:t>Los proyectos deben contar con una relación beneficio - costo superior a uno, con base en los criterios y metodología definidos por el OR para la evaluación de sus proyectos.</w:t>
      </w:r>
    </w:p>
    <w:p w:rsidR="00D70E3B" w:rsidRPr="00577D56" w:rsidRDefault="00D70E3B" w:rsidP="009C086B">
      <w:pPr>
        <w:pStyle w:val="Prrafodelista"/>
        <w:numPr>
          <w:ilvl w:val="0"/>
          <w:numId w:val="30"/>
        </w:numPr>
        <w:spacing w:before="280"/>
        <w:ind w:left="425" w:hanging="425"/>
      </w:pPr>
      <w:r w:rsidRPr="00577D56">
        <w:t>El plan de inversión debe ser económicamente eficiente y conducir a garantizar la prestación del servicio al menor costo económico en el mediano y largo plazo.</w:t>
      </w:r>
    </w:p>
    <w:p w:rsidR="00D70E3B" w:rsidRPr="00577D56" w:rsidRDefault="00D70E3B" w:rsidP="009C086B">
      <w:pPr>
        <w:pStyle w:val="Prrafodelista"/>
        <w:numPr>
          <w:ilvl w:val="0"/>
          <w:numId w:val="30"/>
        </w:numPr>
        <w:spacing w:before="280"/>
        <w:ind w:left="425" w:hanging="425"/>
      </w:pPr>
      <w:r w:rsidRPr="00577D56">
        <w:t>El OR debe cumplir los requisitos para los planes de expansión establecidos en la Resolución CREG 070 de 1998 o aquella que la adicione, modifique o sustituya.</w:t>
      </w:r>
    </w:p>
    <w:p w:rsidR="00D70E3B" w:rsidRPr="00577D56" w:rsidRDefault="00D70E3B" w:rsidP="009C086B">
      <w:pPr>
        <w:pStyle w:val="Prrafodelista"/>
        <w:numPr>
          <w:ilvl w:val="0"/>
          <w:numId w:val="30"/>
        </w:numPr>
        <w:spacing w:before="280"/>
        <w:ind w:left="425" w:hanging="425"/>
      </w:pPr>
      <w:r w:rsidRPr="00577D56">
        <w:t>El plan debe ser viable ambientalmente y considerar el impacto por la aplicación de la Ley 1715 de 2014.</w:t>
      </w:r>
    </w:p>
    <w:p w:rsidR="00D70E3B" w:rsidRPr="00577D56" w:rsidRDefault="00D70E3B" w:rsidP="009C086B">
      <w:pPr>
        <w:pStyle w:val="Prrafodelista"/>
        <w:numPr>
          <w:ilvl w:val="0"/>
          <w:numId w:val="30"/>
        </w:numPr>
        <w:spacing w:before="280"/>
        <w:ind w:left="425" w:hanging="425"/>
      </w:pPr>
      <w:r w:rsidRPr="00577D56">
        <w:t>Las inversiones deben incluir únicamente activos de uso.</w:t>
      </w:r>
    </w:p>
    <w:p w:rsidR="00D70E3B" w:rsidRPr="00577D56" w:rsidRDefault="00D70E3B" w:rsidP="009C086B">
      <w:pPr>
        <w:pStyle w:val="Prrafodelista"/>
        <w:numPr>
          <w:ilvl w:val="0"/>
          <w:numId w:val="30"/>
        </w:numPr>
        <w:spacing w:before="280"/>
        <w:ind w:left="425" w:hanging="425"/>
      </w:pPr>
      <w:r w:rsidRPr="00577D56">
        <w:t>El plan de inversiones no debe incluir activos empleados exclusivamente para la prestación del servicio de alumbrado público.</w:t>
      </w:r>
    </w:p>
    <w:p w:rsidR="00D70E3B" w:rsidRPr="00577D56" w:rsidRDefault="00D70E3B" w:rsidP="009C086B">
      <w:pPr>
        <w:pStyle w:val="Prrafodelista"/>
        <w:numPr>
          <w:ilvl w:val="0"/>
          <w:numId w:val="30"/>
        </w:numPr>
        <w:spacing w:before="280"/>
        <w:ind w:left="425" w:hanging="425"/>
      </w:pPr>
      <w:r w:rsidRPr="00577D56">
        <w:t xml:space="preserve">El OR podrá incluir en el plan de inversión unidades constructivas especiales para lo cual debe dar aplicación a lo señalado en el capítulo </w:t>
      </w:r>
      <w:r w:rsidRPr="00577D56">
        <w:fldChar w:fldCharType="begin"/>
      </w:r>
      <w:r w:rsidRPr="00577D56">
        <w:instrText xml:space="preserve"> REF _Ref465980237 \r \h \t \* MERGEFORMAT </w:instrText>
      </w:r>
      <w:r w:rsidRPr="00577D56">
        <w:fldChar w:fldCharType="separate"/>
      </w:r>
      <w:r w:rsidR="00737178">
        <w:t>14</w:t>
      </w:r>
      <w:r w:rsidRPr="00577D56">
        <w:fldChar w:fldCharType="end"/>
      </w:r>
      <w:r w:rsidRPr="00577D56">
        <w:t xml:space="preserve"> . </w:t>
      </w:r>
    </w:p>
    <w:p w:rsidR="00D70E3B" w:rsidRPr="00577D56" w:rsidRDefault="00D70E3B" w:rsidP="009C086B">
      <w:pPr>
        <w:pStyle w:val="Prrafodelista"/>
        <w:numPr>
          <w:ilvl w:val="0"/>
          <w:numId w:val="30"/>
        </w:numPr>
        <w:spacing w:before="280"/>
        <w:ind w:left="425" w:hanging="425"/>
      </w:pPr>
      <w:r w:rsidRPr="00577D56">
        <w:t>El plan debe identificar, cuantificar y excluir de la valoración los proyectos, bienes o derechos que no deban incluirse en el cálculo de las tarifas en los términos del artículo 87 numeral 87.9 de la Ley 142 de 1994, en los términos que haya sido modificado por el artículo 99 de la Ley 1450 de 2011 o por aquella que lo modifique, adicione o sustituya.</w:t>
      </w:r>
    </w:p>
    <w:p w:rsidR="00D70E3B" w:rsidRPr="00577D56" w:rsidRDefault="00D70E3B" w:rsidP="009C086B">
      <w:pPr>
        <w:pStyle w:val="Prrafodelista"/>
        <w:numPr>
          <w:ilvl w:val="0"/>
          <w:numId w:val="30"/>
        </w:numPr>
        <w:spacing w:before="280"/>
        <w:ind w:left="425" w:hanging="425"/>
      </w:pPr>
      <w:r w:rsidRPr="00577D56">
        <w:t>El OR debe incluir en el plan de inversión los activos necesarios para la implementación y certificación de un sistema de gestión de activos acorde con la norma ISO 55001 en un plazo de cinco (5) años contados a partir de la entrada en vigencia de la presente resolución.</w:t>
      </w:r>
    </w:p>
    <w:p w:rsidR="00D70E3B" w:rsidRPr="00577D56" w:rsidRDefault="00D70E3B" w:rsidP="009C086B">
      <w:pPr>
        <w:pStyle w:val="Prrafodelista"/>
        <w:numPr>
          <w:ilvl w:val="0"/>
          <w:numId w:val="30"/>
        </w:numPr>
        <w:spacing w:before="280"/>
        <w:ind w:left="425" w:hanging="425"/>
      </w:pPr>
      <w:r w:rsidRPr="00577D56">
        <w:t xml:space="preserve">Las inversiones Tipo I y II que se realicen en el STR debe tener la aprobación de la UPME de acuerdo con lo establecido en el numeral </w:t>
      </w:r>
      <w:r w:rsidRPr="00577D56">
        <w:fldChar w:fldCharType="begin"/>
      </w:r>
      <w:r w:rsidRPr="00577D56">
        <w:instrText xml:space="preserve"> REF _Ref461031285 \r \h  \* MERGEFORMAT </w:instrText>
      </w:r>
      <w:r w:rsidRPr="00577D56">
        <w:fldChar w:fldCharType="separate"/>
      </w:r>
      <w:r w:rsidR="00737178">
        <w:t>6.3.4</w:t>
      </w:r>
      <w:r w:rsidRPr="00577D56">
        <w:fldChar w:fldCharType="end"/>
      </w:r>
      <w:r w:rsidRPr="00577D56">
        <w:t>.</w:t>
      </w:r>
    </w:p>
    <w:p w:rsidR="00D70E3B" w:rsidRPr="00577D56" w:rsidRDefault="00D70E3B" w:rsidP="009C086B">
      <w:pPr>
        <w:pStyle w:val="Prrafodelista"/>
        <w:numPr>
          <w:ilvl w:val="0"/>
          <w:numId w:val="30"/>
        </w:numPr>
        <w:spacing w:before="280"/>
        <w:ind w:left="425" w:hanging="425"/>
      </w:pPr>
      <w:r w:rsidRPr="00577D56">
        <w:t xml:space="preserve">El plan de inversión debe ser integral y en ese sentido debe incluir todos los niveles de </w:t>
      </w:r>
      <w:r w:rsidR="00CC1B43" w:rsidRPr="00577D56">
        <w:t>tensión</w:t>
      </w:r>
      <w:r w:rsidRPr="00577D56">
        <w:t xml:space="preserve"> del sistema que opera el OR. No se pueden presentar planes parciales por nivel.       </w:t>
      </w:r>
    </w:p>
    <w:p w:rsidR="00D70E3B" w:rsidRPr="00577D56" w:rsidRDefault="00D70E3B" w:rsidP="00D70E3B">
      <w:pPr>
        <w:pStyle w:val="Ttulo2"/>
      </w:pPr>
      <w:bookmarkStart w:id="669" w:name="_Ref404240307"/>
      <w:bookmarkStart w:id="670" w:name="_Toc408493191"/>
      <w:bookmarkStart w:id="671" w:name="_Toc440029138"/>
      <w:bookmarkStart w:id="672" w:name="_Toc460840627"/>
      <w:bookmarkStart w:id="673" w:name="_Toc504809457"/>
      <w:bookmarkStart w:id="674" w:name="_Toc505335965"/>
      <w:r w:rsidRPr="00577D56">
        <w:t>Presentación de los planes de inversión</w:t>
      </w:r>
      <w:bookmarkEnd w:id="669"/>
      <w:bookmarkEnd w:id="670"/>
      <w:bookmarkEnd w:id="671"/>
      <w:bookmarkEnd w:id="672"/>
      <w:bookmarkEnd w:id="673"/>
      <w:bookmarkEnd w:id="674"/>
    </w:p>
    <w:p w:rsidR="00D70E3B" w:rsidRPr="00577D56" w:rsidRDefault="00D70E3B" w:rsidP="00D70E3B">
      <w:pPr>
        <w:rPr>
          <w:lang w:val="es-CO"/>
        </w:rPr>
      </w:pPr>
      <w:r w:rsidRPr="00577D56">
        <w:rPr>
          <w:lang w:val="es-CO"/>
        </w:rPr>
        <w:t>En la solicitud de aprobación de ingresos y cargos para el siguiente periodo tarifario las empresas pueden optar por uno de los siguientes mecanismos:</w:t>
      </w:r>
    </w:p>
    <w:p w:rsidR="00D70E3B" w:rsidRPr="00577D56" w:rsidRDefault="00D70E3B" w:rsidP="009C086B">
      <w:pPr>
        <w:pStyle w:val="Prrafodelista"/>
        <w:numPr>
          <w:ilvl w:val="0"/>
          <w:numId w:val="28"/>
        </w:numPr>
      </w:pPr>
      <w:bookmarkStart w:id="675" w:name="_Ref405914650"/>
      <w:r w:rsidRPr="00577D56">
        <w:t>Presentación de un plan de inversiones, con un horizonte de cinco (5) años, con la solicitud de aprobación de cargos enviada a la Comisión.</w:t>
      </w:r>
      <w:bookmarkEnd w:id="675"/>
    </w:p>
    <w:p w:rsidR="00D70E3B" w:rsidRPr="00577D56" w:rsidRDefault="00D70E3B" w:rsidP="009C086B">
      <w:pPr>
        <w:pStyle w:val="Prrafodelista"/>
        <w:numPr>
          <w:ilvl w:val="0"/>
          <w:numId w:val="28"/>
        </w:numPr>
      </w:pPr>
      <w:bookmarkStart w:id="676" w:name="_Ref404240299"/>
      <w:bookmarkStart w:id="677" w:name="_Ref460919335"/>
      <w:r w:rsidRPr="00577D56">
        <w:t xml:space="preserve">Presentación de un plan de inversiones, con un horizonte de cuatro (4) años, dentro de los 6 a 9 meses siguientes a la expedición de esta resolución. En este caso, la </w:t>
      </w:r>
      <w:r w:rsidRPr="00577D56">
        <w:rPr>
          <w:i/>
        </w:rPr>
        <w:t>BRAEN</w:t>
      </w:r>
      <w:r w:rsidRPr="00577D56">
        <w:rPr>
          <w:i/>
          <w:vertAlign w:val="subscript"/>
        </w:rPr>
        <w:t>j,n,t</w:t>
      </w:r>
      <w:r w:rsidRPr="00577D56">
        <w:t xml:space="preserve">, para el primer año del periodo tarifario se calcula de acuerdo con lo establecido en el numeral </w:t>
      </w:r>
      <w:r w:rsidRPr="00577D56">
        <w:fldChar w:fldCharType="begin"/>
      </w:r>
      <w:r w:rsidRPr="00577D56">
        <w:instrText xml:space="preserve"> REF _Ref443918943 \r \h  \* MERGEFORMAT </w:instrText>
      </w:r>
      <w:r w:rsidRPr="00577D56">
        <w:fldChar w:fldCharType="separate"/>
      </w:r>
      <w:r w:rsidR="00737178">
        <w:t>3.1.1.2.2</w:t>
      </w:r>
      <w:r w:rsidRPr="00577D56">
        <w:fldChar w:fldCharType="end"/>
      </w:r>
      <w:bookmarkEnd w:id="676"/>
      <w:r w:rsidRPr="00577D56">
        <w:t>.</w:t>
      </w:r>
      <w:bookmarkEnd w:id="677"/>
      <w:r w:rsidRPr="00577D56">
        <w:t xml:space="preserve"> </w:t>
      </w:r>
    </w:p>
    <w:p w:rsidR="00D70E3B" w:rsidRPr="00577D56" w:rsidRDefault="00D70E3B" w:rsidP="00D70E3B">
      <w:r w:rsidRPr="00577D56">
        <w:lastRenderedPageBreak/>
        <w:t>El OR en su solicitud de cargos debe indicar a que mecanismo se acoge.</w:t>
      </w:r>
    </w:p>
    <w:p w:rsidR="00D70E3B" w:rsidRPr="00577D56" w:rsidRDefault="00D70E3B" w:rsidP="00D70E3B">
      <w:r w:rsidRPr="00577D56">
        <w:t xml:space="preserve">En caso que el OR no presente su plan de inversión en los plazos establecidos en los literales </w:t>
      </w:r>
      <w:r w:rsidRPr="00577D56">
        <w:fldChar w:fldCharType="begin"/>
      </w:r>
      <w:r w:rsidRPr="00577D56">
        <w:instrText xml:space="preserve"> REF _Ref405914650 \r \h  \* MERGEFORMAT </w:instrText>
      </w:r>
      <w:r w:rsidRPr="00577D56">
        <w:fldChar w:fldCharType="separate"/>
      </w:r>
      <w:r w:rsidR="00737178">
        <w:t>a</w:t>
      </w:r>
      <w:r w:rsidRPr="00577D56">
        <w:fldChar w:fldCharType="end"/>
      </w:r>
      <w:r w:rsidRPr="00577D56">
        <w:t xml:space="preserve">) y </w:t>
      </w:r>
      <w:r w:rsidRPr="00577D56">
        <w:fldChar w:fldCharType="begin"/>
      </w:r>
      <w:r w:rsidRPr="00577D56">
        <w:instrText xml:space="preserve"> REF _Ref460919335 \r \h  \* MERGEFORMAT </w:instrText>
      </w:r>
      <w:r w:rsidRPr="00577D56">
        <w:fldChar w:fldCharType="separate"/>
      </w:r>
      <w:r w:rsidR="00737178">
        <w:t>b</w:t>
      </w:r>
      <w:r w:rsidRPr="00577D56">
        <w:fldChar w:fldCharType="end"/>
      </w:r>
      <w:r w:rsidRPr="00577D56">
        <w:t>) de este numeral se considera que hay un incumplimiento a la regulación y una posible afectación de la calidad, seguridad y confiabilidad del STN, STR o SDL. La Comisión procederá a informar a la SSPD para lo de su competencia.</w:t>
      </w:r>
    </w:p>
    <w:p w:rsidR="00D70E3B" w:rsidRPr="00577D56" w:rsidRDefault="00D70E3B" w:rsidP="00D70E3B">
      <w:pPr>
        <w:pStyle w:val="Ttulo2"/>
      </w:pPr>
      <w:bookmarkStart w:id="678" w:name="_Toc408493192"/>
      <w:bookmarkStart w:id="679" w:name="_Toc440029139"/>
      <w:bookmarkStart w:id="680" w:name="_Ref440362621"/>
      <w:bookmarkStart w:id="681" w:name="_Toc460840628"/>
      <w:bookmarkStart w:id="682" w:name="_Toc504809458"/>
      <w:bookmarkStart w:id="683" w:name="_Ref505067700"/>
      <w:bookmarkStart w:id="684" w:name="_Ref505069347"/>
      <w:bookmarkStart w:id="685" w:name="_Toc505335966"/>
      <w:r w:rsidRPr="00577D56">
        <w:t>Contenido de los planes de inversión</w:t>
      </w:r>
      <w:bookmarkEnd w:id="678"/>
      <w:bookmarkEnd w:id="679"/>
      <w:bookmarkEnd w:id="680"/>
      <w:bookmarkEnd w:id="681"/>
      <w:bookmarkEnd w:id="682"/>
      <w:bookmarkEnd w:id="683"/>
      <w:bookmarkEnd w:id="684"/>
      <w:bookmarkEnd w:id="685"/>
    </w:p>
    <w:p w:rsidR="00D70E3B" w:rsidRPr="00577D56" w:rsidRDefault="00D70E3B" w:rsidP="00D70E3B">
      <w:pPr>
        <w:rPr>
          <w:lang w:val="es-CO"/>
        </w:rPr>
      </w:pPr>
      <w:r w:rsidRPr="00577D56">
        <w:rPr>
          <w:lang w:val="es-CO"/>
        </w:rPr>
        <w:t xml:space="preserve">Los OR deben presentar un plan de inversiones para el periodo 2019 - </w:t>
      </w:r>
      <w:r w:rsidR="00CC1B43" w:rsidRPr="00577D56">
        <w:rPr>
          <w:lang w:val="es-CO"/>
        </w:rPr>
        <w:t>2023 indicando</w:t>
      </w:r>
      <w:r w:rsidRPr="00577D56">
        <w:rPr>
          <w:lang w:val="es-CO"/>
        </w:rPr>
        <w:t xml:space="preserve"> para cada año los proyectos de inversión que se acometerán. Los proyectos deben agruparse en los tipos de inversión indicados en este capítulo. </w:t>
      </w:r>
    </w:p>
    <w:p w:rsidR="00D70E3B" w:rsidRPr="00577D56" w:rsidRDefault="00D70E3B" w:rsidP="00D70E3B">
      <w:pPr>
        <w:rPr>
          <w:lang w:val="es-CO"/>
        </w:rPr>
      </w:pPr>
      <w:r w:rsidRPr="00577D56">
        <w:rPr>
          <w:lang w:val="es-CO"/>
        </w:rPr>
        <w:t xml:space="preserve">El costo total de cada tipo de inversión debe ser expresado como un porcentaje del costo de reposición de referencia, </w:t>
      </w:r>
      <w:r w:rsidRPr="00577D56">
        <w:rPr>
          <w:i/>
        </w:rPr>
        <w:t>CRR</w:t>
      </w:r>
      <w:r w:rsidRPr="00577D56">
        <w:rPr>
          <w:i/>
          <w:vertAlign w:val="subscript"/>
        </w:rPr>
        <w:t>j</w:t>
      </w:r>
      <w:r w:rsidRPr="00577D56">
        <w:rPr>
          <w:lang w:val="es-ES_tradnl"/>
        </w:rPr>
        <w:t xml:space="preserve">, </w:t>
      </w:r>
      <w:r w:rsidRPr="00577D56">
        <w:rPr>
          <w:lang w:val="es-CO"/>
        </w:rPr>
        <w:t xml:space="preserve">del numeral </w:t>
      </w:r>
      <w:r w:rsidRPr="00577D56">
        <w:rPr>
          <w:lang w:val="es-CO"/>
        </w:rPr>
        <w:fldChar w:fldCharType="begin"/>
      </w:r>
      <w:r w:rsidRPr="00577D56">
        <w:rPr>
          <w:lang w:val="es-CO"/>
        </w:rPr>
        <w:instrText xml:space="preserve"> REF _Ref461013047 \r \h  \* MERGEFORMAT </w:instrText>
      </w:r>
      <w:r w:rsidRPr="00577D56">
        <w:rPr>
          <w:lang w:val="es-CO"/>
        </w:rPr>
      </w:r>
      <w:r w:rsidRPr="00577D56">
        <w:rPr>
          <w:lang w:val="es-CO"/>
        </w:rPr>
        <w:fldChar w:fldCharType="separate"/>
      </w:r>
      <w:r w:rsidR="00737178">
        <w:rPr>
          <w:lang w:val="es-CO"/>
        </w:rPr>
        <w:t>6.4.2</w:t>
      </w:r>
      <w:r w:rsidRPr="00577D56">
        <w:rPr>
          <w:lang w:val="es-CO"/>
        </w:rPr>
        <w:fldChar w:fldCharType="end"/>
      </w:r>
      <w:r w:rsidRPr="00577D56">
        <w:rPr>
          <w:lang w:val="es-CO"/>
        </w:rPr>
        <w:t xml:space="preserve">. </w:t>
      </w:r>
    </w:p>
    <w:p w:rsidR="00D70E3B" w:rsidRPr="00577D56" w:rsidRDefault="00D70E3B" w:rsidP="00D70E3B">
      <w:pPr>
        <w:rPr>
          <w:lang w:val="es-ES_tradnl"/>
        </w:rPr>
      </w:pPr>
      <w:r w:rsidRPr="00577D56">
        <w:t xml:space="preserve">El plan debe incluir como mínimo la información y los análisis solicitados en los numerales </w:t>
      </w:r>
      <w:r w:rsidRPr="00577D56">
        <w:fldChar w:fldCharType="begin"/>
      </w:r>
      <w:r w:rsidRPr="00577D56">
        <w:instrText xml:space="preserve"> REF _Ref440362527 \r \h  \* MERGEFORMAT </w:instrText>
      </w:r>
      <w:r w:rsidRPr="00577D56">
        <w:fldChar w:fldCharType="separate"/>
      </w:r>
      <w:r w:rsidR="00737178">
        <w:t>6.3.1</w:t>
      </w:r>
      <w:r w:rsidRPr="00577D56">
        <w:fldChar w:fldCharType="end"/>
      </w:r>
      <w:r w:rsidRPr="00577D56">
        <w:t xml:space="preserve">, </w:t>
      </w:r>
      <w:r w:rsidRPr="00577D56">
        <w:fldChar w:fldCharType="begin"/>
      </w:r>
      <w:r w:rsidRPr="00577D56">
        <w:instrText xml:space="preserve"> REF _Ref440362531 \r \h  \* MERGEFORMAT </w:instrText>
      </w:r>
      <w:r w:rsidRPr="00577D56">
        <w:fldChar w:fldCharType="separate"/>
      </w:r>
      <w:r w:rsidR="00737178">
        <w:t>6.3.2</w:t>
      </w:r>
      <w:r w:rsidRPr="00577D56">
        <w:fldChar w:fldCharType="end"/>
      </w:r>
      <w:r w:rsidRPr="00577D56">
        <w:t xml:space="preserve"> y </w:t>
      </w:r>
      <w:r w:rsidRPr="00577D56">
        <w:fldChar w:fldCharType="begin"/>
      </w:r>
      <w:r w:rsidRPr="00577D56">
        <w:instrText xml:space="preserve"> REF _Ref440362536 \r \h  \* MERGEFORMAT </w:instrText>
      </w:r>
      <w:r w:rsidRPr="00577D56">
        <w:fldChar w:fldCharType="separate"/>
      </w:r>
      <w:r w:rsidR="00737178">
        <w:t>6.3.3</w:t>
      </w:r>
      <w:r w:rsidRPr="00577D56">
        <w:fldChar w:fldCharType="end"/>
      </w:r>
      <w:r w:rsidRPr="00577D56">
        <w:t>.</w:t>
      </w:r>
    </w:p>
    <w:p w:rsidR="00D70E3B" w:rsidRPr="00577D56" w:rsidRDefault="00D70E3B" w:rsidP="00D70E3B">
      <w:pPr>
        <w:rPr>
          <w:lang w:val="es-ES_tradnl"/>
        </w:rPr>
      </w:pPr>
      <w:r w:rsidRPr="00577D56">
        <w:rPr>
          <w:lang w:val="es-ES_tradnl"/>
        </w:rPr>
        <w:t>El OR debe presentar un cronograma general de las inversiones a realizar y su ubicación geográfica a nivel de municipio.</w:t>
      </w:r>
    </w:p>
    <w:p w:rsidR="00D70E3B" w:rsidRPr="00577D56" w:rsidRDefault="00D70E3B" w:rsidP="00D70E3B">
      <w:pPr>
        <w:rPr>
          <w:lang w:val="es-CO"/>
        </w:rPr>
      </w:pPr>
      <w:r w:rsidRPr="00577D56">
        <w:rPr>
          <w:lang w:val="es-CO"/>
        </w:rPr>
        <w:t xml:space="preserve">Los elementos y aspectos que debe contener el resumen del plan de inversión, </w:t>
      </w:r>
      <w:r w:rsidR="00CC1B43" w:rsidRPr="00577D56">
        <w:rPr>
          <w:lang w:val="es-CO"/>
        </w:rPr>
        <w:t>así</w:t>
      </w:r>
      <w:r w:rsidRPr="00577D56">
        <w:rPr>
          <w:lang w:val="es-CO"/>
        </w:rPr>
        <w:t xml:space="preserve"> como los requisitos detallados y los formatos de reporte que presente el OR se definirán de acuerdo con lo señalado en el artículo </w:t>
      </w:r>
      <w:r w:rsidRPr="00577D56">
        <w:rPr>
          <w:lang w:val="es-CO"/>
        </w:rPr>
        <w:fldChar w:fldCharType="begin"/>
      </w:r>
      <w:r w:rsidRPr="00577D56">
        <w:rPr>
          <w:lang w:val="es-CO"/>
        </w:rPr>
        <w:instrText xml:space="preserve"> REF _Ref476757639 \r \h \t  \* MERGEFORMAT </w:instrText>
      </w:r>
      <w:r w:rsidRPr="00577D56">
        <w:rPr>
          <w:lang w:val="es-CO"/>
        </w:rPr>
      </w:r>
      <w:r w:rsidRPr="00577D56">
        <w:rPr>
          <w:lang w:val="es-CO"/>
        </w:rPr>
        <w:fldChar w:fldCharType="separate"/>
      </w:r>
      <w:r w:rsidR="00737178">
        <w:rPr>
          <w:lang w:val="es-CO"/>
        </w:rPr>
        <w:t>5</w:t>
      </w:r>
      <w:r w:rsidRPr="00577D56">
        <w:rPr>
          <w:lang w:val="es-CO"/>
        </w:rPr>
        <w:fldChar w:fldCharType="end"/>
      </w:r>
      <w:r w:rsidRPr="00577D56">
        <w:rPr>
          <w:lang w:val="es-CO"/>
        </w:rPr>
        <w:t xml:space="preserve"> de la presente resolución. </w:t>
      </w:r>
    </w:p>
    <w:p w:rsidR="00D70E3B" w:rsidRPr="00577D56" w:rsidRDefault="00D70E3B" w:rsidP="00D70E3B">
      <w:pPr>
        <w:pStyle w:val="Ttulo3"/>
      </w:pPr>
      <w:bookmarkStart w:id="686" w:name="_Toc440029140"/>
      <w:bookmarkStart w:id="687" w:name="_Ref440362527"/>
      <w:bookmarkStart w:id="688" w:name="_Toc460840629"/>
      <w:bookmarkStart w:id="689" w:name="_Toc504809459"/>
      <w:bookmarkStart w:id="690" w:name="_Toc505335967"/>
      <w:bookmarkStart w:id="691" w:name="_Toc408493193"/>
      <w:r w:rsidRPr="00577D56">
        <w:t>Diagnostico</w:t>
      </w:r>
      <w:bookmarkEnd w:id="686"/>
      <w:bookmarkEnd w:id="687"/>
      <w:bookmarkEnd w:id="688"/>
      <w:bookmarkEnd w:id="689"/>
      <w:bookmarkEnd w:id="690"/>
    </w:p>
    <w:p w:rsidR="00D70E3B" w:rsidRPr="00577D56" w:rsidRDefault="00D70E3B" w:rsidP="00D70E3B">
      <w:r w:rsidRPr="00577D56">
        <w:t>El diagnóstico del STR y SDL debe incluir como mínimo los siguientes aspectos:</w:t>
      </w:r>
    </w:p>
    <w:p w:rsidR="00D70E3B" w:rsidRPr="00577D56" w:rsidRDefault="00D70E3B" w:rsidP="009C086B">
      <w:pPr>
        <w:pStyle w:val="Prrafodelista"/>
        <w:numPr>
          <w:ilvl w:val="0"/>
          <w:numId w:val="61"/>
        </w:numPr>
      </w:pPr>
      <w:r w:rsidRPr="00577D56">
        <w:t xml:space="preserve">Estadísticas descriptivas. </w:t>
      </w:r>
    </w:p>
    <w:p w:rsidR="00D70E3B" w:rsidRPr="00577D56" w:rsidRDefault="00D70E3B" w:rsidP="009C086B">
      <w:pPr>
        <w:pStyle w:val="Prrafodelista"/>
        <w:numPr>
          <w:ilvl w:val="0"/>
          <w:numId w:val="61"/>
        </w:numPr>
      </w:pPr>
      <w:r w:rsidRPr="00577D56">
        <w:t>Evolución de la demanda.</w:t>
      </w:r>
    </w:p>
    <w:p w:rsidR="00D70E3B" w:rsidRPr="00577D56" w:rsidRDefault="00D70E3B" w:rsidP="009C086B">
      <w:pPr>
        <w:pStyle w:val="Prrafodelista"/>
        <w:numPr>
          <w:ilvl w:val="0"/>
          <w:numId w:val="61"/>
        </w:numPr>
      </w:pPr>
      <w:r w:rsidRPr="00577D56">
        <w:t>Cargabilidad de los elementos del sistema.</w:t>
      </w:r>
    </w:p>
    <w:p w:rsidR="00D70E3B" w:rsidRPr="00577D56" w:rsidRDefault="00D70E3B" w:rsidP="009C086B">
      <w:pPr>
        <w:pStyle w:val="Prrafodelista"/>
        <w:numPr>
          <w:ilvl w:val="0"/>
          <w:numId w:val="61"/>
        </w:numPr>
      </w:pPr>
      <w:r w:rsidRPr="00577D56">
        <w:t>Capacidad de corto circuito.</w:t>
      </w:r>
    </w:p>
    <w:p w:rsidR="00D70E3B" w:rsidRPr="00577D56" w:rsidRDefault="00D70E3B" w:rsidP="009C086B">
      <w:pPr>
        <w:pStyle w:val="Prrafodelista"/>
        <w:numPr>
          <w:ilvl w:val="0"/>
          <w:numId w:val="61"/>
        </w:numPr>
      </w:pPr>
      <w:r w:rsidRPr="00577D56">
        <w:t>Posibilidades de ampliación y reconfiguración de subestaciones.</w:t>
      </w:r>
    </w:p>
    <w:p w:rsidR="00D70E3B" w:rsidRPr="00577D56" w:rsidRDefault="00D70E3B" w:rsidP="009C086B">
      <w:pPr>
        <w:pStyle w:val="Prrafodelista"/>
        <w:numPr>
          <w:ilvl w:val="0"/>
          <w:numId w:val="61"/>
        </w:numPr>
      </w:pPr>
      <w:r w:rsidRPr="00577D56">
        <w:t>Perfil de antigüedad de los activos.</w:t>
      </w:r>
    </w:p>
    <w:p w:rsidR="00D70E3B" w:rsidRPr="00577D56" w:rsidRDefault="00D70E3B" w:rsidP="009C086B">
      <w:pPr>
        <w:pStyle w:val="Prrafodelista"/>
        <w:numPr>
          <w:ilvl w:val="0"/>
          <w:numId w:val="61"/>
        </w:numPr>
      </w:pPr>
      <w:r w:rsidRPr="00577D56">
        <w:t>Nivel de obsolescencia de los equipos.</w:t>
      </w:r>
    </w:p>
    <w:p w:rsidR="00D70E3B" w:rsidRPr="00577D56" w:rsidRDefault="00D70E3B" w:rsidP="009C086B">
      <w:pPr>
        <w:pStyle w:val="Prrafodelista"/>
        <w:numPr>
          <w:ilvl w:val="0"/>
          <w:numId w:val="61"/>
        </w:numPr>
      </w:pPr>
      <w:r w:rsidRPr="00577D56">
        <w:t>Nivel de calidad del servicio.</w:t>
      </w:r>
    </w:p>
    <w:p w:rsidR="00D70E3B" w:rsidRPr="00577D56" w:rsidRDefault="00D70E3B" w:rsidP="009C086B">
      <w:pPr>
        <w:pStyle w:val="Prrafodelista"/>
        <w:numPr>
          <w:ilvl w:val="0"/>
          <w:numId w:val="61"/>
        </w:numPr>
      </w:pPr>
      <w:r w:rsidRPr="00577D56">
        <w:t>Sistemas de información y control.</w:t>
      </w:r>
    </w:p>
    <w:p w:rsidR="00D70E3B" w:rsidRPr="00577D56" w:rsidRDefault="00D70E3B" w:rsidP="00D70E3B">
      <w:pPr>
        <w:pStyle w:val="Ttulo3"/>
      </w:pPr>
      <w:bookmarkStart w:id="692" w:name="_Toc440029141"/>
      <w:bookmarkStart w:id="693" w:name="_Ref440362531"/>
      <w:bookmarkStart w:id="694" w:name="_Toc460840630"/>
      <w:bookmarkStart w:id="695" w:name="_Toc504809460"/>
      <w:bookmarkStart w:id="696" w:name="_Toc505335968"/>
      <w:r w:rsidRPr="00577D56">
        <w:rPr>
          <w:rFonts w:cs="Arial"/>
        </w:rPr>
        <w:t>Proyectos de inversión motivados en la atención de demanda</w:t>
      </w:r>
      <w:bookmarkEnd w:id="692"/>
      <w:bookmarkEnd w:id="693"/>
      <w:bookmarkEnd w:id="694"/>
      <w:bookmarkEnd w:id="695"/>
      <w:bookmarkEnd w:id="696"/>
    </w:p>
    <w:p w:rsidR="00D70E3B" w:rsidRPr="00577D56" w:rsidRDefault="00D70E3B" w:rsidP="00D70E3B">
      <w:pPr>
        <w:rPr>
          <w:lang w:val="es-ES_tradnl"/>
        </w:rPr>
      </w:pPr>
      <w:r w:rsidRPr="00577D56">
        <w:rPr>
          <w:lang w:val="es-ES_tradnl"/>
        </w:rPr>
        <w:t>Los criterios y lineamientos que deben cumplir los OR para la definición, identificación de alternativas y priorización de las inversiones Tipo I y II incluidas en el plan de inversión son los siguientes:</w:t>
      </w:r>
    </w:p>
    <w:p w:rsidR="00D70E3B" w:rsidRPr="00577D56" w:rsidRDefault="00D70E3B" w:rsidP="009C086B">
      <w:pPr>
        <w:pStyle w:val="Prrafodelista"/>
        <w:numPr>
          <w:ilvl w:val="0"/>
          <w:numId w:val="62"/>
        </w:numPr>
        <w:rPr>
          <w:lang w:val="es-ES_tradnl"/>
        </w:rPr>
      </w:pPr>
      <w:r w:rsidRPr="00577D56">
        <w:rPr>
          <w:lang w:val="es-ES_tradnl"/>
        </w:rPr>
        <w:lastRenderedPageBreak/>
        <w:t>Los proyectos de inversión deben estar acordes con los requerimientos de política pública, el Plan Indicativo de Expansión de Cobertura de Energía Eléctrica, PIEC, y el Plan de Referencia de Generación – Transmisión.</w:t>
      </w:r>
    </w:p>
    <w:p w:rsidR="00D70E3B" w:rsidRPr="00577D56" w:rsidRDefault="00D70E3B" w:rsidP="009C086B">
      <w:pPr>
        <w:pStyle w:val="Prrafodelista"/>
        <w:numPr>
          <w:ilvl w:val="0"/>
          <w:numId w:val="62"/>
        </w:numPr>
        <w:rPr>
          <w:lang w:val="es-ES_tradnl"/>
        </w:rPr>
      </w:pPr>
      <w:r w:rsidRPr="00577D56">
        <w:rPr>
          <w:lang w:val="es-ES_tradnl"/>
        </w:rPr>
        <w:t xml:space="preserve">El OR debe emplear para la elaboración del plan de inversión los criterios señalados en el numeral 3.3 del anexo general de la Resolución 070 de 1998 o aquella que la modifique, adicione o sustituya. </w:t>
      </w:r>
    </w:p>
    <w:p w:rsidR="00D70E3B" w:rsidRPr="00577D56" w:rsidRDefault="00D70E3B" w:rsidP="009C086B">
      <w:pPr>
        <w:pStyle w:val="Prrafodelista"/>
        <w:numPr>
          <w:ilvl w:val="0"/>
          <w:numId w:val="62"/>
        </w:numPr>
        <w:rPr>
          <w:lang w:val="es-ES_tradnl"/>
        </w:rPr>
      </w:pPr>
      <w:r w:rsidRPr="00577D56">
        <w:rPr>
          <w:lang w:val="es-ES_tradnl"/>
        </w:rPr>
        <w:t xml:space="preserve">El OR debe analizar por lo menos tres escenarios de crecimiento de la demanda e identificar las inversiones requeridas en cada escenario. </w:t>
      </w:r>
    </w:p>
    <w:p w:rsidR="00D70E3B" w:rsidRPr="00577D56" w:rsidRDefault="00D70E3B" w:rsidP="009C086B">
      <w:pPr>
        <w:pStyle w:val="Prrafodelista"/>
        <w:numPr>
          <w:ilvl w:val="0"/>
          <w:numId w:val="62"/>
        </w:numPr>
        <w:rPr>
          <w:lang w:val="es-ES_tradnl"/>
        </w:rPr>
      </w:pPr>
      <w:r w:rsidRPr="00577D56">
        <w:rPr>
          <w:lang w:val="es-ES_tradnl"/>
        </w:rPr>
        <w:t>Se deben asociar a los proyectos de inversión del plan a los escenarios de crecimiento de la demanda e identificar cuales proyectos pueden ser pospuestos o adelantados si las proyecciones de demanda son reajustadas.</w:t>
      </w:r>
    </w:p>
    <w:p w:rsidR="00D70E3B" w:rsidRPr="00577D56" w:rsidRDefault="00D70E3B" w:rsidP="009C086B">
      <w:pPr>
        <w:pStyle w:val="Prrafodelista"/>
        <w:numPr>
          <w:ilvl w:val="0"/>
          <w:numId w:val="62"/>
        </w:numPr>
        <w:rPr>
          <w:lang w:val="es-ES_tradnl"/>
        </w:rPr>
      </w:pPr>
      <w:r w:rsidRPr="00577D56">
        <w:rPr>
          <w:lang w:val="es-ES_tradnl"/>
        </w:rPr>
        <w:t xml:space="preserve">Las inversiones incluidas en el plan deben responder a las necesidades de crecimiento de la demanda como principal criterio de identificación y priorización y ser coherente con las proyecciones de demanda y potencia de la UPME para el horizonte de análisis. </w:t>
      </w:r>
    </w:p>
    <w:p w:rsidR="00D70E3B" w:rsidRPr="00577D56" w:rsidRDefault="00D70E3B" w:rsidP="009C086B">
      <w:pPr>
        <w:pStyle w:val="Prrafodelista"/>
        <w:numPr>
          <w:ilvl w:val="0"/>
          <w:numId w:val="62"/>
        </w:numPr>
        <w:rPr>
          <w:lang w:val="es-ES_tradnl"/>
        </w:rPr>
      </w:pPr>
      <w:r w:rsidRPr="00577D56">
        <w:rPr>
          <w:lang w:val="es-ES_tradnl"/>
        </w:rPr>
        <w:t xml:space="preserve">La identificación particular de las alternativas de inversión se debe realizar a partir de modelos de ingeniera de los STR y SDL y análisis técnico – económicos. </w:t>
      </w:r>
    </w:p>
    <w:p w:rsidR="00D70E3B" w:rsidRPr="00577D56" w:rsidRDefault="00D70E3B" w:rsidP="009C086B">
      <w:pPr>
        <w:pStyle w:val="Prrafodelista"/>
        <w:numPr>
          <w:ilvl w:val="0"/>
          <w:numId w:val="62"/>
        </w:numPr>
        <w:rPr>
          <w:lang w:val="es-ES_tradnl"/>
        </w:rPr>
      </w:pPr>
      <w:r w:rsidRPr="00577D56">
        <w:rPr>
          <w:lang w:val="es-ES_tradnl"/>
        </w:rPr>
        <w:t>Para la determinación de los proyectos de expansión el OR deberá considerar por lo menos dos alternativas para la solución de las restricciones técnicas que identifique: cargabilidad de transformadores, líneas, niveles de tensión fuera de los rangos permitidos, confiabilidad, energía no suministrada, pérdidas de energía, entre otros.</w:t>
      </w:r>
    </w:p>
    <w:p w:rsidR="00D70E3B" w:rsidRPr="00577D56" w:rsidRDefault="00D70E3B" w:rsidP="009C086B">
      <w:pPr>
        <w:pStyle w:val="Prrafodelista"/>
        <w:numPr>
          <w:ilvl w:val="0"/>
          <w:numId w:val="62"/>
        </w:numPr>
        <w:rPr>
          <w:lang w:val="es-ES_tradnl"/>
        </w:rPr>
      </w:pPr>
      <w:r w:rsidRPr="00577D56">
        <w:rPr>
          <w:lang w:val="es-ES_tradnl"/>
        </w:rPr>
        <w:t xml:space="preserve">Para la atención de nueva demanda el OR debe clasificar los proyectos considerando si es nueva infraestructura o implica la reposición de infraestructura existente para ampliar su capacidad de atención de demanda. Se deben incluir los proyectos de ampliación de la capacidad existente o de instalación de nuevas subestaciones o líneas para la atención de nuevas cargas en el sistema en los niveles de tensión 4, 3 y 2.  </w:t>
      </w:r>
    </w:p>
    <w:p w:rsidR="00D70E3B" w:rsidRPr="00577D56" w:rsidRDefault="00D70E3B" w:rsidP="009C086B">
      <w:pPr>
        <w:pStyle w:val="Prrafodelista"/>
        <w:numPr>
          <w:ilvl w:val="0"/>
          <w:numId w:val="62"/>
        </w:numPr>
        <w:rPr>
          <w:lang w:val="es-ES_tradnl"/>
        </w:rPr>
      </w:pPr>
      <w:r w:rsidRPr="00577D56">
        <w:rPr>
          <w:lang w:val="es-ES_tradnl"/>
        </w:rPr>
        <w:t xml:space="preserve">En el caso del STR, los proyectos incluidos en el plan de inversión deben corresponder a aquellos identificados en el Plan de Expansión de Referencia Generación – Transmisión más reciente y para los cuales la UPME recomiende su ejecución y emita concepto de aprobación al OR. Adicionalmente, el OR debe haber manifestado su intención de realizarlos de acuerdo con lo señalado en la Resolución CREG 024 de 2013 o aquella que la modifique, adicione o sustituya. </w:t>
      </w:r>
    </w:p>
    <w:p w:rsidR="00D70E3B" w:rsidRPr="00577D56" w:rsidRDefault="00D70E3B" w:rsidP="009C086B">
      <w:pPr>
        <w:pStyle w:val="Prrafodelista"/>
        <w:numPr>
          <w:ilvl w:val="0"/>
          <w:numId w:val="62"/>
        </w:numPr>
        <w:rPr>
          <w:lang w:val="es-ES_tradnl"/>
        </w:rPr>
      </w:pPr>
      <w:r w:rsidRPr="00577D56">
        <w:rPr>
          <w:lang w:val="es-ES_tradnl"/>
        </w:rPr>
        <w:t>Los proyectos de inversión para el SDL deben ser consistentes con los proyectos identificados y aprobados para el STR y la infraestructura en operación en el sistema.</w:t>
      </w:r>
    </w:p>
    <w:p w:rsidR="00D70E3B" w:rsidRPr="00577D56" w:rsidRDefault="00D70E3B" w:rsidP="009C086B">
      <w:pPr>
        <w:pStyle w:val="Prrafodelista"/>
        <w:numPr>
          <w:ilvl w:val="0"/>
          <w:numId w:val="62"/>
        </w:numPr>
        <w:rPr>
          <w:lang w:val="es-ES_tradnl"/>
        </w:rPr>
      </w:pPr>
      <w:r w:rsidRPr="00577D56">
        <w:t>El OR debe considerar la probabilidad de atrasos en la ejecución de los proyectos por factores externos.</w:t>
      </w:r>
    </w:p>
    <w:p w:rsidR="00D70E3B" w:rsidRPr="00577D56" w:rsidRDefault="00D70E3B" w:rsidP="009C086B">
      <w:pPr>
        <w:pStyle w:val="Prrafodelista"/>
        <w:numPr>
          <w:ilvl w:val="0"/>
          <w:numId w:val="62"/>
        </w:numPr>
        <w:rPr>
          <w:lang w:val="es-ES_tradnl"/>
        </w:rPr>
      </w:pPr>
      <w:r w:rsidRPr="00577D56">
        <w:rPr>
          <w:lang w:val="es-ES_tradnl"/>
        </w:rPr>
        <w:t xml:space="preserve">El OR debe presentar un resumen de la metodología empleada para la determinación de las inversiones, el cual debe incluir: la metodología, </w:t>
      </w:r>
      <w:r w:rsidRPr="00577D56">
        <w:rPr>
          <w:lang w:val="es-ES_tradnl"/>
        </w:rPr>
        <w:lastRenderedPageBreak/>
        <w:t>requerimientos de información, información utilizada, supuestos, criterios de identificación de alternativas y principales variables empleadas.</w:t>
      </w:r>
    </w:p>
    <w:p w:rsidR="00D70E3B" w:rsidRPr="00577D56" w:rsidRDefault="00D70E3B" w:rsidP="009C086B">
      <w:pPr>
        <w:pStyle w:val="Prrafodelista"/>
        <w:numPr>
          <w:ilvl w:val="0"/>
          <w:numId w:val="62"/>
        </w:numPr>
      </w:pPr>
      <w:r w:rsidRPr="00577D56">
        <w:t xml:space="preserve">Los proyectos de inversión para la expansión de cobertura en las zonas interconectables del área de influencia del OR identificados por la UPME no deben ser incluidas en el plan. Para la remuneración de estos proyectos se deben seguir las reglas definidas en el capítulo </w:t>
      </w:r>
      <w:r w:rsidRPr="00577D56">
        <w:fldChar w:fldCharType="begin"/>
      </w:r>
      <w:r w:rsidRPr="00577D56">
        <w:instrText xml:space="preserve"> REF _Ref440028500 \r \h \t \* MERGEFORMAT </w:instrText>
      </w:r>
      <w:r w:rsidRPr="00577D56">
        <w:fldChar w:fldCharType="separate"/>
      </w:r>
      <w:r w:rsidR="00737178">
        <w:t>13</w:t>
      </w:r>
      <w:r w:rsidRPr="00577D56">
        <w:fldChar w:fldCharType="end"/>
      </w:r>
      <w:r w:rsidRPr="00577D56">
        <w:t>.</w:t>
      </w:r>
    </w:p>
    <w:p w:rsidR="00D70E3B" w:rsidRPr="00577D56" w:rsidRDefault="00D70E3B" w:rsidP="00D70E3B">
      <w:pPr>
        <w:pStyle w:val="Ttulo3"/>
      </w:pPr>
      <w:bookmarkStart w:id="697" w:name="_Toc440029142"/>
      <w:bookmarkStart w:id="698" w:name="_Ref440362536"/>
      <w:bookmarkStart w:id="699" w:name="_Toc460840631"/>
      <w:bookmarkStart w:id="700" w:name="_Toc504809461"/>
      <w:bookmarkStart w:id="701" w:name="_Toc505335969"/>
      <w:r w:rsidRPr="00577D56">
        <w:t>Proyectos de inversión no motivados en la atención de demanda</w:t>
      </w:r>
      <w:bookmarkEnd w:id="697"/>
      <w:bookmarkEnd w:id="698"/>
      <w:bookmarkEnd w:id="699"/>
      <w:bookmarkEnd w:id="700"/>
      <w:bookmarkEnd w:id="701"/>
      <w:r w:rsidRPr="00577D56">
        <w:t xml:space="preserve"> </w:t>
      </w:r>
    </w:p>
    <w:p w:rsidR="00D70E3B" w:rsidRPr="00577D56" w:rsidRDefault="00D70E3B" w:rsidP="00D70E3B">
      <w:pPr>
        <w:rPr>
          <w:lang w:val="es-ES_tradnl"/>
        </w:rPr>
      </w:pPr>
      <w:r w:rsidRPr="00577D56">
        <w:rPr>
          <w:lang w:val="es-ES_tradnl"/>
        </w:rPr>
        <w:t>Los criterios y lineamientos que debe cumplir el OR para la definición, identificación de alternativas y priorización de las inversiones incluidas en el plan de inversión son los siguientes.</w:t>
      </w:r>
    </w:p>
    <w:p w:rsidR="00D70E3B" w:rsidRPr="00577D56" w:rsidRDefault="00D70E3B" w:rsidP="00D70E3B">
      <w:pPr>
        <w:pStyle w:val="Ttulo4"/>
      </w:pPr>
      <w:r w:rsidRPr="00577D56">
        <w:t>Inversiones Tipo III</w:t>
      </w:r>
    </w:p>
    <w:p w:rsidR="00D70E3B" w:rsidRPr="00577D56" w:rsidRDefault="00D70E3B" w:rsidP="00D70E3B">
      <w:pPr>
        <w:rPr>
          <w:lang w:val="es-ES_tradnl"/>
        </w:rPr>
      </w:pPr>
      <w:r w:rsidRPr="00577D56">
        <w:rPr>
          <w:lang w:val="es-ES_tradnl"/>
        </w:rPr>
        <w:t xml:space="preserve">El OR debe presentar los proyectos en reposición de activos dentro del plan de inversión </w:t>
      </w:r>
      <w:r w:rsidRPr="00577D56">
        <w:t>de acuerdo con los siguientes lineamientos:</w:t>
      </w:r>
    </w:p>
    <w:p w:rsidR="00D70E3B" w:rsidRPr="00577D56" w:rsidRDefault="00D70E3B" w:rsidP="009C086B">
      <w:pPr>
        <w:pStyle w:val="Prrafodelista"/>
        <w:numPr>
          <w:ilvl w:val="0"/>
          <w:numId w:val="32"/>
        </w:numPr>
        <w:ind w:left="426" w:hanging="426"/>
      </w:pPr>
      <w:r w:rsidRPr="00577D56">
        <w:t xml:space="preserve">Los proyectos deben estar orientados a la reposición eficiente de activos con el objetivo de asegurar la calidad, confiabilidad y seguridad en la prestación del servicio.  </w:t>
      </w:r>
    </w:p>
    <w:p w:rsidR="00D70E3B" w:rsidRPr="00577D56" w:rsidRDefault="00D70E3B" w:rsidP="009C086B">
      <w:pPr>
        <w:pStyle w:val="Prrafodelista"/>
        <w:numPr>
          <w:ilvl w:val="0"/>
          <w:numId w:val="32"/>
        </w:numPr>
        <w:ind w:left="426" w:hanging="426"/>
      </w:pPr>
      <w:r w:rsidRPr="00577D56">
        <w:t>En el plan se deben identificar los activos de los niveles de tensión 4, 3 y 2 que por su estado, nivel de riesgo y antigüedad requieren ser reemplazados durante el periodo tarifario.</w:t>
      </w:r>
    </w:p>
    <w:p w:rsidR="00D70E3B" w:rsidRPr="00577D56" w:rsidRDefault="00D70E3B" w:rsidP="009C086B">
      <w:pPr>
        <w:pStyle w:val="Prrafodelista"/>
        <w:numPr>
          <w:ilvl w:val="0"/>
          <w:numId w:val="32"/>
        </w:numPr>
        <w:ind w:left="426" w:hanging="426"/>
      </w:pPr>
      <w:r w:rsidRPr="00577D56">
        <w:t xml:space="preserve">El OR debe clasificar los activos de las subestaciones en activos que requieran ser reemplazados en un periodo menor a dos años, entre dos y cuatro años y más de cuatro años. </w:t>
      </w:r>
    </w:p>
    <w:p w:rsidR="00D70E3B" w:rsidRPr="00577D56" w:rsidRDefault="00D70E3B" w:rsidP="009C086B">
      <w:pPr>
        <w:pStyle w:val="Prrafodelista"/>
        <w:numPr>
          <w:ilvl w:val="0"/>
          <w:numId w:val="32"/>
        </w:numPr>
        <w:ind w:left="426" w:hanging="426"/>
      </w:pPr>
      <w:r w:rsidRPr="00577D56">
        <w:t>En el caso de los activos de líneas el OR debe clasificar los circuitos que requieren reposición en conductores, apoyos o elementos en un periodo menor a dos años, entre dos y cuatro años y más de cuatro años.</w:t>
      </w:r>
    </w:p>
    <w:p w:rsidR="00D70E3B" w:rsidRPr="00577D56" w:rsidRDefault="00D70E3B" w:rsidP="009C086B">
      <w:pPr>
        <w:pStyle w:val="Prrafodelista"/>
        <w:numPr>
          <w:ilvl w:val="0"/>
          <w:numId w:val="32"/>
        </w:numPr>
        <w:ind w:left="426" w:hanging="426"/>
      </w:pPr>
      <w:r w:rsidRPr="00577D56">
        <w:t xml:space="preserve">En el caso de elementos de control y comunicaciones del sistema el OR debe presentar un plan de reposición de acuerdo con el estado tecnológico de sus equipos. </w:t>
      </w:r>
    </w:p>
    <w:p w:rsidR="00D70E3B" w:rsidRPr="00577D56" w:rsidRDefault="00D70E3B" w:rsidP="009C086B">
      <w:pPr>
        <w:pStyle w:val="Prrafodelista"/>
        <w:numPr>
          <w:ilvl w:val="0"/>
          <w:numId w:val="32"/>
        </w:numPr>
        <w:ind w:left="426" w:hanging="426"/>
      </w:pPr>
      <w:r w:rsidRPr="00577D56">
        <w:t>Las empresas deben priorizar los proyectos de reposición de activos considerando la antigüedad de los activos, la carga asociada al activo o conjunto de activos, la vulnerabilidad del sistema ante fallas de los activos, los ahorros en costos de operación y mantenimiento, entre otros.</w:t>
      </w:r>
    </w:p>
    <w:p w:rsidR="00D70E3B" w:rsidRPr="00577D56" w:rsidRDefault="00D70E3B" w:rsidP="009C086B">
      <w:pPr>
        <w:pStyle w:val="Prrafodelista"/>
        <w:numPr>
          <w:ilvl w:val="0"/>
          <w:numId w:val="32"/>
        </w:numPr>
        <w:spacing w:before="280"/>
      </w:pPr>
      <w:r w:rsidRPr="00577D56">
        <w:t xml:space="preserve">En el caso de activos de nivel de tensión 1, los proyectos de reposición de redes y transformadores de distribución debe incorporar criterios ambientales, técnicos, de antigüedad, de reducción de costos, entre otros. </w:t>
      </w:r>
    </w:p>
    <w:p w:rsidR="00D70E3B" w:rsidRPr="00577D56" w:rsidRDefault="00D70E3B" w:rsidP="009C086B">
      <w:pPr>
        <w:pStyle w:val="Prrafodelista"/>
        <w:numPr>
          <w:ilvl w:val="0"/>
          <w:numId w:val="32"/>
        </w:numPr>
        <w:spacing w:before="280"/>
      </w:pPr>
      <w:r w:rsidRPr="00577D56">
        <w:t>El OR de</w:t>
      </w:r>
      <w:r w:rsidR="00A62992">
        <w:t>be</w:t>
      </w:r>
      <w:r w:rsidRPr="00577D56">
        <w:t xml:space="preserve"> realizar un análisis de riesgos para los activos agrupados en las categorías definidas en el capítulo </w:t>
      </w:r>
      <w:r w:rsidRPr="00577D56">
        <w:fldChar w:fldCharType="begin"/>
      </w:r>
      <w:r w:rsidRPr="00577D56">
        <w:instrText xml:space="preserve"> REF _Ref465980360 \r \h \t \* MERGEFORMAT </w:instrText>
      </w:r>
      <w:r w:rsidRPr="00577D56">
        <w:fldChar w:fldCharType="separate"/>
      </w:r>
      <w:r w:rsidR="00737178">
        <w:t>14</w:t>
      </w:r>
      <w:r w:rsidRPr="00577D56">
        <w:fldChar w:fldCharType="end"/>
      </w:r>
      <w:r w:rsidRPr="00577D56">
        <w:t>. Adicionalmente, el OR debe establecer el perfil de antigüedad de los activos en las mismas categorías.</w:t>
      </w:r>
    </w:p>
    <w:p w:rsidR="00D70E3B" w:rsidRPr="00577D56" w:rsidRDefault="00D70E3B" w:rsidP="009C086B">
      <w:pPr>
        <w:pStyle w:val="Prrafodelista"/>
        <w:numPr>
          <w:ilvl w:val="0"/>
          <w:numId w:val="32"/>
        </w:numPr>
        <w:spacing w:before="280"/>
      </w:pPr>
      <w:r w:rsidRPr="00577D56">
        <w:t xml:space="preserve">Como resultado de este análisis de priorización se deben obtener los proyectos con mayor impacto y beneficio para la prestación del servicio de </w:t>
      </w:r>
      <w:r w:rsidRPr="00577D56">
        <w:lastRenderedPageBreak/>
        <w:t xml:space="preserve">acuerdo con los objetivos definidos por el OR en calidad del servicio, pérdidas, operación, etc. </w:t>
      </w:r>
    </w:p>
    <w:p w:rsidR="00D70E3B" w:rsidRPr="00577D56" w:rsidRDefault="00D70E3B" w:rsidP="009C086B">
      <w:pPr>
        <w:pStyle w:val="Prrafodelista"/>
        <w:numPr>
          <w:ilvl w:val="0"/>
          <w:numId w:val="32"/>
        </w:numPr>
        <w:spacing w:before="280"/>
        <w:rPr>
          <w:lang w:val="es-ES_tradnl"/>
        </w:rPr>
      </w:pPr>
      <w:r w:rsidRPr="00577D56">
        <w:rPr>
          <w:lang w:val="es-ES_tradnl"/>
        </w:rPr>
        <w:t>Los proyectos de inversión para el SDL deben ser consistentes con los proyectos identificados y aprobados para el STR y la infraestructura en operación en el sistema.</w:t>
      </w:r>
    </w:p>
    <w:p w:rsidR="00D70E3B" w:rsidRPr="00577D56" w:rsidRDefault="00D70E3B" w:rsidP="009C086B">
      <w:pPr>
        <w:pStyle w:val="Prrafodelista"/>
        <w:numPr>
          <w:ilvl w:val="0"/>
          <w:numId w:val="32"/>
        </w:numPr>
        <w:spacing w:before="280"/>
        <w:ind w:left="426" w:hanging="426"/>
      </w:pPr>
      <w:r w:rsidRPr="00577D56">
        <w:t>El OR debe considerar la probabilidad de atrasos en la ejecución de los proyectos por factores externos.</w:t>
      </w:r>
    </w:p>
    <w:p w:rsidR="00D70E3B" w:rsidRPr="00577D56" w:rsidRDefault="00D70E3B" w:rsidP="009C086B">
      <w:pPr>
        <w:pStyle w:val="Prrafodelista"/>
        <w:numPr>
          <w:ilvl w:val="0"/>
          <w:numId w:val="32"/>
        </w:numPr>
        <w:spacing w:before="280"/>
        <w:ind w:left="426" w:hanging="426"/>
      </w:pPr>
      <w:r w:rsidRPr="00577D56">
        <w:t>Se deben presentar análisis de beneficios asociados con la reposición, los beneficios pueden estar asociados con mejoras en la operación, mayor confiabilidad, disminución de interrupciones, reducción de riesgos de falla, etc. Los beneficios pueden obtenerse de la aplicación de análisis de riesgos.</w:t>
      </w:r>
    </w:p>
    <w:p w:rsidR="00D70E3B" w:rsidRPr="00577D56" w:rsidRDefault="00D70E3B" w:rsidP="00D70E3B">
      <w:pPr>
        <w:pStyle w:val="Ttulo4"/>
      </w:pPr>
      <w:r w:rsidRPr="00577D56">
        <w:t>Inversiones Tipo IV</w:t>
      </w:r>
    </w:p>
    <w:p w:rsidR="00D70E3B" w:rsidRPr="00577D56" w:rsidRDefault="00D70E3B" w:rsidP="00D70E3B">
      <w:r w:rsidRPr="00577D56">
        <w:rPr>
          <w:lang w:val="es-ES_tradnl"/>
        </w:rPr>
        <w:t xml:space="preserve">El OR debe presentar dentro del plan de inversión los proyectos para el mejoramiento en la calidad y confiablidad del servicio, reducción y mantenimiento de pérdidas, renovación tecnológica de los activos de uso del sistema y otras áreas que identifique de </w:t>
      </w:r>
      <w:r w:rsidRPr="00577D56">
        <w:t>acuerdo con los siguientes criterios y lineamientos:</w:t>
      </w:r>
    </w:p>
    <w:p w:rsidR="00D70E3B" w:rsidRPr="00577D56" w:rsidRDefault="00D70E3B" w:rsidP="009C086B">
      <w:pPr>
        <w:pStyle w:val="Prrafodelista"/>
        <w:numPr>
          <w:ilvl w:val="0"/>
          <w:numId w:val="31"/>
        </w:numPr>
      </w:pPr>
      <w:r w:rsidRPr="00577D56">
        <w:t xml:space="preserve">Los proyectos de inversión deben estar orientados al mejoramiento en la calidad del servicio a partir de inversiones eficientes en activos que permitan asegurar la continuidad y confiabilidad en la prestación del servicio.  </w:t>
      </w:r>
    </w:p>
    <w:p w:rsidR="00D70E3B" w:rsidRPr="00577D56" w:rsidRDefault="00D70E3B" w:rsidP="009C086B">
      <w:pPr>
        <w:pStyle w:val="Prrafodelista"/>
        <w:numPr>
          <w:ilvl w:val="0"/>
          <w:numId w:val="31"/>
        </w:numPr>
      </w:pPr>
      <w:r w:rsidRPr="00577D56">
        <w:t xml:space="preserve">Los OR deben incluir las metas anuales de mejoramiento de la calidad y los proyectos de </w:t>
      </w:r>
      <w:r w:rsidR="00B66478" w:rsidRPr="00577D56">
        <w:t>inversión</w:t>
      </w:r>
      <w:r w:rsidRPr="00577D56">
        <w:t xml:space="preserve"> acordes con dichas metas. Las inversiones corresponden a instalación de suplencias, instalación de equipos de telecontrol, sistemas de gestión de la distribución, etc. </w:t>
      </w:r>
    </w:p>
    <w:p w:rsidR="00D70E3B" w:rsidRPr="00577D56" w:rsidRDefault="00D70E3B" w:rsidP="009C086B">
      <w:pPr>
        <w:pStyle w:val="Prrafodelista"/>
        <w:numPr>
          <w:ilvl w:val="0"/>
          <w:numId w:val="31"/>
        </w:numPr>
      </w:pPr>
      <w:r w:rsidRPr="00577D56">
        <w:t>Los OR que no han entrado en el esquema de calidad definido en la Resolución CREG 097 de 2008 deben incluir dentro de los proyectos de inversión del primer año los activos necesarios para cumplir los requisitos señalados en esta resolución y demás normas aplicables. En todo caso, el OR que no presente el plan con la solicitud de aprobación de cargos deberá ejecutar estas inversiones durante el primer año.</w:t>
      </w:r>
    </w:p>
    <w:p w:rsidR="00D70E3B" w:rsidRPr="00577D56" w:rsidRDefault="00D70E3B" w:rsidP="009C086B">
      <w:pPr>
        <w:pStyle w:val="Prrafodelista"/>
        <w:numPr>
          <w:ilvl w:val="0"/>
          <w:numId w:val="31"/>
        </w:numPr>
      </w:pPr>
      <w:r w:rsidRPr="00577D56">
        <w:t>Los requisitos adicionales para la aplicación del esquema de calidad del servicio definidos en esta resolución deben incluirse dentro de los proyectos de inversión del primer año. En todo caso, el OR que no presente el plan con la solicitud de aprobación de cargos deberá ejecutar estas inversiones durante el primer año.</w:t>
      </w:r>
    </w:p>
    <w:p w:rsidR="00D70E3B" w:rsidRPr="00577D56" w:rsidRDefault="00D70E3B" w:rsidP="009C086B">
      <w:pPr>
        <w:pStyle w:val="Prrafodelista"/>
        <w:numPr>
          <w:ilvl w:val="0"/>
          <w:numId w:val="31"/>
        </w:numPr>
      </w:pPr>
      <w:r w:rsidRPr="00577D56">
        <w:t>Los OR podrán presentar proyectos de inversión, requeridos para la reducción de pérdidas de energía, que correspondan a la instalación de activos de uso como redes antifraude, equipos de medida en transformadores de distribución, transformadores de distribución, etc.</w:t>
      </w:r>
    </w:p>
    <w:p w:rsidR="00D70E3B" w:rsidRPr="00577D56" w:rsidRDefault="00D70E3B" w:rsidP="009C086B">
      <w:pPr>
        <w:pStyle w:val="Prrafodelista"/>
        <w:numPr>
          <w:ilvl w:val="0"/>
          <w:numId w:val="31"/>
        </w:numPr>
      </w:pPr>
      <w:r w:rsidRPr="00577D56">
        <w:t>Los planes deben contener las inversiones identificadas para la reducción de pérdidas acorde con las metas establecidas. Estas inversiones no se deben incluir en el cálculo de la variable CPROG.</w:t>
      </w:r>
    </w:p>
    <w:p w:rsidR="00D70E3B" w:rsidRPr="00577D56" w:rsidRDefault="00D70E3B" w:rsidP="009C086B">
      <w:pPr>
        <w:pStyle w:val="Prrafodelista"/>
        <w:numPr>
          <w:ilvl w:val="0"/>
          <w:numId w:val="31"/>
        </w:numPr>
      </w:pPr>
      <w:r w:rsidRPr="00577D56">
        <w:rPr>
          <w:lang w:val="es-ES_tradnl"/>
        </w:rPr>
        <w:lastRenderedPageBreak/>
        <w:t>Los proyectos de inversión para el SDL deben ser consistentes con los proyectos identificados y aprobados para el STR y la infraestructura en operación en el sistema.</w:t>
      </w:r>
      <w:r w:rsidRPr="00577D56">
        <w:t xml:space="preserve">      </w:t>
      </w:r>
    </w:p>
    <w:p w:rsidR="00D70E3B" w:rsidRPr="00577D56" w:rsidRDefault="00D70E3B" w:rsidP="00D70E3B">
      <w:pPr>
        <w:pStyle w:val="Ttulo4"/>
      </w:pPr>
      <w:bookmarkStart w:id="702" w:name="_Ref460942162"/>
      <w:r w:rsidRPr="00577D56">
        <w:t>Valoración del plan de inversiones</w:t>
      </w:r>
      <w:bookmarkEnd w:id="702"/>
    </w:p>
    <w:p w:rsidR="00D70E3B" w:rsidRPr="00577D56" w:rsidRDefault="00D70E3B" w:rsidP="00D70E3B">
      <w:pPr>
        <w:spacing w:before="0" w:after="0"/>
      </w:pPr>
      <w:r w:rsidRPr="00577D56">
        <w:t>El valor total del plan de inversión para cada año solicitado por el OR se calcula de la siguiente forma:</w:t>
      </w:r>
    </w:p>
    <w:p w:rsidR="00D70E3B" w:rsidRPr="00577D56" w:rsidRDefault="00C9592F" w:rsidP="00D70E3B">
      <m:oMathPara>
        <m:oMath>
          <m:sSub>
            <m:sSubPr>
              <m:ctrlPr>
                <w:rPr>
                  <w:rFonts w:ascii="Cambria Math" w:hAnsi="Cambria Math"/>
                  <w:i/>
                </w:rPr>
              </m:ctrlPr>
            </m:sSubPr>
            <m:e>
              <m:r>
                <w:rPr>
                  <w:rFonts w:ascii="Cambria Math" w:hAnsi="Cambria Math"/>
                </w:rPr>
                <m:t>INVP</m:t>
              </m:r>
            </m:e>
            <m:sub>
              <m:r>
                <w:rPr>
                  <w:rFonts w:ascii="Cambria Math" w:hAnsi="Cambria Math"/>
                </w:rPr>
                <m:t>j</m:t>
              </m:r>
              <m:r>
                <w:rPr>
                  <w:rFonts w:ascii="Cambria Math"/>
                </w:rPr>
                <m:t>,t</m:t>
              </m:r>
            </m:sub>
          </m:sSub>
          <m:r>
            <w:rPr>
              <w:rFonts w:ascii="Cambria Math"/>
            </w:rPr>
            <m:t>=</m:t>
          </m:r>
          <m:nary>
            <m:naryPr>
              <m:chr m:val="∑"/>
              <m:limLoc m:val="undOvr"/>
              <m:ctrlPr>
                <w:rPr>
                  <w:rFonts w:ascii="Cambria Math" w:hAnsi="Cambria Math"/>
                  <w:i/>
                </w:rPr>
              </m:ctrlPr>
            </m:naryPr>
            <m:sub>
              <m:r>
                <w:rPr>
                  <w:rFonts w:ascii="Cambria Math"/>
                </w:rPr>
                <m:t>n=1</m:t>
              </m:r>
            </m:sub>
            <m:sup>
              <m:sSub>
                <m:sSubPr>
                  <m:ctrlPr>
                    <w:rPr>
                      <w:rFonts w:ascii="Cambria Math" w:hAnsi="Cambria Math"/>
                      <w:i/>
                    </w:rPr>
                  </m:ctrlPr>
                </m:sSubPr>
                <m:e>
                  <m:r>
                    <w:rPr>
                      <w:rFonts w:ascii="Cambria Math"/>
                    </w:rPr>
                    <m:t>N</m:t>
                  </m:r>
                </m:e>
                <m:sub>
                  <m:r>
                    <w:rPr>
                      <w:rFonts w:ascii="Cambria Math"/>
                    </w:rPr>
                    <m:t>j</m:t>
                  </m:r>
                </m:sub>
              </m:sSub>
            </m:sup>
            <m:e>
              <m:nary>
                <m:naryPr>
                  <m:chr m:val="∑"/>
                  <m:limLoc m:val="undOvr"/>
                  <m:ctrlPr>
                    <w:rPr>
                      <w:rFonts w:ascii="Cambria Math" w:hAnsi="Cambria Math"/>
                      <w:i/>
                    </w:rPr>
                  </m:ctrlPr>
                </m:naryPr>
                <m:sub>
                  <m:r>
                    <w:rPr>
                      <w:rFonts w:ascii="Cambria Math"/>
                    </w:rPr>
                    <m:t>TI=1</m:t>
                  </m:r>
                </m:sub>
                <m:sup>
                  <m:r>
                    <w:rPr>
                      <w:rFonts w:ascii="Cambria Math"/>
                    </w:rPr>
                    <m:t>4</m:t>
                  </m:r>
                </m:sup>
                <m:e>
                  <m:nary>
                    <m:naryPr>
                      <m:chr m:val="∑"/>
                      <m:limLoc m:val="undOvr"/>
                      <m:ctrlPr>
                        <w:rPr>
                          <w:rFonts w:ascii="Cambria Math" w:hAnsi="Cambria Math"/>
                          <w:i/>
                        </w:rPr>
                      </m:ctrlPr>
                    </m:naryPr>
                    <m:sub>
                      <m:r>
                        <w:rPr>
                          <w:rFonts w:ascii="Cambria Math"/>
                        </w:rPr>
                        <m:t>l=1</m:t>
                      </m:r>
                    </m:sub>
                    <m:sup>
                      <m:r>
                        <w:rPr>
                          <w:rFonts w:ascii="Cambria Math"/>
                        </w:rPr>
                        <m:t>L</m:t>
                      </m:r>
                    </m:sup>
                    <m:e>
                      <m:sSub>
                        <m:sSubPr>
                          <m:ctrlPr>
                            <w:rPr>
                              <w:rFonts w:ascii="Cambria Math" w:hAnsi="Cambria Math"/>
                              <w:i/>
                            </w:rPr>
                          </m:ctrlPr>
                        </m:sSubPr>
                        <m:e>
                          <m:r>
                            <w:rPr>
                              <w:rFonts w:ascii="Cambria Math"/>
                            </w:rPr>
                            <m:t>INVT</m:t>
                          </m:r>
                        </m:e>
                        <m:sub>
                          <m:r>
                            <w:rPr>
                              <w:rFonts w:ascii="Cambria Math"/>
                            </w:rPr>
                            <m:t>j,n,TI,l,t</m:t>
                          </m:r>
                        </m:sub>
                      </m:sSub>
                    </m:e>
                  </m:nary>
                </m:e>
              </m:nary>
            </m:e>
          </m:nary>
        </m:oMath>
      </m:oMathPara>
    </w:p>
    <w:p w:rsidR="00D70E3B" w:rsidRPr="00577D56" w:rsidRDefault="00D70E3B" w:rsidP="00D70E3B">
      <w:pPr>
        <w:spacing w:before="120"/>
        <w:ind w:left="1418" w:hanging="1418"/>
        <w:rPr>
          <w:i/>
          <w:iCs/>
        </w:rPr>
      </w:pPr>
      <w:r w:rsidRPr="00577D56">
        <w:rPr>
          <w:i/>
          <w:iCs/>
        </w:rPr>
        <w:t>INVP</w:t>
      </w:r>
      <w:r w:rsidRPr="00577D56">
        <w:rPr>
          <w:i/>
          <w:iCs/>
          <w:vertAlign w:val="subscript"/>
        </w:rPr>
        <w:t>j,t</w:t>
      </w:r>
      <w:r w:rsidRPr="00577D56">
        <w:t>:</w:t>
      </w:r>
      <w:r w:rsidRPr="00577D56">
        <w:tab/>
        <w:t xml:space="preserve">Valor total del plan de inversión solicitado por el </w:t>
      </w:r>
      <w:r w:rsidRPr="00577D56">
        <w:rPr>
          <w:iCs/>
        </w:rPr>
        <w:t xml:space="preserve">OR </w:t>
      </w:r>
      <w:r w:rsidRPr="00577D56">
        <w:rPr>
          <w:i/>
          <w:iCs/>
        </w:rPr>
        <w:t>j</w:t>
      </w:r>
      <w:r w:rsidRPr="00577D56">
        <w:rPr>
          <w:iCs/>
        </w:rPr>
        <w:t xml:space="preserve"> para el año </w:t>
      </w:r>
      <w:r w:rsidRPr="00577D56">
        <w:rPr>
          <w:i/>
          <w:iCs/>
        </w:rPr>
        <w:t>t</w:t>
      </w:r>
      <w:r w:rsidRPr="00577D56">
        <w:rPr>
          <w:iCs/>
        </w:rPr>
        <w:t xml:space="preserve">. </w:t>
      </w:r>
    </w:p>
    <w:p w:rsidR="00D70E3B" w:rsidRPr="00577D56" w:rsidRDefault="00D70E3B" w:rsidP="00D70E3B">
      <w:pPr>
        <w:spacing w:before="120"/>
        <w:ind w:left="1418" w:hanging="1418"/>
      </w:pPr>
      <w:r w:rsidRPr="00577D56">
        <w:rPr>
          <w:i/>
          <w:iCs/>
        </w:rPr>
        <w:t>INVT</w:t>
      </w:r>
      <w:r w:rsidRPr="00577D56">
        <w:rPr>
          <w:i/>
          <w:iCs/>
          <w:vertAlign w:val="subscript"/>
        </w:rPr>
        <w:t>j,n,TI,l,t</w:t>
      </w:r>
      <w:r w:rsidRPr="00577D56">
        <w:t>:</w:t>
      </w:r>
      <w:r w:rsidRPr="00577D56">
        <w:tab/>
        <w:t>Valor de la i</w:t>
      </w:r>
      <w:r w:rsidRPr="00577D56">
        <w:rPr>
          <w:iCs/>
        </w:rPr>
        <w:t xml:space="preserve">nversión del plan del OR </w:t>
      </w:r>
      <w:r w:rsidRPr="00577D56">
        <w:rPr>
          <w:i/>
          <w:iCs/>
        </w:rPr>
        <w:t>j</w:t>
      </w:r>
      <w:r w:rsidRPr="00577D56">
        <w:rPr>
          <w:iCs/>
        </w:rPr>
        <w:t xml:space="preserve"> en el nivel de tensión </w:t>
      </w:r>
      <w:r w:rsidRPr="00577D56">
        <w:rPr>
          <w:i/>
          <w:iCs/>
        </w:rPr>
        <w:t xml:space="preserve">n, </w:t>
      </w:r>
      <w:r w:rsidRPr="00577D56">
        <w:rPr>
          <w:iCs/>
        </w:rPr>
        <w:t xml:space="preserve">en el tipo de inversión </w:t>
      </w:r>
      <w:r w:rsidRPr="00577D56">
        <w:rPr>
          <w:i/>
          <w:iCs/>
        </w:rPr>
        <w:t>TI</w:t>
      </w:r>
      <w:r w:rsidRPr="00577D56">
        <w:rPr>
          <w:iCs/>
        </w:rPr>
        <w:t xml:space="preserve">, en la categoría de activos </w:t>
      </w:r>
      <w:r w:rsidRPr="00577D56">
        <w:rPr>
          <w:i/>
          <w:iCs/>
        </w:rPr>
        <w:t>l</w:t>
      </w:r>
      <w:r w:rsidRPr="00577D56">
        <w:rPr>
          <w:iCs/>
        </w:rPr>
        <w:t xml:space="preserve"> para el año </w:t>
      </w:r>
      <w:r w:rsidRPr="00577D56">
        <w:rPr>
          <w:i/>
          <w:iCs/>
        </w:rPr>
        <w:t>t</w:t>
      </w:r>
      <w:r w:rsidRPr="00577D56">
        <w:rPr>
          <w:iCs/>
        </w:rPr>
        <w:t xml:space="preserve">. </w:t>
      </w:r>
    </w:p>
    <w:p w:rsidR="00D70E3B" w:rsidRPr="00577D56" w:rsidRDefault="00D70E3B" w:rsidP="00D70E3B">
      <w:pPr>
        <w:spacing w:before="120"/>
        <w:ind w:left="1418" w:hanging="1418"/>
        <w:rPr>
          <w:i/>
          <w:iCs/>
        </w:rPr>
      </w:pPr>
      <w:r w:rsidRPr="00577D56">
        <w:rPr>
          <w:i/>
          <w:iCs/>
        </w:rPr>
        <w:t>N</w:t>
      </w:r>
      <w:r w:rsidRPr="00577D56">
        <w:rPr>
          <w:i/>
          <w:iCs/>
          <w:vertAlign w:val="subscript"/>
        </w:rPr>
        <w:t>j</w:t>
      </w:r>
      <w:r w:rsidRPr="00577D56">
        <w:rPr>
          <w:i/>
          <w:iCs/>
        </w:rPr>
        <w:t>:</w:t>
      </w:r>
      <w:r w:rsidRPr="00577D56">
        <w:rPr>
          <w:i/>
          <w:iCs/>
        </w:rPr>
        <w:tab/>
      </w:r>
      <w:r w:rsidRPr="00577D56">
        <w:rPr>
          <w:iCs/>
        </w:rPr>
        <w:t xml:space="preserve">Numero de niveles de tensión del OR </w:t>
      </w:r>
      <w:r w:rsidRPr="00577D56">
        <w:rPr>
          <w:i/>
          <w:iCs/>
        </w:rPr>
        <w:t>j</w:t>
      </w:r>
      <w:r w:rsidRPr="00577D56">
        <w:rPr>
          <w:iCs/>
        </w:rPr>
        <w:t>.</w:t>
      </w:r>
    </w:p>
    <w:p w:rsidR="00D70E3B" w:rsidRPr="00577D56" w:rsidRDefault="00D70E3B" w:rsidP="00D70E3B">
      <w:pPr>
        <w:tabs>
          <w:tab w:val="left" w:pos="1418"/>
        </w:tabs>
        <w:spacing w:before="120"/>
        <w:ind w:left="1418" w:hanging="1418"/>
      </w:pPr>
      <w:r w:rsidRPr="00577D56">
        <w:rPr>
          <w:i/>
          <w:iCs/>
        </w:rPr>
        <w:t>L:</w:t>
      </w:r>
      <w:r w:rsidRPr="00577D56">
        <w:rPr>
          <w:i/>
          <w:iCs/>
        </w:rPr>
        <w:tab/>
      </w:r>
      <w:r w:rsidRPr="00577D56">
        <w:t>Cantidad de categorías de activos.</w:t>
      </w:r>
    </w:p>
    <w:p w:rsidR="00D70E3B" w:rsidRPr="00577D56" w:rsidRDefault="00D70E3B" w:rsidP="00D70E3B">
      <w:pPr>
        <w:spacing w:before="0" w:after="0"/>
      </w:pPr>
      <w:r w:rsidRPr="00577D56">
        <w:t xml:space="preserve">El valor de la variable </w:t>
      </w:r>
      <w:r w:rsidRPr="00577D56">
        <w:rPr>
          <w:i/>
        </w:rPr>
        <w:t>INVT</w:t>
      </w:r>
      <w:r w:rsidRPr="00577D56">
        <w:rPr>
          <w:i/>
          <w:vertAlign w:val="subscript"/>
        </w:rPr>
        <w:t>j,n,TI,l,t</w:t>
      </w:r>
      <w:r w:rsidRPr="00577D56">
        <w:t xml:space="preserve"> se calcula de la siguiente forma:</w:t>
      </w:r>
    </w:p>
    <w:p w:rsidR="00D70E3B" w:rsidRPr="00577D56" w:rsidRDefault="00D70E3B" w:rsidP="00D70E3B">
      <w:pPr>
        <w:spacing w:before="0" w:after="0"/>
      </w:pPr>
    </w:p>
    <w:p w:rsidR="00D70E3B" w:rsidRPr="00577D56" w:rsidRDefault="00C9592F" w:rsidP="00D70E3B">
      <w:pPr>
        <w:rPr>
          <w:sz w:val="20"/>
          <w:szCs w:val="20"/>
        </w:rPr>
      </w:pPr>
      <m:oMathPara>
        <m:oMath>
          <m:sSub>
            <m:sSubPr>
              <m:ctrlPr>
                <w:rPr>
                  <w:rFonts w:ascii="Cambria Math" w:hAnsi="Cambria Math"/>
                  <w:i/>
                  <w:sz w:val="20"/>
                  <w:szCs w:val="20"/>
                </w:rPr>
              </m:ctrlPr>
            </m:sSubPr>
            <m:e>
              <m:r>
                <w:rPr>
                  <w:rFonts w:ascii="Cambria Math" w:hAnsi="Cambria Math"/>
                  <w:sz w:val="20"/>
                  <w:szCs w:val="20"/>
                </w:rPr>
                <m:t>INVT</m:t>
              </m:r>
            </m:e>
            <m:sub>
              <m:r>
                <w:rPr>
                  <w:rFonts w:ascii="Cambria Math" w:hAnsi="Cambria Math"/>
                  <w:sz w:val="20"/>
                  <w:szCs w:val="20"/>
                </w:rPr>
                <m:t>j</m:t>
              </m:r>
              <m:r>
                <w:rPr>
                  <w:rFonts w:ascii="Cambria Math"/>
                  <w:sz w:val="20"/>
                  <w:szCs w:val="20"/>
                </w:rPr>
                <m:t>,n,TI,l,t</m:t>
              </m:r>
            </m:sub>
          </m:sSub>
          <m:r>
            <w:rPr>
              <w:rFonts w:ascii="Cambria Math"/>
              <w:sz w:val="20"/>
              <w:szCs w:val="20"/>
            </w:rPr>
            <m:t>=</m:t>
          </m:r>
          <m:nary>
            <m:naryPr>
              <m:chr m:val="∑"/>
              <m:limLoc m:val="undOvr"/>
              <m:ctrlPr>
                <w:rPr>
                  <w:rFonts w:ascii="Cambria Math" w:hAnsi="Cambria Math"/>
                  <w:i/>
                  <w:sz w:val="20"/>
                  <w:szCs w:val="20"/>
                </w:rPr>
              </m:ctrlPr>
            </m:naryPr>
            <m:sub>
              <m:r>
                <w:rPr>
                  <w:rFonts w:ascii="Cambria Math" w:hAnsi="Cambria Math"/>
                  <w:sz w:val="20"/>
                  <w:szCs w:val="20"/>
                </w:rPr>
                <m:t>i</m:t>
              </m:r>
              <m:r>
                <w:rPr>
                  <w:rFonts w:ascii="Cambria Math"/>
                  <w:sz w:val="20"/>
                  <w:szCs w:val="20"/>
                </w:rPr>
                <m:t>=1</m:t>
              </m:r>
            </m:sub>
            <m:sup>
              <m:sSub>
                <m:sSubPr>
                  <m:ctrlPr>
                    <w:rPr>
                      <w:rFonts w:ascii="Cambria Math" w:hAnsi="Cambria Math"/>
                      <w:i/>
                      <w:sz w:val="20"/>
                      <w:szCs w:val="20"/>
                    </w:rPr>
                  </m:ctrlPr>
                </m:sSubPr>
                <m:e>
                  <m:r>
                    <w:rPr>
                      <w:rFonts w:ascii="Cambria Math" w:hAnsi="Cambria Math"/>
                      <w:sz w:val="20"/>
                      <w:szCs w:val="20"/>
                    </w:rPr>
                    <m:t>UCI</m:t>
                  </m:r>
                </m:e>
                <m:sub>
                  <m:r>
                    <w:rPr>
                      <w:rFonts w:ascii="Cambria Math" w:hAnsi="Cambria Math"/>
                      <w:sz w:val="20"/>
                      <w:szCs w:val="20"/>
                    </w:rPr>
                    <m:t>j</m:t>
                  </m:r>
                  <m:r>
                    <w:rPr>
                      <w:rFonts w:ascii="Cambria Math"/>
                      <w:sz w:val="20"/>
                      <w:szCs w:val="20"/>
                    </w:rPr>
                    <m:t>,</m:t>
                  </m:r>
                  <m:r>
                    <w:rPr>
                      <w:rFonts w:ascii="Cambria Math" w:hAnsi="Cambria Math"/>
                      <w:sz w:val="20"/>
                      <w:szCs w:val="20"/>
                    </w:rPr>
                    <m:t>n,TI,l,t</m:t>
                  </m:r>
                </m:sub>
              </m:sSub>
            </m:sup>
            <m:e>
              <m:sSub>
                <m:sSubPr>
                  <m:ctrlPr>
                    <w:rPr>
                      <w:rFonts w:ascii="Cambria Math" w:hAnsi="Cambria Math"/>
                      <w:i/>
                      <w:sz w:val="20"/>
                      <w:szCs w:val="20"/>
                    </w:rPr>
                  </m:ctrlPr>
                </m:sSubPr>
                <m:e>
                  <m:r>
                    <w:rPr>
                      <w:rFonts w:ascii="Cambria Math" w:hAnsi="Cambria Math"/>
                      <w:sz w:val="20"/>
                      <w:szCs w:val="20"/>
                    </w:rPr>
                    <m:t>CR</m:t>
                  </m:r>
                </m:e>
                <m:sub>
                  <m:r>
                    <w:rPr>
                      <w:rFonts w:ascii="Cambria Math" w:hAnsi="Cambria Math"/>
                      <w:sz w:val="20"/>
                      <w:szCs w:val="20"/>
                    </w:rPr>
                    <m:t>i</m:t>
                  </m:r>
                </m:sub>
              </m:sSub>
              <m:r>
                <w:rPr>
                  <w:rFonts w:ascii="Cambria Math" w:hAnsi="Cambria Math"/>
                  <w:sz w:val="20"/>
                  <w:szCs w:val="20"/>
                </w:rPr>
                <m:t>*</m:t>
              </m:r>
              <m:sSub>
                <m:sSubPr>
                  <m:ctrlPr>
                    <w:rPr>
                      <w:rFonts w:ascii="Cambria Math" w:hAnsi="Cambria Math"/>
                      <w:i/>
                      <w:sz w:val="20"/>
                      <w:szCs w:val="20"/>
                    </w:rPr>
                  </m:ctrlPr>
                </m:sSubPr>
                <m:e>
                  <m:r>
                    <w:rPr>
                      <w:rFonts w:ascii="Cambria Math" w:hAnsi="Cambria Math"/>
                      <w:sz w:val="20"/>
                      <w:szCs w:val="20"/>
                    </w:rPr>
                    <m:t>PU</m:t>
                  </m:r>
                </m:e>
                <m:sub>
                  <m:r>
                    <w:rPr>
                      <w:rFonts w:ascii="Cambria Math" w:hAnsi="Cambria Math"/>
                      <w:sz w:val="20"/>
                      <w:szCs w:val="20"/>
                    </w:rPr>
                    <m:t>i</m:t>
                  </m:r>
                </m:sub>
              </m:sSub>
              <m:r>
                <w:rPr>
                  <w:rFonts w:ascii="Cambria Math" w:hAnsi="Cambria Math"/>
                  <w:sz w:val="20"/>
                  <w:szCs w:val="20"/>
                </w:rPr>
                <m:t>*</m:t>
              </m:r>
              <m:sSub>
                <m:sSubPr>
                  <m:ctrlPr>
                    <w:rPr>
                      <w:rFonts w:ascii="Cambria Math" w:hAnsi="Cambria Math"/>
                      <w:i/>
                      <w:sz w:val="20"/>
                      <w:szCs w:val="20"/>
                    </w:rPr>
                  </m:ctrlPr>
                </m:sSubPr>
                <m:e>
                  <m:r>
                    <w:rPr>
                      <w:rFonts w:ascii="Cambria Math" w:hAnsi="Cambria Math"/>
                      <w:sz w:val="20"/>
                      <w:szCs w:val="20"/>
                    </w:rPr>
                    <m:t>FU</m:t>
                  </m:r>
                </m:e>
                <m:sub>
                  <m:r>
                    <w:rPr>
                      <w:rFonts w:ascii="Cambria Math" w:hAnsi="Cambria Math"/>
                      <w:sz w:val="20"/>
                      <w:szCs w:val="20"/>
                    </w:rPr>
                    <m:t>i</m:t>
                  </m:r>
                </m:sub>
              </m:sSub>
              <m:r>
                <w:rPr>
                  <w:rFonts w:ascii="Cambria Math" w:hAnsi="Cambria Math"/>
                  <w:sz w:val="20"/>
                  <w:szCs w:val="20"/>
                </w:rPr>
                <m:t>*</m:t>
              </m:r>
              <m:d>
                <m:dPr>
                  <m:ctrlPr>
                    <w:rPr>
                      <w:rFonts w:ascii="Cambria Math" w:hAnsi="Cambria Math"/>
                      <w:i/>
                      <w:sz w:val="20"/>
                      <w:szCs w:val="20"/>
                    </w:rPr>
                  </m:ctrlPr>
                </m:dPr>
                <m:e>
                  <m:r>
                    <w:rPr>
                      <w:rFonts w:ascii="Cambria Math" w:hAnsi="Cambria Math"/>
                      <w:sz w:val="20"/>
                      <w:szCs w:val="20"/>
                    </w:rPr>
                    <m:t>1-</m:t>
                  </m:r>
                  <m:sSub>
                    <m:sSubPr>
                      <m:ctrlPr>
                        <w:rPr>
                          <w:rFonts w:ascii="Cambria Math" w:hAnsi="Cambria Math"/>
                          <w:i/>
                          <w:sz w:val="20"/>
                          <w:szCs w:val="20"/>
                        </w:rPr>
                      </m:ctrlPr>
                    </m:sSubPr>
                    <m:e>
                      <m:r>
                        <w:rPr>
                          <w:rFonts w:ascii="Cambria Math" w:hAnsi="Cambria Math"/>
                          <w:sz w:val="20"/>
                          <w:szCs w:val="20"/>
                        </w:rPr>
                        <m:t>RPP</m:t>
                      </m:r>
                    </m:e>
                    <m:sub>
                      <m:r>
                        <w:rPr>
                          <w:rFonts w:ascii="Cambria Math" w:hAnsi="Cambria Math"/>
                          <w:sz w:val="20"/>
                          <w:szCs w:val="20"/>
                        </w:rPr>
                        <m:t>i</m:t>
                      </m:r>
                    </m:sub>
                  </m:sSub>
                </m:e>
              </m:d>
            </m:e>
          </m:nary>
          <m:r>
            <w:rPr>
              <w:rFonts w:ascii="Cambria Math" w:hAnsi="Cambria Math"/>
              <w:sz w:val="20"/>
              <w:szCs w:val="20"/>
            </w:rPr>
            <m:t>+</m:t>
          </m:r>
          <m:nary>
            <m:naryPr>
              <m:chr m:val="∑"/>
              <m:limLoc m:val="undOvr"/>
              <m:ctrlPr>
                <w:rPr>
                  <w:rFonts w:ascii="Cambria Math" w:hAnsi="Cambria Math"/>
                  <w:i/>
                  <w:sz w:val="20"/>
                  <w:szCs w:val="20"/>
                </w:rPr>
              </m:ctrlPr>
            </m:naryPr>
            <m:sub>
              <m:r>
                <w:rPr>
                  <w:rFonts w:ascii="Cambria Math"/>
                  <w:sz w:val="20"/>
                  <w:szCs w:val="20"/>
                </w:rPr>
                <m:t>i=1</m:t>
              </m:r>
            </m:sub>
            <m:sup>
              <m:sSub>
                <m:sSubPr>
                  <m:ctrlPr>
                    <w:rPr>
                      <w:rFonts w:ascii="Cambria Math" w:hAnsi="Cambria Math"/>
                      <w:i/>
                      <w:sz w:val="20"/>
                      <w:szCs w:val="20"/>
                    </w:rPr>
                  </m:ctrlPr>
                </m:sSubPr>
                <m:e>
                  <m:r>
                    <w:rPr>
                      <w:rFonts w:ascii="Cambria Math" w:hAnsi="Cambria Math"/>
                      <w:sz w:val="20"/>
                      <w:szCs w:val="20"/>
                    </w:rPr>
                    <m:t>SNUCI</m:t>
                  </m:r>
                </m:e>
                <m:sub>
                  <m:r>
                    <w:rPr>
                      <w:rFonts w:ascii="Cambria Math" w:hAnsi="Cambria Math"/>
                      <w:sz w:val="20"/>
                      <w:szCs w:val="20"/>
                    </w:rPr>
                    <m:t>j</m:t>
                  </m:r>
                  <m:r>
                    <w:rPr>
                      <w:rFonts w:ascii="Cambria Math"/>
                      <w:sz w:val="20"/>
                      <w:szCs w:val="20"/>
                    </w:rPr>
                    <m:t>,</m:t>
                  </m:r>
                  <m:r>
                    <w:rPr>
                      <w:rFonts w:ascii="Cambria Math" w:hAnsi="Cambria Math"/>
                      <w:sz w:val="20"/>
                      <w:szCs w:val="20"/>
                    </w:rPr>
                    <m:t>TI,l,t</m:t>
                  </m:r>
                </m:sub>
              </m:sSub>
            </m:sup>
            <m:e>
              <m:d>
                <m:dPr>
                  <m:ctrlPr>
                    <w:rPr>
                      <w:rFonts w:ascii="Cambria Math" w:hAnsi="Cambria Math"/>
                      <w:i/>
                      <w:sz w:val="20"/>
                      <w:szCs w:val="20"/>
                    </w:rPr>
                  </m:ctrlPr>
                </m:dPr>
                <m:e>
                  <m:sSub>
                    <m:sSubPr>
                      <m:ctrlPr>
                        <w:rPr>
                          <w:rFonts w:ascii="Cambria Math" w:hAnsi="Cambria Math"/>
                          <w:i/>
                          <w:sz w:val="20"/>
                          <w:szCs w:val="20"/>
                        </w:rPr>
                      </m:ctrlPr>
                    </m:sSubPr>
                    <m:e>
                      <m:r>
                        <w:rPr>
                          <w:rFonts w:ascii="Cambria Math"/>
                          <w:sz w:val="20"/>
                          <w:szCs w:val="20"/>
                        </w:rPr>
                        <m:t>CR</m:t>
                      </m:r>
                    </m:e>
                    <m:sub>
                      <m:r>
                        <w:rPr>
                          <w:rFonts w:ascii="Cambria Math"/>
                          <w:sz w:val="20"/>
                          <w:szCs w:val="20"/>
                        </w:rPr>
                        <m:t>i</m:t>
                      </m:r>
                    </m:sub>
                  </m:sSub>
                  <m:r>
                    <w:rPr>
                      <w:rFonts w:ascii="Cambria Math" w:hAnsi="Cambria Math"/>
                      <w:sz w:val="20"/>
                      <w:szCs w:val="20"/>
                    </w:rPr>
                    <m:t>*</m:t>
                  </m:r>
                  <m:sSub>
                    <m:sSubPr>
                      <m:ctrlPr>
                        <w:rPr>
                          <w:rFonts w:ascii="Cambria Math" w:hAnsi="Cambria Math"/>
                          <w:i/>
                          <w:sz w:val="20"/>
                          <w:szCs w:val="20"/>
                        </w:rPr>
                      </m:ctrlPr>
                    </m:sSubPr>
                    <m:e>
                      <m:r>
                        <w:rPr>
                          <w:rFonts w:ascii="Cambria Math"/>
                          <w:sz w:val="20"/>
                          <w:szCs w:val="20"/>
                        </w:rPr>
                        <m:t>PU</m:t>
                      </m:r>
                    </m:e>
                    <m:sub>
                      <m:r>
                        <w:rPr>
                          <w:rFonts w:ascii="Cambria Math"/>
                          <w:sz w:val="20"/>
                          <w:szCs w:val="20"/>
                        </w:rPr>
                        <m:t>j,i</m:t>
                      </m:r>
                    </m:sub>
                  </m:sSub>
                  <m:r>
                    <w:rPr>
                      <w:rFonts w:ascii="Cambria Math" w:hAnsi="Cambria Math"/>
                      <w:sz w:val="20"/>
                      <w:szCs w:val="20"/>
                    </w:rPr>
                    <m:t>*</m:t>
                  </m:r>
                  <m:sSub>
                    <m:sSubPr>
                      <m:ctrlPr>
                        <w:rPr>
                          <w:rFonts w:ascii="Cambria Math" w:hAnsi="Cambria Math"/>
                          <w:i/>
                          <w:sz w:val="20"/>
                          <w:szCs w:val="20"/>
                        </w:rPr>
                      </m:ctrlPr>
                    </m:sSubPr>
                    <m:e>
                      <m:r>
                        <w:rPr>
                          <w:rFonts w:ascii="Cambria Math" w:hAnsi="Cambria Math"/>
                          <w:sz w:val="20"/>
                          <w:szCs w:val="20"/>
                        </w:rPr>
                        <m:t>FU</m:t>
                      </m:r>
                    </m:e>
                    <m:sub>
                      <m:r>
                        <w:rPr>
                          <w:rFonts w:ascii="Cambria Math" w:hAnsi="Cambria Math"/>
                          <w:sz w:val="20"/>
                          <w:szCs w:val="20"/>
                        </w:rPr>
                        <m:t>i</m:t>
                      </m:r>
                    </m:sub>
                  </m:sSub>
                  <m:r>
                    <w:rPr>
                      <w:rFonts w:ascii="Cambria Math" w:hAnsi="Cambria Math"/>
                      <w:sz w:val="20"/>
                      <w:szCs w:val="20"/>
                    </w:rPr>
                    <m:t>*(1-</m:t>
                  </m:r>
                  <m:sSub>
                    <m:sSubPr>
                      <m:ctrlPr>
                        <w:rPr>
                          <w:rFonts w:ascii="Cambria Math" w:hAnsi="Cambria Math"/>
                          <w:i/>
                          <w:sz w:val="20"/>
                          <w:szCs w:val="20"/>
                        </w:rPr>
                      </m:ctrlPr>
                    </m:sSubPr>
                    <m:e>
                      <m:r>
                        <w:rPr>
                          <w:rFonts w:ascii="Cambria Math" w:hAnsi="Cambria Math"/>
                          <w:sz w:val="20"/>
                          <w:szCs w:val="20"/>
                        </w:rPr>
                        <m:t>RPP</m:t>
                      </m:r>
                    </m:e>
                    <m:sub>
                      <m:r>
                        <w:rPr>
                          <w:rFonts w:ascii="Cambria Math" w:hAnsi="Cambria Math"/>
                          <w:sz w:val="20"/>
                          <w:szCs w:val="20"/>
                        </w:rPr>
                        <m:t>i</m:t>
                      </m:r>
                    </m:sub>
                  </m:sSub>
                  <m:r>
                    <w:rPr>
                      <w:rFonts w:ascii="Cambria Math" w:hAnsi="Cambria Math"/>
                      <w:sz w:val="20"/>
                      <w:szCs w:val="20"/>
                    </w:rPr>
                    <m:t>)</m:t>
                  </m:r>
                  <m:r>
                    <w:rPr>
                      <w:rFonts w:ascii="Cambria Math" w:hAnsi="Cambria Math" w:cs="Cambria Math"/>
                      <w:sz w:val="20"/>
                      <w:szCs w:val="20"/>
                    </w:rPr>
                    <m:t>*</m:t>
                  </m:r>
                  <m:sSub>
                    <m:sSubPr>
                      <m:ctrlPr>
                        <w:rPr>
                          <w:rFonts w:ascii="Cambria Math" w:hAnsi="Cambria Math"/>
                          <w:i/>
                          <w:sz w:val="20"/>
                          <w:szCs w:val="20"/>
                        </w:rPr>
                      </m:ctrlPr>
                    </m:sSubPr>
                    <m:e>
                      <m:r>
                        <w:rPr>
                          <w:rFonts w:ascii="Cambria Math" w:hAnsi="Cambria Math"/>
                          <w:sz w:val="20"/>
                          <w:szCs w:val="20"/>
                        </w:rPr>
                        <m:t>Psn</m:t>
                      </m:r>
                    </m:e>
                    <m:sub>
                      <m:r>
                        <w:rPr>
                          <w:rFonts w:ascii="Cambria Math" w:hAnsi="Cambria Math"/>
                          <w:sz w:val="20"/>
                          <w:szCs w:val="20"/>
                        </w:rPr>
                        <m:t>j</m:t>
                      </m:r>
                    </m:sub>
                  </m:sSub>
                </m:e>
              </m:d>
            </m:e>
          </m:nary>
        </m:oMath>
      </m:oMathPara>
    </w:p>
    <w:p w:rsidR="00D70E3B" w:rsidRPr="00577D56" w:rsidRDefault="00D70E3B" w:rsidP="00D70E3B">
      <w:pPr>
        <w:rPr>
          <w:sz w:val="20"/>
          <w:szCs w:val="20"/>
        </w:rPr>
      </w:pPr>
    </w:p>
    <w:p w:rsidR="00D70E3B" w:rsidRPr="00577D56" w:rsidRDefault="00D70E3B" w:rsidP="00D70E3B">
      <w:pPr>
        <w:spacing w:before="120"/>
        <w:ind w:left="1692" w:hanging="1692"/>
      </w:pPr>
      <w:r w:rsidRPr="00577D56">
        <w:rPr>
          <w:i/>
          <w:iCs/>
        </w:rPr>
        <w:t>INVT</w:t>
      </w:r>
      <w:r w:rsidRPr="00577D56">
        <w:rPr>
          <w:i/>
          <w:iCs/>
          <w:vertAlign w:val="subscript"/>
        </w:rPr>
        <w:t>j,n,TI,l,t</w:t>
      </w:r>
      <w:r w:rsidRPr="00577D56">
        <w:t>:</w:t>
      </w:r>
      <w:r w:rsidRPr="00577D56">
        <w:tab/>
      </w:r>
      <w:r w:rsidRPr="00577D56">
        <w:tab/>
        <w:t>Valor de la i</w:t>
      </w:r>
      <w:r w:rsidRPr="00577D56">
        <w:rPr>
          <w:iCs/>
        </w:rPr>
        <w:t xml:space="preserve">nversión del plan del OR </w:t>
      </w:r>
      <w:r w:rsidRPr="00577D56">
        <w:rPr>
          <w:i/>
          <w:iCs/>
        </w:rPr>
        <w:t>j</w:t>
      </w:r>
      <w:r w:rsidRPr="00577D56">
        <w:rPr>
          <w:iCs/>
        </w:rPr>
        <w:t xml:space="preserve"> en el nivel de tensión </w:t>
      </w:r>
      <w:r w:rsidRPr="00577D56">
        <w:rPr>
          <w:i/>
          <w:iCs/>
        </w:rPr>
        <w:t xml:space="preserve">n, </w:t>
      </w:r>
      <w:r w:rsidRPr="00577D56">
        <w:rPr>
          <w:iCs/>
        </w:rPr>
        <w:t xml:space="preserve">en el tipo de inversión </w:t>
      </w:r>
      <w:r w:rsidRPr="00577D56">
        <w:rPr>
          <w:i/>
          <w:iCs/>
        </w:rPr>
        <w:t>TI</w:t>
      </w:r>
      <w:r w:rsidRPr="00577D56">
        <w:rPr>
          <w:iCs/>
        </w:rPr>
        <w:t xml:space="preserve">, en la categoría de activos </w:t>
      </w:r>
      <w:r w:rsidRPr="00577D56">
        <w:rPr>
          <w:i/>
          <w:iCs/>
        </w:rPr>
        <w:t>l</w:t>
      </w:r>
      <w:r w:rsidRPr="00577D56">
        <w:rPr>
          <w:iCs/>
        </w:rPr>
        <w:t xml:space="preserve"> para el año </w:t>
      </w:r>
      <w:r w:rsidRPr="00577D56">
        <w:rPr>
          <w:i/>
          <w:iCs/>
        </w:rPr>
        <w:t>t</w:t>
      </w:r>
      <w:r w:rsidRPr="00577D56">
        <w:rPr>
          <w:iCs/>
        </w:rPr>
        <w:t xml:space="preserve">. </w:t>
      </w:r>
      <w:r w:rsidRPr="00577D56">
        <w:t xml:space="preserve">Corresponde al valor de los activos valorados con las UC definidas en el capítulo </w:t>
      </w:r>
      <w:r w:rsidRPr="00577D56">
        <w:fldChar w:fldCharType="begin"/>
      </w:r>
      <w:r w:rsidRPr="00577D56">
        <w:instrText xml:space="preserve"> REF _Ref465980531 \r \h \t \* MERGEFORMAT </w:instrText>
      </w:r>
      <w:r w:rsidRPr="00577D56">
        <w:fldChar w:fldCharType="separate"/>
      </w:r>
      <w:r w:rsidR="00737178">
        <w:t>14</w:t>
      </w:r>
      <w:r w:rsidRPr="00577D56">
        <w:fldChar w:fldCharType="end"/>
      </w:r>
      <w:r w:rsidRPr="00577D56">
        <w:t>.</w:t>
      </w:r>
    </w:p>
    <w:p w:rsidR="00D70E3B" w:rsidRPr="00577D56" w:rsidRDefault="00D70E3B" w:rsidP="00D70E3B">
      <w:pPr>
        <w:tabs>
          <w:tab w:val="left" w:pos="1418"/>
        </w:tabs>
        <w:spacing w:before="120"/>
        <w:ind w:left="1692" w:hanging="1692"/>
      </w:pPr>
      <w:r w:rsidRPr="00577D56">
        <w:rPr>
          <w:i/>
          <w:iCs/>
        </w:rPr>
        <w:t>UCI</w:t>
      </w:r>
      <w:r w:rsidRPr="00577D56">
        <w:rPr>
          <w:i/>
          <w:iCs/>
          <w:vertAlign w:val="subscript"/>
        </w:rPr>
        <w:t>j,n,TI,l,t</w:t>
      </w:r>
      <w:r w:rsidRPr="00577D56">
        <w:t>:</w:t>
      </w:r>
      <w:r w:rsidRPr="00577D56">
        <w:tab/>
      </w:r>
      <w:r w:rsidRPr="00577D56">
        <w:tab/>
      </w:r>
      <w:r w:rsidRPr="00577D56">
        <w:tab/>
        <w:t xml:space="preserve">UC incluidas en el plan de inversiones solicitado por el OR </w:t>
      </w:r>
      <w:r w:rsidRPr="00577D56">
        <w:rPr>
          <w:i/>
        </w:rPr>
        <w:t xml:space="preserve">j </w:t>
      </w:r>
      <w:r w:rsidRPr="00577D56">
        <w:t xml:space="preserve">en el nivel de tensión </w:t>
      </w:r>
      <w:r w:rsidRPr="00577D56">
        <w:rPr>
          <w:i/>
        </w:rPr>
        <w:t xml:space="preserve">n, </w:t>
      </w:r>
      <w:r w:rsidRPr="00577D56">
        <w:rPr>
          <w:iCs/>
        </w:rPr>
        <w:t xml:space="preserve">en el tipo de inversión </w:t>
      </w:r>
      <w:r w:rsidRPr="00577D56">
        <w:rPr>
          <w:i/>
          <w:iCs/>
        </w:rPr>
        <w:t>TI</w:t>
      </w:r>
      <w:r w:rsidRPr="00577D56">
        <w:rPr>
          <w:iCs/>
        </w:rPr>
        <w:t>,</w:t>
      </w:r>
      <w:r w:rsidRPr="00577D56">
        <w:t xml:space="preserve"> </w:t>
      </w:r>
      <w:r w:rsidRPr="00577D56">
        <w:rPr>
          <w:iCs/>
        </w:rPr>
        <w:t xml:space="preserve">en la categoría de activos </w:t>
      </w:r>
      <w:r w:rsidRPr="00577D56">
        <w:rPr>
          <w:i/>
          <w:iCs/>
        </w:rPr>
        <w:t>l</w:t>
      </w:r>
      <w:r w:rsidRPr="00577D56">
        <w:rPr>
          <w:iCs/>
        </w:rPr>
        <w:t xml:space="preserve"> para </w:t>
      </w:r>
      <w:r w:rsidRPr="00577D56">
        <w:t xml:space="preserve">el año </w:t>
      </w:r>
      <w:r w:rsidRPr="00577D56">
        <w:rPr>
          <w:i/>
        </w:rPr>
        <w:t>t</w:t>
      </w:r>
      <w:r w:rsidRPr="00577D56">
        <w:t>. No se incluyen las UC que fueron trasladadas y siguen en operación.</w:t>
      </w:r>
    </w:p>
    <w:p w:rsidR="00D70E3B" w:rsidRPr="00577D56" w:rsidRDefault="00D70E3B" w:rsidP="00D70E3B">
      <w:pPr>
        <w:ind w:left="1410" w:hanging="1410"/>
      </w:pPr>
      <w:r w:rsidRPr="00577D56">
        <w:rPr>
          <w:i/>
          <w:iCs/>
        </w:rPr>
        <w:t>CR</w:t>
      </w:r>
      <w:r w:rsidRPr="00577D56">
        <w:rPr>
          <w:i/>
          <w:iCs/>
          <w:vertAlign w:val="subscript"/>
        </w:rPr>
        <w:t>i</w:t>
      </w:r>
      <w:r w:rsidRPr="00577D56">
        <w:t>:</w:t>
      </w:r>
      <w:r w:rsidRPr="00577D56">
        <w:tab/>
      </w:r>
      <w:r w:rsidRPr="00577D56">
        <w:tab/>
      </w:r>
      <w:r w:rsidRPr="00577D56">
        <w:tab/>
      </w:r>
      <w:r w:rsidRPr="00577D56">
        <w:tab/>
        <w:t xml:space="preserve">Valor de la UC </w:t>
      </w:r>
      <w:r w:rsidRPr="00577D56">
        <w:rPr>
          <w:i/>
          <w:iCs/>
        </w:rPr>
        <w:t>i</w:t>
      </w:r>
      <w:r w:rsidRPr="00577D56">
        <w:rPr>
          <w:iCs/>
        </w:rPr>
        <w:t>,</w:t>
      </w:r>
      <w:r w:rsidRPr="00577D56">
        <w:t xml:space="preserve">  definidas en el capítulo </w:t>
      </w:r>
      <w:r w:rsidRPr="00577D56">
        <w:fldChar w:fldCharType="begin"/>
      </w:r>
      <w:r w:rsidRPr="00577D56">
        <w:instrText xml:space="preserve"> REF _Ref465980562 \r \h \t \* MERGEFORMAT </w:instrText>
      </w:r>
      <w:r w:rsidRPr="00577D56">
        <w:fldChar w:fldCharType="separate"/>
      </w:r>
      <w:r w:rsidR="00737178">
        <w:t>14</w:t>
      </w:r>
      <w:r w:rsidRPr="00577D56">
        <w:fldChar w:fldCharType="end"/>
      </w:r>
      <w:r w:rsidRPr="00577D56">
        <w:t>.</w:t>
      </w:r>
    </w:p>
    <w:p w:rsidR="00D70E3B" w:rsidRPr="00577D56" w:rsidRDefault="00D70E3B" w:rsidP="00D70E3B">
      <w:pPr>
        <w:ind w:left="1692" w:hanging="1692"/>
      </w:pPr>
      <w:r w:rsidRPr="00577D56">
        <w:rPr>
          <w:i/>
          <w:iCs/>
        </w:rPr>
        <w:t>PU</w:t>
      </w:r>
      <w:r w:rsidRPr="00577D56">
        <w:rPr>
          <w:i/>
          <w:iCs/>
          <w:vertAlign w:val="subscript"/>
        </w:rPr>
        <w:t>i</w:t>
      </w:r>
      <w:r w:rsidRPr="00577D56">
        <w:rPr>
          <w:i/>
          <w:iCs/>
        </w:rPr>
        <w:t>:</w:t>
      </w:r>
      <w:r w:rsidRPr="00577D56">
        <w:tab/>
      </w:r>
      <w:r w:rsidRPr="00577D56">
        <w:tab/>
        <w:t xml:space="preserve">Fracción del costo de la UC </w:t>
      </w:r>
      <w:r w:rsidRPr="00577D56">
        <w:rPr>
          <w:i/>
          <w:iCs/>
        </w:rPr>
        <w:t>i</w:t>
      </w:r>
      <w:r w:rsidRPr="00577D56">
        <w:t xml:space="preserve"> que es reconocida mediante cargos por uso.</w:t>
      </w:r>
    </w:p>
    <w:p w:rsidR="00D70E3B" w:rsidRPr="00577D56" w:rsidRDefault="00D70E3B" w:rsidP="00D70E3B">
      <w:pPr>
        <w:ind w:left="1695" w:hanging="1692"/>
      </w:pPr>
      <w:r w:rsidRPr="00577D56">
        <w:rPr>
          <w:i/>
          <w:iCs/>
        </w:rPr>
        <w:t>FU</w:t>
      </w:r>
      <w:r w:rsidRPr="00577D56">
        <w:rPr>
          <w:i/>
          <w:iCs/>
          <w:vertAlign w:val="subscript"/>
        </w:rPr>
        <w:t>i</w:t>
      </w:r>
      <w:r w:rsidRPr="00577D56">
        <w:rPr>
          <w:i/>
          <w:iCs/>
        </w:rPr>
        <w:t>:</w:t>
      </w:r>
      <w:r w:rsidRPr="00577D56">
        <w:rPr>
          <w:i/>
          <w:iCs/>
        </w:rPr>
        <w:tab/>
      </w:r>
      <w:r w:rsidRPr="00577D56">
        <w:t xml:space="preserve">Fracción del costo de la UC </w:t>
      </w:r>
      <w:r w:rsidRPr="00577D56">
        <w:rPr>
          <w:i/>
          <w:iCs/>
        </w:rPr>
        <w:t>i</w:t>
      </w:r>
      <w:r w:rsidRPr="00577D56">
        <w:t xml:space="preserve"> que es reconocida por reposiciones parciales de la UC. Este valor se calcula como el peso relativo del valor reconocido del elemento o los elementos reemplazados respecto al valor total de la UC definido en el capítulo </w:t>
      </w:r>
      <w:r w:rsidRPr="00577D56">
        <w:fldChar w:fldCharType="begin"/>
      </w:r>
      <w:r w:rsidRPr="00577D56">
        <w:instrText xml:space="preserve"> REF _Ref465980638 \r \h \t \* MERGEFORMAT </w:instrText>
      </w:r>
      <w:r w:rsidRPr="00577D56">
        <w:fldChar w:fldCharType="separate"/>
      </w:r>
      <w:r w:rsidR="00737178">
        <w:t>14</w:t>
      </w:r>
      <w:r w:rsidRPr="00577D56">
        <w:fldChar w:fldCharType="end"/>
      </w:r>
      <w:r w:rsidRPr="00577D56">
        <w:t>.</w:t>
      </w:r>
      <w:r w:rsidR="00F13040">
        <w:rPr>
          <w:iCs/>
        </w:rPr>
        <w:t xml:space="preserve"> La Comisión publicará en c</w:t>
      </w:r>
      <w:r w:rsidRPr="00577D56">
        <w:rPr>
          <w:iCs/>
        </w:rPr>
        <w:t>ircular aparte el peso relativo de cada componente de las UC.</w:t>
      </w:r>
    </w:p>
    <w:p w:rsidR="00D70E3B" w:rsidRPr="00577D56" w:rsidRDefault="00D70E3B" w:rsidP="00D70E3B">
      <w:pPr>
        <w:ind w:left="1695" w:hanging="1690"/>
      </w:pPr>
      <w:r w:rsidRPr="00577D56">
        <w:rPr>
          <w:i/>
          <w:iCs/>
        </w:rPr>
        <w:t>RPP</w:t>
      </w:r>
      <w:r w:rsidRPr="00577D56">
        <w:rPr>
          <w:i/>
          <w:iCs/>
          <w:vertAlign w:val="subscript"/>
        </w:rPr>
        <w:t>i</w:t>
      </w:r>
      <w:r w:rsidRPr="00577D56">
        <w:rPr>
          <w:i/>
          <w:iCs/>
        </w:rPr>
        <w:t>:</w:t>
      </w:r>
      <w:r w:rsidRPr="00577D56">
        <w:tab/>
        <w:t xml:space="preserve">Fracción del costo de la UC </w:t>
      </w:r>
      <w:r w:rsidRPr="00577D56">
        <w:rPr>
          <w:i/>
          <w:iCs/>
        </w:rPr>
        <w:t>i</w:t>
      </w:r>
      <w:r w:rsidRPr="00577D56">
        <w:t xml:space="preserve"> que es</w:t>
      </w:r>
      <w:r w:rsidRPr="00577D56">
        <w:rPr>
          <w:i/>
        </w:rPr>
        <w:t xml:space="preserve"> </w:t>
      </w:r>
      <w:r w:rsidRPr="00577D56">
        <w:t>remunerada vía cargos por uso que no se debe incluir en el cálculo de la tarifa.</w:t>
      </w:r>
    </w:p>
    <w:p w:rsidR="00D70E3B" w:rsidRPr="00577D56" w:rsidRDefault="00D70E3B" w:rsidP="00D70E3B">
      <w:pPr>
        <w:ind w:left="1695" w:hanging="1692"/>
      </w:pPr>
      <w:r w:rsidRPr="00577D56">
        <w:rPr>
          <w:i/>
          <w:iCs/>
        </w:rPr>
        <w:lastRenderedPageBreak/>
        <w:t>TI:</w:t>
      </w:r>
      <w:r w:rsidRPr="00577D56">
        <w:tab/>
        <w:t>Tipo de inversión, como se define en este capítulo, toma los valores de 1, 2, 3 y 4.</w:t>
      </w:r>
    </w:p>
    <w:p w:rsidR="00D70E3B" w:rsidRPr="00577D56" w:rsidRDefault="00D70E3B" w:rsidP="00D70E3B">
      <w:pPr>
        <w:tabs>
          <w:tab w:val="left" w:pos="1418"/>
        </w:tabs>
        <w:spacing w:before="120"/>
        <w:ind w:left="1695" w:hanging="1692"/>
      </w:pPr>
      <w:r w:rsidRPr="00577D56">
        <w:rPr>
          <w:i/>
          <w:iCs/>
        </w:rPr>
        <w:t>SNUCI</w:t>
      </w:r>
      <w:r w:rsidRPr="00577D56">
        <w:rPr>
          <w:i/>
          <w:iCs/>
          <w:vertAlign w:val="subscript"/>
        </w:rPr>
        <w:t>j,TI,l,t</w:t>
      </w:r>
      <w:r w:rsidRPr="00577D56">
        <w:t>:</w:t>
      </w:r>
      <w:r w:rsidRPr="00577D56">
        <w:tab/>
      </w:r>
      <w:r w:rsidRPr="00577D56">
        <w:tab/>
        <w:t xml:space="preserve">UC incluidas en el plan de inversiones solicitado por el OR </w:t>
      </w:r>
      <w:r w:rsidRPr="00577D56">
        <w:rPr>
          <w:i/>
        </w:rPr>
        <w:t xml:space="preserve">j </w:t>
      </w:r>
      <w:r w:rsidRPr="00577D56">
        <w:t xml:space="preserve">sin nivel de </w:t>
      </w:r>
      <w:r w:rsidR="00B66478" w:rsidRPr="00577D56">
        <w:t>tensión</w:t>
      </w:r>
      <w:r w:rsidRPr="00577D56">
        <w:rPr>
          <w:i/>
        </w:rPr>
        <w:t xml:space="preserve">, </w:t>
      </w:r>
      <w:r w:rsidRPr="00577D56">
        <w:rPr>
          <w:iCs/>
        </w:rPr>
        <w:t xml:space="preserve">en el tipo de inversión </w:t>
      </w:r>
      <w:r w:rsidRPr="00577D56">
        <w:rPr>
          <w:i/>
          <w:iCs/>
        </w:rPr>
        <w:t>TI</w:t>
      </w:r>
      <w:r w:rsidRPr="00577D56">
        <w:rPr>
          <w:iCs/>
        </w:rPr>
        <w:t>,</w:t>
      </w:r>
      <w:r w:rsidRPr="00577D56">
        <w:t xml:space="preserve"> </w:t>
      </w:r>
      <w:r w:rsidRPr="00577D56">
        <w:rPr>
          <w:iCs/>
        </w:rPr>
        <w:t xml:space="preserve">en la categoría de activos </w:t>
      </w:r>
      <w:r w:rsidRPr="00577D56">
        <w:rPr>
          <w:i/>
          <w:iCs/>
        </w:rPr>
        <w:t>l</w:t>
      </w:r>
      <w:r w:rsidRPr="00577D56">
        <w:rPr>
          <w:iCs/>
        </w:rPr>
        <w:t xml:space="preserve"> para </w:t>
      </w:r>
      <w:r w:rsidRPr="00577D56">
        <w:t xml:space="preserve">el año </w:t>
      </w:r>
      <w:r w:rsidRPr="00577D56">
        <w:rPr>
          <w:i/>
        </w:rPr>
        <w:t>t</w:t>
      </w:r>
      <w:r w:rsidRPr="00577D56">
        <w:t>. No se incluyen las UC que fueron trasladadas y siguen en operación.</w:t>
      </w:r>
    </w:p>
    <w:p w:rsidR="00D70E3B" w:rsidRPr="00577D56" w:rsidRDefault="00D70E3B" w:rsidP="00D70E3B">
      <w:pPr>
        <w:tabs>
          <w:tab w:val="left" w:pos="1418"/>
        </w:tabs>
        <w:spacing w:before="120"/>
        <w:ind w:left="1695" w:hanging="1692"/>
        <w:rPr>
          <w:iCs/>
        </w:rPr>
      </w:pPr>
      <w:r w:rsidRPr="00577D56">
        <w:rPr>
          <w:i/>
          <w:iCs/>
        </w:rPr>
        <w:t>Psn</w:t>
      </w:r>
      <w:r w:rsidRPr="00577D56">
        <w:rPr>
          <w:i/>
          <w:iCs/>
          <w:vertAlign w:val="subscript"/>
        </w:rPr>
        <w:t>j</w:t>
      </w:r>
      <w:r w:rsidRPr="00577D56">
        <w:rPr>
          <w:i/>
          <w:iCs/>
        </w:rPr>
        <w:t>:</w:t>
      </w:r>
      <w:r w:rsidRPr="00577D56">
        <w:rPr>
          <w:i/>
          <w:iCs/>
        </w:rPr>
        <w:tab/>
      </w:r>
      <w:r w:rsidRPr="00577D56">
        <w:rPr>
          <w:i/>
          <w:iCs/>
        </w:rPr>
        <w:tab/>
      </w:r>
      <w:r w:rsidRPr="00577D56">
        <w:rPr>
          <w:iCs/>
        </w:rPr>
        <w:t xml:space="preserve">Variable de asignación de las UC sin nivel de tensión. Para OR con cuatro niveles de tensión es igual a 1/3, para OR con tres niveles de tensión es igual a 1/2 y para OR con dos niveles de tensión es igual a 1. </w:t>
      </w:r>
    </w:p>
    <w:p w:rsidR="00D70E3B" w:rsidRPr="00577D56" w:rsidRDefault="00D70E3B" w:rsidP="00D70E3B">
      <w:pPr>
        <w:pStyle w:val="Ttulo4"/>
      </w:pPr>
      <w:r w:rsidRPr="00577D56">
        <w:t xml:space="preserve">Sistema de gestión de activos </w:t>
      </w:r>
    </w:p>
    <w:p w:rsidR="00D70E3B" w:rsidRPr="00577D56" w:rsidRDefault="00D70E3B" w:rsidP="00D70E3B">
      <w:r w:rsidRPr="00577D56">
        <w:t>El OR debe incluir en el plan de inversión los activos necesarios para la implementación y certificación de un sistema de gestión de activos acorde con la norma ISO 55001 en un plazo de cinco años contados a partir de la entrada en vigencia de la presente resolución.</w:t>
      </w:r>
    </w:p>
    <w:p w:rsidR="00D70E3B" w:rsidRPr="00577D56" w:rsidRDefault="00D70E3B" w:rsidP="00D70E3B">
      <w:r w:rsidRPr="00577D56">
        <w:t>En la implementación del sistema de gestión de activos, el OR debe durante el primer año, realizar un diagnóstico de las brechas frente al cumplimiento de la norma y el plan de trabajo para los próximos 4 años para obtener la certificación.</w:t>
      </w:r>
    </w:p>
    <w:p w:rsidR="00D70E3B" w:rsidRPr="00577D56" w:rsidRDefault="00D70E3B" w:rsidP="00D70E3B">
      <w:r w:rsidRPr="00577D56">
        <w:t>Anualmente, el OR debe informar el avance en el cierre de brechas y cuáles son las inversiones que se identificaron y se han realizado en la implementación del sistema.</w:t>
      </w:r>
    </w:p>
    <w:p w:rsidR="00D70E3B" w:rsidRPr="00577D56" w:rsidRDefault="00D70E3B" w:rsidP="00D70E3B">
      <w:pPr>
        <w:pStyle w:val="Ttulo3"/>
      </w:pPr>
      <w:bookmarkStart w:id="703" w:name="_Ref461031285"/>
      <w:bookmarkStart w:id="704" w:name="_Toc504809462"/>
      <w:bookmarkStart w:id="705" w:name="_Toc505335970"/>
      <w:r w:rsidRPr="00577D56">
        <w:t xml:space="preserve">Proyectos de inversión en el </w:t>
      </w:r>
      <w:bookmarkEnd w:id="703"/>
      <w:r w:rsidRPr="00577D56">
        <w:t>STR</w:t>
      </w:r>
      <w:bookmarkEnd w:id="704"/>
      <w:bookmarkEnd w:id="705"/>
    </w:p>
    <w:p w:rsidR="00D70E3B" w:rsidRPr="00577D56" w:rsidRDefault="00D70E3B" w:rsidP="00D70E3B">
      <w:r w:rsidRPr="00577D56">
        <w:t>Los proyectos de inversión en el STR Tipos I y II que se incluyan en el plan de inversión del OR deben tener la aprobación por parte de la UPME, para lo cual el OR debe acreditar con su solicitud lo siguiente:</w:t>
      </w:r>
    </w:p>
    <w:p w:rsidR="00D70E3B" w:rsidRPr="00577D56" w:rsidRDefault="00D70E3B" w:rsidP="008B04A9">
      <w:pPr>
        <w:pStyle w:val="Prrafodelista"/>
        <w:numPr>
          <w:ilvl w:val="0"/>
          <w:numId w:val="99"/>
        </w:numPr>
      </w:pPr>
      <w:r w:rsidRPr="00577D56">
        <w:t>Presentación a la UPME del proyecto con las alternativas estudiadas y sus respectivas evaluaciones económicas.</w:t>
      </w:r>
    </w:p>
    <w:p w:rsidR="00D70E3B" w:rsidRPr="00577D56" w:rsidRDefault="00D70E3B" w:rsidP="008B04A9">
      <w:pPr>
        <w:pStyle w:val="Prrafodelista"/>
        <w:numPr>
          <w:ilvl w:val="0"/>
          <w:numId w:val="99"/>
        </w:numPr>
      </w:pPr>
      <w:r w:rsidRPr="00577D56">
        <w:t>Aprobación de los proyectos del STR por la UPME, de acuerdo con los criterios de expansión del Sistema Interconectado Nacional adoptados por el Ministerio de Minas y Energía.</w:t>
      </w:r>
    </w:p>
    <w:p w:rsidR="00D70E3B" w:rsidRPr="00577D56" w:rsidRDefault="00D70E3B" w:rsidP="00D70E3B">
      <w:r w:rsidRPr="00577D56">
        <w:t xml:space="preserve">La UPME podrá establecer un procedimiento diferencial para los proyectos de inversión que sometan los OR a su aprobación considerando el valor de las inversiones y su impacto en la operación segura, confiable y con calidad en el SIN. </w:t>
      </w:r>
    </w:p>
    <w:p w:rsidR="00D70E3B" w:rsidRPr="00577D56" w:rsidRDefault="00D70E3B" w:rsidP="00D70E3B">
      <w:r w:rsidRPr="00577D56">
        <w:t xml:space="preserve">Los OR deberán suministrar toda la información que la UPME requiera, en las condiciones que esta señale, para realizar las actividades que se indican en este numeral.  </w:t>
      </w:r>
    </w:p>
    <w:p w:rsidR="00D70E3B" w:rsidRPr="00577D56" w:rsidRDefault="00D70E3B" w:rsidP="00D70E3B">
      <w:pPr>
        <w:pStyle w:val="Ttulo2"/>
        <w:rPr>
          <w:lang w:val="es-ES_tradnl"/>
        </w:rPr>
      </w:pPr>
      <w:bookmarkStart w:id="706" w:name="_Ref404192237"/>
      <w:bookmarkStart w:id="707" w:name="_Toc408493198"/>
      <w:bookmarkStart w:id="708" w:name="_Toc440029144"/>
      <w:bookmarkStart w:id="709" w:name="_Toc460840632"/>
      <w:bookmarkStart w:id="710" w:name="_Toc504809463"/>
      <w:bookmarkStart w:id="711" w:name="_Toc505335971"/>
      <w:bookmarkEnd w:id="691"/>
      <w:r w:rsidRPr="00577D56">
        <w:rPr>
          <w:lang w:val="es-ES_tradnl"/>
        </w:rPr>
        <w:t>Aprobación de los planes de inversión</w:t>
      </w:r>
      <w:bookmarkEnd w:id="706"/>
      <w:bookmarkEnd w:id="707"/>
      <w:bookmarkEnd w:id="708"/>
      <w:bookmarkEnd w:id="709"/>
      <w:bookmarkEnd w:id="710"/>
      <w:bookmarkEnd w:id="711"/>
    </w:p>
    <w:p w:rsidR="00D70E3B" w:rsidRPr="00577D56" w:rsidRDefault="00D70E3B" w:rsidP="00D70E3B">
      <w:pPr>
        <w:rPr>
          <w:lang w:val="es-CO"/>
        </w:rPr>
      </w:pPr>
      <w:r w:rsidRPr="00577D56">
        <w:rPr>
          <w:lang w:val="es-CO"/>
        </w:rPr>
        <w:t>Para la aprobación y remuneración de los planes de inversión se realizarán como mínimo los siguientes pasos:</w:t>
      </w:r>
    </w:p>
    <w:p w:rsidR="00D70E3B" w:rsidRPr="00577D56" w:rsidRDefault="00D70E3B" w:rsidP="009C086B">
      <w:pPr>
        <w:pStyle w:val="Prrafodelista"/>
        <w:numPr>
          <w:ilvl w:val="0"/>
          <w:numId w:val="29"/>
        </w:numPr>
      </w:pPr>
      <w:r w:rsidRPr="00577D56">
        <w:lastRenderedPageBreak/>
        <w:t xml:space="preserve">Revisión de la información suministrada por los OR en los formatos establecidos por la Comisión. </w:t>
      </w:r>
    </w:p>
    <w:p w:rsidR="00D70E3B" w:rsidRPr="00577D56" w:rsidRDefault="00D70E3B" w:rsidP="009C086B">
      <w:pPr>
        <w:pStyle w:val="Prrafodelista"/>
        <w:numPr>
          <w:ilvl w:val="0"/>
          <w:numId w:val="29"/>
        </w:numPr>
      </w:pPr>
      <w:bookmarkStart w:id="712" w:name="_Ref461093293"/>
      <w:bookmarkStart w:id="713" w:name="_Ref440363094"/>
      <w:r w:rsidRPr="00577D56">
        <w:t>Revisión del valor de las inversiones del plan para los niveles 1, 2 y 3 y su comparación con el valor máximo permitido.</w:t>
      </w:r>
      <w:bookmarkEnd w:id="712"/>
      <w:r w:rsidRPr="00577D56">
        <w:t xml:space="preserve"> </w:t>
      </w:r>
    </w:p>
    <w:p w:rsidR="00D70E3B" w:rsidRPr="00577D56" w:rsidRDefault="00D70E3B" w:rsidP="00D70E3B">
      <w:pPr>
        <w:pStyle w:val="Prrafodelista"/>
        <w:ind w:left="360"/>
      </w:pPr>
      <w:r w:rsidRPr="00577D56">
        <w:t xml:space="preserve">El valor de la variable </w:t>
      </w:r>
      <w:r w:rsidRPr="00577D56">
        <w:rPr>
          <w:i/>
        </w:rPr>
        <w:t>VPIE</w:t>
      </w:r>
      <w:r w:rsidRPr="00577D56">
        <w:rPr>
          <w:i/>
          <w:vertAlign w:val="subscript"/>
        </w:rPr>
        <w:t>j,t</w:t>
      </w:r>
      <w:r w:rsidRPr="00577D56">
        <w:t xml:space="preserve"> , calculada como aparece en el numeral </w:t>
      </w:r>
      <w:r w:rsidRPr="00577D56">
        <w:fldChar w:fldCharType="begin"/>
      </w:r>
      <w:r w:rsidRPr="00577D56">
        <w:instrText xml:space="preserve"> REF _Ref460942444 \r \h  \* MERGEFORMAT </w:instrText>
      </w:r>
      <w:r w:rsidRPr="00577D56">
        <w:fldChar w:fldCharType="separate"/>
      </w:r>
      <w:r w:rsidR="00737178">
        <w:t>6.4.1</w:t>
      </w:r>
      <w:r w:rsidRPr="00577D56">
        <w:fldChar w:fldCharType="end"/>
      </w:r>
      <w:r w:rsidRPr="00577D56">
        <w:t xml:space="preserve"> no puede ser superior al ocho por ciento (8%) del costo de reposición de referencia </w:t>
      </w:r>
      <w:r w:rsidRPr="00577D56">
        <w:rPr>
          <w:i/>
        </w:rPr>
        <w:t>CRR</w:t>
      </w:r>
      <w:r w:rsidRPr="00577D56">
        <w:rPr>
          <w:i/>
          <w:vertAlign w:val="subscript"/>
        </w:rPr>
        <w:t>j</w:t>
      </w:r>
      <w:r w:rsidRPr="00577D56">
        <w:rPr>
          <w:szCs w:val="24"/>
          <w:lang w:val="es-ES_tradnl"/>
        </w:rPr>
        <w:t xml:space="preserve">, calculado según lo establecido </w:t>
      </w:r>
      <w:r w:rsidRPr="00577D56">
        <w:t xml:space="preserve">en el numeral </w:t>
      </w:r>
      <w:r w:rsidRPr="00577D56">
        <w:fldChar w:fldCharType="begin"/>
      </w:r>
      <w:r w:rsidRPr="00577D56">
        <w:instrText xml:space="preserve"> REF _Ref461013047 \r \h  \* MERGEFORMAT </w:instrText>
      </w:r>
      <w:r w:rsidRPr="00577D56">
        <w:fldChar w:fldCharType="separate"/>
      </w:r>
      <w:r w:rsidR="00737178">
        <w:t>6.4.2</w:t>
      </w:r>
      <w:r w:rsidRPr="00577D56">
        <w:fldChar w:fldCharType="end"/>
      </w:r>
      <w:r w:rsidRPr="00577D56">
        <w:t>.</w:t>
      </w:r>
      <w:bookmarkEnd w:id="713"/>
    </w:p>
    <w:p w:rsidR="00D70E3B" w:rsidRPr="00577D56" w:rsidRDefault="00D70E3B" w:rsidP="009C086B">
      <w:pPr>
        <w:pStyle w:val="Prrafodelista"/>
        <w:numPr>
          <w:ilvl w:val="0"/>
          <w:numId w:val="29"/>
        </w:numPr>
      </w:pPr>
      <w:bookmarkStart w:id="714" w:name="_Ref505069172"/>
      <w:r w:rsidRPr="00577D56">
        <w:t xml:space="preserve">De manera excepcional, cuando en aplicación de los criterios y lineamientos establecidos en los numerales </w:t>
      </w:r>
      <w:r w:rsidRPr="00577D56">
        <w:fldChar w:fldCharType="begin"/>
      </w:r>
      <w:r w:rsidRPr="00577D56">
        <w:instrText xml:space="preserve"> REF _Ref505067698 \r \h </w:instrText>
      </w:r>
      <w:r>
        <w:instrText xml:space="preserve"> \* MERGEFORMAT </w:instrText>
      </w:r>
      <w:r w:rsidRPr="00577D56">
        <w:fldChar w:fldCharType="separate"/>
      </w:r>
      <w:r w:rsidR="00737178">
        <w:t>6.1</w:t>
      </w:r>
      <w:r w:rsidRPr="00577D56">
        <w:fldChar w:fldCharType="end"/>
      </w:r>
      <w:r w:rsidRPr="00577D56">
        <w:t xml:space="preserve"> y </w:t>
      </w:r>
      <w:r w:rsidRPr="00577D56">
        <w:fldChar w:fldCharType="begin"/>
      </w:r>
      <w:r w:rsidRPr="00577D56">
        <w:instrText xml:space="preserve"> REF _Ref505067700 \r \h </w:instrText>
      </w:r>
      <w:r>
        <w:instrText xml:space="preserve"> \* MERGEFORMAT </w:instrText>
      </w:r>
      <w:r w:rsidRPr="00577D56">
        <w:fldChar w:fldCharType="separate"/>
      </w:r>
      <w:r w:rsidR="00737178">
        <w:t>6.3</w:t>
      </w:r>
      <w:r w:rsidRPr="00577D56">
        <w:fldChar w:fldCharType="end"/>
      </w:r>
      <w:r w:rsidRPr="00577D56">
        <w:t xml:space="preserve"> el OR identifique la necesidad de proyectos de inversión que conducen a superar el </w:t>
      </w:r>
      <w:r w:rsidR="00B66478" w:rsidRPr="00577D56">
        <w:t>límite</w:t>
      </w:r>
      <w:r w:rsidRPr="00577D56">
        <w:t xml:space="preserve"> establecido en el literal anterior, el OR podrá solicitar a la Comisión su </w:t>
      </w:r>
      <w:r w:rsidR="00B66478" w:rsidRPr="00577D56">
        <w:t>aprobación</w:t>
      </w:r>
      <w:r w:rsidRPr="00577D56">
        <w:t xml:space="preserve">. Para lo anterior, el OR debe suministrar todos los </w:t>
      </w:r>
      <w:r w:rsidR="00B66478" w:rsidRPr="00577D56">
        <w:t>análisis</w:t>
      </w:r>
      <w:r w:rsidRPr="00577D56">
        <w:t xml:space="preserve"> técnicos, económicos y financieros que justifican la necesidad de los proyectos incluidos en el plan.</w:t>
      </w:r>
      <w:bookmarkEnd w:id="714"/>
      <w:r w:rsidRPr="00577D56">
        <w:t xml:space="preserve">     </w:t>
      </w:r>
    </w:p>
    <w:p w:rsidR="00D70E3B" w:rsidRPr="00577D56" w:rsidRDefault="00D70E3B" w:rsidP="009C086B">
      <w:pPr>
        <w:pStyle w:val="Prrafodelista"/>
        <w:numPr>
          <w:ilvl w:val="0"/>
          <w:numId w:val="29"/>
        </w:numPr>
      </w:pPr>
      <w:r w:rsidRPr="00577D56">
        <w:t>El OR deberá realizar una presentación a la Comisión del plan de inversiones y la justificación y razonabilidad del mismo, en caso que esta lo considere necesario.</w:t>
      </w:r>
    </w:p>
    <w:p w:rsidR="00D70E3B" w:rsidRPr="00577D56" w:rsidRDefault="00D70E3B" w:rsidP="009C086B">
      <w:pPr>
        <w:pStyle w:val="Prrafodelista"/>
        <w:numPr>
          <w:ilvl w:val="0"/>
          <w:numId w:val="29"/>
        </w:numPr>
      </w:pPr>
      <w:r w:rsidRPr="00577D56">
        <w:t>La Comisión podrá contratar firmas especializadas para dar concepto sobre la razonabilidad de los planes de inversión presentados y las inversiones que incluyen.</w:t>
      </w:r>
    </w:p>
    <w:p w:rsidR="00D70E3B" w:rsidRPr="00577D56" w:rsidRDefault="00D70E3B" w:rsidP="009C086B">
      <w:pPr>
        <w:pStyle w:val="Prrafodelista"/>
        <w:numPr>
          <w:ilvl w:val="0"/>
          <w:numId w:val="29"/>
        </w:numPr>
      </w:pPr>
      <w:r w:rsidRPr="00577D56">
        <w:t>Los demás necesarios para dar cumplimiento a lo establecido en esta resolución.</w:t>
      </w:r>
    </w:p>
    <w:p w:rsidR="00D70E3B" w:rsidRPr="00577D56" w:rsidRDefault="00D70E3B" w:rsidP="00D70E3B">
      <w:pPr>
        <w:rPr>
          <w:lang w:val="es-CO"/>
        </w:rPr>
      </w:pPr>
      <w:r w:rsidRPr="00577D56">
        <w:rPr>
          <w:lang w:val="es-CO"/>
        </w:rPr>
        <w:t xml:space="preserve">El plan de inversión debe ser ajustado por el OR cuando no se suministre toda la información necesaria para demostrar el cumplimiento de los requisitos definidos por la Comisión o se supere el límite del ocho por ciento (8 %) del costo de reposición de referencia. </w:t>
      </w:r>
    </w:p>
    <w:p w:rsidR="00D70E3B" w:rsidRPr="00577D56" w:rsidRDefault="00D70E3B" w:rsidP="00D70E3B">
      <w:pPr>
        <w:rPr>
          <w:lang w:val="es-CO"/>
        </w:rPr>
      </w:pPr>
      <w:r w:rsidRPr="00577D56">
        <w:rPr>
          <w:lang w:val="es-CO"/>
        </w:rPr>
        <w:t xml:space="preserve">En caso que el plan de inversiones no sea  aprobado, la Comisión solicitará al OR la revisión del mismo y durante el primer año la </w:t>
      </w:r>
      <w:r w:rsidRPr="00577D56">
        <w:t xml:space="preserve">variable </w:t>
      </w:r>
      <w:r w:rsidRPr="00577D56">
        <w:rPr>
          <w:i/>
        </w:rPr>
        <w:t>BRAEN</w:t>
      </w:r>
      <w:r w:rsidRPr="00577D56">
        <w:rPr>
          <w:i/>
          <w:vertAlign w:val="subscript"/>
        </w:rPr>
        <w:t>j,n,t</w:t>
      </w:r>
      <w:r w:rsidRPr="00577D56">
        <w:t xml:space="preserve"> se calculará de acuerdo con lo establecido en el numeral </w:t>
      </w:r>
      <w:r w:rsidRPr="00577D56">
        <w:fldChar w:fldCharType="begin"/>
      </w:r>
      <w:r w:rsidRPr="00577D56">
        <w:instrText xml:space="preserve"> REF _Ref443918943 \r \h  \* MERGEFORMAT </w:instrText>
      </w:r>
      <w:r w:rsidRPr="00577D56">
        <w:fldChar w:fldCharType="separate"/>
      </w:r>
      <w:r w:rsidR="00737178">
        <w:t>3.1.1.2.2</w:t>
      </w:r>
      <w:r w:rsidRPr="00577D56">
        <w:fldChar w:fldCharType="end"/>
      </w:r>
      <w:r w:rsidRPr="00577D56">
        <w:rPr>
          <w:lang w:val="es-CO"/>
        </w:rPr>
        <w:t xml:space="preserve">. Cumplido el plazo de un año, la variable </w:t>
      </w:r>
      <w:r w:rsidRPr="00577D56">
        <w:rPr>
          <w:i/>
        </w:rPr>
        <w:t>BRAEN</w:t>
      </w:r>
      <w:r w:rsidRPr="00577D56">
        <w:rPr>
          <w:i/>
          <w:vertAlign w:val="subscript"/>
        </w:rPr>
        <w:t>j,n,t</w:t>
      </w:r>
      <w:r w:rsidRPr="00577D56">
        <w:rPr>
          <w:vertAlign w:val="subscript"/>
        </w:rPr>
        <w:t xml:space="preserve"> </w:t>
      </w:r>
      <w:r w:rsidRPr="00577D56">
        <w:rPr>
          <w:lang w:val="es-CO"/>
        </w:rPr>
        <w:t>será igual a cero.</w:t>
      </w:r>
    </w:p>
    <w:p w:rsidR="00D70E3B" w:rsidRPr="00577D56" w:rsidRDefault="00D70E3B" w:rsidP="00D70E3B">
      <w:pPr>
        <w:rPr>
          <w:lang w:val="es-CO"/>
        </w:rPr>
      </w:pPr>
      <w:r w:rsidRPr="00577D56">
        <w:rPr>
          <w:lang w:val="es-CO"/>
        </w:rPr>
        <w:t xml:space="preserve">En caso que el OR no presente su plan de inversión ajustado en los plazos señalados se considera que hay un incumplimiento a la regulación </w:t>
      </w:r>
      <w:r w:rsidRPr="00577D56">
        <w:t>y una posible afectación de la calidad, seguridad y confiabilidad del STN, STR o SDL. La Comisión procederá a informar a la SSPD para lo de su competencia</w:t>
      </w:r>
      <w:r w:rsidRPr="00577D56">
        <w:rPr>
          <w:lang w:val="es-CO"/>
        </w:rPr>
        <w:t>.</w:t>
      </w:r>
    </w:p>
    <w:p w:rsidR="00D70E3B" w:rsidRPr="00577D56" w:rsidRDefault="00D70E3B" w:rsidP="00D70E3B">
      <w:r w:rsidRPr="00577D56">
        <w:t xml:space="preserve">Los proyectos de inversión para la expansión de cobertura en las zonas interconectables del área de influencia del OR serán aprobados de acuerdo con las reglas del capítulo </w:t>
      </w:r>
      <w:r w:rsidRPr="00577D56">
        <w:fldChar w:fldCharType="begin"/>
      </w:r>
      <w:r w:rsidRPr="00577D56">
        <w:instrText xml:space="preserve"> REF _Ref440028500 \r \h\t  \* MERGEFORMAT </w:instrText>
      </w:r>
      <w:r w:rsidRPr="00577D56">
        <w:fldChar w:fldCharType="separate"/>
      </w:r>
      <w:r w:rsidR="00737178">
        <w:t>13</w:t>
      </w:r>
      <w:r w:rsidRPr="00577D56">
        <w:fldChar w:fldCharType="end"/>
      </w:r>
      <w:r w:rsidRPr="00577D56">
        <w:t xml:space="preserve"> y no hacen parte del valor del plan de inversión para evaluación.</w:t>
      </w:r>
    </w:p>
    <w:p w:rsidR="00D70E3B" w:rsidRPr="00577D56" w:rsidRDefault="00D70E3B" w:rsidP="00D70E3B">
      <w:pPr>
        <w:pStyle w:val="Ttulo3"/>
      </w:pPr>
      <w:bookmarkStart w:id="715" w:name="_Ref460942444"/>
      <w:bookmarkStart w:id="716" w:name="_Toc504809464"/>
      <w:bookmarkStart w:id="717" w:name="_Toc505335972"/>
      <w:r w:rsidRPr="00577D56">
        <w:t xml:space="preserve">Valor </w:t>
      </w:r>
      <w:bookmarkEnd w:id="715"/>
      <w:r w:rsidRPr="00577D56">
        <w:t>del plan de inversión para evaluación</w:t>
      </w:r>
      <w:bookmarkEnd w:id="716"/>
      <w:bookmarkEnd w:id="717"/>
      <w:r w:rsidRPr="00577D56">
        <w:t xml:space="preserve">  </w:t>
      </w:r>
    </w:p>
    <w:p w:rsidR="00D70E3B" w:rsidRPr="00577D56" w:rsidRDefault="00D70E3B" w:rsidP="00D70E3B">
      <w:pPr>
        <w:spacing w:before="0" w:after="0"/>
      </w:pPr>
      <w:r w:rsidRPr="00577D56">
        <w:t xml:space="preserve">El valor del plan de inversión solicitado por el OR para evaluación del límite establecido en el literal </w:t>
      </w:r>
      <w:r w:rsidRPr="00577D56">
        <w:fldChar w:fldCharType="begin"/>
      </w:r>
      <w:r w:rsidRPr="00577D56">
        <w:instrText xml:space="preserve"> REF _Ref461093293 \r \h  \* MERGEFORMAT </w:instrText>
      </w:r>
      <w:r w:rsidRPr="00577D56">
        <w:fldChar w:fldCharType="separate"/>
      </w:r>
      <w:r w:rsidR="00737178">
        <w:t>b</w:t>
      </w:r>
      <w:r w:rsidRPr="00577D56">
        <w:fldChar w:fldCharType="end"/>
      </w:r>
      <w:r w:rsidRPr="00577D56">
        <w:t xml:space="preserve"> del numeral </w:t>
      </w:r>
      <w:r w:rsidRPr="00577D56">
        <w:fldChar w:fldCharType="begin"/>
      </w:r>
      <w:r w:rsidRPr="00577D56">
        <w:instrText xml:space="preserve"> REF _Ref404192237 \r \h  \* MERGEFORMAT </w:instrText>
      </w:r>
      <w:r w:rsidRPr="00577D56">
        <w:fldChar w:fldCharType="separate"/>
      </w:r>
      <w:r w:rsidR="00737178">
        <w:t>6.4</w:t>
      </w:r>
      <w:r w:rsidRPr="00577D56">
        <w:fldChar w:fldCharType="end"/>
      </w:r>
      <w:r w:rsidRPr="00577D56">
        <w:t xml:space="preserve"> se calcula de la siguiente forma:</w:t>
      </w:r>
    </w:p>
    <w:p w:rsidR="00D70E3B" w:rsidRPr="00577D56" w:rsidRDefault="00C9592F" w:rsidP="00D70E3B">
      <m:oMathPara>
        <m:oMath>
          <m:sSub>
            <m:sSubPr>
              <m:ctrlPr>
                <w:rPr>
                  <w:rFonts w:ascii="Cambria Math" w:hAnsi="Cambria Math"/>
                  <w:i/>
                </w:rPr>
              </m:ctrlPr>
            </m:sSubPr>
            <m:e>
              <m:r>
                <w:rPr>
                  <w:rFonts w:ascii="Cambria Math" w:hAnsi="Cambria Math"/>
                </w:rPr>
                <m:t>VPIE</m:t>
              </m:r>
            </m:e>
            <m:sub>
              <m:r>
                <w:rPr>
                  <w:rFonts w:ascii="Cambria Math" w:hAnsi="Cambria Math"/>
                </w:rPr>
                <m:t>j,t</m:t>
              </m:r>
            </m:sub>
          </m:sSub>
          <m:r>
            <w:rPr>
              <w:rFonts w:ascii="Cambria Math"/>
            </w:rPr>
            <m:t>=</m:t>
          </m:r>
          <m:nary>
            <m:naryPr>
              <m:chr m:val="∑"/>
              <m:limLoc m:val="undOvr"/>
              <m:ctrlPr>
                <w:rPr>
                  <w:rFonts w:ascii="Cambria Math" w:hAnsi="Cambria Math"/>
                  <w:i/>
                </w:rPr>
              </m:ctrlPr>
            </m:naryPr>
            <m:sub>
              <m:r>
                <w:rPr>
                  <w:rFonts w:ascii="Cambria Math"/>
                </w:rPr>
                <m:t>n=1</m:t>
              </m:r>
            </m:sub>
            <m:sup>
              <m:r>
                <w:rPr>
                  <w:rFonts w:ascii="Cambria Math" w:hAnsi="Cambria Math"/>
                </w:rPr>
                <m:t>3</m:t>
              </m:r>
            </m:sup>
            <m:e>
              <m:sSub>
                <m:sSubPr>
                  <m:ctrlPr>
                    <w:rPr>
                      <w:rFonts w:ascii="Cambria Math" w:hAnsi="Cambria Math"/>
                      <w:i/>
                    </w:rPr>
                  </m:ctrlPr>
                </m:sSubPr>
                <m:e>
                  <m:r>
                    <w:rPr>
                      <w:rFonts w:ascii="Cambria Math" w:hAnsi="Cambria Math"/>
                    </w:rPr>
                    <m:t>INVP</m:t>
                  </m:r>
                </m:e>
                <m:sub>
                  <m:r>
                    <w:rPr>
                      <w:rFonts w:ascii="Cambria Math" w:hAnsi="Cambria Math"/>
                    </w:rPr>
                    <m:t>j,n,t</m:t>
                  </m:r>
                </m:sub>
              </m:sSub>
            </m:e>
          </m:nary>
        </m:oMath>
      </m:oMathPara>
    </w:p>
    <w:p w:rsidR="00D70E3B" w:rsidRPr="00577D56" w:rsidRDefault="00D70E3B" w:rsidP="00D70E3B">
      <w:pPr>
        <w:rPr>
          <w:iCs/>
        </w:rPr>
      </w:pPr>
      <w:r w:rsidRPr="00577D56">
        <w:rPr>
          <w:iCs/>
        </w:rPr>
        <w:t>Donde:</w:t>
      </w:r>
    </w:p>
    <w:p w:rsidR="00D70E3B" w:rsidRPr="00577D56" w:rsidRDefault="00D70E3B" w:rsidP="00D70E3B">
      <w:pPr>
        <w:ind w:left="1243" w:hanging="1243"/>
        <w:rPr>
          <w:iCs/>
        </w:rPr>
      </w:pPr>
      <w:r w:rsidRPr="00577D56">
        <w:rPr>
          <w:i/>
          <w:iCs/>
        </w:rPr>
        <w:t>VPIE</w:t>
      </w:r>
      <w:r w:rsidRPr="00577D56">
        <w:rPr>
          <w:i/>
          <w:iCs/>
          <w:vertAlign w:val="subscript"/>
        </w:rPr>
        <w:t>j,n,t</w:t>
      </w:r>
      <w:r w:rsidRPr="00577D56">
        <w:t>:</w:t>
      </w:r>
      <w:r w:rsidRPr="00577D56">
        <w:tab/>
        <w:t xml:space="preserve">Valor del plan de inversión para evaluación del </w:t>
      </w:r>
      <w:r w:rsidRPr="00577D56">
        <w:rPr>
          <w:iCs/>
        </w:rPr>
        <w:t xml:space="preserve">OR </w:t>
      </w:r>
      <w:r w:rsidRPr="00577D56">
        <w:rPr>
          <w:i/>
          <w:iCs/>
        </w:rPr>
        <w:t>j</w:t>
      </w:r>
      <w:r w:rsidRPr="00577D56">
        <w:rPr>
          <w:iCs/>
        </w:rPr>
        <w:t xml:space="preserve"> en el nivel de tensión </w:t>
      </w:r>
      <w:r w:rsidRPr="00577D56">
        <w:rPr>
          <w:i/>
          <w:iCs/>
        </w:rPr>
        <w:t>n</w:t>
      </w:r>
      <w:r w:rsidRPr="00577D56">
        <w:rPr>
          <w:iCs/>
        </w:rPr>
        <w:t xml:space="preserve">, para el año </w:t>
      </w:r>
      <w:r w:rsidRPr="00577D56">
        <w:rPr>
          <w:i/>
          <w:iCs/>
        </w:rPr>
        <w:t>t</w:t>
      </w:r>
      <w:r w:rsidRPr="00577D56">
        <w:rPr>
          <w:iCs/>
        </w:rPr>
        <w:t>.</w:t>
      </w:r>
    </w:p>
    <w:p w:rsidR="00D70E3B" w:rsidRPr="00577D56" w:rsidRDefault="00D70E3B" w:rsidP="00D70E3B">
      <w:pPr>
        <w:ind w:left="1243" w:hanging="1243"/>
        <w:rPr>
          <w:lang w:val="es-ES_tradnl"/>
        </w:rPr>
      </w:pPr>
      <w:r w:rsidRPr="00577D56">
        <w:rPr>
          <w:i/>
          <w:iCs/>
        </w:rPr>
        <w:t>INVP</w:t>
      </w:r>
      <w:r w:rsidRPr="00577D56">
        <w:rPr>
          <w:i/>
          <w:iCs/>
          <w:vertAlign w:val="subscript"/>
        </w:rPr>
        <w:t>j,n,t</w:t>
      </w:r>
      <w:r w:rsidRPr="00577D56">
        <w:t>:</w:t>
      </w:r>
      <w:r w:rsidRPr="00577D56">
        <w:tab/>
        <w:t xml:space="preserve">Valor de las inversiones del plan solicitado por el </w:t>
      </w:r>
      <w:r w:rsidRPr="00577D56">
        <w:rPr>
          <w:iCs/>
        </w:rPr>
        <w:t xml:space="preserve">OR </w:t>
      </w:r>
      <w:r w:rsidRPr="00577D56">
        <w:rPr>
          <w:i/>
          <w:iCs/>
        </w:rPr>
        <w:t>j</w:t>
      </w:r>
      <w:r w:rsidRPr="00577D56">
        <w:rPr>
          <w:iCs/>
        </w:rPr>
        <w:t xml:space="preserve"> en el nivel de tensión </w:t>
      </w:r>
      <w:r w:rsidRPr="00577D56">
        <w:rPr>
          <w:i/>
          <w:iCs/>
        </w:rPr>
        <w:t>n</w:t>
      </w:r>
      <w:r w:rsidRPr="00577D56">
        <w:rPr>
          <w:iCs/>
        </w:rPr>
        <w:t xml:space="preserve">, para el año </w:t>
      </w:r>
      <w:r w:rsidRPr="00577D56">
        <w:rPr>
          <w:i/>
          <w:iCs/>
        </w:rPr>
        <w:t>t</w:t>
      </w:r>
      <w:r w:rsidRPr="00577D56">
        <w:rPr>
          <w:iCs/>
        </w:rPr>
        <w:t>.</w:t>
      </w:r>
    </w:p>
    <w:p w:rsidR="00D70E3B" w:rsidRPr="00577D56" w:rsidRDefault="00D70E3B" w:rsidP="00D70E3B">
      <w:pPr>
        <w:rPr>
          <w:lang w:val="es-ES_tradnl"/>
        </w:rPr>
      </w:pPr>
      <w:r w:rsidRPr="00577D56">
        <w:rPr>
          <w:lang w:val="es-ES_tradnl"/>
        </w:rPr>
        <w:t xml:space="preserve">La variable </w:t>
      </w:r>
      <w:r w:rsidRPr="00577D56">
        <w:rPr>
          <w:i/>
          <w:lang w:val="es-ES_tradnl"/>
        </w:rPr>
        <w:t>INVP</w:t>
      </w:r>
      <w:r w:rsidRPr="00577D56">
        <w:rPr>
          <w:i/>
          <w:vertAlign w:val="subscript"/>
          <w:lang w:val="es-ES_tradnl"/>
        </w:rPr>
        <w:t>j,n,t</w:t>
      </w:r>
      <w:r w:rsidRPr="00577D56">
        <w:rPr>
          <w:lang w:val="es-ES_tradnl"/>
        </w:rPr>
        <w:t xml:space="preserve"> se calcula de la siguiente forma:</w:t>
      </w:r>
    </w:p>
    <w:p w:rsidR="00D70E3B" w:rsidRPr="00577D56" w:rsidRDefault="00C9592F" w:rsidP="00D70E3B">
      <m:oMathPara>
        <m:oMath>
          <m:sSub>
            <m:sSubPr>
              <m:ctrlPr>
                <w:rPr>
                  <w:rFonts w:ascii="Cambria Math" w:hAnsi="Cambria Math"/>
                  <w:i/>
                </w:rPr>
              </m:ctrlPr>
            </m:sSubPr>
            <m:e>
              <m:r>
                <w:rPr>
                  <w:rFonts w:ascii="Cambria Math" w:hAnsi="Cambria Math"/>
                </w:rPr>
                <m:t>INVP</m:t>
              </m:r>
            </m:e>
            <m:sub>
              <m:r>
                <w:rPr>
                  <w:rFonts w:ascii="Cambria Math" w:hAnsi="Cambria Math"/>
                </w:rPr>
                <m:t>j</m:t>
              </m:r>
              <m:r>
                <w:rPr>
                  <w:rFonts w:ascii="Cambria Math"/>
                </w:rPr>
                <m:t>,n,t</m:t>
              </m:r>
            </m:sub>
          </m:sSub>
          <m:r>
            <w:rPr>
              <w:rFonts w:ascii="Cambria Math"/>
            </w:rPr>
            <m:t>=</m:t>
          </m:r>
          <m:nary>
            <m:naryPr>
              <m:chr m:val="∑"/>
              <m:limLoc m:val="undOvr"/>
              <m:ctrlPr>
                <w:rPr>
                  <w:rFonts w:ascii="Cambria Math" w:hAnsi="Cambria Math"/>
                  <w:i/>
                </w:rPr>
              </m:ctrlPr>
            </m:naryPr>
            <m:sub>
              <m:r>
                <w:rPr>
                  <w:rFonts w:ascii="Cambria Math"/>
                </w:rPr>
                <m:t>TI=1</m:t>
              </m:r>
            </m:sub>
            <m:sup>
              <m:r>
                <w:rPr>
                  <w:rFonts w:ascii="Cambria Math"/>
                </w:rPr>
                <m:t>4</m:t>
              </m:r>
            </m:sup>
            <m:e>
              <m:nary>
                <m:naryPr>
                  <m:chr m:val="∑"/>
                  <m:limLoc m:val="undOvr"/>
                  <m:ctrlPr>
                    <w:rPr>
                      <w:rFonts w:ascii="Cambria Math" w:hAnsi="Cambria Math"/>
                      <w:i/>
                    </w:rPr>
                  </m:ctrlPr>
                </m:naryPr>
                <m:sub>
                  <m:r>
                    <w:rPr>
                      <w:rFonts w:ascii="Cambria Math"/>
                    </w:rPr>
                    <m:t>l=1</m:t>
                  </m:r>
                </m:sub>
                <m:sup>
                  <m:sSub>
                    <m:sSubPr>
                      <m:ctrlPr>
                        <w:rPr>
                          <w:rFonts w:ascii="Cambria Math" w:hAnsi="Cambria Math"/>
                          <w:i/>
                        </w:rPr>
                      </m:ctrlPr>
                    </m:sSubPr>
                    <m:e>
                      <m:r>
                        <w:rPr>
                          <w:rFonts w:ascii="Cambria Math"/>
                        </w:rPr>
                        <m:t>L</m:t>
                      </m:r>
                    </m:e>
                    <m:sub>
                      <m:r>
                        <w:rPr>
                          <w:rFonts w:ascii="Cambria Math"/>
                        </w:rPr>
                        <m:t>n</m:t>
                      </m:r>
                    </m:sub>
                  </m:sSub>
                </m:sup>
                <m:e>
                  <m:sSub>
                    <m:sSubPr>
                      <m:ctrlPr>
                        <w:rPr>
                          <w:rFonts w:ascii="Cambria Math" w:hAnsi="Cambria Math"/>
                          <w:i/>
                        </w:rPr>
                      </m:ctrlPr>
                    </m:sSubPr>
                    <m:e>
                      <m:r>
                        <w:rPr>
                          <w:rFonts w:ascii="Cambria Math"/>
                        </w:rPr>
                        <m:t>INVT</m:t>
                      </m:r>
                    </m:e>
                    <m:sub>
                      <m:r>
                        <w:rPr>
                          <w:rFonts w:ascii="Cambria Math"/>
                        </w:rPr>
                        <m:t>j,n,TI,l,t</m:t>
                      </m:r>
                    </m:sub>
                  </m:sSub>
                </m:e>
              </m:nary>
            </m:e>
          </m:nary>
        </m:oMath>
      </m:oMathPara>
    </w:p>
    <w:p w:rsidR="00D70E3B" w:rsidRPr="00577D56" w:rsidRDefault="00D70E3B" w:rsidP="00D70E3B">
      <w:pPr>
        <w:spacing w:before="120"/>
        <w:ind w:left="1418" w:hanging="1418"/>
        <w:rPr>
          <w:i/>
          <w:iCs/>
        </w:rPr>
      </w:pPr>
      <w:r w:rsidRPr="00577D56">
        <w:rPr>
          <w:i/>
          <w:iCs/>
        </w:rPr>
        <w:t>INVP</w:t>
      </w:r>
      <w:r w:rsidRPr="00577D56">
        <w:rPr>
          <w:i/>
          <w:iCs/>
          <w:vertAlign w:val="subscript"/>
        </w:rPr>
        <w:t>j,n,t</w:t>
      </w:r>
      <w:r w:rsidRPr="00577D56">
        <w:t>:</w:t>
      </w:r>
      <w:r w:rsidRPr="00577D56">
        <w:tab/>
        <w:t xml:space="preserve">Valor de las inversiones del plan solicitado por el </w:t>
      </w:r>
      <w:r w:rsidRPr="00577D56">
        <w:rPr>
          <w:iCs/>
        </w:rPr>
        <w:t xml:space="preserve">OR </w:t>
      </w:r>
      <w:r w:rsidRPr="00577D56">
        <w:rPr>
          <w:i/>
          <w:iCs/>
        </w:rPr>
        <w:t>j</w:t>
      </w:r>
      <w:r w:rsidRPr="00577D56">
        <w:rPr>
          <w:iCs/>
        </w:rPr>
        <w:t xml:space="preserve"> en el nivel de tensión </w:t>
      </w:r>
      <w:r w:rsidRPr="00577D56">
        <w:rPr>
          <w:i/>
          <w:iCs/>
        </w:rPr>
        <w:t>n</w:t>
      </w:r>
      <w:r w:rsidRPr="00577D56">
        <w:rPr>
          <w:iCs/>
        </w:rPr>
        <w:t xml:space="preserve">, para el año </w:t>
      </w:r>
      <w:r w:rsidRPr="00577D56">
        <w:rPr>
          <w:i/>
          <w:iCs/>
        </w:rPr>
        <w:t>t</w:t>
      </w:r>
      <w:r w:rsidRPr="00577D56">
        <w:rPr>
          <w:iCs/>
        </w:rPr>
        <w:t xml:space="preserve">. </w:t>
      </w:r>
    </w:p>
    <w:p w:rsidR="00D70E3B" w:rsidRPr="00577D56" w:rsidRDefault="00D70E3B" w:rsidP="00D70E3B">
      <w:pPr>
        <w:spacing w:before="120"/>
        <w:ind w:left="1418" w:hanging="1418"/>
      </w:pPr>
      <w:r w:rsidRPr="00577D56">
        <w:rPr>
          <w:i/>
          <w:iCs/>
        </w:rPr>
        <w:t>INVT</w:t>
      </w:r>
      <w:r w:rsidRPr="00577D56">
        <w:rPr>
          <w:i/>
          <w:iCs/>
          <w:vertAlign w:val="subscript"/>
        </w:rPr>
        <w:t>j,n,TI,l,t</w:t>
      </w:r>
      <w:r w:rsidRPr="00577D56">
        <w:t>:</w:t>
      </w:r>
      <w:r w:rsidRPr="00577D56">
        <w:tab/>
        <w:t>Valor de la i</w:t>
      </w:r>
      <w:r w:rsidRPr="00577D56">
        <w:rPr>
          <w:iCs/>
        </w:rPr>
        <w:t xml:space="preserve">nversión del plan del OR </w:t>
      </w:r>
      <w:r w:rsidRPr="00577D56">
        <w:rPr>
          <w:i/>
          <w:iCs/>
        </w:rPr>
        <w:t>j</w:t>
      </w:r>
      <w:r w:rsidRPr="00577D56">
        <w:rPr>
          <w:iCs/>
        </w:rPr>
        <w:t xml:space="preserve"> en el nivel de tensión </w:t>
      </w:r>
      <w:r w:rsidRPr="00577D56">
        <w:rPr>
          <w:i/>
          <w:iCs/>
        </w:rPr>
        <w:t xml:space="preserve">n, </w:t>
      </w:r>
      <w:r w:rsidRPr="00577D56">
        <w:rPr>
          <w:iCs/>
        </w:rPr>
        <w:t xml:space="preserve">en el tipo de inversión </w:t>
      </w:r>
      <w:r w:rsidRPr="00577D56">
        <w:rPr>
          <w:i/>
          <w:iCs/>
        </w:rPr>
        <w:t>TI</w:t>
      </w:r>
      <w:r w:rsidRPr="00577D56">
        <w:rPr>
          <w:iCs/>
        </w:rPr>
        <w:t xml:space="preserve">, en la categoría de activos </w:t>
      </w:r>
      <w:r w:rsidRPr="00577D56">
        <w:rPr>
          <w:i/>
          <w:iCs/>
        </w:rPr>
        <w:t>l</w:t>
      </w:r>
      <w:r w:rsidRPr="00577D56">
        <w:rPr>
          <w:iCs/>
        </w:rPr>
        <w:t xml:space="preserve"> para el año </w:t>
      </w:r>
      <w:r w:rsidRPr="00577D56">
        <w:rPr>
          <w:i/>
          <w:iCs/>
        </w:rPr>
        <w:t>t</w:t>
      </w:r>
      <w:r w:rsidRPr="00577D56">
        <w:rPr>
          <w:iCs/>
        </w:rPr>
        <w:t>.</w:t>
      </w:r>
      <w:r w:rsidRPr="00577D56">
        <w:t xml:space="preserve"> </w:t>
      </w:r>
    </w:p>
    <w:p w:rsidR="00D70E3B" w:rsidRPr="00577D56" w:rsidRDefault="00D70E3B" w:rsidP="00D70E3B">
      <w:pPr>
        <w:tabs>
          <w:tab w:val="left" w:pos="1418"/>
        </w:tabs>
        <w:spacing w:before="120"/>
        <w:ind w:left="1418" w:hanging="1418"/>
      </w:pPr>
      <w:r w:rsidRPr="00577D56">
        <w:rPr>
          <w:i/>
          <w:iCs/>
        </w:rPr>
        <w:t>l:</w:t>
      </w:r>
      <w:r w:rsidRPr="00577D56">
        <w:t xml:space="preserve"> </w:t>
      </w:r>
      <w:r w:rsidRPr="00577D56">
        <w:tab/>
        <w:t xml:space="preserve">Categoría de activos, </w:t>
      </w:r>
      <w:r w:rsidRPr="00577D56">
        <w:rPr>
          <w:i/>
        </w:rPr>
        <w:t xml:space="preserve">l </w:t>
      </w:r>
      <w:r w:rsidRPr="00577D56">
        <w:t>toma los valores de 11 o 12 para el nivel de tensión 1.</w:t>
      </w:r>
    </w:p>
    <w:p w:rsidR="00D70E3B" w:rsidRPr="00577D56" w:rsidRDefault="00D70E3B" w:rsidP="00D70E3B">
      <w:pPr>
        <w:tabs>
          <w:tab w:val="left" w:pos="1418"/>
        </w:tabs>
        <w:spacing w:before="120"/>
        <w:ind w:left="1418" w:hanging="1418"/>
      </w:pPr>
      <w:r w:rsidRPr="00577D56">
        <w:rPr>
          <w:i/>
          <w:iCs/>
        </w:rPr>
        <w:t>L</w:t>
      </w:r>
      <w:r w:rsidRPr="00577D56">
        <w:rPr>
          <w:i/>
          <w:iCs/>
          <w:vertAlign w:val="subscript"/>
        </w:rPr>
        <w:t>n</w:t>
      </w:r>
      <w:r w:rsidRPr="00577D56">
        <w:rPr>
          <w:i/>
          <w:iCs/>
        </w:rPr>
        <w:t>:</w:t>
      </w:r>
      <w:r w:rsidRPr="00577D56">
        <w:t xml:space="preserve"> </w:t>
      </w:r>
      <w:r w:rsidRPr="00577D56">
        <w:tab/>
        <w:t xml:space="preserve">Cantidad de categorías de activos en el nivel de tensión </w:t>
      </w:r>
      <w:r w:rsidRPr="00577D56">
        <w:rPr>
          <w:i/>
        </w:rPr>
        <w:t xml:space="preserve">n. </w:t>
      </w:r>
      <w:r w:rsidRPr="00577D56">
        <w:rPr>
          <w:i/>
          <w:iCs/>
        </w:rPr>
        <w:t>L</w:t>
      </w:r>
      <w:r w:rsidRPr="00577D56">
        <w:rPr>
          <w:i/>
          <w:iCs/>
          <w:vertAlign w:val="subscript"/>
        </w:rPr>
        <w:t>1</w:t>
      </w:r>
      <w:r w:rsidRPr="00577D56">
        <w:rPr>
          <w:i/>
        </w:rPr>
        <w:t xml:space="preserve"> </w:t>
      </w:r>
      <w:r w:rsidRPr="00577D56">
        <w:t>toma el valor de 12.</w:t>
      </w:r>
    </w:p>
    <w:p w:rsidR="00D70E3B" w:rsidRPr="00577D56" w:rsidRDefault="00D70E3B" w:rsidP="00D70E3B">
      <w:pPr>
        <w:spacing w:before="0" w:after="0"/>
      </w:pPr>
      <w:r w:rsidRPr="00577D56">
        <w:t xml:space="preserve">El valor de la variable </w:t>
      </w:r>
      <w:r w:rsidRPr="00577D56">
        <w:rPr>
          <w:i/>
        </w:rPr>
        <w:t>INVT</w:t>
      </w:r>
      <w:r w:rsidRPr="00577D56">
        <w:rPr>
          <w:i/>
          <w:vertAlign w:val="subscript"/>
        </w:rPr>
        <w:t>j,n,TI,l,t</w:t>
      </w:r>
      <w:r w:rsidRPr="00577D56">
        <w:t xml:space="preserve"> se calcula como aparece en el numeral </w:t>
      </w:r>
      <w:r w:rsidRPr="00577D56">
        <w:fldChar w:fldCharType="begin"/>
      </w:r>
      <w:r w:rsidRPr="00577D56">
        <w:instrText xml:space="preserve"> REF _Ref460942162 \r \h  \* MERGEFORMAT </w:instrText>
      </w:r>
      <w:r w:rsidRPr="00577D56">
        <w:fldChar w:fldCharType="separate"/>
      </w:r>
      <w:r w:rsidR="00737178">
        <w:t>6.3.3.3</w:t>
      </w:r>
      <w:r w:rsidRPr="00577D56">
        <w:fldChar w:fldCharType="end"/>
      </w:r>
      <w:r w:rsidRPr="00577D56">
        <w:t>.</w:t>
      </w:r>
    </w:p>
    <w:p w:rsidR="00D70E3B" w:rsidRPr="00577D56" w:rsidRDefault="00D70E3B" w:rsidP="00D70E3B">
      <w:pPr>
        <w:pStyle w:val="Ttulo3"/>
      </w:pPr>
      <w:bookmarkStart w:id="718" w:name="_Ref461013047"/>
      <w:bookmarkStart w:id="719" w:name="_Toc504809465"/>
      <w:bookmarkStart w:id="720" w:name="_Toc505335973"/>
      <w:r w:rsidRPr="00577D56">
        <w:t>Costo de reposición de referencia</w:t>
      </w:r>
      <w:bookmarkEnd w:id="718"/>
      <w:bookmarkEnd w:id="719"/>
      <w:bookmarkEnd w:id="720"/>
    </w:p>
    <w:p w:rsidR="00D70E3B" w:rsidRPr="00577D56" w:rsidRDefault="00D70E3B" w:rsidP="00D70E3B">
      <w:pPr>
        <w:rPr>
          <w:lang w:val="es-ES_tradnl"/>
        </w:rPr>
      </w:pPr>
      <w:r w:rsidRPr="00577D56">
        <w:rPr>
          <w:lang w:val="es-ES_tradnl"/>
        </w:rPr>
        <w:t xml:space="preserve">El costo de reposición de referencia </w:t>
      </w:r>
      <w:r w:rsidRPr="00577D56">
        <w:rPr>
          <w:i/>
        </w:rPr>
        <w:t>CRR</w:t>
      </w:r>
      <w:r w:rsidRPr="00577D56">
        <w:rPr>
          <w:i/>
          <w:vertAlign w:val="subscript"/>
        </w:rPr>
        <w:t>j</w:t>
      </w:r>
      <w:r w:rsidRPr="00577D56">
        <w:rPr>
          <w:lang w:val="es-ES_tradnl"/>
        </w:rPr>
        <w:t xml:space="preserve"> se determina de la siguiente forma:</w:t>
      </w:r>
    </w:p>
    <w:p w:rsidR="00D70E3B" w:rsidRPr="00577D56" w:rsidRDefault="00C9592F" w:rsidP="00D70E3B">
      <m:oMathPara>
        <m:oMath>
          <m:sSub>
            <m:sSubPr>
              <m:ctrlPr>
                <w:rPr>
                  <w:rFonts w:ascii="Cambria Math" w:hAnsi="Cambria Math"/>
                  <w:i/>
                </w:rPr>
              </m:ctrlPr>
            </m:sSubPr>
            <m:e>
              <m:r>
                <w:rPr>
                  <w:rFonts w:ascii="Cambria Math" w:hAnsi="Cambria Math"/>
                </w:rPr>
                <m:t>CRR</m:t>
              </m:r>
            </m:e>
            <m:sub>
              <m:r>
                <w:rPr>
                  <w:rFonts w:ascii="Cambria Math" w:hAnsi="Cambria Math"/>
                </w:rPr>
                <m:t>j</m:t>
              </m:r>
            </m:sub>
          </m:sSub>
          <m:r>
            <w:rPr>
              <w:rFonts w:ascii="Cambria Math"/>
            </w:rPr>
            <m:t>=</m:t>
          </m:r>
          <m:nary>
            <m:naryPr>
              <m:chr m:val="∑"/>
              <m:limLoc m:val="undOvr"/>
              <m:ctrlPr>
                <w:rPr>
                  <w:rFonts w:ascii="Cambria Math" w:hAnsi="Cambria Math"/>
                  <w:i/>
                </w:rPr>
              </m:ctrlPr>
            </m:naryPr>
            <m:sub>
              <m:r>
                <w:rPr>
                  <w:rFonts w:ascii="Cambria Math" w:hAnsi="Cambria Math"/>
                </w:rPr>
                <m:t>n=1</m:t>
              </m:r>
            </m:sub>
            <m:sup>
              <m:sSub>
                <m:sSubPr>
                  <m:ctrlPr>
                    <w:rPr>
                      <w:rFonts w:ascii="Cambria Math" w:hAnsi="Cambria Math"/>
                      <w:i/>
                    </w:rPr>
                  </m:ctrlPr>
                </m:sSubPr>
                <m:e>
                  <m:r>
                    <w:rPr>
                      <w:rFonts w:ascii="Cambria Math" w:hAnsi="Cambria Math"/>
                    </w:rPr>
                    <m:t>N</m:t>
                  </m:r>
                </m:e>
                <m:sub>
                  <m:r>
                    <w:rPr>
                      <w:rFonts w:ascii="Cambria Math" w:hAnsi="Cambria Math"/>
                    </w:rPr>
                    <m:t>j</m:t>
                  </m:r>
                </m:sub>
              </m:sSub>
            </m:sup>
            <m:e>
              <m:sSub>
                <m:sSubPr>
                  <m:ctrlPr>
                    <w:rPr>
                      <w:rFonts w:ascii="Cambria Math" w:hAnsi="Cambria Math"/>
                      <w:i/>
                    </w:rPr>
                  </m:ctrlPr>
                </m:sSubPr>
                <m:e>
                  <m:r>
                    <w:rPr>
                      <w:rFonts w:ascii="Cambria Math" w:hAnsi="Cambria Math"/>
                    </w:rPr>
                    <m:t>Crr</m:t>
                  </m:r>
                </m:e>
                <m:sub>
                  <m:r>
                    <w:rPr>
                      <w:rFonts w:ascii="Cambria Math" w:hAnsi="Cambria Math"/>
                    </w:rPr>
                    <m:t>j,n</m:t>
                  </m:r>
                </m:sub>
              </m:sSub>
            </m:e>
          </m:nary>
        </m:oMath>
      </m:oMathPara>
    </w:p>
    <w:p w:rsidR="00D70E3B" w:rsidRPr="00577D56" w:rsidRDefault="00D70E3B" w:rsidP="00D70E3B">
      <w:pPr>
        <w:rPr>
          <w:lang w:val="es-ES_tradnl"/>
        </w:rPr>
      </w:pPr>
      <w:r w:rsidRPr="00577D56">
        <w:rPr>
          <w:lang w:val="es-ES_tradnl"/>
        </w:rPr>
        <w:t xml:space="preserve">La variable </w:t>
      </w:r>
      <m:oMath>
        <m:sSub>
          <m:sSubPr>
            <m:ctrlPr>
              <w:rPr>
                <w:rFonts w:ascii="Cambria Math" w:hAnsi="Cambria Math"/>
                <w:i/>
                <w:lang w:val="es-ES_tradnl"/>
              </w:rPr>
            </m:ctrlPr>
          </m:sSubPr>
          <m:e>
            <m:r>
              <w:rPr>
                <w:rFonts w:ascii="Cambria Math" w:hAnsi="Cambria Math"/>
                <w:lang w:val="es-ES_tradnl"/>
              </w:rPr>
              <m:t>Crr</m:t>
            </m:r>
          </m:e>
          <m:sub>
            <m:r>
              <w:rPr>
                <w:rFonts w:ascii="Cambria Math" w:hAnsi="Cambria Math"/>
                <w:lang w:val="es-ES_tradnl"/>
              </w:rPr>
              <m:t>j,n</m:t>
            </m:r>
          </m:sub>
        </m:sSub>
      </m:oMath>
      <w:r w:rsidRPr="00577D56">
        <w:rPr>
          <w:lang w:val="es-ES_tradnl"/>
        </w:rPr>
        <w:t xml:space="preserve"> se calcula de la siguiente forma:</w:t>
      </w:r>
    </w:p>
    <w:p w:rsidR="00D70E3B" w:rsidRPr="00577D56" w:rsidRDefault="00C9592F" w:rsidP="00D70E3B">
      <m:oMathPara>
        <m:oMath>
          <m:sSub>
            <m:sSubPr>
              <m:ctrlPr>
                <w:rPr>
                  <w:rFonts w:ascii="Cambria Math" w:hAnsi="Cambria Math"/>
                  <w:i/>
                </w:rPr>
              </m:ctrlPr>
            </m:sSubPr>
            <m:e>
              <m:r>
                <w:rPr>
                  <w:rFonts w:ascii="Cambria Math" w:hAnsi="Cambria Math"/>
                </w:rPr>
                <m:t>Crr</m:t>
              </m:r>
            </m:e>
            <m:sub>
              <m:r>
                <w:rPr>
                  <w:rFonts w:ascii="Cambria Math" w:hAnsi="Cambria Math"/>
                </w:rPr>
                <m:t>j</m:t>
              </m:r>
              <m:r>
                <w:rPr>
                  <w:rFonts w:ascii="Cambria Math"/>
                </w:rPr>
                <m:t>,n</m:t>
              </m:r>
            </m:sub>
          </m:sSub>
          <m:r>
            <w:rPr>
              <w:rFonts w:ascii="Cambria Math"/>
            </w:rPr>
            <m:t>=</m:t>
          </m:r>
          <m:d>
            <m:dPr>
              <m:begChr m:val="["/>
              <m:endChr m:val="]"/>
              <m:ctrlPr>
                <w:rPr>
                  <w:rFonts w:ascii="Cambria Math" w:hAnsi="Cambria Math"/>
                  <w:i/>
                </w:rPr>
              </m:ctrlPr>
            </m:dPr>
            <m:e>
              <m:nary>
                <m:naryPr>
                  <m:chr m:val="∑"/>
                  <m:limLoc m:val="undOvr"/>
                  <m:ctrlPr>
                    <w:rPr>
                      <w:rFonts w:ascii="Cambria Math" w:hAnsi="Cambria Math"/>
                      <w:i/>
                    </w:rPr>
                  </m:ctrlPr>
                </m:naryPr>
                <m:sub>
                  <m:r>
                    <w:rPr>
                      <w:rFonts w:ascii="Cambria Math" w:hAnsi="Cambria Math"/>
                    </w:rPr>
                    <m:t>l=1</m:t>
                  </m:r>
                </m:sub>
                <m:sup>
                  <m:sSub>
                    <m:sSubPr>
                      <m:ctrlPr>
                        <w:rPr>
                          <w:rFonts w:ascii="Cambria Math" w:hAnsi="Cambria Math"/>
                          <w:i/>
                        </w:rPr>
                      </m:ctrlPr>
                    </m:sSubPr>
                    <m:e>
                      <m:r>
                        <w:rPr>
                          <w:rFonts w:ascii="Cambria Math" w:hAnsi="Cambria Math"/>
                        </w:rPr>
                        <m:t>L</m:t>
                      </m:r>
                    </m:e>
                    <m:sub>
                      <m:r>
                        <w:rPr>
                          <w:rFonts w:ascii="Cambria Math" w:hAnsi="Cambria Math"/>
                        </w:rPr>
                        <m:t>n</m:t>
                      </m:r>
                    </m:sub>
                  </m:sSub>
                </m:sup>
                <m:e>
                  <m:sSub>
                    <m:sSubPr>
                      <m:ctrlPr>
                        <w:rPr>
                          <w:rFonts w:ascii="Cambria Math" w:hAnsi="Cambria Math"/>
                          <w:i/>
                        </w:rPr>
                      </m:ctrlPr>
                    </m:sSubPr>
                    <m:e>
                      <m:r>
                        <w:rPr>
                          <w:rFonts w:ascii="Cambria Math" w:hAnsi="Cambria Math"/>
                        </w:rPr>
                        <m:t>CRII</m:t>
                      </m:r>
                    </m:e>
                    <m:sub>
                      <m:r>
                        <w:rPr>
                          <w:rFonts w:ascii="Cambria Math" w:hAnsi="Cambria Math"/>
                        </w:rPr>
                        <m:t>j,n,l</m:t>
                      </m:r>
                    </m:sub>
                  </m:sSub>
                </m:e>
              </m:nary>
              <m:r>
                <w:rPr>
                  <w:rFonts w:ascii="Cambria Math" w:hAnsi="Cambria Math"/>
                </w:rPr>
                <m:t>+</m:t>
              </m:r>
              <m:nary>
                <m:naryPr>
                  <m:chr m:val="∑"/>
                  <m:limLoc m:val="undOvr"/>
                  <m:ctrlPr>
                    <w:rPr>
                      <w:rFonts w:ascii="Cambria Math" w:hAnsi="Cambria Math"/>
                      <w:i/>
                    </w:rPr>
                  </m:ctrlPr>
                </m:naryPr>
                <m:sub>
                  <m:r>
                    <w:rPr>
                      <w:rFonts w:ascii="Cambria Math" w:hAnsi="Cambria Math"/>
                    </w:rPr>
                    <m:t>l=1</m:t>
                  </m:r>
                </m:sub>
                <m:sup>
                  <m:sSub>
                    <m:sSubPr>
                      <m:ctrlPr>
                        <w:rPr>
                          <w:rFonts w:ascii="Cambria Math" w:hAnsi="Cambria Math"/>
                          <w:i/>
                        </w:rPr>
                      </m:ctrlPr>
                    </m:sSubPr>
                    <m:e>
                      <m:r>
                        <w:rPr>
                          <w:rFonts w:ascii="Cambria Math" w:hAnsi="Cambria Math"/>
                        </w:rPr>
                        <m:t>L</m:t>
                      </m:r>
                    </m:e>
                    <m:sub>
                      <m:r>
                        <w:rPr>
                          <w:rFonts w:ascii="Cambria Math" w:hAnsi="Cambria Math"/>
                        </w:rPr>
                        <m:t>n</m:t>
                      </m:r>
                    </m:sub>
                  </m:sSub>
                </m:sup>
                <m:e>
                  <m:sSub>
                    <m:sSubPr>
                      <m:ctrlPr>
                        <w:rPr>
                          <w:rFonts w:ascii="Cambria Math" w:hAnsi="Cambria Math"/>
                          <w:i/>
                        </w:rPr>
                      </m:ctrlPr>
                    </m:sSubPr>
                    <m:e>
                      <m:r>
                        <w:rPr>
                          <w:rFonts w:ascii="Cambria Math" w:hAnsi="Cambria Math"/>
                        </w:rPr>
                        <m:t>CRIN</m:t>
                      </m:r>
                    </m:e>
                    <m:sub>
                      <m:r>
                        <w:rPr>
                          <w:rFonts w:ascii="Cambria Math" w:hAnsi="Cambria Math"/>
                        </w:rPr>
                        <m:t>j,n,l</m:t>
                      </m:r>
                    </m:sub>
                  </m:sSub>
                </m:e>
              </m:nary>
            </m:e>
          </m:d>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IPP</m:t>
                  </m:r>
                </m:e>
                <m:sub>
                  <m:r>
                    <w:rPr>
                      <w:rFonts w:ascii="Cambria Math" w:hAnsi="Cambria Math"/>
                    </w:rPr>
                    <m:t>0</m:t>
                  </m:r>
                </m:sub>
              </m:sSub>
            </m:num>
            <m:den>
              <m:sSub>
                <m:sSubPr>
                  <m:ctrlPr>
                    <w:rPr>
                      <w:rFonts w:ascii="Cambria Math" w:hAnsi="Cambria Math"/>
                      <w:i/>
                    </w:rPr>
                  </m:ctrlPr>
                </m:sSubPr>
                <m:e>
                  <m:r>
                    <w:rPr>
                      <w:rFonts w:ascii="Cambria Math" w:hAnsi="Cambria Math"/>
                    </w:rPr>
                    <m:t>IPP</m:t>
                  </m:r>
                </m:e>
                <m:sub>
                  <m:r>
                    <w:rPr>
                      <w:rFonts w:ascii="Cambria Math"/>
                    </w:rPr>
                    <m:t>base</m:t>
                  </m:r>
                </m:sub>
              </m:sSub>
            </m:den>
          </m:f>
        </m:oMath>
      </m:oMathPara>
    </w:p>
    <w:p w:rsidR="00D70E3B" w:rsidRPr="00577D56" w:rsidRDefault="00D70E3B" w:rsidP="00D70E3B">
      <w:pPr>
        <w:ind w:left="1410" w:hanging="1410"/>
        <w:rPr>
          <w:iCs/>
        </w:rPr>
      </w:pPr>
      <w:r w:rsidRPr="00577D56">
        <w:rPr>
          <w:iCs/>
        </w:rPr>
        <w:t>Donde:</w:t>
      </w:r>
    </w:p>
    <w:p w:rsidR="00D70E3B" w:rsidRPr="00577D56" w:rsidRDefault="00D70E3B" w:rsidP="00D70E3B">
      <w:pPr>
        <w:ind w:left="1416" w:hanging="1416"/>
      </w:pPr>
      <w:r w:rsidRPr="00577D56">
        <w:rPr>
          <w:i/>
          <w:iCs/>
        </w:rPr>
        <w:t>CRR</w:t>
      </w:r>
      <w:r w:rsidRPr="00577D56">
        <w:rPr>
          <w:i/>
          <w:iCs/>
          <w:vertAlign w:val="subscript"/>
        </w:rPr>
        <w:t>j</w:t>
      </w:r>
      <w:r w:rsidRPr="00577D56">
        <w:t>:</w:t>
      </w:r>
      <w:r w:rsidRPr="00577D56">
        <w:tab/>
        <w:t xml:space="preserve">Costo de reposición de referencia del OR </w:t>
      </w:r>
      <w:r w:rsidRPr="00577D56">
        <w:rPr>
          <w:i/>
        </w:rPr>
        <w:t xml:space="preserve">j </w:t>
      </w:r>
      <w:r w:rsidR="00B66478" w:rsidRPr="00B66478">
        <w:t>al</w:t>
      </w:r>
      <w:r w:rsidRPr="00577D56">
        <w:rPr>
          <w:i/>
        </w:rPr>
        <w:t xml:space="preserve"> </w:t>
      </w:r>
      <w:r w:rsidRPr="00577D56">
        <w:t>inicio del periodo tarifario.</w:t>
      </w:r>
    </w:p>
    <w:p w:rsidR="00D70E3B" w:rsidRPr="00577D56" w:rsidRDefault="00D70E3B" w:rsidP="00D70E3B">
      <w:pPr>
        <w:ind w:left="1416" w:hanging="1416"/>
      </w:pPr>
      <w:r w:rsidRPr="00577D56">
        <w:rPr>
          <w:i/>
          <w:iCs/>
        </w:rPr>
        <w:t>Crr</w:t>
      </w:r>
      <w:r w:rsidRPr="00577D56">
        <w:rPr>
          <w:i/>
          <w:iCs/>
          <w:vertAlign w:val="subscript"/>
        </w:rPr>
        <w:t>j,n</w:t>
      </w:r>
      <w:r w:rsidRPr="00577D56">
        <w:t>:</w:t>
      </w:r>
      <w:r w:rsidRPr="00577D56">
        <w:tab/>
        <w:t xml:space="preserve">Costo de reposición de referencia del OR </w:t>
      </w:r>
      <w:r w:rsidRPr="00577D56">
        <w:rPr>
          <w:i/>
        </w:rPr>
        <w:t>j</w:t>
      </w:r>
      <w:r w:rsidRPr="00577D56">
        <w:t xml:space="preserve"> en el nivel de tensión </w:t>
      </w:r>
      <w:r w:rsidRPr="00577D56">
        <w:rPr>
          <w:i/>
          <w:iCs/>
        </w:rPr>
        <w:t xml:space="preserve">n </w:t>
      </w:r>
      <w:r w:rsidRPr="00577D56">
        <w:t>al inicio del periodo tarifario.</w:t>
      </w:r>
    </w:p>
    <w:p w:rsidR="00D70E3B" w:rsidRPr="00577D56" w:rsidRDefault="00D70E3B" w:rsidP="00D70E3B">
      <w:pPr>
        <w:spacing w:before="120"/>
        <w:ind w:left="1418" w:hanging="1418"/>
      </w:pPr>
      <w:r w:rsidRPr="00577D56">
        <w:rPr>
          <w:i/>
          <w:iCs/>
        </w:rPr>
        <w:lastRenderedPageBreak/>
        <w:t>CRII</w:t>
      </w:r>
      <w:r w:rsidRPr="00577D56">
        <w:rPr>
          <w:i/>
          <w:iCs/>
          <w:vertAlign w:val="subscript"/>
        </w:rPr>
        <w:t>j,n,l</w:t>
      </w:r>
      <w:r w:rsidRPr="00577D56">
        <w:t>:</w:t>
      </w:r>
      <w:r w:rsidRPr="00577D56">
        <w:tab/>
        <w:t xml:space="preserve">Valor implícito de los activos del OR </w:t>
      </w:r>
      <w:r w:rsidRPr="00577D56">
        <w:rPr>
          <w:i/>
        </w:rPr>
        <w:t>j</w:t>
      </w:r>
      <w:r w:rsidRPr="00577D56">
        <w:t xml:space="preserve"> en el nivel de tensión </w:t>
      </w:r>
      <w:r w:rsidRPr="00577D56">
        <w:rPr>
          <w:i/>
        </w:rPr>
        <w:t>n</w:t>
      </w:r>
      <w:r w:rsidR="00A62992">
        <w:rPr>
          <w:i/>
        </w:rPr>
        <w:t>,</w:t>
      </w:r>
      <w:r w:rsidRPr="00577D56">
        <w:t xml:space="preserve"> para la categoría de activos </w:t>
      </w:r>
      <w:r w:rsidRPr="00577D56">
        <w:rPr>
          <w:i/>
        </w:rPr>
        <w:t>l</w:t>
      </w:r>
      <w:r w:rsidRPr="00577D56">
        <w:t xml:space="preserve">, calculado de acuerdo con lo establecido en el numeral </w:t>
      </w:r>
      <w:r w:rsidRPr="00577D56">
        <w:fldChar w:fldCharType="begin"/>
      </w:r>
      <w:r w:rsidRPr="00577D56">
        <w:instrText xml:space="preserve"> REF _Ref439666783 \r \h  \* MERGEFORMAT </w:instrText>
      </w:r>
      <w:r w:rsidRPr="00577D56">
        <w:fldChar w:fldCharType="separate"/>
      </w:r>
      <w:r w:rsidR="00737178">
        <w:t>3.1.1.1.1</w:t>
      </w:r>
      <w:r w:rsidRPr="00577D56">
        <w:fldChar w:fldCharType="end"/>
      </w:r>
      <w:r w:rsidRPr="00577D56">
        <w:t>.</w:t>
      </w:r>
    </w:p>
    <w:p w:rsidR="00D70E3B" w:rsidRPr="00577D56" w:rsidRDefault="00D70E3B" w:rsidP="00D70E3B">
      <w:pPr>
        <w:spacing w:before="120"/>
        <w:ind w:left="1418" w:hanging="1418"/>
      </w:pPr>
      <w:r w:rsidRPr="00577D56">
        <w:rPr>
          <w:i/>
          <w:iCs/>
        </w:rPr>
        <w:t>CRIN</w:t>
      </w:r>
      <w:r w:rsidRPr="00577D56">
        <w:rPr>
          <w:i/>
          <w:iCs/>
          <w:vertAlign w:val="subscript"/>
        </w:rPr>
        <w:t>j,n,l</w:t>
      </w:r>
      <w:r w:rsidRPr="00577D56">
        <w:t>:</w:t>
      </w:r>
      <w:r w:rsidRPr="00577D56">
        <w:tab/>
        <w:t xml:space="preserve">Costo de reposición de la inversión del OR </w:t>
      </w:r>
      <w:r w:rsidRPr="00577D56">
        <w:rPr>
          <w:i/>
        </w:rPr>
        <w:t>j</w:t>
      </w:r>
      <w:r w:rsidRPr="00577D56">
        <w:t xml:space="preserve"> en el nivel de tensión </w:t>
      </w:r>
      <w:r w:rsidRPr="00577D56">
        <w:rPr>
          <w:i/>
        </w:rPr>
        <w:t>n</w:t>
      </w:r>
      <w:r w:rsidRPr="00577D56">
        <w:t xml:space="preserve"> para la categoría de activos </w:t>
      </w:r>
      <w:r w:rsidRPr="00577D56">
        <w:rPr>
          <w:i/>
        </w:rPr>
        <w:t>l</w:t>
      </w:r>
      <w:r w:rsidRPr="00577D56">
        <w:t>, asociado con los activos que fueron puestos en operación en el periodo 2008 a la fecha de corte, calculado de acuerdo con lo establecido e</w:t>
      </w:r>
      <w:r w:rsidRPr="00D3437B">
        <w:t>n el</w:t>
      </w:r>
      <w:r w:rsidR="00D47189">
        <w:t xml:space="preserve"> numeral</w:t>
      </w:r>
      <w:r w:rsidR="00D3437B">
        <w:t xml:space="preserve"> </w:t>
      </w:r>
      <w:r w:rsidR="00D3437B">
        <w:fldChar w:fldCharType="begin"/>
      </w:r>
      <w:r w:rsidR="00D3437B">
        <w:instrText xml:space="preserve"> REF _Ref504639236 \r \h </w:instrText>
      </w:r>
      <w:r w:rsidR="00D3437B">
        <w:fldChar w:fldCharType="separate"/>
      </w:r>
      <w:r w:rsidR="00737178">
        <w:t>3.1.1.1.4</w:t>
      </w:r>
      <w:r w:rsidR="00D3437B">
        <w:fldChar w:fldCharType="end"/>
      </w:r>
      <w:r w:rsidRPr="00D3437B">
        <w:t>.</w:t>
      </w:r>
    </w:p>
    <w:p w:rsidR="000C43B5" w:rsidRPr="004E6CFC" w:rsidRDefault="000C43B5" w:rsidP="000C43B5">
      <w:pPr>
        <w:tabs>
          <w:tab w:val="left" w:pos="1418"/>
        </w:tabs>
        <w:spacing w:before="120"/>
        <w:ind w:left="1418" w:hanging="1418"/>
      </w:pPr>
      <w:r>
        <w:rPr>
          <w:i/>
          <w:iCs/>
        </w:rPr>
        <w:t>l</w:t>
      </w:r>
      <w:r w:rsidRPr="004E6CFC">
        <w:rPr>
          <w:i/>
          <w:iCs/>
        </w:rPr>
        <w:t>:</w:t>
      </w:r>
      <w:r w:rsidRPr="004E6CFC">
        <w:t xml:space="preserve"> </w:t>
      </w:r>
      <w:r w:rsidRPr="004E6CFC">
        <w:tab/>
        <w:t>Ca</w:t>
      </w:r>
      <w:r>
        <w:t xml:space="preserve">tegoría de activos, </w:t>
      </w:r>
      <w:r w:rsidRPr="00CA5A76">
        <w:rPr>
          <w:i/>
        </w:rPr>
        <w:t xml:space="preserve">l </w:t>
      </w:r>
      <w:r w:rsidRPr="00CA5A76">
        <w:t>toma los valores de 11</w:t>
      </w:r>
      <w:r>
        <w:t xml:space="preserve"> o </w:t>
      </w:r>
      <w:r w:rsidRPr="00CA5A76">
        <w:t>12</w:t>
      </w:r>
      <w:r>
        <w:t xml:space="preserve"> para el nivel de tensión 1</w:t>
      </w:r>
      <w:r w:rsidRPr="004E6CFC">
        <w:t>.</w:t>
      </w:r>
    </w:p>
    <w:p w:rsidR="000C43B5" w:rsidRPr="004E6CFC" w:rsidRDefault="000C43B5" w:rsidP="000C43B5">
      <w:pPr>
        <w:tabs>
          <w:tab w:val="left" w:pos="1418"/>
        </w:tabs>
        <w:spacing w:before="120"/>
        <w:ind w:left="1418" w:hanging="1418"/>
      </w:pPr>
      <w:r w:rsidRPr="004E6CFC">
        <w:rPr>
          <w:i/>
          <w:iCs/>
        </w:rPr>
        <w:t>L</w:t>
      </w:r>
      <w:r w:rsidRPr="004E6CFC">
        <w:rPr>
          <w:i/>
          <w:iCs/>
          <w:vertAlign w:val="subscript"/>
        </w:rPr>
        <w:t>n</w:t>
      </w:r>
      <w:r w:rsidRPr="004E6CFC">
        <w:rPr>
          <w:i/>
          <w:iCs/>
        </w:rPr>
        <w:t>:</w:t>
      </w:r>
      <w:r w:rsidRPr="004E6CFC">
        <w:t xml:space="preserve"> </w:t>
      </w:r>
      <w:r w:rsidRPr="004E6CFC">
        <w:tab/>
        <w:t xml:space="preserve">Cantidad de categorías de activos en el nivel de tensión </w:t>
      </w:r>
      <w:r w:rsidRPr="004E6CFC">
        <w:rPr>
          <w:i/>
        </w:rPr>
        <w:t>n</w:t>
      </w:r>
      <w:r>
        <w:rPr>
          <w:i/>
        </w:rPr>
        <w:t xml:space="preserve">. </w:t>
      </w:r>
      <w:r w:rsidRPr="004E6CFC">
        <w:rPr>
          <w:i/>
          <w:iCs/>
        </w:rPr>
        <w:t>L</w:t>
      </w:r>
      <w:r>
        <w:rPr>
          <w:i/>
          <w:iCs/>
          <w:vertAlign w:val="subscript"/>
        </w:rPr>
        <w:t>1</w:t>
      </w:r>
      <w:r w:rsidRPr="00CA5A76">
        <w:rPr>
          <w:i/>
        </w:rPr>
        <w:t xml:space="preserve"> </w:t>
      </w:r>
      <w:r w:rsidRPr="00CA5A76">
        <w:t xml:space="preserve">toma </w:t>
      </w:r>
      <w:r>
        <w:t xml:space="preserve">el </w:t>
      </w:r>
      <w:r w:rsidRPr="00CA5A76">
        <w:t>valo</w:t>
      </w:r>
      <w:r>
        <w:t>r</w:t>
      </w:r>
      <w:r w:rsidRPr="00CA5A76">
        <w:t xml:space="preserve"> de </w:t>
      </w:r>
      <w:r>
        <w:t>1</w:t>
      </w:r>
      <w:r w:rsidRPr="00CA5A76">
        <w:t>2</w:t>
      </w:r>
      <w:r>
        <w:t>.</w:t>
      </w:r>
    </w:p>
    <w:p w:rsidR="00D70E3B" w:rsidRPr="00577D56" w:rsidRDefault="00D70E3B" w:rsidP="00D70E3B">
      <w:pPr>
        <w:tabs>
          <w:tab w:val="left" w:pos="1418"/>
        </w:tabs>
        <w:spacing w:before="120"/>
        <w:ind w:left="1418" w:hanging="1418"/>
        <w:rPr>
          <w:i/>
          <w:iCs/>
        </w:rPr>
      </w:pPr>
      <w:r w:rsidRPr="00577D56">
        <w:rPr>
          <w:i/>
          <w:iCs/>
        </w:rPr>
        <w:t>N</w:t>
      </w:r>
      <w:r w:rsidRPr="00577D56">
        <w:rPr>
          <w:i/>
          <w:iCs/>
          <w:vertAlign w:val="subscript"/>
        </w:rPr>
        <w:t>j</w:t>
      </w:r>
      <w:r w:rsidRPr="00577D56">
        <w:rPr>
          <w:i/>
          <w:iCs/>
        </w:rPr>
        <w:t>:</w:t>
      </w:r>
      <w:r w:rsidRPr="00577D56">
        <w:rPr>
          <w:i/>
          <w:iCs/>
        </w:rPr>
        <w:tab/>
      </w:r>
      <w:r w:rsidRPr="00577D56">
        <w:rPr>
          <w:iCs/>
        </w:rPr>
        <w:t xml:space="preserve">Numero de niveles de tensión del OR </w:t>
      </w:r>
      <w:r w:rsidRPr="00577D56">
        <w:rPr>
          <w:i/>
          <w:iCs/>
        </w:rPr>
        <w:t>j</w:t>
      </w:r>
      <w:r w:rsidRPr="00577D56">
        <w:rPr>
          <w:iCs/>
        </w:rPr>
        <w:t>.</w:t>
      </w:r>
    </w:p>
    <w:p w:rsidR="00D70E3B" w:rsidRPr="00577D56" w:rsidRDefault="00D70E3B" w:rsidP="00D70E3B">
      <w:pPr>
        <w:ind w:left="1410" w:hanging="1410"/>
      </w:pPr>
      <w:r w:rsidRPr="00577D56">
        <w:rPr>
          <w:i/>
          <w:iCs/>
        </w:rPr>
        <w:t>IPP</w:t>
      </w:r>
      <w:r w:rsidRPr="00577D56">
        <w:rPr>
          <w:i/>
          <w:iCs/>
          <w:vertAlign w:val="subscript"/>
        </w:rPr>
        <w:t>0</w:t>
      </w:r>
      <w:r w:rsidRPr="00577D56">
        <w:t>:</w:t>
      </w:r>
      <w:r w:rsidRPr="00577D56">
        <w:tab/>
        <w:t>Índice de precios del productor</w:t>
      </w:r>
      <w:r w:rsidRPr="00577D56" w:rsidDel="004B5F5F">
        <w:t xml:space="preserve"> </w:t>
      </w:r>
      <w:r w:rsidRPr="00577D56">
        <w:t>de la fecha de corte.</w:t>
      </w:r>
    </w:p>
    <w:p w:rsidR="00D70E3B" w:rsidRPr="00577D56" w:rsidRDefault="00D70E3B" w:rsidP="00D70E3B">
      <w:pPr>
        <w:ind w:left="1410" w:hanging="1410"/>
      </w:pPr>
      <w:r w:rsidRPr="00577D56">
        <w:rPr>
          <w:i/>
          <w:iCs/>
        </w:rPr>
        <w:t>IPP</w:t>
      </w:r>
      <w:r w:rsidRPr="00577D56">
        <w:rPr>
          <w:i/>
          <w:iCs/>
          <w:vertAlign w:val="subscript"/>
        </w:rPr>
        <w:t>base</w:t>
      </w:r>
      <w:r w:rsidRPr="00577D56">
        <w:t>:</w:t>
      </w:r>
      <w:r w:rsidRPr="00577D56">
        <w:tab/>
      </w:r>
      <w:r w:rsidRPr="00577D56">
        <w:tab/>
        <w:t>Índice de precios del productor correspondiente a diciembre de 2007.</w:t>
      </w:r>
    </w:p>
    <w:p w:rsidR="00D70E3B" w:rsidRPr="00577D56" w:rsidRDefault="00D70E3B" w:rsidP="00D70E3B">
      <w:pPr>
        <w:pStyle w:val="Ttulo2"/>
        <w:rPr>
          <w:lang w:val="es-ES_tradnl"/>
        </w:rPr>
      </w:pPr>
      <w:bookmarkStart w:id="721" w:name="_Toc408493199"/>
      <w:bookmarkStart w:id="722" w:name="_Toc440029145"/>
      <w:bookmarkStart w:id="723" w:name="_Ref445134330"/>
      <w:bookmarkStart w:id="724" w:name="_Toc460840633"/>
      <w:bookmarkStart w:id="725" w:name="_Ref461094861"/>
      <w:bookmarkStart w:id="726" w:name="_Ref461094885"/>
      <w:bookmarkStart w:id="727" w:name="_Ref461112004"/>
      <w:bookmarkStart w:id="728" w:name="_Ref476757995"/>
      <w:bookmarkStart w:id="729" w:name="_Toc504809466"/>
      <w:bookmarkStart w:id="730" w:name="_Toc505335974"/>
      <w:r w:rsidRPr="00577D56">
        <w:rPr>
          <w:lang w:val="es-ES_tradnl"/>
        </w:rPr>
        <w:t>Seguimiento de los planes de inversión</w:t>
      </w:r>
      <w:bookmarkEnd w:id="721"/>
      <w:bookmarkEnd w:id="722"/>
      <w:bookmarkEnd w:id="723"/>
      <w:bookmarkEnd w:id="724"/>
      <w:bookmarkEnd w:id="725"/>
      <w:bookmarkEnd w:id="726"/>
      <w:bookmarkEnd w:id="727"/>
      <w:bookmarkEnd w:id="728"/>
      <w:bookmarkEnd w:id="729"/>
      <w:bookmarkEnd w:id="730"/>
    </w:p>
    <w:p w:rsidR="00D70E3B" w:rsidRPr="00577D56" w:rsidRDefault="00D70E3B" w:rsidP="00D70E3B">
      <w:pPr>
        <w:rPr>
          <w:lang w:val="es-ES_tradnl"/>
        </w:rPr>
      </w:pPr>
      <w:r w:rsidRPr="00577D56">
        <w:rPr>
          <w:lang w:val="es-ES_tradnl"/>
        </w:rPr>
        <w:t>El seguimiento de la ejecución del plan de inversión se realizará considerando como mínimo los siguientes lineamientos:</w:t>
      </w:r>
    </w:p>
    <w:p w:rsidR="00D70E3B" w:rsidRPr="00577D56" w:rsidRDefault="00D70E3B" w:rsidP="009C086B">
      <w:pPr>
        <w:pStyle w:val="Prrafodelista"/>
        <w:numPr>
          <w:ilvl w:val="0"/>
          <w:numId w:val="33"/>
        </w:numPr>
      </w:pPr>
      <w:r w:rsidRPr="00577D56">
        <w:t xml:space="preserve">Anualmente el OR deberá presentar un informe sobre la ejecución del plan de inversión en el cual se presente el avance de cada uno de los proyectos y los ajustes realizados. El formato y contenido mínimo del informe serán definidos por la Comisión en circular aparte. </w:t>
      </w:r>
    </w:p>
    <w:p w:rsidR="00D70E3B" w:rsidRPr="00577D56" w:rsidRDefault="00D70E3B" w:rsidP="009C086B">
      <w:pPr>
        <w:pStyle w:val="Prrafodelista"/>
        <w:numPr>
          <w:ilvl w:val="0"/>
          <w:numId w:val="33"/>
        </w:numPr>
      </w:pPr>
      <w:r w:rsidRPr="00577D56">
        <w:t xml:space="preserve">Los ajustes a los proyectos incluidos en el plan de inversión aprobado deben responder a la planeación de corto plazo adelantada por la empresa de acuerdo con lo establecido en la Resolución CREG 070 de 1998 o aquella que la modifique, complemento o sustituya. </w:t>
      </w:r>
    </w:p>
    <w:p w:rsidR="00D70E3B" w:rsidRPr="00577D56" w:rsidRDefault="00D70E3B" w:rsidP="009C086B">
      <w:pPr>
        <w:pStyle w:val="Prrafodelista"/>
        <w:numPr>
          <w:ilvl w:val="0"/>
          <w:numId w:val="33"/>
        </w:numPr>
      </w:pPr>
      <w:r w:rsidRPr="00577D56">
        <w:t>El informe debe ser enviado a la Comisión y a la SSPD, antes del último día hábil del mes de marzo de cada año. El informe también debe ser publicado en la página web del OR.</w:t>
      </w:r>
    </w:p>
    <w:p w:rsidR="00D70E3B" w:rsidRPr="00577D56" w:rsidRDefault="00D70E3B" w:rsidP="009C086B">
      <w:pPr>
        <w:pStyle w:val="Prrafodelista"/>
        <w:numPr>
          <w:ilvl w:val="0"/>
          <w:numId w:val="33"/>
        </w:numPr>
      </w:pPr>
      <w:r w:rsidRPr="00577D56">
        <w:t>De igual forma, anualmente se verificarán los indicadores de ejecución de los planes de inversión con base en la información presentada por los OR al SUI y a la CREG.</w:t>
      </w:r>
    </w:p>
    <w:p w:rsidR="00D70E3B" w:rsidRPr="00577D56" w:rsidRDefault="00D70E3B" w:rsidP="009C086B">
      <w:pPr>
        <w:pStyle w:val="Prrafodelista"/>
        <w:numPr>
          <w:ilvl w:val="0"/>
          <w:numId w:val="33"/>
        </w:numPr>
      </w:pPr>
      <w:r w:rsidRPr="00577D56">
        <w:t>Anualmente los OR deberán contratar la realización de una verificación de la ejecución del plan de inversión. Las verificaciones emplearan los reportes anuales, visitas a campo, muestreos y demás estrategias que permitan corroborar la ejecución de los proyectos reportados e incluidos en el plan de inversión.</w:t>
      </w:r>
    </w:p>
    <w:p w:rsidR="00D70E3B" w:rsidRPr="00577D56" w:rsidRDefault="00D70E3B" w:rsidP="009C086B">
      <w:pPr>
        <w:pStyle w:val="Prrafodelista"/>
        <w:numPr>
          <w:ilvl w:val="0"/>
          <w:numId w:val="33"/>
        </w:numPr>
      </w:pPr>
      <w:r w:rsidRPr="00577D56">
        <w:t xml:space="preserve">Las firmas serán seleccionadas de una lista que la Comisión establezca para tal fin y contratadas por el OR empleando un mecanismo de libre </w:t>
      </w:r>
      <w:r w:rsidRPr="00577D56">
        <w:lastRenderedPageBreak/>
        <w:t>concurrencia. Las reglas para la realización de la verificación serán establecidas en resolución posterior.</w:t>
      </w:r>
    </w:p>
    <w:p w:rsidR="00D70E3B" w:rsidRPr="00577D56" w:rsidRDefault="00D70E3B" w:rsidP="009C086B">
      <w:pPr>
        <w:pStyle w:val="Prrafodelista"/>
        <w:numPr>
          <w:ilvl w:val="0"/>
          <w:numId w:val="33"/>
        </w:numPr>
      </w:pPr>
      <w:r w:rsidRPr="00577D56">
        <w:t>El costo de las verificaciones se reconocerá en los gastos de administración, operación y mantenimiento de los OR.</w:t>
      </w:r>
    </w:p>
    <w:p w:rsidR="00D70E3B" w:rsidRPr="00577D56" w:rsidRDefault="00D70E3B" w:rsidP="009C086B">
      <w:pPr>
        <w:pStyle w:val="Prrafodelista"/>
        <w:numPr>
          <w:ilvl w:val="0"/>
          <w:numId w:val="33"/>
        </w:numPr>
      </w:pPr>
      <w:r w:rsidRPr="00577D56">
        <w:t>Cuando de las verificaciones se concluya que los proyectos de inversión no se han ejecutado de acuerdo con lo reportado, los ingresos y cargos se ajustarán independientemente de las acciones que adelante la SSPD dentro de sus competencias.</w:t>
      </w:r>
    </w:p>
    <w:p w:rsidR="00D70E3B" w:rsidRPr="00577D56" w:rsidRDefault="00D70E3B" w:rsidP="009C086B">
      <w:pPr>
        <w:pStyle w:val="Prrafodelista"/>
        <w:numPr>
          <w:ilvl w:val="0"/>
          <w:numId w:val="33"/>
        </w:numPr>
      </w:pPr>
      <w:r w:rsidRPr="00577D56">
        <w:t>La Comisión podrá solicitar la realización de verificaciones extraordinarias o contratar las que considere necesarias.</w:t>
      </w:r>
    </w:p>
    <w:p w:rsidR="00D70E3B" w:rsidRPr="00577D56" w:rsidRDefault="00D70E3B" w:rsidP="00D70E3B">
      <w:r w:rsidRPr="00577D56">
        <w:t xml:space="preserve">El OR debe presentar el valor de las inversiones puestas en operación clasificado en los tipos de activos de la siguiente manera: </w:t>
      </w:r>
    </w:p>
    <w:p w:rsidR="00D70E3B" w:rsidRPr="00577D56" w:rsidRDefault="00D70E3B" w:rsidP="00D70E3B">
      <w:pPr>
        <w:spacing w:before="0" w:after="0"/>
      </w:pPr>
      <w:r w:rsidRPr="00577D56">
        <w:t xml:space="preserve">El valor de la variable </w:t>
      </w:r>
      <w:r w:rsidRPr="00577D56">
        <w:rPr>
          <w:i/>
        </w:rPr>
        <w:t>INVTR</w:t>
      </w:r>
      <w:r w:rsidRPr="00577D56">
        <w:rPr>
          <w:i/>
          <w:vertAlign w:val="subscript"/>
        </w:rPr>
        <w:t>j,n,TI,l,t</w:t>
      </w:r>
      <w:r w:rsidRPr="00577D56">
        <w:t xml:space="preserve"> se calcula de la siguiente forma:</w:t>
      </w:r>
    </w:p>
    <w:p w:rsidR="00D70E3B" w:rsidRPr="00577D56" w:rsidRDefault="00D70E3B" w:rsidP="00D70E3B">
      <w:pPr>
        <w:spacing w:before="0" w:after="0"/>
      </w:pPr>
    </w:p>
    <w:p w:rsidR="00D70E3B" w:rsidRPr="00577D56" w:rsidRDefault="00C9592F" w:rsidP="00D70E3B">
      <w:pPr>
        <w:rPr>
          <w:sz w:val="20"/>
          <w:szCs w:val="20"/>
        </w:rPr>
      </w:pPr>
      <m:oMathPara>
        <m:oMath>
          <m:sSub>
            <m:sSubPr>
              <m:ctrlPr>
                <w:rPr>
                  <w:rFonts w:ascii="Cambria Math" w:hAnsi="Cambria Math"/>
                  <w:i/>
                  <w:sz w:val="20"/>
                  <w:szCs w:val="20"/>
                </w:rPr>
              </m:ctrlPr>
            </m:sSubPr>
            <m:e>
              <m:r>
                <w:rPr>
                  <w:rFonts w:ascii="Cambria Math" w:hAnsi="Cambria Math"/>
                  <w:sz w:val="20"/>
                  <w:szCs w:val="20"/>
                </w:rPr>
                <m:t>INVTR</m:t>
              </m:r>
            </m:e>
            <m:sub>
              <m:r>
                <w:rPr>
                  <w:rFonts w:ascii="Cambria Math" w:hAnsi="Cambria Math"/>
                  <w:sz w:val="20"/>
                  <w:szCs w:val="20"/>
                </w:rPr>
                <m:t>j</m:t>
              </m:r>
              <m:r>
                <w:rPr>
                  <w:rFonts w:ascii="Cambria Math"/>
                  <w:sz w:val="20"/>
                  <w:szCs w:val="20"/>
                </w:rPr>
                <m:t>,n,TI,l,t</m:t>
              </m:r>
            </m:sub>
          </m:sSub>
          <m:r>
            <w:rPr>
              <w:rFonts w:ascii="Cambria Math"/>
              <w:sz w:val="20"/>
              <w:szCs w:val="20"/>
            </w:rPr>
            <m:t>=</m:t>
          </m:r>
          <m:nary>
            <m:naryPr>
              <m:chr m:val="∑"/>
              <m:limLoc m:val="undOvr"/>
              <m:ctrlPr>
                <w:rPr>
                  <w:rFonts w:ascii="Cambria Math" w:hAnsi="Cambria Math"/>
                  <w:i/>
                  <w:sz w:val="20"/>
                  <w:szCs w:val="20"/>
                </w:rPr>
              </m:ctrlPr>
            </m:naryPr>
            <m:sub>
              <m:r>
                <w:rPr>
                  <w:rFonts w:ascii="Cambria Math" w:hAnsi="Cambria Math"/>
                  <w:sz w:val="20"/>
                  <w:szCs w:val="20"/>
                </w:rPr>
                <m:t>i</m:t>
              </m:r>
              <m:r>
                <w:rPr>
                  <w:rFonts w:ascii="Cambria Math"/>
                  <w:sz w:val="20"/>
                  <w:szCs w:val="20"/>
                </w:rPr>
                <m:t>=1</m:t>
              </m:r>
            </m:sub>
            <m:sup>
              <m:sSub>
                <m:sSubPr>
                  <m:ctrlPr>
                    <w:rPr>
                      <w:rFonts w:ascii="Cambria Math" w:hAnsi="Cambria Math"/>
                      <w:i/>
                      <w:sz w:val="20"/>
                      <w:szCs w:val="20"/>
                    </w:rPr>
                  </m:ctrlPr>
                </m:sSubPr>
                <m:e>
                  <m:r>
                    <w:rPr>
                      <w:rFonts w:ascii="Cambria Math" w:hAnsi="Cambria Math"/>
                      <w:sz w:val="20"/>
                      <w:szCs w:val="20"/>
                    </w:rPr>
                    <m:t>UCO</m:t>
                  </m:r>
                </m:e>
                <m:sub>
                  <m:r>
                    <w:rPr>
                      <w:rFonts w:ascii="Cambria Math" w:hAnsi="Cambria Math"/>
                      <w:sz w:val="20"/>
                      <w:szCs w:val="20"/>
                    </w:rPr>
                    <m:t>j</m:t>
                  </m:r>
                  <m:r>
                    <w:rPr>
                      <w:rFonts w:ascii="Cambria Math"/>
                      <w:sz w:val="20"/>
                      <w:szCs w:val="20"/>
                    </w:rPr>
                    <m:t>,</m:t>
                  </m:r>
                  <m:r>
                    <w:rPr>
                      <w:rFonts w:ascii="Cambria Math" w:hAnsi="Cambria Math"/>
                      <w:sz w:val="20"/>
                      <w:szCs w:val="20"/>
                    </w:rPr>
                    <m:t>n,TI,l,t</m:t>
                  </m:r>
                </m:sub>
              </m:sSub>
            </m:sup>
            <m:e>
              <m:sSub>
                <m:sSubPr>
                  <m:ctrlPr>
                    <w:rPr>
                      <w:rFonts w:ascii="Cambria Math" w:hAnsi="Cambria Math"/>
                      <w:i/>
                      <w:sz w:val="20"/>
                      <w:szCs w:val="20"/>
                    </w:rPr>
                  </m:ctrlPr>
                </m:sSubPr>
                <m:e>
                  <m:r>
                    <w:rPr>
                      <w:rFonts w:ascii="Cambria Math" w:hAnsi="Cambria Math"/>
                      <w:sz w:val="20"/>
                      <w:szCs w:val="20"/>
                    </w:rPr>
                    <m:t>CR</m:t>
                  </m:r>
                </m:e>
                <m:sub>
                  <m:r>
                    <w:rPr>
                      <w:rFonts w:ascii="Cambria Math" w:hAnsi="Cambria Math"/>
                      <w:sz w:val="20"/>
                      <w:szCs w:val="20"/>
                    </w:rPr>
                    <m:t>i</m:t>
                  </m:r>
                </m:sub>
              </m:sSub>
              <m:r>
                <w:rPr>
                  <w:rFonts w:ascii="Cambria Math" w:hAnsi="Cambria Math"/>
                  <w:sz w:val="20"/>
                  <w:szCs w:val="20"/>
                </w:rPr>
                <m:t>*</m:t>
              </m:r>
              <m:sSub>
                <m:sSubPr>
                  <m:ctrlPr>
                    <w:rPr>
                      <w:rFonts w:ascii="Cambria Math" w:hAnsi="Cambria Math"/>
                      <w:i/>
                      <w:sz w:val="20"/>
                      <w:szCs w:val="20"/>
                    </w:rPr>
                  </m:ctrlPr>
                </m:sSubPr>
                <m:e>
                  <m:r>
                    <w:rPr>
                      <w:rFonts w:ascii="Cambria Math" w:hAnsi="Cambria Math"/>
                      <w:sz w:val="20"/>
                      <w:szCs w:val="20"/>
                    </w:rPr>
                    <m:t>PU</m:t>
                  </m:r>
                </m:e>
                <m:sub>
                  <m:r>
                    <w:rPr>
                      <w:rFonts w:ascii="Cambria Math" w:hAnsi="Cambria Math"/>
                      <w:sz w:val="20"/>
                      <w:szCs w:val="20"/>
                    </w:rPr>
                    <m:t>i</m:t>
                  </m:r>
                </m:sub>
              </m:sSub>
              <m:r>
                <w:rPr>
                  <w:rFonts w:ascii="Cambria Math" w:hAnsi="Cambria Math"/>
                  <w:sz w:val="20"/>
                  <w:szCs w:val="20"/>
                </w:rPr>
                <m:t>*</m:t>
              </m:r>
              <m:sSub>
                <m:sSubPr>
                  <m:ctrlPr>
                    <w:rPr>
                      <w:rFonts w:ascii="Cambria Math" w:hAnsi="Cambria Math"/>
                      <w:i/>
                      <w:sz w:val="20"/>
                      <w:szCs w:val="20"/>
                    </w:rPr>
                  </m:ctrlPr>
                </m:sSubPr>
                <m:e>
                  <m:r>
                    <w:rPr>
                      <w:rFonts w:ascii="Cambria Math" w:hAnsi="Cambria Math"/>
                      <w:sz w:val="20"/>
                      <w:szCs w:val="20"/>
                    </w:rPr>
                    <m:t>FU</m:t>
                  </m:r>
                </m:e>
                <m:sub>
                  <m:r>
                    <w:rPr>
                      <w:rFonts w:ascii="Cambria Math" w:hAnsi="Cambria Math"/>
                      <w:sz w:val="20"/>
                      <w:szCs w:val="20"/>
                    </w:rPr>
                    <m:t>i</m:t>
                  </m:r>
                </m:sub>
              </m:sSub>
              <m:r>
                <w:rPr>
                  <w:rFonts w:ascii="Cambria Math" w:hAnsi="Cambria Math"/>
                  <w:sz w:val="20"/>
                  <w:szCs w:val="20"/>
                </w:rPr>
                <m:t>*</m:t>
              </m:r>
              <m:d>
                <m:dPr>
                  <m:ctrlPr>
                    <w:rPr>
                      <w:rFonts w:ascii="Cambria Math" w:hAnsi="Cambria Math"/>
                      <w:i/>
                      <w:sz w:val="20"/>
                      <w:szCs w:val="20"/>
                    </w:rPr>
                  </m:ctrlPr>
                </m:dPr>
                <m:e>
                  <m:r>
                    <w:rPr>
                      <w:rFonts w:ascii="Cambria Math" w:hAnsi="Cambria Math"/>
                      <w:sz w:val="20"/>
                      <w:szCs w:val="20"/>
                    </w:rPr>
                    <m:t>1-</m:t>
                  </m:r>
                  <m:sSub>
                    <m:sSubPr>
                      <m:ctrlPr>
                        <w:rPr>
                          <w:rFonts w:ascii="Cambria Math" w:hAnsi="Cambria Math"/>
                          <w:i/>
                          <w:sz w:val="20"/>
                          <w:szCs w:val="20"/>
                        </w:rPr>
                      </m:ctrlPr>
                    </m:sSubPr>
                    <m:e>
                      <m:r>
                        <w:rPr>
                          <w:rFonts w:ascii="Cambria Math" w:hAnsi="Cambria Math"/>
                          <w:sz w:val="20"/>
                          <w:szCs w:val="20"/>
                        </w:rPr>
                        <m:t>RPP</m:t>
                      </m:r>
                    </m:e>
                    <m:sub>
                      <m:r>
                        <w:rPr>
                          <w:rFonts w:ascii="Cambria Math" w:hAnsi="Cambria Math"/>
                          <w:sz w:val="20"/>
                          <w:szCs w:val="20"/>
                        </w:rPr>
                        <m:t>i</m:t>
                      </m:r>
                    </m:sub>
                  </m:sSub>
                </m:e>
              </m:d>
            </m:e>
          </m:nary>
          <m:r>
            <w:rPr>
              <w:rFonts w:ascii="Cambria Math" w:hAnsi="Cambria Math"/>
              <w:sz w:val="20"/>
              <w:szCs w:val="20"/>
            </w:rPr>
            <m:t>+</m:t>
          </m:r>
          <m:nary>
            <m:naryPr>
              <m:chr m:val="∑"/>
              <m:limLoc m:val="undOvr"/>
              <m:ctrlPr>
                <w:rPr>
                  <w:rFonts w:ascii="Cambria Math" w:hAnsi="Cambria Math"/>
                  <w:i/>
                  <w:sz w:val="20"/>
                  <w:szCs w:val="20"/>
                </w:rPr>
              </m:ctrlPr>
            </m:naryPr>
            <m:sub>
              <m:r>
                <w:rPr>
                  <w:rFonts w:ascii="Cambria Math"/>
                  <w:sz w:val="20"/>
                  <w:szCs w:val="20"/>
                </w:rPr>
                <m:t>i=1</m:t>
              </m:r>
            </m:sub>
            <m:sup>
              <m:sSub>
                <m:sSubPr>
                  <m:ctrlPr>
                    <w:rPr>
                      <w:rFonts w:ascii="Cambria Math" w:hAnsi="Cambria Math"/>
                      <w:i/>
                      <w:sz w:val="20"/>
                      <w:szCs w:val="20"/>
                    </w:rPr>
                  </m:ctrlPr>
                </m:sSubPr>
                <m:e>
                  <m:r>
                    <w:rPr>
                      <w:rFonts w:ascii="Cambria Math" w:hAnsi="Cambria Math"/>
                      <w:sz w:val="20"/>
                      <w:szCs w:val="20"/>
                    </w:rPr>
                    <m:t>SNUCO</m:t>
                  </m:r>
                </m:e>
                <m:sub>
                  <m:r>
                    <w:rPr>
                      <w:rFonts w:ascii="Cambria Math" w:hAnsi="Cambria Math"/>
                      <w:sz w:val="20"/>
                      <w:szCs w:val="20"/>
                    </w:rPr>
                    <m:t>j</m:t>
                  </m:r>
                  <m:r>
                    <w:rPr>
                      <w:rFonts w:ascii="Cambria Math"/>
                      <w:sz w:val="20"/>
                      <w:szCs w:val="20"/>
                    </w:rPr>
                    <m:t>,</m:t>
                  </m:r>
                  <m:r>
                    <w:rPr>
                      <w:rFonts w:ascii="Cambria Math" w:hAnsi="Cambria Math"/>
                      <w:sz w:val="20"/>
                      <w:szCs w:val="20"/>
                    </w:rPr>
                    <m:t>TI,l,t</m:t>
                  </m:r>
                </m:sub>
              </m:sSub>
            </m:sup>
            <m:e>
              <m:d>
                <m:dPr>
                  <m:ctrlPr>
                    <w:rPr>
                      <w:rFonts w:ascii="Cambria Math" w:hAnsi="Cambria Math"/>
                      <w:i/>
                      <w:sz w:val="20"/>
                      <w:szCs w:val="20"/>
                    </w:rPr>
                  </m:ctrlPr>
                </m:dPr>
                <m:e>
                  <m:sSub>
                    <m:sSubPr>
                      <m:ctrlPr>
                        <w:rPr>
                          <w:rFonts w:ascii="Cambria Math" w:hAnsi="Cambria Math"/>
                          <w:i/>
                          <w:sz w:val="20"/>
                          <w:szCs w:val="20"/>
                        </w:rPr>
                      </m:ctrlPr>
                    </m:sSubPr>
                    <m:e>
                      <m:r>
                        <w:rPr>
                          <w:rFonts w:ascii="Cambria Math"/>
                          <w:sz w:val="20"/>
                          <w:szCs w:val="20"/>
                        </w:rPr>
                        <m:t>CR</m:t>
                      </m:r>
                    </m:e>
                    <m:sub>
                      <m:r>
                        <w:rPr>
                          <w:rFonts w:ascii="Cambria Math"/>
                          <w:sz w:val="20"/>
                          <w:szCs w:val="20"/>
                        </w:rPr>
                        <m:t>i</m:t>
                      </m:r>
                    </m:sub>
                  </m:sSub>
                  <m:r>
                    <w:rPr>
                      <w:rFonts w:ascii="Cambria Math" w:hAnsi="Cambria Math"/>
                      <w:sz w:val="20"/>
                      <w:szCs w:val="20"/>
                    </w:rPr>
                    <m:t>*</m:t>
                  </m:r>
                  <m:sSub>
                    <m:sSubPr>
                      <m:ctrlPr>
                        <w:rPr>
                          <w:rFonts w:ascii="Cambria Math" w:hAnsi="Cambria Math"/>
                          <w:i/>
                          <w:sz w:val="20"/>
                          <w:szCs w:val="20"/>
                        </w:rPr>
                      </m:ctrlPr>
                    </m:sSubPr>
                    <m:e>
                      <m:r>
                        <w:rPr>
                          <w:rFonts w:ascii="Cambria Math"/>
                          <w:sz w:val="20"/>
                          <w:szCs w:val="20"/>
                        </w:rPr>
                        <m:t>PU</m:t>
                      </m:r>
                    </m:e>
                    <m:sub>
                      <m:r>
                        <w:rPr>
                          <w:rFonts w:ascii="Cambria Math"/>
                          <w:sz w:val="20"/>
                          <w:szCs w:val="20"/>
                        </w:rPr>
                        <m:t>j,i</m:t>
                      </m:r>
                    </m:sub>
                  </m:sSub>
                  <m:r>
                    <w:rPr>
                      <w:rFonts w:ascii="Cambria Math" w:hAnsi="Cambria Math"/>
                      <w:sz w:val="20"/>
                      <w:szCs w:val="20"/>
                    </w:rPr>
                    <m:t>*</m:t>
                  </m:r>
                  <m:sSub>
                    <m:sSubPr>
                      <m:ctrlPr>
                        <w:rPr>
                          <w:rFonts w:ascii="Cambria Math" w:hAnsi="Cambria Math"/>
                          <w:i/>
                          <w:sz w:val="20"/>
                          <w:szCs w:val="20"/>
                        </w:rPr>
                      </m:ctrlPr>
                    </m:sSubPr>
                    <m:e>
                      <m:r>
                        <w:rPr>
                          <w:rFonts w:ascii="Cambria Math" w:hAnsi="Cambria Math"/>
                          <w:sz w:val="20"/>
                          <w:szCs w:val="20"/>
                        </w:rPr>
                        <m:t>FU</m:t>
                      </m:r>
                    </m:e>
                    <m:sub>
                      <m:r>
                        <w:rPr>
                          <w:rFonts w:ascii="Cambria Math" w:hAnsi="Cambria Math"/>
                          <w:sz w:val="20"/>
                          <w:szCs w:val="20"/>
                        </w:rPr>
                        <m:t>i</m:t>
                      </m:r>
                    </m:sub>
                  </m:sSub>
                  <m:r>
                    <w:rPr>
                      <w:rFonts w:ascii="Cambria Math" w:hAnsi="Cambria Math"/>
                      <w:sz w:val="20"/>
                      <w:szCs w:val="20"/>
                    </w:rPr>
                    <m:t>*(1-</m:t>
                  </m:r>
                  <m:sSub>
                    <m:sSubPr>
                      <m:ctrlPr>
                        <w:rPr>
                          <w:rFonts w:ascii="Cambria Math" w:hAnsi="Cambria Math"/>
                          <w:i/>
                          <w:sz w:val="20"/>
                          <w:szCs w:val="20"/>
                        </w:rPr>
                      </m:ctrlPr>
                    </m:sSubPr>
                    <m:e>
                      <m:r>
                        <w:rPr>
                          <w:rFonts w:ascii="Cambria Math" w:hAnsi="Cambria Math"/>
                          <w:sz w:val="20"/>
                          <w:szCs w:val="20"/>
                        </w:rPr>
                        <m:t>RPP</m:t>
                      </m:r>
                    </m:e>
                    <m:sub>
                      <m:r>
                        <w:rPr>
                          <w:rFonts w:ascii="Cambria Math" w:hAnsi="Cambria Math"/>
                          <w:sz w:val="20"/>
                          <w:szCs w:val="20"/>
                        </w:rPr>
                        <m:t>i</m:t>
                      </m:r>
                    </m:sub>
                  </m:sSub>
                  <m:r>
                    <w:rPr>
                      <w:rFonts w:ascii="Cambria Math" w:hAnsi="Cambria Math"/>
                      <w:sz w:val="20"/>
                      <w:szCs w:val="20"/>
                    </w:rPr>
                    <m:t>)</m:t>
                  </m:r>
                  <m:r>
                    <w:rPr>
                      <w:rFonts w:ascii="Cambria Math" w:hAnsi="Cambria Math" w:cs="Cambria Math"/>
                      <w:sz w:val="20"/>
                      <w:szCs w:val="20"/>
                    </w:rPr>
                    <m:t>*</m:t>
                  </m:r>
                  <m:sSub>
                    <m:sSubPr>
                      <m:ctrlPr>
                        <w:rPr>
                          <w:rFonts w:ascii="Cambria Math" w:hAnsi="Cambria Math"/>
                          <w:i/>
                          <w:sz w:val="20"/>
                          <w:szCs w:val="20"/>
                        </w:rPr>
                      </m:ctrlPr>
                    </m:sSubPr>
                    <m:e>
                      <m:r>
                        <w:rPr>
                          <w:rFonts w:ascii="Cambria Math" w:hAnsi="Cambria Math"/>
                          <w:sz w:val="20"/>
                          <w:szCs w:val="20"/>
                        </w:rPr>
                        <m:t>Psn</m:t>
                      </m:r>
                    </m:e>
                    <m:sub>
                      <m:r>
                        <w:rPr>
                          <w:rFonts w:ascii="Cambria Math" w:hAnsi="Cambria Math"/>
                          <w:sz w:val="20"/>
                          <w:szCs w:val="20"/>
                        </w:rPr>
                        <m:t>j</m:t>
                      </m:r>
                    </m:sub>
                  </m:sSub>
                </m:e>
              </m:d>
            </m:e>
          </m:nary>
        </m:oMath>
      </m:oMathPara>
    </w:p>
    <w:p w:rsidR="00D70E3B" w:rsidRPr="00577D56" w:rsidRDefault="00D70E3B" w:rsidP="00D70E3B">
      <w:pPr>
        <w:spacing w:before="120"/>
        <w:ind w:left="1692" w:hanging="1692"/>
        <w:rPr>
          <w:i/>
          <w:iCs/>
        </w:rPr>
      </w:pPr>
    </w:p>
    <w:p w:rsidR="00D70E3B" w:rsidRPr="00577D56" w:rsidRDefault="00D70E3B" w:rsidP="00D70E3B">
      <w:pPr>
        <w:spacing w:before="120"/>
        <w:ind w:left="1692" w:hanging="1692"/>
      </w:pPr>
      <w:r w:rsidRPr="00577D56">
        <w:rPr>
          <w:i/>
          <w:iCs/>
        </w:rPr>
        <w:t>INVTR</w:t>
      </w:r>
      <w:r w:rsidRPr="00577D56">
        <w:rPr>
          <w:i/>
          <w:iCs/>
          <w:vertAlign w:val="subscript"/>
        </w:rPr>
        <w:t>j,n,TI,l,t</w:t>
      </w:r>
      <w:r w:rsidRPr="00577D56">
        <w:t>:</w:t>
      </w:r>
      <w:r w:rsidRPr="00577D56">
        <w:tab/>
      </w:r>
      <w:r w:rsidRPr="00577D56">
        <w:tab/>
        <w:t>Valor de la i</w:t>
      </w:r>
      <w:r w:rsidRPr="00577D56">
        <w:rPr>
          <w:iCs/>
        </w:rPr>
        <w:t xml:space="preserve">nversión puesta en operación en el sistema del OR </w:t>
      </w:r>
      <w:r w:rsidRPr="00577D56">
        <w:rPr>
          <w:i/>
          <w:iCs/>
        </w:rPr>
        <w:t>j</w:t>
      </w:r>
      <w:r w:rsidRPr="00577D56">
        <w:rPr>
          <w:iCs/>
        </w:rPr>
        <w:t xml:space="preserve"> en el nivel de tensión </w:t>
      </w:r>
      <w:r w:rsidRPr="00577D56">
        <w:rPr>
          <w:i/>
          <w:iCs/>
        </w:rPr>
        <w:t xml:space="preserve">n, </w:t>
      </w:r>
      <w:r w:rsidRPr="00577D56">
        <w:rPr>
          <w:iCs/>
        </w:rPr>
        <w:t xml:space="preserve">en el tipo de inversión </w:t>
      </w:r>
      <w:r w:rsidRPr="00577D56">
        <w:rPr>
          <w:i/>
          <w:iCs/>
        </w:rPr>
        <w:t>TI</w:t>
      </w:r>
      <w:r w:rsidRPr="00577D56">
        <w:rPr>
          <w:iCs/>
        </w:rPr>
        <w:t xml:space="preserve">, en la categoría de activos </w:t>
      </w:r>
      <w:r w:rsidRPr="00577D56">
        <w:rPr>
          <w:i/>
          <w:iCs/>
        </w:rPr>
        <w:t>l</w:t>
      </w:r>
      <w:r w:rsidRPr="00577D56">
        <w:rPr>
          <w:iCs/>
        </w:rPr>
        <w:t xml:space="preserve"> para el año </w:t>
      </w:r>
      <w:r w:rsidRPr="00577D56">
        <w:rPr>
          <w:i/>
          <w:iCs/>
        </w:rPr>
        <w:t>t</w:t>
      </w:r>
      <w:r w:rsidRPr="00577D56">
        <w:rPr>
          <w:iCs/>
        </w:rPr>
        <w:t xml:space="preserve">. </w:t>
      </w:r>
      <w:r w:rsidRPr="00577D56">
        <w:t xml:space="preserve">Corresponde al valor de los activos valorados con las UC definidas en el capítulo </w:t>
      </w:r>
      <w:r w:rsidRPr="00577D56">
        <w:fldChar w:fldCharType="begin"/>
      </w:r>
      <w:r w:rsidRPr="00577D56">
        <w:instrText xml:space="preserve"> REF _Ref465980736 \r \h \t \* MERGEFORMAT </w:instrText>
      </w:r>
      <w:r w:rsidRPr="00577D56">
        <w:fldChar w:fldCharType="separate"/>
      </w:r>
      <w:r w:rsidR="00737178">
        <w:t>14</w:t>
      </w:r>
      <w:r w:rsidRPr="00577D56">
        <w:fldChar w:fldCharType="end"/>
      </w:r>
      <w:r w:rsidRPr="00577D56">
        <w:t>.</w:t>
      </w:r>
    </w:p>
    <w:p w:rsidR="00D70E3B" w:rsidRPr="00577D56" w:rsidRDefault="00D70E3B" w:rsidP="00D70E3B">
      <w:pPr>
        <w:tabs>
          <w:tab w:val="left" w:pos="1418"/>
        </w:tabs>
        <w:spacing w:before="120"/>
        <w:ind w:left="1692" w:hanging="1692"/>
      </w:pPr>
      <w:r w:rsidRPr="00577D56">
        <w:rPr>
          <w:i/>
          <w:iCs/>
        </w:rPr>
        <w:t>UCO</w:t>
      </w:r>
      <w:r w:rsidRPr="00577D56">
        <w:rPr>
          <w:i/>
          <w:iCs/>
          <w:vertAlign w:val="subscript"/>
        </w:rPr>
        <w:t>j,n,TI,l,t</w:t>
      </w:r>
      <w:r w:rsidRPr="00577D56">
        <w:t>:</w:t>
      </w:r>
      <w:r w:rsidRPr="00577D56">
        <w:tab/>
      </w:r>
      <w:r w:rsidRPr="00577D56">
        <w:tab/>
      </w:r>
      <w:r w:rsidRPr="00577D56">
        <w:tab/>
        <w:t xml:space="preserve">UC puestas en operación en el sistema del OR </w:t>
      </w:r>
      <w:r w:rsidRPr="00577D56">
        <w:rPr>
          <w:i/>
        </w:rPr>
        <w:t xml:space="preserve">j </w:t>
      </w:r>
      <w:r w:rsidRPr="00577D56">
        <w:t xml:space="preserve">en el nivel de tensión </w:t>
      </w:r>
      <w:r w:rsidRPr="00577D56">
        <w:rPr>
          <w:i/>
        </w:rPr>
        <w:t xml:space="preserve">n, </w:t>
      </w:r>
      <w:r w:rsidRPr="00577D56">
        <w:rPr>
          <w:iCs/>
        </w:rPr>
        <w:t xml:space="preserve">en el tipo de inversión </w:t>
      </w:r>
      <w:r w:rsidRPr="00577D56">
        <w:rPr>
          <w:i/>
          <w:iCs/>
        </w:rPr>
        <w:t>TI</w:t>
      </w:r>
      <w:r w:rsidRPr="00577D56">
        <w:rPr>
          <w:iCs/>
        </w:rPr>
        <w:t>,</w:t>
      </w:r>
      <w:r w:rsidRPr="00577D56">
        <w:t xml:space="preserve"> </w:t>
      </w:r>
      <w:r w:rsidRPr="00577D56">
        <w:rPr>
          <w:iCs/>
        </w:rPr>
        <w:t xml:space="preserve">en la categoría de activos </w:t>
      </w:r>
      <w:r w:rsidRPr="00577D56">
        <w:rPr>
          <w:i/>
          <w:iCs/>
        </w:rPr>
        <w:t>l</w:t>
      </w:r>
      <w:r w:rsidRPr="00577D56">
        <w:rPr>
          <w:iCs/>
        </w:rPr>
        <w:t xml:space="preserve"> para </w:t>
      </w:r>
      <w:r w:rsidRPr="00577D56">
        <w:t xml:space="preserve">el año </w:t>
      </w:r>
      <w:r w:rsidRPr="00577D56">
        <w:rPr>
          <w:i/>
        </w:rPr>
        <w:t>t</w:t>
      </w:r>
      <w:r w:rsidRPr="00577D56">
        <w:t xml:space="preserve">. </w:t>
      </w:r>
    </w:p>
    <w:p w:rsidR="00D70E3B" w:rsidRPr="00577D56" w:rsidRDefault="00D70E3B" w:rsidP="00D70E3B">
      <w:pPr>
        <w:ind w:left="1582" w:hanging="1582"/>
      </w:pPr>
      <w:r w:rsidRPr="00577D56">
        <w:rPr>
          <w:i/>
          <w:iCs/>
        </w:rPr>
        <w:t>CR</w:t>
      </w:r>
      <w:r w:rsidRPr="00577D56">
        <w:rPr>
          <w:i/>
          <w:iCs/>
          <w:vertAlign w:val="subscript"/>
        </w:rPr>
        <w:t>i</w:t>
      </w:r>
      <w:r w:rsidRPr="00577D56">
        <w:t>:</w:t>
      </w:r>
      <w:r w:rsidRPr="00577D56">
        <w:tab/>
      </w:r>
      <w:r w:rsidRPr="00577D56">
        <w:tab/>
        <w:t xml:space="preserve">Valor de la UC </w:t>
      </w:r>
      <w:r w:rsidRPr="00577D56">
        <w:rPr>
          <w:i/>
          <w:iCs/>
        </w:rPr>
        <w:t>i</w:t>
      </w:r>
      <w:r w:rsidRPr="00577D56">
        <w:rPr>
          <w:iCs/>
        </w:rPr>
        <w:t>,</w:t>
      </w:r>
      <w:r w:rsidRPr="00577D56">
        <w:t xml:space="preserve"> definido en el capítulo </w:t>
      </w:r>
      <w:r w:rsidRPr="00577D56">
        <w:fldChar w:fldCharType="begin"/>
      </w:r>
      <w:r w:rsidRPr="00577D56">
        <w:instrText xml:space="preserve"> REF _Ref465980736 \r \h \t \* MERGEFORMAT </w:instrText>
      </w:r>
      <w:r w:rsidRPr="00577D56">
        <w:fldChar w:fldCharType="separate"/>
      </w:r>
      <w:r w:rsidR="00737178">
        <w:t>14</w:t>
      </w:r>
      <w:r w:rsidRPr="00577D56">
        <w:fldChar w:fldCharType="end"/>
      </w:r>
      <w:r w:rsidRPr="00577D56">
        <w:t>.</w:t>
      </w:r>
    </w:p>
    <w:p w:rsidR="00D70E3B" w:rsidRPr="00577D56" w:rsidRDefault="00D70E3B" w:rsidP="00D70E3B">
      <w:pPr>
        <w:tabs>
          <w:tab w:val="left" w:pos="1418"/>
        </w:tabs>
        <w:spacing w:before="120"/>
        <w:ind w:left="1692" w:hanging="1692"/>
      </w:pPr>
      <w:r w:rsidRPr="00577D56">
        <w:rPr>
          <w:i/>
          <w:iCs/>
        </w:rPr>
        <w:t>PU</w:t>
      </w:r>
      <w:r w:rsidRPr="00577D56">
        <w:rPr>
          <w:i/>
          <w:iCs/>
          <w:vertAlign w:val="subscript"/>
        </w:rPr>
        <w:t>i</w:t>
      </w:r>
      <w:r w:rsidRPr="00577D56">
        <w:rPr>
          <w:i/>
          <w:iCs/>
        </w:rPr>
        <w:t>:</w:t>
      </w:r>
      <w:r w:rsidRPr="00577D56">
        <w:tab/>
      </w:r>
      <w:r w:rsidRPr="00577D56">
        <w:tab/>
      </w:r>
      <w:r w:rsidRPr="00577D56">
        <w:tab/>
        <w:t xml:space="preserve">Fracción del costo de la UC </w:t>
      </w:r>
      <w:r w:rsidRPr="00577D56">
        <w:rPr>
          <w:i/>
          <w:iCs/>
        </w:rPr>
        <w:t>i</w:t>
      </w:r>
      <w:r w:rsidRPr="00577D56">
        <w:t xml:space="preserve"> que es reconocida mediante cargos por uso.</w:t>
      </w:r>
    </w:p>
    <w:p w:rsidR="00D70E3B" w:rsidRPr="00577D56" w:rsidRDefault="00D70E3B" w:rsidP="00D70E3B">
      <w:pPr>
        <w:tabs>
          <w:tab w:val="left" w:pos="1418"/>
        </w:tabs>
        <w:spacing w:before="120"/>
        <w:ind w:left="1692" w:hanging="1692"/>
      </w:pPr>
      <w:r w:rsidRPr="00577D56">
        <w:rPr>
          <w:i/>
          <w:iCs/>
        </w:rPr>
        <w:t>FU</w:t>
      </w:r>
      <w:r w:rsidRPr="00577D56">
        <w:rPr>
          <w:i/>
          <w:iCs/>
          <w:vertAlign w:val="subscript"/>
        </w:rPr>
        <w:t>i</w:t>
      </w:r>
      <w:r w:rsidRPr="00577D56">
        <w:rPr>
          <w:i/>
          <w:iCs/>
        </w:rPr>
        <w:tab/>
      </w:r>
      <w:r w:rsidRPr="00577D56">
        <w:rPr>
          <w:i/>
          <w:iCs/>
        </w:rPr>
        <w:tab/>
      </w:r>
      <w:r w:rsidRPr="00577D56">
        <w:rPr>
          <w:i/>
          <w:iCs/>
        </w:rPr>
        <w:tab/>
      </w:r>
      <w:r w:rsidRPr="00577D56">
        <w:t xml:space="preserve">Fracción del costo de la UC </w:t>
      </w:r>
      <w:r w:rsidRPr="00577D56">
        <w:rPr>
          <w:i/>
          <w:iCs/>
        </w:rPr>
        <w:t>i</w:t>
      </w:r>
      <w:r w:rsidRPr="00577D56">
        <w:t xml:space="preserve"> que es reconocida debido a reposiciones parciales de la UC. Este valor se calcula como el peso relativo del valor reconocido del elemento intervenido respecto al valor total de la UC definidas en el capítulo </w:t>
      </w:r>
      <w:r w:rsidRPr="00577D56">
        <w:fldChar w:fldCharType="begin"/>
      </w:r>
      <w:r w:rsidRPr="00577D56">
        <w:instrText xml:space="preserve"> REF _Ref465980736 \r \h \t \* MERGEFORMAT </w:instrText>
      </w:r>
      <w:r w:rsidRPr="00577D56">
        <w:fldChar w:fldCharType="separate"/>
      </w:r>
      <w:r w:rsidR="00737178">
        <w:t>14</w:t>
      </w:r>
      <w:r w:rsidRPr="00577D56">
        <w:fldChar w:fldCharType="end"/>
      </w:r>
      <w:r w:rsidRPr="00577D56">
        <w:t xml:space="preserve">. </w:t>
      </w:r>
    </w:p>
    <w:p w:rsidR="00D70E3B" w:rsidRPr="00577D56" w:rsidRDefault="00D70E3B" w:rsidP="00D70E3B">
      <w:pPr>
        <w:ind w:left="1692" w:hanging="1692"/>
      </w:pPr>
      <w:r w:rsidRPr="00577D56">
        <w:rPr>
          <w:i/>
          <w:iCs/>
        </w:rPr>
        <w:t>RPP</w:t>
      </w:r>
      <w:r w:rsidRPr="00577D56">
        <w:rPr>
          <w:i/>
          <w:iCs/>
          <w:vertAlign w:val="subscript"/>
        </w:rPr>
        <w:t>i</w:t>
      </w:r>
      <w:r w:rsidRPr="00577D56">
        <w:rPr>
          <w:i/>
          <w:iCs/>
        </w:rPr>
        <w:t>:</w:t>
      </w:r>
      <w:r w:rsidRPr="00577D56">
        <w:tab/>
      </w:r>
      <w:r w:rsidRPr="00577D56">
        <w:tab/>
        <w:t xml:space="preserve">Fracción del costo de la UC </w:t>
      </w:r>
      <w:r w:rsidRPr="00577D56">
        <w:rPr>
          <w:i/>
          <w:iCs/>
        </w:rPr>
        <w:t>i</w:t>
      </w:r>
      <w:r w:rsidRPr="00577D56">
        <w:t xml:space="preserve"> que es</w:t>
      </w:r>
      <w:r w:rsidRPr="00577D56">
        <w:rPr>
          <w:i/>
        </w:rPr>
        <w:t xml:space="preserve"> </w:t>
      </w:r>
      <w:r w:rsidRPr="00577D56">
        <w:t>remunerada vía cargos por uso que no se debe incluir en el cálculo de la tarifa.</w:t>
      </w:r>
    </w:p>
    <w:p w:rsidR="00D70E3B" w:rsidRPr="00577D56" w:rsidRDefault="00D70E3B" w:rsidP="00D70E3B">
      <w:pPr>
        <w:ind w:left="1692" w:hanging="1692"/>
      </w:pPr>
      <w:r w:rsidRPr="00577D56">
        <w:rPr>
          <w:i/>
          <w:iCs/>
        </w:rPr>
        <w:t>TI:</w:t>
      </w:r>
      <w:r w:rsidRPr="00577D56">
        <w:tab/>
      </w:r>
      <w:r w:rsidRPr="00577D56">
        <w:tab/>
        <w:t xml:space="preserve">Tipo de inversión, como se define en este capítulo, toma los valores de 1, 2, 3 y 4. </w:t>
      </w:r>
    </w:p>
    <w:p w:rsidR="00D70E3B" w:rsidRPr="00577D56" w:rsidRDefault="00D70E3B" w:rsidP="00D70E3B">
      <w:pPr>
        <w:tabs>
          <w:tab w:val="left" w:pos="1418"/>
        </w:tabs>
        <w:spacing w:before="120"/>
        <w:ind w:left="1695" w:hanging="1692"/>
      </w:pPr>
      <w:r w:rsidRPr="00577D56">
        <w:rPr>
          <w:i/>
          <w:iCs/>
        </w:rPr>
        <w:t>SNUCO</w:t>
      </w:r>
      <w:r w:rsidRPr="00577D56">
        <w:rPr>
          <w:i/>
          <w:iCs/>
          <w:vertAlign w:val="subscript"/>
        </w:rPr>
        <w:t>j,TI,l,t</w:t>
      </w:r>
      <w:r w:rsidRPr="00577D56">
        <w:t>:</w:t>
      </w:r>
      <w:r w:rsidRPr="00577D56">
        <w:tab/>
      </w:r>
      <w:r w:rsidRPr="00577D56">
        <w:tab/>
        <w:t xml:space="preserve">UC incluidas en el plan de inversiones solicitado por el OR </w:t>
      </w:r>
      <w:r w:rsidRPr="00577D56">
        <w:rPr>
          <w:i/>
        </w:rPr>
        <w:t xml:space="preserve">j </w:t>
      </w:r>
      <w:r w:rsidRPr="00577D56">
        <w:t xml:space="preserve">sin nivel de </w:t>
      </w:r>
      <w:r w:rsidR="00B66478" w:rsidRPr="00577D56">
        <w:t>tensión</w:t>
      </w:r>
      <w:r w:rsidRPr="00577D56">
        <w:rPr>
          <w:i/>
        </w:rPr>
        <w:t xml:space="preserve">, </w:t>
      </w:r>
      <w:r w:rsidRPr="00577D56">
        <w:rPr>
          <w:iCs/>
        </w:rPr>
        <w:t xml:space="preserve">en el tipo de inversión </w:t>
      </w:r>
      <w:r w:rsidRPr="00577D56">
        <w:rPr>
          <w:i/>
          <w:iCs/>
        </w:rPr>
        <w:t>TI</w:t>
      </w:r>
      <w:r w:rsidRPr="00577D56">
        <w:rPr>
          <w:iCs/>
        </w:rPr>
        <w:t>,</w:t>
      </w:r>
      <w:r w:rsidRPr="00577D56">
        <w:t xml:space="preserve"> </w:t>
      </w:r>
      <w:r w:rsidRPr="00577D56">
        <w:rPr>
          <w:iCs/>
        </w:rPr>
        <w:t xml:space="preserve">en la categoría de activos </w:t>
      </w:r>
      <w:r w:rsidRPr="00577D56">
        <w:rPr>
          <w:i/>
          <w:iCs/>
        </w:rPr>
        <w:t>l</w:t>
      </w:r>
      <w:r w:rsidRPr="00577D56">
        <w:rPr>
          <w:iCs/>
        </w:rPr>
        <w:t xml:space="preserve"> para </w:t>
      </w:r>
      <w:r w:rsidRPr="00577D56">
        <w:t xml:space="preserve">el año </w:t>
      </w:r>
      <w:r w:rsidRPr="00577D56">
        <w:rPr>
          <w:i/>
        </w:rPr>
        <w:t>t</w:t>
      </w:r>
      <w:r w:rsidRPr="00577D56">
        <w:t>. No se incluyen las UC que fueron trasladadas y siguen en operación.</w:t>
      </w:r>
    </w:p>
    <w:p w:rsidR="00D70E3B" w:rsidRPr="00577D56" w:rsidRDefault="00D70E3B" w:rsidP="00D70E3B">
      <w:pPr>
        <w:ind w:left="1692" w:hanging="1692"/>
        <w:rPr>
          <w:iCs/>
        </w:rPr>
      </w:pPr>
      <w:r w:rsidRPr="00577D56">
        <w:rPr>
          <w:i/>
          <w:iCs/>
        </w:rPr>
        <w:lastRenderedPageBreak/>
        <w:t>Psn</w:t>
      </w:r>
      <w:r w:rsidRPr="00577D56">
        <w:rPr>
          <w:i/>
          <w:iCs/>
          <w:vertAlign w:val="subscript"/>
        </w:rPr>
        <w:t>j</w:t>
      </w:r>
      <w:r w:rsidRPr="00577D56">
        <w:rPr>
          <w:i/>
          <w:iCs/>
        </w:rPr>
        <w:t>:</w:t>
      </w:r>
      <w:r w:rsidRPr="00577D56">
        <w:rPr>
          <w:i/>
          <w:iCs/>
        </w:rPr>
        <w:tab/>
      </w:r>
      <w:r w:rsidRPr="00577D56">
        <w:rPr>
          <w:i/>
          <w:iCs/>
        </w:rPr>
        <w:tab/>
      </w:r>
      <w:r w:rsidRPr="00577D56">
        <w:rPr>
          <w:iCs/>
        </w:rPr>
        <w:t>Variable de asignación de las UC sin nivel de tensión. Para OR con cuatro niveles de tensión es igual a 1/3, para OR con tres niveles de tensión es igual a 1/2 y para OR con dos niveles de tensión es igual a 1.</w:t>
      </w:r>
    </w:p>
    <w:p w:rsidR="00D70E3B" w:rsidRPr="00577D56" w:rsidRDefault="00D70E3B" w:rsidP="00D70E3B">
      <w:r w:rsidRPr="00577D56">
        <w:rPr>
          <w:iCs/>
        </w:rPr>
        <w:t xml:space="preserve">La suma de la variable </w:t>
      </w:r>
      <w:r w:rsidRPr="00577D56">
        <w:rPr>
          <w:i/>
          <w:iCs/>
        </w:rPr>
        <w:t>INVTR</w:t>
      </w:r>
      <w:r w:rsidRPr="00577D56">
        <w:rPr>
          <w:i/>
          <w:iCs/>
          <w:vertAlign w:val="subscript"/>
        </w:rPr>
        <w:t>j,n,TI,l,t</w:t>
      </w:r>
      <w:r w:rsidRPr="00577D56">
        <w:t xml:space="preserve"> para todas las categorías de </w:t>
      </w:r>
      <w:r w:rsidR="00B66478" w:rsidRPr="00577D56">
        <w:t>activos</w:t>
      </w:r>
      <w:r w:rsidRPr="00577D56">
        <w:t xml:space="preserve"> y tipos de inversión en el nivel de tensión </w:t>
      </w:r>
      <w:r w:rsidRPr="00577D56">
        <w:rPr>
          <w:i/>
        </w:rPr>
        <w:t>n</w:t>
      </w:r>
      <w:r w:rsidRPr="00577D56">
        <w:t xml:space="preserve"> del OR </w:t>
      </w:r>
      <w:r w:rsidRPr="00577D56">
        <w:rPr>
          <w:i/>
        </w:rPr>
        <w:t>j</w:t>
      </w:r>
      <w:r w:rsidRPr="00577D56">
        <w:t xml:space="preserve"> deberá coincidir con el valor de la variable </w:t>
      </w:r>
      <w:r w:rsidRPr="00577D56">
        <w:rPr>
          <w:i/>
        </w:rPr>
        <w:t>INVR</w:t>
      </w:r>
      <w:r w:rsidRPr="00577D56">
        <w:rPr>
          <w:i/>
          <w:vertAlign w:val="subscript"/>
        </w:rPr>
        <w:t>j,n,t.</w:t>
      </w:r>
    </w:p>
    <w:p w:rsidR="00D70E3B" w:rsidRPr="00577D56" w:rsidRDefault="00D70E3B" w:rsidP="00D70E3B">
      <w:pPr>
        <w:pStyle w:val="Ttulo2"/>
      </w:pPr>
      <w:bookmarkStart w:id="731" w:name="_Toc408493200"/>
      <w:bookmarkStart w:id="732" w:name="_Toc440029146"/>
      <w:bookmarkStart w:id="733" w:name="_Ref444777362"/>
      <w:bookmarkStart w:id="734" w:name="_Toc460840634"/>
      <w:bookmarkStart w:id="735" w:name="_Toc504809467"/>
      <w:bookmarkStart w:id="736" w:name="_Toc505335975"/>
      <w:r w:rsidRPr="00577D56">
        <w:t>Ajuste de los planes de inversión</w:t>
      </w:r>
      <w:bookmarkEnd w:id="731"/>
      <w:bookmarkEnd w:id="732"/>
      <w:bookmarkEnd w:id="733"/>
      <w:bookmarkEnd w:id="734"/>
      <w:bookmarkEnd w:id="735"/>
      <w:bookmarkEnd w:id="736"/>
    </w:p>
    <w:p w:rsidR="00D70E3B" w:rsidRPr="00577D56" w:rsidRDefault="00D70E3B" w:rsidP="00D70E3B">
      <w:pPr>
        <w:rPr>
          <w:lang w:val="es-ES_tradnl"/>
        </w:rPr>
      </w:pPr>
      <w:r w:rsidRPr="00577D56">
        <w:rPr>
          <w:lang w:val="es-ES_tradnl"/>
        </w:rPr>
        <w:t>Los OR pueden solicitar la revisión de los planes de inversión cada dos años contados a partir del inicio de su remuneración. Los lineamientos para la realización de los ajustes al plan de inversión son los siguientes:</w:t>
      </w:r>
    </w:p>
    <w:p w:rsidR="00D70E3B" w:rsidRPr="00577D56" w:rsidRDefault="00D70E3B" w:rsidP="009C086B">
      <w:pPr>
        <w:pStyle w:val="Prrafodelista"/>
        <w:numPr>
          <w:ilvl w:val="0"/>
          <w:numId w:val="34"/>
        </w:numPr>
      </w:pPr>
      <w:r w:rsidRPr="00577D56">
        <w:t xml:space="preserve">La solicitud de realización del ajuste del plan deberá realizarse a más tardar en el mes de agosto del año previo al del ajuste y deberá aplicar los criterios y lineamientos establecidos en el </w:t>
      </w:r>
      <w:r w:rsidR="00B66478" w:rsidRPr="00577D56">
        <w:t>numeral</w:t>
      </w:r>
      <w:r w:rsidRPr="00577D56">
        <w:t xml:space="preserve"> </w:t>
      </w:r>
      <w:r w:rsidRPr="00577D56">
        <w:fldChar w:fldCharType="begin"/>
      </w:r>
      <w:r w:rsidRPr="00577D56">
        <w:instrText xml:space="preserve"> REF _Ref505069335 \r \h </w:instrText>
      </w:r>
      <w:r>
        <w:instrText xml:space="preserve"> \* MERGEFORMAT </w:instrText>
      </w:r>
      <w:r w:rsidRPr="00577D56">
        <w:fldChar w:fldCharType="separate"/>
      </w:r>
      <w:r w:rsidR="00737178">
        <w:t>6.1</w:t>
      </w:r>
      <w:r w:rsidRPr="00577D56">
        <w:fldChar w:fldCharType="end"/>
      </w:r>
      <w:r w:rsidRPr="00577D56">
        <w:t xml:space="preserve"> y contener lo solicitado en el numeral </w:t>
      </w:r>
      <w:r w:rsidRPr="00577D56">
        <w:fldChar w:fldCharType="begin"/>
      </w:r>
      <w:r w:rsidRPr="00577D56">
        <w:instrText xml:space="preserve"> REF _Ref505069347 \r \h </w:instrText>
      </w:r>
      <w:r>
        <w:instrText xml:space="preserve"> \* MERGEFORMAT </w:instrText>
      </w:r>
      <w:r w:rsidRPr="00577D56">
        <w:fldChar w:fldCharType="separate"/>
      </w:r>
      <w:r w:rsidR="00737178">
        <w:t>6.3</w:t>
      </w:r>
      <w:r w:rsidRPr="00577D56">
        <w:fldChar w:fldCharType="end"/>
      </w:r>
      <w:r w:rsidRPr="00577D56">
        <w:t>.</w:t>
      </w:r>
    </w:p>
    <w:p w:rsidR="00D70E3B" w:rsidRPr="00577D56" w:rsidRDefault="00D70E3B" w:rsidP="009C086B">
      <w:pPr>
        <w:pStyle w:val="Prrafodelista"/>
        <w:numPr>
          <w:ilvl w:val="0"/>
          <w:numId w:val="34"/>
        </w:numPr>
      </w:pPr>
      <w:r w:rsidRPr="00577D56">
        <w:t>Hasta que no se apruebe el ajuste del plan deberán aplicarse los valores aprobados en la última resolución.</w:t>
      </w:r>
    </w:p>
    <w:p w:rsidR="00D70E3B" w:rsidRPr="00577D56" w:rsidRDefault="00D70E3B" w:rsidP="009C086B">
      <w:pPr>
        <w:pStyle w:val="Prrafodelista"/>
        <w:numPr>
          <w:ilvl w:val="0"/>
          <w:numId w:val="34"/>
        </w:numPr>
      </w:pPr>
      <w:r w:rsidRPr="00577D56">
        <w:t xml:space="preserve">La empresa podrá solicitar el ajuste del plan de inversión siempre y cuando la modificación no conduzca a superar, en cada año, el ocho por ciento (8 %) del costo de reposición de referencia. Salvo lo definido en el literal </w:t>
      </w:r>
      <w:r w:rsidRPr="00577D56">
        <w:fldChar w:fldCharType="begin"/>
      </w:r>
      <w:r w:rsidRPr="00577D56">
        <w:instrText xml:space="preserve"> REF _Ref505069172 \r \h </w:instrText>
      </w:r>
      <w:r>
        <w:instrText xml:space="preserve"> \* MERGEFORMAT </w:instrText>
      </w:r>
      <w:r w:rsidRPr="00577D56">
        <w:fldChar w:fldCharType="separate"/>
      </w:r>
      <w:r w:rsidR="00737178">
        <w:t>c</w:t>
      </w:r>
      <w:r w:rsidRPr="00577D56">
        <w:fldChar w:fldCharType="end"/>
      </w:r>
      <w:r w:rsidRPr="00577D56">
        <w:t xml:space="preserve"> del numeral </w:t>
      </w:r>
      <w:r w:rsidRPr="00577D56">
        <w:fldChar w:fldCharType="begin"/>
      </w:r>
      <w:r w:rsidRPr="00577D56">
        <w:instrText xml:space="preserve"> REF _Ref404192237 \r \h </w:instrText>
      </w:r>
      <w:r>
        <w:instrText xml:space="preserve"> \* MERGEFORMAT </w:instrText>
      </w:r>
      <w:r w:rsidRPr="00577D56">
        <w:fldChar w:fldCharType="separate"/>
      </w:r>
      <w:r w:rsidR="00737178">
        <w:t>6.4</w:t>
      </w:r>
      <w:r w:rsidRPr="00577D56">
        <w:fldChar w:fldCharType="end"/>
      </w:r>
      <w:r w:rsidRPr="00577D56">
        <w:t>.</w:t>
      </w:r>
    </w:p>
    <w:p w:rsidR="00D70E3B" w:rsidRPr="00577D56" w:rsidRDefault="00D70E3B" w:rsidP="009C086B">
      <w:pPr>
        <w:pStyle w:val="Prrafodelista"/>
        <w:numPr>
          <w:ilvl w:val="0"/>
          <w:numId w:val="34"/>
        </w:numPr>
      </w:pPr>
      <w:r w:rsidRPr="00577D56">
        <w:t xml:space="preserve">Para la revisión de la solicitud de modificación del plan de inversiones la Comisión seguirá los pasos establecidos en el numeral </w:t>
      </w:r>
      <w:r w:rsidRPr="00577D56">
        <w:fldChar w:fldCharType="begin"/>
      </w:r>
      <w:r w:rsidRPr="00577D56">
        <w:instrText xml:space="preserve"> REF _Ref404192237 \r \h  \* MERGEFORMAT </w:instrText>
      </w:r>
      <w:r w:rsidRPr="00577D56">
        <w:fldChar w:fldCharType="separate"/>
      </w:r>
      <w:r w:rsidR="00737178">
        <w:t>6.4</w:t>
      </w:r>
      <w:r w:rsidRPr="00577D56">
        <w:fldChar w:fldCharType="end"/>
      </w:r>
      <w:r w:rsidRPr="00577D56">
        <w:t>.</w:t>
      </w:r>
    </w:p>
    <w:p w:rsidR="00D70E3B" w:rsidRPr="00577D56" w:rsidRDefault="00D70E3B" w:rsidP="009C086B">
      <w:pPr>
        <w:pStyle w:val="Prrafodelista"/>
        <w:numPr>
          <w:ilvl w:val="0"/>
          <w:numId w:val="34"/>
        </w:numPr>
      </w:pPr>
      <w:r w:rsidRPr="00577D56">
        <w:t xml:space="preserve">En caso que la demanda de energía del mercado de comercialización, no crezca o se reduzca en 3 trimestres consecutivos, el OR deberá enviar a la Comisión una evaluación de la viabilidad de la ejecución del plan de inversiones en proyectos tipo I y II. </w:t>
      </w:r>
    </w:p>
    <w:p w:rsidR="00D70E3B" w:rsidRPr="00577D56" w:rsidRDefault="00D70E3B" w:rsidP="00D70E3B">
      <w:pPr>
        <w:pStyle w:val="Ttulo2"/>
      </w:pPr>
      <w:bookmarkStart w:id="737" w:name="_Toc408493201"/>
      <w:bookmarkStart w:id="738" w:name="_Toc440029147"/>
      <w:bookmarkStart w:id="739" w:name="_Toc460840635"/>
      <w:bookmarkStart w:id="740" w:name="_Ref461112003"/>
      <w:bookmarkStart w:id="741" w:name="_Toc504809468"/>
      <w:bookmarkStart w:id="742" w:name="_Toc505335976"/>
      <w:r w:rsidRPr="00577D56">
        <w:t>Publicidad y difusión de los planes de inversión</w:t>
      </w:r>
      <w:bookmarkEnd w:id="737"/>
      <w:bookmarkEnd w:id="738"/>
      <w:bookmarkEnd w:id="739"/>
      <w:bookmarkEnd w:id="740"/>
      <w:bookmarkEnd w:id="741"/>
      <w:bookmarkEnd w:id="742"/>
      <w:r w:rsidRPr="00577D56">
        <w:t xml:space="preserve"> </w:t>
      </w:r>
    </w:p>
    <w:p w:rsidR="00D70E3B" w:rsidRPr="00577D56" w:rsidRDefault="00D70E3B" w:rsidP="00D70E3B">
      <w:r w:rsidRPr="00577D56">
        <w:t xml:space="preserve">El OR debe adelantar una estrategia de comunicación para difundir entre los usuarios de su mercado de comercialización el plan de inversión, las metas de expansión, reposición, calidad y reducción y mantenimiento de pérdidas. La estrategia como mínimo deberá incluir: </w:t>
      </w:r>
    </w:p>
    <w:p w:rsidR="00D70E3B" w:rsidRPr="00577D56" w:rsidRDefault="00D70E3B" w:rsidP="009C086B">
      <w:pPr>
        <w:pStyle w:val="Prrafodelista"/>
        <w:numPr>
          <w:ilvl w:val="0"/>
          <w:numId w:val="45"/>
        </w:numPr>
      </w:pPr>
      <w:r w:rsidRPr="00577D56">
        <w:t xml:space="preserve">Elaboración de un informe anual, en lenguaje sencillo, con las metas, inversiones e indicadores de ejecución del plan de inversión para los usuarios del mercado de comercialización. El informe deberá ser publicado en la página web del OR antes del último día hábil del mes de marzo de cada año.  </w:t>
      </w:r>
    </w:p>
    <w:p w:rsidR="00D70E3B" w:rsidRPr="00577D56" w:rsidRDefault="00D70E3B" w:rsidP="009C086B">
      <w:pPr>
        <w:pStyle w:val="Prrafodelista"/>
        <w:numPr>
          <w:ilvl w:val="0"/>
          <w:numId w:val="45"/>
        </w:numPr>
      </w:pPr>
      <w:r w:rsidRPr="00577D56">
        <w:t xml:space="preserve">Desarrollo y mantenimiento de un sitio web con la información asociada a la ejecución del plan de inversión. </w:t>
      </w:r>
    </w:p>
    <w:p w:rsidR="00D70E3B" w:rsidRPr="00577D56" w:rsidRDefault="00D70E3B" w:rsidP="009C086B">
      <w:pPr>
        <w:pStyle w:val="Prrafodelista"/>
        <w:numPr>
          <w:ilvl w:val="0"/>
          <w:numId w:val="45"/>
        </w:numPr>
      </w:pPr>
      <w:r w:rsidRPr="00577D56">
        <w:t>Publicación anual en un diario de amplia circulación en el mercado de comercialización de un resumen con las metas propuestas y el avance en la ejecución de los proyectos de inversión.</w:t>
      </w:r>
    </w:p>
    <w:p w:rsidR="00DA53BF" w:rsidRPr="004E6CFC" w:rsidRDefault="00D70E3B" w:rsidP="00D70E3B">
      <w:pPr>
        <w:rPr>
          <w:lang w:val="es-CO"/>
        </w:rPr>
      </w:pPr>
      <w:r w:rsidRPr="00577D56">
        <w:lastRenderedPageBreak/>
        <w:t>La Comisión, en circular aparte, establecerá el contenido mínimo del informe anual a los usuarios, así como la información que debe ser publicada en el sitio web y la publicación en el diario</w:t>
      </w:r>
      <w:r w:rsidR="00DA53BF" w:rsidRPr="004E6CFC">
        <w:t>.</w:t>
      </w:r>
    </w:p>
    <w:p w:rsidR="00193054" w:rsidRPr="004E6CFC" w:rsidRDefault="00193054" w:rsidP="00193054">
      <w:pPr>
        <w:spacing w:before="0" w:after="0"/>
        <w:jc w:val="left"/>
        <w:rPr>
          <w:b/>
          <w:caps/>
          <w:szCs w:val="20"/>
          <w:lang w:val="es-CO"/>
        </w:rPr>
      </w:pPr>
      <w:r w:rsidRPr="004E6CFC">
        <w:rPr>
          <w:lang w:val="es-CO"/>
        </w:rPr>
        <w:br w:type="page"/>
      </w:r>
    </w:p>
    <w:p w:rsidR="00193054" w:rsidRPr="004E77B3" w:rsidRDefault="00193054" w:rsidP="00193054">
      <w:pPr>
        <w:pStyle w:val="Ttulo1"/>
      </w:pPr>
      <w:bookmarkStart w:id="743" w:name="_Ref406568597"/>
      <w:bookmarkStart w:id="744" w:name="_Toc408493202"/>
      <w:bookmarkStart w:id="745" w:name="_Toc505335977"/>
      <w:r w:rsidRPr="004E77B3">
        <w:lastRenderedPageBreak/>
        <w:t>PÉRDIDAS DE ENERGÍA ELÉCTRICA</w:t>
      </w:r>
      <w:bookmarkEnd w:id="221"/>
      <w:bookmarkEnd w:id="222"/>
      <w:bookmarkEnd w:id="223"/>
      <w:bookmarkEnd w:id="224"/>
      <w:bookmarkEnd w:id="225"/>
      <w:bookmarkEnd w:id="226"/>
      <w:bookmarkEnd w:id="227"/>
      <w:bookmarkEnd w:id="228"/>
      <w:bookmarkEnd w:id="229"/>
      <w:bookmarkEnd w:id="230"/>
      <w:bookmarkEnd w:id="231"/>
      <w:bookmarkEnd w:id="232"/>
      <w:bookmarkEnd w:id="233"/>
      <w:bookmarkEnd w:id="743"/>
      <w:bookmarkEnd w:id="744"/>
      <w:bookmarkEnd w:id="745"/>
    </w:p>
    <w:p w:rsidR="00285A2D" w:rsidRPr="004E6CFC" w:rsidRDefault="00285A2D" w:rsidP="00285A2D">
      <w:bookmarkStart w:id="746" w:name="_Ref402721332"/>
      <w:bookmarkStart w:id="747" w:name="_Ref402172402"/>
      <w:bookmarkStart w:id="748" w:name="_Toc210616141"/>
      <w:bookmarkStart w:id="749" w:name="_Toc406406208"/>
      <w:bookmarkStart w:id="750" w:name="_Toc408493203"/>
      <w:bookmarkStart w:id="751" w:name="_Toc443655736"/>
      <w:bookmarkStart w:id="752" w:name="_Toc445214126"/>
      <w:r w:rsidRPr="004E6CFC">
        <w:t xml:space="preserve">En este capítulo se definen los métodos para la determinación de los índices de pérdidas por nivel de tensión, los índices de pérdidas de referencia de cada nivel de tensión al STN y la metodología para la implementación de los planes de gestión de pérdidas. </w:t>
      </w:r>
    </w:p>
    <w:p w:rsidR="00285A2D" w:rsidRPr="004E6CFC" w:rsidRDefault="00285A2D" w:rsidP="00285A2D">
      <w:r w:rsidRPr="004E6CFC">
        <w:t>Los índices de pérdidas serán calculados y publicados por el LAC dentro de los primeros quince días de febrero y aplicados a partir de marzo de cada año con base en las resoluciones particulares y la información de ejecución de inversiones entregada anualmente por los OR.</w:t>
      </w:r>
    </w:p>
    <w:p w:rsidR="00285A2D" w:rsidRPr="004E6CFC" w:rsidRDefault="00285A2D" w:rsidP="00285A2D">
      <w:pPr>
        <w:pStyle w:val="Ttulo2"/>
      </w:pPr>
      <w:bookmarkStart w:id="753" w:name="_Toc476824927"/>
      <w:bookmarkStart w:id="754" w:name="_Toc505335978"/>
      <w:r w:rsidRPr="004E6CFC">
        <w:t>PÉRDIDAS RECONOCIDAS POR NIVEL DE TENSIÓN</w:t>
      </w:r>
      <w:bookmarkEnd w:id="746"/>
      <w:bookmarkEnd w:id="747"/>
      <w:bookmarkEnd w:id="748"/>
      <w:bookmarkEnd w:id="749"/>
      <w:bookmarkEnd w:id="750"/>
      <w:bookmarkEnd w:id="751"/>
      <w:bookmarkEnd w:id="752"/>
      <w:bookmarkEnd w:id="753"/>
      <w:bookmarkEnd w:id="754"/>
    </w:p>
    <w:p w:rsidR="00285A2D" w:rsidRPr="004E6CFC" w:rsidRDefault="00285A2D" w:rsidP="00285A2D">
      <w:pPr>
        <w:rPr>
          <w:rFonts w:cs="Arial"/>
          <w:szCs w:val="20"/>
          <w:lang w:val="es-CO"/>
        </w:rPr>
      </w:pPr>
      <w:r w:rsidRPr="004E6CFC">
        <w:rPr>
          <w:rFonts w:cs="Arial"/>
          <w:szCs w:val="20"/>
          <w:lang w:val="es-CO"/>
        </w:rPr>
        <w:t xml:space="preserve">Las pérdidas reconocidas por nivel de tensión para cada OR </w:t>
      </w:r>
      <w:r w:rsidRPr="004E6CFC">
        <w:rPr>
          <w:rFonts w:cs="Arial"/>
          <w:i/>
          <w:szCs w:val="20"/>
          <w:lang w:val="es-CO"/>
        </w:rPr>
        <w:t>j</w:t>
      </w:r>
      <w:r w:rsidRPr="004E6CFC">
        <w:rPr>
          <w:rFonts w:cs="Arial"/>
          <w:szCs w:val="20"/>
          <w:lang w:val="es-CO"/>
        </w:rPr>
        <w:t xml:space="preserve"> se establecen a partir de</w:t>
      </w:r>
      <w:r>
        <w:rPr>
          <w:rFonts w:cs="Arial"/>
          <w:szCs w:val="20"/>
          <w:lang w:val="es-CO"/>
        </w:rPr>
        <w:t xml:space="preserve"> aspectos técnicos en los niveles de tensión 4, 3, 2 y 1 y la distribución de pérdidas adicionales; considerando hasta e</w:t>
      </w:r>
      <w:r w:rsidRPr="004E6CFC">
        <w:rPr>
          <w:rFonts w:cs="Arial"/>
          <w:szCs w:val="20"/>
          <w:lang w:val="es-CO"/>
        </w:rPr>
        <w:t xml:space="preserve">l nivel de pérdidas reales </w:t>
      </w:r>
      <w:r>
        <w:rPr>
          <w:rFonts w:cs="Arial"/>
          <w:szCs w:val="20"/>
          <w:lang w:val="es-CO"/>
        </w:rPr>
        <w:t>en el nivel de tensión 1, sujeto al nivel de inversión del OR</w:t>
      </w:r>
      <w:r w:rsidRPr="004E6CFC">
        <w:rPr>
          <w:rFonts w:cs="Arial"/>
          <w:szCs w:val="20"/>
          <w:lang w:val="es-CO"/>
        </w:rPr>
        <w:t>.</w:t>
      </w:r>
    </w:p>
    <w:p w:rsidR="00285A2D" w:rsidRPr="004E6CFC" w:rsidRDefault="00285A2D" w:rsidP="00285A2D">
      <w:pPr>
        <w:pStyle w:val="Ttulo3"/>
        <w:ind w:left="709"/>
      </w:pPr>
      <w:bookmarkStart w:id="755" w:name="_Ref445109957"/>
      <w:bookmarkStart w:id="756" w:name="_Toc445214127"/>
      <w:bookmarkStart w:id="757" w:name="_Toc476824928"/>
      <w:bookmarkStart w:id="758" w:name="_Toc505335979"/>
      <w:r w:rsidRPr="004E6CFC">
        <w:t>Pérdidas eficientes</w:t>
      </w:r>
      <w:bookmarkEnd w:id="755"/>
      <w:bookmarkEnd w:id="756"/>
      <w:bookmarkEnd w:id="757"/>
      <w:bookmarkEnd w:id="758"/>
      <w:r w:rsidRPr="004E6CFC">
        <w:t xml:space="preserve"> </w:t>
      </w:r>
    </w:p>
    <w:p w:rsidR="00285A2D" w:rsidRPr="004E6CFC" w:rsidRDefault="00285A2D" w:rsidP="00285A2D">
      <w:pPr>
        <w:pStyle w:val="Ttulo4"/>
        <w:ind w:left="0" w:firstLine="0"/>
      </w:pPr>
      <w:bookmarkStart w:id="759" w:name="_Ref445211094"/>
      <w:r w:rsidRPr="004E6CFC">
        <w:t xml:space="preserve">Nivel de tensión 4, </w:t>
      </w:r>
      <w:r w:rsidRPr="004E6CFC">
        <w:rPr>
          <w:i/>
        </w:rPr>
        <w:t>Pe</w:t>
      </w:r>
      <w:r w:rsidRPr="004E6CFC">
        <w:rPr>
          <w:i/>
          <w:vertAlign w:val="subscript"/>
        </w:rPr>
        <w:t>j,4,</w:t>
      </w:r>
      <w:r>
        <w:rPr>
          <w:i/>
          <w:vertAlign w:val="subscript"/>
        </w:rPr>
        <w:t>m,</w:t>
      </w:r>
      <w:r w:rsidRPr="004E6CFC">
        <w:rPr>
          <w:i/>
          <w:vertAlign w:val="subscript"/>
        </w:rPr>
        <w:t>t</w:t>
      </w:r>
      <w:bookmarkEnd w:id="759"/>
    </w:p>
    <w:p w:rsidR="00285A2D" w:rsidRDefault="00285A2D" w:rsidP="00285A2D">
      <w:pPr>
        <w:rPr>
          <w:rFonts w:cs="Arial"/>
          <w:szCs w:val="20"/>
          <w:lang w:val="es-CO"/>
        </w:rPr>
      </w:pPr>
      <w:bookmarkStart w:id="760" w:name="_Ref445211100"/>
      <w:r>
        <w:rPr>
          <w:rFonts w:cs="Arial"/>
          <w:szCs w:val="20"/>
          <w:lang w:val="es-CO"/>
        </w:rPr>
        <w:t>Las pérdidas en este nivel de tensión serán calculadas mensualmente por el LAC con el balance energético que resulte del reporte de las fronteras comerciales respectivas.</w:t>
      </w:r>
    </w:p>
    <w:p w:rsidR="00285A2D" w:rsidRDefault="00285A2D" w:rsidP="00285A2D">
      <w:pPr>
        <w:rPr>
          <w:rFonts w:cs="Arial"/>
          <w:szCs w:val="20"/>
          <w:lang w:val="es-CO"/>
        </w:rPr>
      </w:pPr>
      <w:r>
        <w:rPr>
          <w:rFonts w:cs="Arial"/>
          <w:szCs w:val="20"/>
          <w:lang w:val="es-CO"/>
        </w:rPr>
        <w:t>El primer cálculo utilizando el balance energético se realizará doce (12) meses después de la fecha de finalización de la primera verificación quinquenal de las fronteras de que trata el artículo 39 de la Resolución CREG 038 de 2014,</w:t>
      </w:r>
    </w:p>
    <w:p w:rsidR="00285A2D" w:rsidRDefault="00285A2D" w:rsidP="00285A2D">
      <w:pPr>
        <w:rPr>
          <w:rFonts w:cs="Arial"/>
          <w:szCs w:val="20"/>
          <w:lang w:val="es-CO"/>
        </w:rPr>
      </w:pPr>
      <w:r>
        <w:rPr>
          <w:rFonts w:cs="Arial"/>
          <w:szCs w:val="20"/>
          <w:lang w:val="es-CO"/>
        </w:rPr>
        <w:t xml:space="preserve">Mientras tanto, </w:t>
      </w:r>
      <w:r w:rsidRPr="004E6CFC">
        <w:rPr>
          <w:rFonts w:cs="Arial"/>
          <w:szCs w:val="20"/>
          <w:lang w:val="es-CO"/>
        </w:rPr>
        <w:t>se calcular</w:t>
      </w:r>
      <w:r>
        <w:rPr>
          <w:rFonts w:cs="Arial"/>
          <w:szCs w:val="20"/>
          <w:lang w:val="es-CO"/>
        </w:rPr>
        <w:t>á</w:t>
      </w:r>
      <w:r w:rsidRPr="004E6CFC">
        <w:rPr>
          <w:rFonts w:cs="Arial"/>
          <w:szCs w:val="20"/>
          <w:lang w:val="es-CO"/>
        </w:rPr>
        <w:t>n</w:t>
      </w:r>
      <w:r>
        <w:rPr>
          <w:rFonts w:cs="Arial"/>
          <w:szCs w:val="20"/>
          <w:lang w:val="es-CO"/>
        </w:rPr>
        <w:t>,</w:t>
      </w:r>
      <w:r w:rsidRPr="004E6CFC">
        <w:rPr>
          <w:rFonts w:cs="Arial"/>
          <w:szCs w:val="20"/>
          <w:lang w:val="es-CO"/>
        </w:rPr>
        <w:t xml:space="preserve"> anualmente</w:t>
      </w:r>
      <w:r>
        <w:rPr>
          <w:rFonts w:cs="Arial"/>
          <w:szCs w:val="20"/>
          <w:lang w:val="es-CO"/>
        </w:rPr>
        <w:t>,</w:t>
      </w:r>
      <w:r w:rsidRPr="004E6CFC">
        <w:rPr>
          <w:rFonts w:cs="Arial"/>
          <w:szCs w:val="20"/>
          <w:lang w:val="es-CO"/>
        </w:rPr>
        <w:t xml:space="preserve"> índices para cada sistema</w:t>
      </w:r>
      <w:r>
        <w:rPr>
          <w:rFonts w:cs="Arial"/>
          <w:szCs w:val="20"/>
          <w:lang w:val="es-CO"/>
        </w:rPr>
        <w:t xml:space="preserve"> que opera las redes en un mismo mercado de comercialización,</w:t>
      </w:r>
      <w:r w:rsidRPr="004E6CFC">
        <w:rPr>
          <w:rFonts w:cs="Arial"/>
          <w:szCs w:val="20"/>
          <w:lang w:val="es-CO"/>
        </w:rPr>
        <w:t xml:space="preserve"> </w:t>
      </w:r>
      <w:r>
        <w:rPr>
          <w:rFonts w:cs="Arial"/>
          <w:szCs w:val="20"/>
          <w:lang w:val="es-CO"/>
        </w:rPr>
        <w:t xml:space="preserve">mediante flujos de carga horarios </w:t>
      </w:r>
      <w:r w:rsidRPr="004E6CFC">
        <w:rPr>
          <w:rFonts w:cs="Arial"/>
          <w:szCs w:val="20"/>
          <w:lang w:val="es-CO"/>
        </w:rPr>
        <w:t>con base en la información del año anterior al de cálculo.</w:t>
      </w:r>
    </w:p>
    <w:p w:rsidR="00285A2D" w:rsidRDefault="00285A2D" w:rsidP="00285A2D">
      <w:pPr>
        <w:rPr>
          <w:rFonts w:cs="Arial"/>
          <w:szCs w:val="20"/>
          <w:lang w:val="es-CO"/>
        </w:rPr>
      </w:pPr>
      <w:r>
        <w:rPr>
          <w:rFonts w:cs="Arial"/>
          <w:szCs w:val="20"/>
          <w:lang w:val="es-CO"/>
        </w:rPr>
        <w:t>El índice de pérdidas se aplicará por mercado de comercialización independientemente que se existan varios TR en un mismo sistema.</w:t>
      </w:r>
    </w:p>
    <w:p w:rsidR="00285A2D" w:rsidRPr="004E6CFC" w:rsidRDefault="00285A2D" w:rsidP="00285A2D">
      <w:pPr>
        <w:rPr>
          <w:rFonts w:cs="Arial"/>
          <w:szCs w:val="20"/>
          <w:lang w:val="es-CO"/>
        </w:rPr>
      </w:pPr>
      <w:r>
        <w:rPr>
          <w:rFonts w:cs="Arial"/>
          <w:szCs w:val="20"/>
          <w:lang w:val="es-CO"/>
        </w:rPr>
        <w:t xml:space="preserve">El primer calculo </w:t>
      </w:r>
      <w:r>
        <w:t xml:space="preserve">con </w:t>
      </w:r>
      <w:r w:rsidRPr="004E6CFC">
        <w:t>flujos de carga horarios</w:t>
      </w:r>
      <w:r>
        <w:rPr>
          <w:rFonts w:cs="Arial"/>
          <w:szCs w:val="20"/>
          <w:lang w:val="es-CO"/>
        </w:rPr>
        <w:t xml:space="preserve"> se deberá efectuar en marzo de 2018 y los índices resultantes serán aplicables una vez entren en vigencia los cargos particulares aprobados según la presente metodología.</w:t>
      </w:r>
    </w:p>
    <w:p w:rsidR="00285A2D" w:rsidRDefault="00285A2D" w:rsidP="00285A2D">
      <w:pPr>
        <w:rPr>
          <w:rFonts w:cs="Arial"/>
          <w:szCs w:val="20"/>
          <w:lang w:val="es-CO"/>
        </w:rPr>
      </w:pPr>
      <w:r w:rsidRPr="004E6CFC">
        <w:rPr>
          <w:rFonts w:cs="Arial"/>
          <w:szCs w:val="20"/>
          <w:lang w:val="es-CO"/>
        </w:rPr>
        <w:t>Dichos índices deberán ser utilizados para todos los efectos a partir del mes de marzo del año de cálculo y estarán vigentes hasta que sean reemplazados en el año siguiente</w:t>
      </w:r>
      <w:r>
        <w:rPr>
          <w:rFonts w:cs="Arial"/>
          <w:szCs w:val="20"/>
          <w:lang w:val="es-CO"/>
        </w:rPr>
        <w:t xml:space="preserve"> o hasta que se calculen los índices con base en el balance energético</w:t>
      </w:r>
      <w:r w:rsidRPr="004E6CFC">
        <w:rPr>
          <w:rFonts w:cs="Arial"/>
          <w:szCs w:val="20"/>
          <w:lang w:val="es-CO"/>
        </w:rPr>
        <w:t xml:space="preserve">. </w:t>
      </w:r>
    </w:p>
    <w:p w:rsidR="00285A2D" w:rsidRPr="004E6CFC" w:rsidRDefault="00285A2D" w:rsidP="00285A2D">
      <w:r w:rsidRPr="004E6CFC">
        <w:t xml:space="preserve">Las pérdidas de energía del nivel de tensión 4 del año </w:t>
      </w:r>
      <w:r w:rsidRPr="004E6CFC">
        <w:rPr>
          <w:i/>
        </w:rPr>
        <w:t>t</w:t>
      </w:r>
      <w:r w:rsidRPr="004E6CFC">
        <w:t xml:space="preserve"> </w:t>
      </w:r>
      <w:r>
        <w:t xml:space="preserve">mediante flujos de carga horarios </w:t>
      </w:r>
      <w:r w:rsidRPr="004E6CFC">
        <w:t xml:space="preserve">se calculan con la información real disponible del año </w:t>
      </w:r>
      <w:r w:rsidRPr="004E6CFC">
        <w:rPr>
          <w:i/>
        </w:rPr>
        <w:t>t-1</w:t>
      </w:r>
      <w:r w:rsidRPr="004E6CFC">
        <w:t xml:space="preserve"> del modelo eléctrico del </w:t>
      </w:r>
      <w:r>
        <w:t>re</w:t>
      </w:r>
      <w:r w:rsidRPr="004E6CFC">
        <w:t xml:space="preserve">despacho, el programa de </w:t>
      </w:r>
      <w:r>
        <w:t>re</w:t>
      </w:r>
      <w:r w:rsidRPr="004E6CFC">
        <w:t xml:space="preserve">despacho del período y fecha </w:t>
      </w:r>
      <w:r w:rsidR="00D939A2" w:rsidRPr="004E6CFC">
        <w:t>seleccionad</w:t>
      </w:r>
      <w:r w:rsidR="00D939A2">
        <w:t>os,</w:t>
      </w:r>
      <w:r w:rsidRPr="004E6CFC">
        <w:t xml:space="preserve"> así como la topología de la red considerada en el mismo; el CND debe efectuar el siguiente procedimiento:</w:t>
      </w:r>
    </w:p>
    <w:p w:rsidR="00285A2D" w:rsidRPr="004E6CFC" w:rsidRDefault="00285A2D" w:rsidP="00285A2D">
      <w:pPr>
        <w:pStyle w:val="Prrafodelista"/>
        <w:numPr>
          <w:ilvl w:val="0"/>
          <w:numId w:val="69"/>
        </w:numPr>
      </w:pPr>
      <w:r w:rsidRPr="004E6CFC">
        <w:lastRenderedPageBreak/>
        <w:t>Identificar cuatro días para cada uno de los meses del año t-1. El día hábil de mayor demanda a nivel nacional, el día hábil de menor demanda a nivel nacional, el primer sábado calendario y el primer domingo calendario.</w:t>
      </w:r>
    </w:p>
    <w:p w:rsidR="00285A2D" w:rsidRPr="004E6CFC" w:rsidRDefault="00285A2D" w:rsidP="00285A2D">
      <w:pPr>
        <w:pStyle w:val="Prrafodelista"/>
        <w:ind w:left="360"/>
      </w:pPr>
      <w:r w:rsidRPr="004E6CFC">
        <w:t>Calcular, para cada una de las horas de los cuatro días de cada mes identificados en el paso anterior, las pérdidas de los sistemas de nivel de tensión 4 para cada OR definidas con las fronteras de su mercado de comercialización.</w:t>
      </w:r>
      <w:r w:rsidRPr="004E6CFC" w:rsidDel="00F61979">
        <w:rPr>
          <w:rFonts w:cs="Arial"/>
        </w:rPr>
        <w:t xml:space="preserve"> </w:t>
      </w:r>
    </w:p>
    <w:p w:rsidR="00285A2D" w:rsidRPr="004E6CFC" w:rsidRDefault="00285A2D" w:rsidP="00285A2D">
      <w:pPr>
        <w:pStyle w:val="Prrafodelista"/>
        <w:ind w:left="360"/>
        <w:rPr>
          <w:rFonts w:cs="Arial"/>
        </w:rPr>
      </w:pPr>
      <w:r w:rsidRPr="004E6CFC">
        <w:t>Las pérdidas deben calcularse en porcentaje respecto de la energía de entrada mediante flujos de carga horarios teniendo en cuenta la información técnica de líneas de transmisión de los STR y transformadores de conexión disponible en el documento de parámetros técnicos del SIN. En caso de que no existan datos técnicos de un elemento determinado, se deberán asumir valores de catálogo, normas técnicas o la mejor información disponible.</w:t>
      </w:r>
    </w:p>
    <w:p w:rsidR="00285A2D" w:rsidRPr="004E6CFC" w:rsidRDefault="00285A2D" w:rsidP="00285A2D">
      <w:pPr>
        <w:pStyle w:val="Prrafodelista"/>
        <w:numPr>
          <w:ilvl w:val="0"/>
          <w:numId w:val="69"/>
        </w:numPr>
        <w:rPr>
          <w:rFonts w:cs="Arial"/>
        </w:rPr>
      </w:pPr>
      <w:r w:rsidRPr="004E6CFC">
        <w:t>Calcular el promedio simple de las pérdidas horarias para cada uno de los cuatro días de cada mes, en cada sistema.</w:t>
      </w:r>
    </w:p>
    <w:p w:rsidR="00285A2D" w:rsidRPr="004E6CFC" w:rsidRDefault="00285A2D" w:rsidP="00285A2D">
      <w:pPr>
        <w:pStyle w:val="Prrafodelista"/>
        <w:numPr>
          <w:ilvl w:val="0"/>
          <w:numId w:val="69"/>
        </w:numPr>
        <w:rPr>
          <w:rFonts w:cs="Arial"/>
        </w:rPr>
      </w:pPr>
      <w:r w:rsidRPr="004E6CFC">
        <w:t>Entregar los datos obtenidos al LAC antes del 31 de enero de cada año.</w:t>
      </w:r>
    </w:p>
    <w:p w:rsidR="00285A2D" w:rsidRPr="004E6CFC" w:rsidRDefault="00285A2D" w:rsidP="00285A2D">
      <w:pPr>
        <w:rPr>
          <w:rFonts w:cs="Arial"/>
        </w:rPr>
      </w:pPr>
      <w:r w:rsidRPr="004E6CFC">
        <w:rPr>
          <w:rFonts w:cs="Arial"/>
        </w:rPr>
        <w:t>Posteriormente al recibo de los datos, el LAC deberá calcular los índices de pérdidas del nivel de tensión 4 de la siguiente manera:</w:t>
      </w:r>
    </w:p>
    <w:p w:rsidR="00285A2D" w:rsidRPr="004E6CFC" w:rsidRDefault="00285A2D" w:rsidP="00285A2D">
      <w:pPr>
        <w:pStyle w:val="Prrafodelista"/>
        <w:numPr>
          <w:ilvl w:val="0"/>
          <w:numId w:val="79"/>
        </w:numPr>
        <w:rPr>
          <w:rFonts w:cs="Arial"/>
        </w:rPr>
      </w:pPr>
      <w:r w:rsidRPr="004E6CFC">
        <w:rPr>
          <w:rFonts w:cs="Arial"/>
        </w:rPr>
        <w:t>Se obtendrá el promedio simple de los días hábiles de cada mes. Posteriormente se debe ponderar dicho valor con la cantidad de días hábiles del mes que corresponda. Se ponderará el valor obtenido para el día sábado de un mes determinado con la cantidad de sábados de dicho mes y el valor obtenido para el día domingo con la cantidad de domingos y festivos del mes. Se deben sumar los tres valores obtenidos para encontrar el índice de cada mes.</w:t>
      </w:r>
    </w:p>
    <w:p w:rsidR="00285A2D" w:rsidRPr="004E6CFC" w:rsidRDefault="00285A2D" w:rsidP="00285A2D">
      <w:pPr>
        <w:pStyle w:val="Prrafodelista"/>
        <w:numPr>
          <w:ilvl w:val="0"/>
          <w:numId w:val="79"/>
        </w:numPr>
        <w:rPr>
          <w:rFonts w:cs="Arial"/>
        </w:rPr>
      </w:pPr>
      <w:r w:rsidRPr="004E6CFC">
        <w:rPr>
          <w:rFonts w:cs="Arial"/>
        </w:rPr>
        <w:t xml:space="preserve">El valor de pérdidas, en porcentaje, a publicar será el promedio simple de los datos de los doce meses del año para cada sistema. </w:t>
      </w:r>
    </w:p>
    <w:p w:rsidR="00285A2D" w:rsidRPr="004E6CFC" w:rsidRDefault="00285A2D" w:rsidP="00285A2D">
      <w:pPr>
        <w:pStyle w:val="Prrafodelista"/>
        <w:numPr>
          <w:ilvl w:val="0"/>
          <w:numId w:val="79"/>
        </w:numPr>
        <w:rPr>
          <w:rFonts w:cs="Arial"/>
        </w:rPr>
      </w:pPr>
      <w:r w:rsidRPr="004E6CFC">
        <w:rPr>
          <w:rFonts w:cs="Arial"/>
        </w:rPr>
        <w:t xml:space="preserve">Publicar los valores obtenidos para cada sistema antes del quince del mes de febrero del año </w:t>
      </w:r>
      <w:r w:rsidRPr="004E6CFC">
        <w:rPr>
          <w:rFonts w:cs="Arial"/>
          <w:i/>
        </w:rPr>
        <w:t>t</w:t>
      </w:r>
      <w:r w:rsidRPr="004E6CFC">
        <w:rPr>
          <w:rFonts w:cs="Arial"/>
        </w:rPr>
        <w:t>. Los OR tendrán un plazo de tres (3) días hábiles para efectuar observaciones respecto de los cálculos.</w:t>
      </w:r>
    </w:p>
    <w:p w:rsidR="00285A2D" w:rsidRPr="004E6CFC" w:rsidRDefault="00285A2D" w:rsidP="00285A2D">
      <w:r w:rsidRPr="004E6CFC">
        <w:rPr>
          <w:rFonts w:cs="Arial"/>
        </w:rPr>
        <w:t>Teniendo en cuenta las observaciones presentadas y en caso que se encuentren divergencias en los cálculos realizados respecto del proceso establecido, el LAC recalculará los valores de pérdidas y publicará los definitivos a más tardar el 25 día calendario del mes de febrero para aplicarlos a partir del mes de marzo.</w:t>
      </w:r>
    </w:p>
    <w:p w:rsidR="00285A2D" w:rsidRPr="004E6CFC" w:rsidRDefault="00285A2D" w:rsidP="00285A2D">
      <w:pPr>
        <w:pStyle w:val="Ttulo4"/>
        <w:ind w:left="0" w:firstLine="0"/>
      </w:pPr>
      <w:bookmarkStart w:id="761" w:name="_Ref476809368"/>
      <w:r w:rsidRPr="004E6CFC">
        <w:t xml:space="preserve">Niveles de tensión 3 y 2, </w:t>
      </w:r>
      <w:r w:rsidRPr="004E6CFC">
        <w:rPr>
          <w:i/>
        </w:rPr>
        <w:t>Pe</w:t>
      </w:r>
      <w:r w:rsidRPr="004E6CFC">
        <w:rPr>
          <w:i/>
          <w:vertAlign w:val="subscript"/>
        </w:rPr>
        <w:t>j,3</w:t>
      </w:r>
      <w:r w:rsidRPr="004E6CFC">
        <w:rPr>
          <w:i/>
        </w:rPr>
        <w:t xml:space="preserve"> </w:t>
      </w:r>
      <w:r w:rsidRPr="004E6CFC">
        <w:t>y</w:t>
      </w:r>
      <w:r w:rsidRPr="004E6CFC">
        <w:rPr>
          <w:i/>
        </w:rPr>
        <w:t xml:space="preserve"> Pe</w:t>
      </w:r>
      <w:r w:rsidRPr="004E6CFC">
        <w:rPr>
          <w:i/>
          <w:vertAlign w:val="subscript"/>
        </w:rPr>
        <w:t>j,2.</w:t>
      </w:r>
      <w:bookmarkEnd w:id="760"/>
      <w:bookmarkEnd w:id="761"/>
    </w:p>
    <w:p w:rsidR="00285A2D" w:rsidRPr="004E6CFC" w:rsidRDefault="00285A2D" w:rsidP="00285A2D">
      <w:pPr>
        <w:rPr>
          <w:rFonts w:cs="Arial"/>
          <w:szCs w:val="20"/>
          <w:lang w:val="es-CO"/>
        </w:rPr>
      </w:pPr>
      <w:bookmarkStart w:id="762" w:name="_Ref445057220"/>
      <w:r w:rsidRPr="004E6CFC">
        <w:rPr>
          <w:rFonts w:cs="Arial"/>
          <w:szCs w:val="20"/>
          <w:lang w:val="es-CO"/>
        </w:rPr>
        <w:t>Los índices de pérdidas de niveles 3 y 2 se calculan de la siguiente manera:</w:t>
      </w:r>
    </w:p>
    <w:p w:rsidR="00285A2D" w:rsidRPr="004E6CFC" w:rsidRDefault="00285A2D" w:rsidP="00285A2D">
      <w:pPr>
        <w:pStyle w:val="Prrafodelista"/>
        <w:numPr>
          <w:ilvl w:val="0"/>
          <w:numId w:val="70"/>
        </w:numPr>
        <w:rPr>
          <w:rFonts w:cs="Arial"/>
        </w:rPr>
      </w:pPr>
      <w:bookmarkStart w:id="763" w:name="_Ref465938208"/>
      <w:r w:rsidRPr="004E6CFC">
        <w:rPr>
          <w:rFonts w:cs="Arial"/>
        </w:rPr>
        <w:t>Para cada nivel de tensión se calcula la media y la desviación estándar de los índices de pérdidas aprobados a todos los OR, vigentes al momento de expedición de esta resolución.</w:t>
      </w:r>
      <w:bookmarkEnd w:id="763"/>
    </w:p>
    <w:p w:rsidR="00285A2D" w:rsidRPr="004E6CFC" w:rsidRDefault="00285A2D" w:rsidP="00285A2D">
      <w:pPr>
        <w:pStyle w:val="Prrafodelista"/>
        <w:numPr>
          <w:ilvl w:val="0"/>
          <w:numId w:val="70"/>
        </w:numPr>
        <w:rPr>
          <w:rFonts w:cs="Arial"/>
        </w:rPr>
      </w:pPr>
      <w:r w:rsidRPr="004E6CFC">
        <w:rPr>
          <w:rFonts w:cs="Arial"/>
        </w:rPr>
        <w:t xml:space="preserve">Según los resultados del numeral anterior, los OR se dividen en dos grupos, así: el primer grupo estará compuesto por aquellos OR cuyos índices de </w:t>
      </w:r>
      <w:r w:rsidRPr="004E6CFC">
        <w:rPr>
          <w:rFonts w:cs="Arial"/>
        </w:rPr>
        <w:lastRenderedPageBreak/>
        <w:t>pérdidas de nivel 2 y 3 sean iguales o inferiores a la suma de la media más la desviación estándar de los datos de cada nivel y, el segundo grupo estará compuesto por aquellos OR que registran al menos un índice con valor superior a la media más la desviación estándar de los datos de un nivel de tensión determinado.</w:t>
      </w:r>
    </w:p>
    <w:p w:rsidR="00285A2D" w:rsidRPr="004E6CFC" w:rsidRDefault="00285A2D" w:rsidP="00285A2D">
      <w:pPr>
        <w:pStyle w:val="Prrafodelista"/>
        <w:numPr>
          <w:ilvl w:val="0"/>
          <w:numId w:val="70"/>
        </w:numPr>
        <w:ind w:left="426"/>
        <w:rPr>
          <w:rFonts w:cs="Arial"/>
        </w:rPr>
      </w:pPr>
      <w:r w:rsidRPr="004E6CFC">
        <w:rPr>
          <w:rFonts w:cs="Arial"/>
        </w:rPr>
        <w:t xml:space="preserve">Los índices de los OR del primer grupo no deben presentar estudio de pérdidas y continuarán con los índices vigentes. En caso de que alguno de estos OR considere la posibilidad de presentar estudio de pérdidas técnicas, este debe cumplir con los criterios señalados en el literal d de este numeral,  </w:t>
      </w:r>
    </w:p>
    <w:p w:rsidR="00285A2D" w:rsidRPr="004E6CFC" w:rsidRDefault="00285A2D" w:rsidP="00285A2D">
      <w:pPr>
        <w:pStyle w:val="Prrafodelista"/>
        <w:numPr>
          <w:ilvl w:val="0"/>
          <w:numId w:val="70"/>
        </w:numPr>
        <w:rPr>
          <w:rFonts w:cs="Arial"/>
        </w:rPr>
      </w:pPr>
      <w:bookmarkStart w:id="764" w:name="_Ref465938215"/>
      <w:r w:rsidRPr="004E6CFC">
        <w:rPr>
          <w:rFonts w:cs="Arial"/>
        </w:rPr>
        <w:t>Los índices de los OR del segundo grupo que se encuentren por encima de la media más la desviación estándar del respectivo nivel serán revisados, para lo cual cada OR deberá presentar un estudio de pérdidas técnicas en el nivel de tensión correspondiente que cumpla con los siguientes criterios:</w:t>
      </w:r>
      <w:bookmarkEnd w:id="764"/>
    </w:p>
    <w:p w:rsidR="00285A2D" w:rsidRPr="004E6CFC" w:rsidRDefault="00285A2D" w:rsidP="00285A2D">
      <w:pPr>
        <w:pStyle w:val="Prrafodelista"/>
        <w:numPr>
          <w:ilvl w:val="0"/>
          <w:numId w:val="84"/>
        </w:numPr>
        <w:rPr>
          <w:rFonts w:cs="Arial"/>
        </w:rPr>
      </w:pPr>
      <w:r w:rsidRPr="004E6CFC">
        <w:rPr>
          <w:rFonts w:cs="Arial"/>
        </w:rPr>
        <w:t>Desarrollar el estudio con base en el análisis técnico y flujos de carga de sus sistemas de niveles de tensión 2 o 3,</w:t>
      </w:r>
    </w:p>
    <w:p w:rsidR="00285A2D" w:rsidRPr="004E6CFC" w:rsidRDefault="00285A2D" w:rsidP="00285A2D">
      <w:pPr>
        <w:pStyle w:val="Prrafodelista"/>
        <w:numPr>
          <w:ilvl w:val="0"/>
          <w:numId w:val="84"/>
        </w:numPr>
        <w:rPr>
          <w:rFonts w:cs="Arial"/>
        </w:rPr>
      </w:pPr>
      <w:r w:rsidRPr="004E6CFC">
        <w:rPr>
          <w:rFonts w:cs="Arial"/>
        </w:rPr>
        <w:t xml:space="preserve">Utilizar la información topológica real de todo su sistema a la fecha de corte, presentando las variables solicitadas en la Circular CREG 015 de 2007, con un modelo de impedancia constante. </w:t>
      </w:r>
    </w:p>
    <w:p w:rsidR="00285A2D" w:rsidRPr="004E6CFC" w:rsidRDefault="00285A2D" w:rsidP="00285A2D">
      <w:pPr>
        <w:pStyle w:val="Prrafodelista"/>
        <w:numPr>
          <w:ilvl w:val="0"/>
          <w:numId w:val="84"/>
        </w:numPr>
        <w:rPr>
          <w:rFonts w:cs="Arial"/>
        </w:rPr>
      </w:pPr>
      <w:r w:rsidRPr="004E6CFC">
        <w:rPr>
          <w:rFonts w:cs="Arial"/>
        </w:rPr>
        <w:t xml:space="preserve">En ningún punto del sistema se pueden presentar factores de potencia inferiores a 0,9. </w:t>
      </w:r>
    </w:p>
    <w:p w:rsidR="00285A2D" w:rsidRPr="004E6CFC" w:rsidRDefault="00285A2D" w:rsidP="00285A2D">
      <w:pPr>
        <w:pStyle w:val="Prrafodelista"/>
        <w:numPr>
          <w:ilvl w:val="0"/>
          <w:numId w:val="84"/>
        </w:numPr>
        <w:rPr>
          <w:rFonts w:cs="Arial"/>
        </w:rPr>
      </w:pPr>
      <w:r w:rsidRPr="004E6CFC">
        <w:rPr>
          <w:rFonts w:cs="Arial"/>
        </w:rPr>
        <w:t xml:space="preserve">En ningún punto del sistema se pueden presentar valores de voltaje inferiores a los establecidos en las normas vigentes. </w:t>
      </w:r>
    </w:p>
    <w:p w:rsidR="00285A2D" w:rsidRPr="004E6CFC" w:rsidRDefault="00285A2D" w:rsidP="00285A2D">
      <w:pPr>
        <w:pStyle w:val="Prrafodelista"/>
        <w:numPr>
          <w:ilvl w:val="0"/>
          <w:numId w:val="70"/>
        </w:numPr>
        <w:rPr>
          <w:rFonts w:cs="Arial"/>
        </w:rPr>
      </w:pPr>
      <w:r w:rsidRPr="004E6CFC">
        <w:rPr>
          <w:rFonts w:cs="Arial"/>
        </w:rPr>
        <w:t xml:space="preserve">Se asignará el valor resultante de restar una desviación estándar a la media aritmética calculadas en el literal </w:t>
      </w:r>
      <w:r w:rsidRPr="004E6CFC">
        <w:rPr>
          <w:rFonts w:cs="Arial"/>
        </w:rPr>
        <w:fldChar w:fldCharType="begin"/>
      </w:r>
      <w:r w:rsidRPr="004E6CFC">
        <w:rPr>
          <w:rFonts w:cs="Arial"/>
        </w:rPr>
        <w:instrText xml:space="preserve"> REF _Ref465938208 \r \h  \* MERGEFORMAT </w:instrText>
      </w:r>
      <w:r w:rsidRPr="004E6CFC">
        <w:rPr>
          <w:rFonts w:cs="Arial"/>
        </w:rPr>
      </w:r>
      <w:r w:rsidRPr="004E6CFC">
        <w:rPr>
          <w:rFonts w:cs="Arial"/>
        </w:rPr>
        <w:fldChar w:fldCharType="separate"/>
      </w:r>
      <w:r w:rsidR="00737178">
        <w:rPr>
          <w:rFonts w:cs="Arial"/>
        </w:rPr>
        <w:t>a</w:t>
      </w:r>
      <w:r w:rsidRPr="004E6CFC">
        <w:rPr>
          <w:rFonts w:cs="Arial"/>
        </w:rPr>
        <w:fldChar w:fldCharType="end"/>
      </w:r>
      <w:r w:rsidRPr="004E6CFC">
        <w:rPr>
          <w:rFonts w:cs="Arial"/>
        </w:rPr>
        <w:t xml:space="preserve"> de este numeral en los siguientes casos:</w:t>
      </w:r>
    </w:p>
    <w:p w:rsidR="00285A2D" w:rsidRPr="004E6CFC" w:rsidRDefault="00285A2D" w:rsidP="00285A2D">
      <w:pPr>
        <w:pStyle w:val="Prrafodelista"/>
        <w:numPr>
          <w:ilvl w:val="0"/>
          <w:numId w:val="71"/>
        </w:numPr>
        <w:rPr>
          <w:rFonts w:cs="Arial"/>
        </w:rPr>
      </w:pPr>
      <w:r w:rsidRPr="004E6CFC">
        <w:rPr>
          <w:rFonts w:cs="Arial"/>
        </w:rPr>
        <w:t xml:space="preserve">Cuando un OR presente un estudio que no cuente con la totalidad de los requisitos dispuestos en el literal </w:t>
      </w:r>
      <w:r w:rsidRPr="004E6CFC">
        <w:rPr>
          <w:rFonts w:cs="Arial"/>
        </w:rPr>
        <w:fldChar w:fldCharType="begin"/>
      </w:r>
      <w:r w:rsidRPr="004E6CFC">
        <w:rPr>
          <w:rFonts w:cs="Arial"/>
        </w:rPr>
        <w:instrText xml:space="preserve"> REF _Ref465938215 \r \h  \* MERGEFORMAT </w:instrText>
      </w:r>
      <w:r w:rsidRPr="004E6CFC">
        <w:rPr>
          <w:rFonts w:cs="Arial"/>
        </w:rPr>
      </w:r>
      <w:r w:rsidRPr="004E6CFC">
        <w:rPr>
          <w:rFonts w:cs="Arial"/>
        </w:rPr>
        <w:fldChar w:fldCharType="separate"/>
      </w:r>
      <w:r w:rsidR="00737178">
        <w:rPr>
          <w:rFonts w:cs="Arial"/>
        </w:rPr>
        <w:t>d</w:t>
      </w:r>
      <w:r w:rsidRPr="004E6CFC">
        <w:rPr>
          <w:rFonts w:cs="Arial"/>
        </w:rPr>
        <w:fldChar w:fldCharType="end"/>
      </w:r>
      <w:r w:rsidRPr="004E6CFC">
        <w:rPr>
          <w:rFonts w:cs="Arial"/>
        </w:rPr>
        <w:t>.</w:t>
      </w:r>
    </w:p>
    <w:p w:rsidR="00285A2D" w:rsidRPr="004E6CFC" w:rsidRDefault="00285A2D" w:rsidP="00285A2D">
      <w:pPr>
        <w:pStyle w:val="Prrafodelista"/>
        <w:numPr>
          <w:ilvl w:val="0"/>
          <w:numId w:val="71"/>
        </w:numPr>
        <w:rPr>
          <w:rFonts w:cs="Arial"/>
        </w:rPr>
      </w:pPr>
      <w:r w:rsidRPr="004E6CFC">
        <w:rPr>
          <w:rFonts w:cs="Arial"/>
        </w:rPr>
        <w:t>Cuando un OR presente un estudio con inconsistencias en la información.</w:t>
      </w:r>
    </w:p>
    <w:p w:rsidR="00285A2D" w:rsidRPr="004E6CFC" w:rsidRDefault="00285A2D" w:rsidP="00285A2D">
      <w:pPr>
        <w:pStyle w:val="Prrafodelista"/>
        <w:numPr>
          <w:ilvl w:val="0"/>
          <w:numId w:val="71"/>
        </w:numPr>
        <w:rPr>
          <w:rFonts w:cs="Arial"/>
        </w:rPr>
      </w:pPr>
      <w:r w:rsidRPr="004E6CFC">
        <w:rPr>
          <w:rFonts w:cs="Arial"/>
        </w:rPr>
        <w:t>Cuando un OR del segundo grupo no presente estudio de pérdidas conjuntamente con su solicitud de cargos.</w:t>
      </w:r>
    </w:p>
    <w:p w:rsidR="00285A2D" w:rsidRPr="004E6CFC" w:rsidRDefault="00285A2D" w:rsidP="00285A2D">
      <w:pPr>
        <w:pStyle w:val="Ttulo4"/>
        <w:ind w:left="0" w:firstLine="0"/>
      </w:pPr>
      <w:bookmarkStart w:id="765" w:name="_Ref476809430"/>
      <w:r w:rsidRPr="004E6CFC">
        <w:t xml:space="preserve">Nivel de tensión 1, </w:t>
      </w:r>
      <w:r w:rsidRPr="004E6CFC">
        <w:rPr>
          <w:i/>
        </w:rPr>
        <w:t>Pe</w:t>
      </w:r>
      <w:r w:rsidRPr="004E6CFC">
        <w:rPr>
          <w:i/>
          <w:vertAlign w:val="subscript"/>
        </w:rPr>
        <w:t>j,1</w:t>
      </w:r>
      <w:bookmarkEnd w:id="762"/>
      <w:bookmarkEnd w:id="765"/>
    </w:p>
    <w:p w:rsidR="00285A2D" w:rsidRPr="004E6CFC" w:rsidRDefault="00285A2D" w:rsidP="00285A2D">
      <w:pPr>
        <w:rPr>
          <w:lang w:val="es-ES_tradnl"/>
        </w:rPr>
      </w:pPr>
      <w:bookmarkStart w:id="766" w:name="_Ref445110535"/>
      <w:bookmarkStart w:id="767" w:name="_Toc445214128"/>
      <w:r w:rsidRPr="004E6CFC">
        <w:rPr>
          <w:lang w:val="es-ES_tradnl"/>
        </w:rPr>
        <w:t xml:space="preserve">El índice de pérdidas del OR </w:t>
      </w:r>
      <w:r w:rsidRPr="004E6CFC">
        <w:rPr>
          <w:i/>
          <w:lang w:val="es-ES_tradnl"/>
        </w:rPr>
        <w:t>j</w:t>
      </w:r>
      <w:r w:rsidRPr="004E6CFC">
        <w:rPr>
          <w:lang w:val="es-ES_tradnl"/>
        </w:rPr>
        <w:t xml:space="preserve"> en el nivel de tensión 1 se calcula con base en la siguiente expresión:</w:t>
      </w:r>
    </w:p>
    <w:p w:rsidR="00285A2D" w:rsidRPr="004E6CFC" w:rsidRDefault="00C9592F" w:rsidP="00285A2D">
      <w:pPr>
        <w:rPr>
          <w:rFonts w:cs="Arial"/>
          <w:szCs w:val="20"/>
          <w:lang w:val="es-ES_tradnl"/>
        </w:rPr>
      </w:pPr>
      <m:oMathPara>
        <m:oMath>
          <m:sSub>
            <m:sSubPr>
              <m:ctrlPr>
                <w:rPr>
                  <w:rFonts w:ascii="Cambria Math" w:hAnsi="Cambria Math"/>
                  <w:i/>
                  <w:iCs/>
                  <w:color w:val="000000"/>
                </w:rPr>
              </m:ctrlPr>
            </m:sSubPr>
            <m:e>
              <m:r>
                <w:rPr>
                  <w:rFonts w:ascii="Cambria Math" w:hAnsi="Cambria Math"/>
                  <w:color w:val="000000"/>
                </w:rPr>
                <m:t>Pe</m:t>
              </m:r>
            </m:e>
            <m:sub>
              <m:r>
                <w:rPr>
                  <w:rFonts w:ascii="Cambria Math" w:hAnsi="Cambria Math"/>
                  <w:color w:val="000000"/>
                </w:rPr>
                <m:t>j,1</m:t>
              </m:r>
            </m:sub>
          </m:sSub>
          <m:r>
            <w:rPr>
              <w:rFonts w:ascii="Cambria Math" w:hAnsi="Cambria Math"/>
              <w:color w:val="000000"/>
            </w:rPr>
            <m:t>=</m:t>
          </m:r>
          <m:sSub>
            <m:sSubPr>
              <m:ctrlPr>
                <w:rPr>
                  <w:rFonts w:ascii="Cambria Math" w:hAnsi="Cambria Math"/>
                  <w:i/>
                  <w:iCs/>
                  <w:color w:val="000000"/>
                </w:rPr>
              </m:ctrlPr>
            </m:sSubPr>
            <m:e>
              <m:r>
                <w:rPr>
                  <w:rFonts w:ascii="Cambria Math" w:hAnsi="Cambria Math"/>
                  <w:color w:val="000000"/>
                </w:rPr>
                <m:t>PT</m:t>
              </m:r>
            </m:e>
            <m:sub>
              <m:r>
                <w:rPr>
                  <w:rFonts w:ascii="Cambria Math" w:hAnsi="Cambria Math"/>
                  <w:color w:val="000000"/>
                </w:rPr>
                <m:t>j,1</m:t>
              </m:r>
            </m:sub>
          </m:sSub>
          <m:r>
            <w:rPr>
              <w:rFonts w:ascii="Cambria Math" w:hAnsi="Cambria Math"/>
              <w:color w:val="000000"/>
            </w:rPr>
            <m:t>+</m:t>
          </m:r>
          <m:sSub>
            <m:sSubPr>
              <m:ctrlPr>
                <w:rPr>
                  <w:rFonts w:ascii="Cambria Math" w:hAnsi="Cambria Math"/>
                  <w:i/>
                  <w:iCs/>
                  <w:color w:val="000000"/>
                </w:rPr>
              </m:ctrlPr>
            </m:sSubPr>
            <m:e>
              <m:r>
                <w:rPr>
                  <w:rFonts w:ascii="Cambria Math" w:hAnsi="Cambria Math"/>
                  <w:color w:val="000000"/>
                </w:rPr>
                <m:t>PNT</m:t>
              </m:r>
            </m:e>
            <m:sub>
              <m:r>
                <w:rPr>
                  <w:rFonts w:ascii="Cambria Math" w:hAnsi="Cambria Math"/>
                  <w:color w:val="000000"/>
                </w:rPr>
                <m:t>j,1</m:t>
              </m:r>
            </m:sub>
          </m:sSub>
        </m:oMath>
      </m:oMathPara>
    </w:p>
    <w:p w:rsidR="00285A2D" w:rsidRPr="004E6CFC" w:rsidRDefault="00285A2D" w:rsidP="00285A2D">
      <w:pPr>
        <w:rPr>
          <w:rFonts w:cs="Arial"/>
          <w:szCs w:val="20"/>
          <w:lang w:val="es-ES_tradnl"/>
        </w:rPr>
      </w:pPr>
      <w:r w:rsidRPr="004E6CFC">
        <w:rPr>
          <w:rFonts w:cs="Arial"/>
          <w:szCs w:val="20"/>
          <w:lang w:val="es-ES_tradnl"/>
        </w:rPr>
        <w:t>Donde:</w:t>
      </w:r>
    </w:p>
    <w:p w:rsidR="00285A2D" w:rsidRPr="004E6CFC" w:rsidRDefault="00285A2D" w:rsidP="00285A2D">
      <w:pPr>
        <w:ind w:left="1410" w:hanging="1410"/>
        <w:rPr>
          <w:rFonts w:cs="Arial"/>
          <w:szCs w:val="20"/>
          <w:lang w:val="es-CO"/>
        </w:rPr>
      </w:pPr>
      <w:r w:rsidRPr="004E6CFC">
        <w:rPr>
          <w:rFonts w:cs="Arial"/>
          <w:i/>
          <w:szCs w:val="20"/>
          <w:lang w:val="es-CO"/>
        </w:rPr>
        <w:t>PT</w:t>
      </w:r>
      <w:r w:rsidRPr="004E6CFC">
        <w:rPr>
          <w:rFonts w:cs="Arial"/>
          <w:i/>
          <w:szCs w:val="20"/>
          <w:vertAlign w:val="subscript"/>
          <w:lang w:val="es-CO"/>
        </w:rPr>
        <w:t>j,1</w:t>
      </w:r>
      <w:r w:rsidRPr="004E6CFC">
        <w:rPr>
          <w:rFonts w:cs="Arial"/>
          <w:i/>
          <w:szCs w:val="20"/>
          <w:lang w:val="es-CO"/>
        </w:rPr>
        <w:t>:</w:t>
      </w:r>
      <w:r w:rsidRPr="004E6CFC">
        <w:rPr>
          <w:rFonts w:cs="Arial"/>
          <w:szCs w:val="20"/>
          <w:lang w:val="es-CO"/>
        </w:rPr>
        <w:tab/>
        <w:t xml:space="preserve">Índice de pérdidas técnicas del OR </w:t>
      </w:r>
      <w:r w:rsidRPr="004E6CFC">
        <w:rPr>
          <w:rFonts w:cs="Arial"/>
          <w:i/>
          <w:szCs w:val="20"/>
          <w:lang w:val="es-CO"/>
        </w:rPr>
        <w:t>j</w:t>
      </w:r>
      <w:r w:rsidRPr="004E6CFC">
        <w:rPr>
          <w:rFonts w:cs="Arial"/>
          <w:szCs w:val="20"/>
          <w:lang w:val="es-CO"/>
        </w:rPr>
        <w:t xml:space="preserve"> del nivel de tensión 1 según la tabla 6.2 del documento “Cálculo de pérdidas técnicas en el nivel de tensión 1” de la Circular CREG 052 de 2010. </w:t>
      </w:r>
    </w:p>
    <w:p w:rsidR="00285A2D" w:rsidRPr="004E6CFC" w:rsidRDefault="00285A2D" w:rsidP="00285A2D">
      <w:pPr>
        <w:ind w:left="1410" w:hanging="1410"/>
        <w:rPr>
          <w:rFonts w:cs="Arial"/>
          <w:szCs w:val="20"/>
          <w:lang w:val="es-CO"/>
        </w:rPr>
      </w:pPr>
      <w:r w:rsidRPr="004E6CFC">
        <w:rPr>
          <w:rFonts w:cs="Arial"/>
          <w:i/>
          <w:szCs w:val="20"/>
          <w:lang w:val="es-CO"/>
        </w:rPr>
        <w:lastRenderedPageBreak/>
        <w:t>PNT</w:t>
      </w:r>
      <w:r w:rsidRPr="004E6CFC">
        <w:rPr>
          <w:rFonts w:cs="Arial"/>
          <w:i/>
          <w:szCs w:val="20"/>
          <w:vertAlign w:val="subscript"/>
          <w:lang w:val="es-CO"/>
        </w:rPr>
        <w:t>j,1</w:t>
      </w:r>
      <w:r w:rsidRPr="004E6CFC">
        <w:rPr>
          <w:rFonts w:cs="Arial"/>
          <w:i/>
          <w:szCs w:val="20"/>
          <w:lang w:val="es-CO"/>
        </w:rPr>
        <w:t>:</w:t>
      </w:r>
      <w:r w:rsidRPr="004E6CFC">
        <w:rPr>
          <w:rFonts w:cs="Arial"/>
          <w:szCs w:val="20"/>
          <w:lang w:val="es-CO"/>
        </w:rPr>
        <w:tab/>
        <w:t xml:space="preserve">Índice de pérdidas no técnicas de referencia del nivel de tensión 1, en porcentaje, calculado según </w:t>
      </w:r>
      <w:r w:rsidRPr="004E6CFC">
        <w:rPr>
          <w:rFonts w:cs="Arial"/>
          <w:szCs w:val="20"/>
          <w:lang w:val="es-CO"/>
        </w:rPr>
        <w:tab/>
        <w:t>la siguiente expresión:</w:t>
      </w:r>
    </w:p>
    <w:p w:rsidR="00285A2D" w:rsidRPr="004E6CFC" w:rsidRDefault="00C9592F" w:rsidP="00285A2D">
      <w:pPr>
        <w:ind w:left="1410" w:hanging="1410"/>
        <w:jc w:val="center"/>
        <w:rPr>
          <w:rFonts w:cs="Arial"/>
          <w:szCs w:val="20"/>
          <w:lang w:val="es-CO"/>
        </w:rPr>
      </w:pPr>
      <m:oMathPara>
        <m:oMath>
          <m:sSub>
            <m:sSubPr>
              <m:ctrlPr>
                <w:rPr>
                  <w:rFonts w:ascii="Cambria Math" w:hAnsi="Cambria Math"/>
                  <w:i/>
                  <w:iCs/>
                  <w:color w:val="000000"/>
                </w:rPr>
              </m:ctrlPr>
            </m:sSubPr>
            <m:e>
              <m:r>
                <w:rPr>
                  <w:rFonts w:ascii="Cambria Math" w:hAnsi="Cambria Math"/>
                  <w:color w:val="000000"/>
                </w:rPr>
                <m:t>PNT</m:t>
              </m:r>
            </m:e>
            <m:sub>
              <m:r>
                <w:rPr>
                  <w:rFonts w:ascii="Cambria Math" w:hAnsi="Cambria Math"/>
                  <w:color w:val="000000"/>
                </w:rPr>
                <m:t>j,1</m:t>
              </m:r>
            </m:sub>
          </m:sSub>
          <m:r>
            <w:rPr>
              <w:rFonts w:ascii="Cambria Math" w:hAnsi="Cambria Math"/>
              <w:color w:val="000000"/>
            </w:rPr>
            <m:t>= 2,9270313+</m:t>
          </m:r>
          <m:sSub>
            <m:sSubPr>
              <m:ctrlPr>
                <w:rPr>
                  <w:rFonts w:ascii="Cambria Math" w:hAnsi="Cambria Math"/>
                  <w:i/>
                  <w:color w:val="000000"/>
                </w:rPr>
              </m:ctrlPr>
            </m:sSubPr>
            <m:e>
              <m:r>
                <w:rPr>
                  <w:rFonts w:ascii="Cambria Math" w:hAnsi="Cambria Math"/>
                  <w:color w:val="000000"/>
                </w:rPr>
                <m:t>LR</m:t>
              </m:r>
            </m:e>
            <m:sub>
              <m:r>
                <w:rPr>
                  <w:rFonts w:ascii="Cambria Math" w:hAnsi="Cambria Math"/>
                  <w:color w:val="000000"/>
                </w:rPr>
                <m:t>j</m:t>
              </m:r>
            </m:sub>
          </m:sSub>
          <m:r>
            <w:rPr>
              <w:rFonts w:ascii="Cambria Math" w:hAnsi="Cambria Math"/>
              <w:color w:val="000000"/>
            </w:rPr>
            <m:t>*</m:t>
          </m:r>
          <m:sSup>
            <m:sSupPr>
              <m:ctrlPr>
                <w:rPr>
                  <w:rFonts w:ascii="Cambria Math" w:hAnsi="Cambria Math"/>
                  <w:i/>
                  <w:iCs/>
                  <w:color w:val="000000"/>
                </w:rPr>
              </m:ctrlPr>
            </m:sSupPr>
            <m:e>
              <m:r>
                <w:rPr>
                  <w:rFonts w:ascii="Cambria Math" w:hAnsi="Cambria Math"/>
                  <w:color w:val="000000"/>
                </w:rPr>
                <m:t>9,61323*10</m:t>
              </m:r>
            </m:e>
            <m:sup>
              <m:r>
                <w:rPr>
                  <w:rFonts w:ascii="Cambria Math" w:hAnsi="Cambria Math"/>
                  <w:color w:val="000000"/>
                </w:rPr>
                <m:t>-5</m:t>
              </m:r>
            </m:sup>
          </m:sSup>
          <m:r>
            <w:rPr>
              <w:rFonts w:ascii="Cambria Math" w:hAnsi="Cambria Math"/>
              <w:color w:val="000000"/>
            </w:rPr>
            <m:t>+1,5*</m:t>
          </m:r>
          <m:f>
            <m:fPr>
              <m:ctrlPr>
                <w:rPr>
                  <w:rFonts w:ascii="Cambria Math" w:hAnsi="Cambria Math"/>
                  <w:i/>
                  <w:color w:val="000000"/>
                </w:rPr>
              </m:ctrlPr>
            </m:fPr>
            <m:num>
              <m:sSub>
                <m:sSubPr>
                  <m:ctrlPr>
                    <w:rPr>
                      <w:rFonts w:ascii="Cambria Math" w:hAnsi="Cambria Math"/>
                      <w:i/>
                      <w:color w:val="000000"/>
                    </w:rPr>
                  </m:ctrlPr>
                </m:sSubPr>
                <m:e>
                  <m:r>
                    <w:rPr>
                      <w:rFonts w:ascii="Cambria Math" w:hAnsi="Cambria Math"/>
                      <w:color w:val="000000"/>
                    </w:rPr>
                    <m:t>Eae</m:t>
                  </m:r>
                </m:e>
                <m:sub>
                  <m:r>
                    <w:rPr>
                      <w:rFonts w:ascii="Cambria Math" w:hAnsi="Cambria Math"/>
                      <w:color w:val="000000"/>
                    </w:rPr>
                    <m:t>j</m:t>
                  </m:r>
                </m:sub>
              </m:sSub>
            </m:num>
            <m:den>
              <m:sSub>
                <m:sSubPr>
                  <m:ctrlPr>
                    <w:rPr>
                      <w:rFonts w:ascii="Cambria Math" w:hAnsi="Cambria Math"/>
                      <w:i/>
                      <w:color w:val="000000"/>
                    </w:rPr>
                  </m:ctrlPr>
                </m:sSubPr>
                <m:e>
                  <m:r>
                    <w:rPr>
                      <w:rFonts w:ascii="Cambria Math" w:hAnsi="Cambria Math"/>
                      <w:color w:val="000000"/>
                    </w:rPr>
                    <m:t>Eae</m:t>
                  </m:r>
                </m:e>
                <m:sub>
                  <m:r>
                    <w:rPr>
                      <w:rFonts w:ascii="Cambria Math" w:hAnsi="Cambria Math"/>
                      <w:color w:val="000000"/>
                    </w:rPr>
                    <m:t>máx</m:t>
                  </m:r>
                </m:sub>
              </m:sSub>
            </m:den>
          </m:f>
        </m:oMath>
      </m:oMathPara>
    </w:p>
    <w:p w:rsidR="00285A2D" w:rsidRPr="004E6CFC" w:rsidRDefault="00285A2D" w:rsidP="00285A2D">
      <w:pPr>
        <w:ind w:firstLine="708"/>
        <w:rPr>
          <w:lang w:val="es-CO"/>
        </w:rPr>
      </w:pPr>
      <w:r w:rsidRPr="004E6CFC">
        <w:rPr>
          <w:lang w:val="es-CO"/>
        </w:rPr>
        <w:t>Donde:</w:t>
      </w:r>
    </w:p>
    <w:p w:rsidR="00285A2D" w:rsidRPr="004E6CFC" w:rsidRDefault="00285A2D" w:rsidP="00285A2D">
      <w:pPr>
        <w:ind w:left="1843" w:hanging="1135"/>
        <w:rPr>
          <w:lang w:val="es-CO"/>
        </w:rPr>
      </w:pPr>
      <w:r w:rsidRPr="004E6CFC">
        <w:rPr>
          <w:i/>
          <w:lang w:val="es-CO"/>
        </w:rPr>
        <w:t>LR</w:t>
      </w:r>
      <w:r w:rsidRPr="004E6CFC">
        <w:rPr>
          <w:i/>
          <w:vertAlign w:val="subscript"/>
          <w:lang w:val="es-CO"/>
        </w:rPr>
        <w:t>j</w:t>
      </w:r>
      <w:r w:rsidRPr="004E6CFC">
        <w:rPr>
          <w:lang w:val="es-CO"/>
        </w:rPr>
        <w:t>:</w:t>
      </w:r>
      <w:r w:rsidRPr="004E6CFC">
        <w:rPr>
          <w:lang w:val="es-CO"/>
        </w:rPr>
        <w:tab/>
        <w:t>km de líneas rurales de nivel de tensión 2 a la fecha de corte.</w:t>
      </w:r>
    </w:p>
    <w:p w:rsidR="00285A2D" w:rsidRPr="004E6CFC" w:rsidRDefault="00285A2D" w:rsidP="00285A2D">
      <w:pPr>
        <w:ind w:left="1843" w:hanging="1135"/>
        <w:rPr>
          <w:lang w:val="es-CO"/>
        </w:rPr>
      </w:pPr>
      <w:r w:rsidRPr="004E6CFC">
        <w:rPr>
          <w:i/>
          <w:lang w:val="es-CO"/>
        </w:rPr>
        <w:t>E</w:t>
      </w:r>
      <w:r w:rsidR="00A62992">
        <w:rPr>
          <w:i/>
          <w:lang w:val="es-CO"/>
        </w:rPr>
        <w:t>ae</w:t>
      </w:r>
      <w:r w:rsidRPr="004E6CFC">
        <w:rPr>
          <w:i/>
          <w:vertAlign w:val="subscript"/>
          <w:lang w:val="es-CO"/>
        </w:rPr>
        <w:t>j</w:t>
      </w:r>
      <w:r w:rsidRPr="004E6CFC">
        <w:rPr>
          <w:lang w:val="es-CO"/>
        </w:rPr>
        <w:t xml:space="preserve">: </w:t>
      </w:r>
      <w:r w:rsidRPr="004E6CFC">
        <w:rPr>
          <w:lang w:val="es-CO"/>
        </w:rPr>
        <w:tab/>
        <w:t xml:space="preserve">Energía entregada a usuarios en </w:t>
      </w:r>
      <w:r>
        <w:rPr>
          <w:lang w:val="es-CO"/>
        </w:rPr>
        <w:t>áreas especiales</w:t>
      </w:r>
      <w:r w:rsidRPr="004E6CFC">
        <w:rPr>
          <w:lang w:val="es-CO"/>
        </w:rPr>
        <w:t xml:space="preserve"> reportada al SUI durante el año anterior al de la fecha de corte por el OR </w:t>
      </w:r>
      <w:r w:rsidRPr="004E6CFC">
        <w:rPr>
          <w:i/>
          <w:lang w:val="es-CO"/>
        </w:rPr>
        <w:t>j</w:t>
      </w:r>
      <w:r w:rsidRPr="004E6CFC">
        <w:rPr>
          <w:lang w:val="es-CO"/>
        </w:rPr>
        <w:t>.</w:t>
      </w:r>
    </w:p>
    <w:p w:rsidR="00285A2D" w:rsidRPr="004E6CFC" w:rsidRDefault="00285A2D" w:rsidP="00285A2D">
      <w:pPr>
        <w:ind w:left="1843" w:hanging="1135"/>
        <w:rPr>
          <w:lang w:val="es-CO"/>
        </w:rPr>
      </w:pPr>
      <w:r w:rsidRPr="004E6CFC">
        <w:rPr>
          <w:i/>
          <w:lang w:val="es-CO"/>
        </w:rPr>
        <w:t>E</w:t>
      </w:r>
      <w:r w:rsidR="00A62992">
        <w:rPr>
          <w:i/>
          <w:lang w:val="es-CO"/>
        </w:rPr>
        <w:t>ae</w:t>
      </w:r>
      <w:r w:rsidRPr="004E6CFC">
        <w:rPr>
          <w:i/>
          <w:vertAlign w:val="subscript"/>
          <w:lang w:val="es-CO"/>
        </w:rPr>
        <w:t>máx</w:t>
      </w:r>
      <w:r w:rsidRPr="004E6CFC">
        <w:rPr>
          <w:lang w:val="es-CO"/>
        </w:rPr>
        <w:t xml:space="preserve">: </w:t>
      </w:r>
      <w:r w:rsidRPr="004E6CFC">
        <w:rPr>
          <w:lang w:val="es-CO"/>
        </w:rPr>
        <w:tab/>
        <w:t xml:space="preserve">Máximo valor de energía entregada a usuarios en </w:t>
      </w:r>
      <w:r>
        <w:rPr>
          <w:lang w:val="es-CO"/>
        </w:rPr>
        <w:t xml:space="preserve">áreas especiales. Corresponde a la información </w:t>
      </w:r>
      <w:r w:rsidRPr="004E6CFC">
        <w:rPr>
          <w:lang w:val="es-CO"/>
        </w:rPr>
        <w:t xml:space="preserve">reportada al SUI durante el año anterior al de la fecha de corte por un mismo agente entre todos los que reportaron este tipo de información. </w:t>
      </w:r>
    </w:p>
    <w:p w:rsidR="00285A2D" w:rsidRPr="004E6CFC" w:rsidRDefault="00285A2D" w:rsidP="00285A2D">
      <w:pPr>
        <w:rPr>
          <w:lang w:val="es-CO"/>
        </w:rPr>
      </w:pPr>
      <w:r w:rsidRPr="004E6CFC">
        <w:rPr>
          <w:lang w:val="es-CO"/>
        </w:rPr>
        <w:t>Los OR que no cuenten con el í</w:t>
      </w:r>
      <w:r w:rsidRPr="004E6CFC">
        <w:rPr>
          <w:rFonts w:cs="Arial"/>
          <w:szCs w:val="20"/>
          <w:lang w:val="es-CO"/>
        </w:rPr>
        <w:t xml:space="preserve">ndice de pérdidas técnicas calculadas en la Circular CREG 052 de 2010 o aquellos que quieran presentar nuevamente su estudio </w:t>
      </w:r>
      <w:r w:rsidRPr="004E6CFC">
        <w:rPr>
          <w:lang w:val="es-CO"/>
        </w:rPr>
        <w:t xml:space="preserve">deben calcular las pérdidas de energía modelando la red en este nivel de tensión de la siguiente manera: </w:t>
      </w:r>
    </w:p>
    <w:p w:rsidR="00285A2D" w:rsidRPr="004E6CFC" w:rsidRDefault="00285A2D" w:rsidP="00285A2D">
      <w:pPr>
        <w:pStyle w:val="Prrafodelista"/>
        <w:numPr>
          <w:ilvl w:val="0"/>
          <w:numId w:val="80"/>
        </w:numPr>
        <w:rPr>
          <w:rFonts w:cs="Arial"/>
        </w:rPr>
      </w:pPr>
      <w:r w:rsidRPr="004E6CFC">
        <w:rPr>
          <w:rFonts w:cs="Arial"/>
        </w:rPr>
        <w:t xml:space="preserve">Se debe utilizar la información real de los transformadores y redes a través de los cuales se haya distribuido, como mínimo, el 80% de la energía vendida en el mercado de comercialización en dicho nivel durante el año anterior al de presentación del estudio. </w:t>
      </w:r>
    </w:p>
    <w:p w:rsidR="00285A2D" w:rsidRDefault="00D939A2" w:rsidP="00285A2D">
      <w:pPr>
        <w:pStyle w:val="Prrafodelista"/>
        <w:numPr>
          <w:ilvl w:val="0"/>
          <w:numId w:val="80"/>
        </w:numPr>
        <w:rPr>
          <w:rFonts w:cs="Arial"/>
        </w:rPr>
      </w:pPr>
      <w:r>
        <w:rPr>
          <w:rFonts w:cs="Arial"/>
        </w:rPr>
        <w:t>Para las áre</w:t>
      </w:r>
      <w:r w:rsidR="00285A2D">
        <w:rPr>
          <w:rFonts w:cs="Arial"/>
        </w:rPr>
        <w:t>as urbanas se deben modelar como mínimo el 90% de los transformadores existentes.</w:t>
      </w:r>
    </w:p>
    <w:p w:rsidR="00285A2D" w:rsidRPr="004E6CFC" w:rsidRDefault="00285A2D" w:rsidP="00285A2D">
      <w:pPr>
        <w:pStyle w:val="Prrafodelista"/>
        <w:numPr>
          <w:ilvl w:val="0"/>
          <w:numId w:val="80"/>
        </w:numPr>
      </w:pPr>
      <w:r w:rsidRPr="004E6CFC">
        <w:rPr>
          <w:rFonts w:cs="Arial"/>
        </w:rPr>
        <w:t>Se debe considerar un modelo de impedancia constante, en ningún punto del sistema se pueden presentar factores de potencia inferiores a 0,9 y los valores de voltaje no pueden ser inferiores a los establecidos en las normas vigentes.</w:t>
      </w:r>
    </w:p>
    <w:p w:rsidR="00285A2D" w:rsidRPr="004E6CFC" w:rsidRDefault="00285A2D" w:rsidP="00285A2D">
      <w:pPr>
        <w:pStyle w:val="Prrafodelista"/>
        <w:numPr>
          <w:ilvl w:val="0"/>
          <w:numId w:val="80"/>
        </w:numPr>
      </w:pPr>
      <w:r w:rsidRPr="004E6CFC">
        <w:t>La energía circulante en un año por las redes del nivel de tensión 1 no debe superar la energía de entrada a dicho nivel de tensión declarada por el OR.</w:t>
      </w:r>
    </w:p>
    <w:p w:rsidR="00285A2D" w:rsidRPr="004E6CFC" w:rsidRDefault="00285A2D" w:rsidP="00285A2D">
      <w:r w:rsidRPr="004E6CFC">
        <w:rPr>
          <w:lang w:val="es-CO"/>
        </w:rPr>
        <w:t>El OR debe presentar a la CREG la totalidad de la información base de cálculo y en caso de no presentar información al respecto o que se encuentren inconsistencias, se le asignará a dicho OR un valor inferior en 0,5 puntos porcentuales al menor índice de pérdidas técnicas de la tabla 6.2 del documento “Cálculo de pérdidas técnicas en el nivel de tensión 1” de la Circular CREG 052 de 2010.</w:t>
      </w:r>
    </w:p>
    <w:p w:rsidR="00285A2D" w:rsidRPr="004E6CFC" w:rsidRDefault="00285A2D" w:rsidP="00285A2D">
      <w:pPr>
        <w:pStyle w:val="Ttulo3"/>
      </w:pPr>
      <w:bookmarkStart w:id="768" w:name="_Ref476810803"/>
      <w:bookmarkStart w:id="769" w:name="_Toc476824929"/>
      <w:bookmarkStart w:id="770" w:name="_Toc505335980"/>
      <w:r w:rsidRPr="004E6CFC">
        <w:t>Pérdidas reconocidas para OR que no aplican para optar a plan de reducción.</w:t>
      </w:r>
      <w:bookmarkEnd w:id="766"/>
      <w:bookmarkEnd w:id="767"/>
      <w:bookmarkEnd w:id="768"/>
      <w:bookmarkEnd w:id="769"/>
      <w:bookmarkEnd w:id="770"/>
    </w:p>
    <w:p w:rsidR="00285A2D" w:rsidRPr="004E6CFC" w:rsidRDefault="00285A2D" w:rsidP="00285A2D">
      <w:pPr>
        <w:rPr>
          <w:lang w:val="es-ES_tradnl"/>
        </w:rPr>
      </w:pPr>
      <w:r w:rsidRPr="004E6CFC">
        <w:rPr>
          <w:lang w:val="es-ES_tradnl"/>
        </w:rPr>
        <w:t>En este grupo se clasifican dos tipos de OR: i) los que tengan resolución particular de aprobación del índice de pérdidas del nivel de tensión 1 conforme a lo establecido en el artículo 5 de la Resolución CREG 172 de 2011 y ii) los OR que a la fecha de corte registren un índice de pérdidas de nivel de tensión 1 igual o inferior al reconocido.</w:t>
      </w:r>
    </w:p>
    <w:p w:rsidR="00285A2D" w:rsidRPr="004E6CFC" w:rsidRDefault="00285A2D" w:rsidP="00285A2D">
      <w:pPr>
        <w:pStyle w:val="Ttulo4"/>
        <w:ind w:left="1416" w:hanging="1416"/>
      </w:pPr>
      <w:bookmarkStart w:id="771" w:name="_Ref505174398"/>
      <w:r w:rsidRPr="004E6CFC">
        <w:lastRenderedPageBreak/>
        <w:t>Niveles de tensión 4, 3 y 2</w:t>
      </w:r>
      <w:bookmarkEnd w:id="771"/>
    </w:p>
    <w:p w:rsidR="00285A2D" w:rsidRPr="004E6CFC" w:rsidRDefault="00285A2D" w:rsidP="00285A2D">
      <w:pPr>
        <w:rPr>
          <w:rFonts w:cs="Arial"/>
          <w:szCs w:val="20"/>
          <w:lang w:val="es-ES_tradnl"/>
        </w:rPr>
      </w:pPr>
      <w:r w:rsidRPr="004E6CFC">
        <w:rPr>
          <w:rFonts w:cs="Arial"/>
          <w:szCs w:val="20"/>
          <w:lang w:val="es-ES_tradnl"/>
        </w:rPr>
        <w:t>Las pérdidas reconocidas de los niveles de tensión 4, 3 y 2 serán iguales a las resultantes de las siguientes expresiones:</w:t>
      </w:r>
    </w:p>
    <w:p w:rsidR="00285A2D" w:rsidRPr="004E6CFC" w:rsidRDefault="00C9592F" w:rsidP="00285A2D">
      <w:pPr>
        <w:rPr>
          <w:rFonts w:cs="Arial"/>
          <w:iCs/>
          <w:color w:val="000000"/>
        </w:rPr>
      </w:pPr>
      <m:oMathPara>
        <m:oMath>
          <m:sSub>
            <m:sSubPr>
              <m:ctrlPr>
                <w:rPr>
                  <w:rFonts w:ascii="Cambria Math" w:hAnsi="Cambria Math"/>
                  <w:i/>
                  <w:iCs/>
                  <w:color w:val="000000"/>
                </w:rPr>
              </m:ctrlPr>
            </m:sSubPr>
            <m:e>
              <m:r>
                <w:rPr>
                  <w:rFonts w:ascii="Cambria Math" w:hAnsi="Cambria Math"/>
                  <w:color w:val="000000"/>
                </w:rPr>
                <m:t>P</m:t>
              </m:r>
            </m:e>
            <m:sub>
              <m:r>
                <w:rPr>
                  <w:rFonts w:ascii="Cambria Math" w:hAnsi="Cambria Math"/>
                  <w:color w:val="000000"/>
                </w:rPr>
                <m:t>j,4,m,t</m:t>
              </m:r>
            </m:sub>
          </m:sSub>
          <m:r>
            <w:rPr>
              <w:rFonts w:ascii="Cambria Math" w:hAnsi="Cambria Math"/>
              <w:color w:val="000000"/>
            </w:rPr>
            <m:t>=</m:t>
          </m:r>
          <m:sSub>
            <m:sSubPr>
              <m:ctrlPr>
                <w:rPr>
                  <w:rFonts w:ascii="Cambria Math" w:hAnsi="Cambria Math"/>
                  <w:i/>
                  <w:iCs/>
                  <w:color w:val="000000"/>
                </w:rPr>
              </m:ctrlPr>
            </m:sSubPr>
            <m:e>
              <m:r>
                <w:rPr>
                  <w:rFonts w:ascii="Cambria Math" w:hAnsi="Cambria Math"/>
                  <w:color w:val="000000"/>
                </w:rPr>
                <m:t>Pe</m:t>
              </m:r>
            </m:e>
            <m:sub>
              <m:r>
                <w:rPr>
                  <w:rFonts w:ascii="Cambria Math" w:hAnsi="Cambria Math"/>
                  <w:color w:val="000000"/>
                </w:rPr>
                <m:t>j,4,m,t</m:t>
              </m:r>
            </m:sub>
          </m:sSub>
        </m:oMath>
      </m:oMathPara>
    </w:p>
    <w:p w:rsidR="00285A2D" w:rsidRPr="004E6CFC" w:rsidRDefault="00C9592F" w:rsidP="00285A2D">
      <w:pPr>
        <w:rPr>
          <w:rFonts w:cs="Arial"/>
          <w:szCs w:val="20"/>
          <w:lang w:val="es-ES_tradnl"/>
        </w:rPr>
      </w:pPr>
      <m:oMathPara>
        <m:oMath>
          <m:sSub>
            <m:sSubPr>
              <m:ctrlPr>
                <w:rPr>
                  <w:rFonts w:ascii="Cambria Math" w:hAnsi="Cambria Math"/>
                  <w:i/>
                  <w:iCs/>
                  <w:color w:val="000000"/>
                </w:rPr>
              </m:ctrlPr>
            </m:sSubPr>
            <m:e>
              <m:r>
                <w:rPr>
                  <w:rFonts w:ascii="Cambria Math" w:hAnsi="Cambria Math"/>
                  <w:color w:val="000000"/>
                </w:rPr>
                <m:t>P</m:t>
              </m:r>
            </m:e>
            <m:sub>
              <m:r>
                <w:rPr>
                  <w:rFonts w:ascii="Cambria Math" w:hAnsi="Cambria Math"/>
                  <w:color w:val="000000"/>
                </w:rPr>
                <m:t>j,n,t</m:t>
              </m:r>
            </m:sub>
          </m:sSub>
          <m:r>
            <w:rPr>
              <w:rFonts w:ascii="Cambria Math" w:hAnsi="Cambria Math"/>
              <w:color w:val="000000"/>
            </w:rPr>
            <m:t>=</m:t>
          </m:r>
          <m:sSub>
            <m:sSubPr>
              <m:ctrlPr>
                <w:rPr>
                  <w:rFonts w:ascii="Cambria Math" w:hAnsi="Cambria Math"/>
                  <w:i/>
                  <w:iCs/>
                  <w:color w:val="000000"/>
                </w:rPr>
              </m:ctrlPr>
            </m:sSubPr>
            <m:e>
              <m:r>
                <w:rPr>
                  <w:rFonts w:ascii="Cambria Math" w:hAnsi="Cambria Math"/>
                  <w:color w:val="000000"/>
                </w:rPr>
                <m:t>Pe</m:t>
              </m:r>
            </m:e>
            <m:sub>
              <m:r>
                <w:rPr>
                  <w:rFonts w:ascii="Cambria Math" w:hAnsi="Cambria Math"/>
                  <w:color w:val="000000"/>
                </w:rPr>
                <m:t>j,n</m:t>
              </m:r>
            </m:sub>
          </m:sSub>
        </m:oMath>
      </m:oMathPara>
    </w:p>
    <w:p w:rsidR="00285A2D" w:rsidRPr="004E6CFC" w:rsidRDefault="00285A2D" w:rsidP="00285A2D">
      <w:pPr>
        <w:rPr>
          <w:rFonts w:cs="Arial"/>
          <w:szCs w:val="20"/>
          <w:lang w:val="es-ES_tradnl"/>
        </w:rPr>
      </w:pPr>
      <w:r w:rsidRPr="004E6CFC">
        <w:rPr>
          <w:rFonts w:cs="Arial"/>
          <w:szCs w:val="20"/>
          <w:lang w:val="es-ES_tradnl"/>
        </w:rPr>
        <w:t>Donde:</w:t>
      </w:r>
    </w:p>
    <w:p w:rsidR="00285A2D" w:rsidRPr="004E6CFC" w:rsidRDefault="00285A2D" w:rsidP="00285A2D">
      <w:pPr>
        <w:ind w:left="1410" w:hanging="1410"/>
        <w:rPr>
          <w:rFonts w:cs="Arial"/>
          <w:szCs w:val="20"/>
          <w:lang w:val="es-CO"/>
        </w:rPr>
      </w:pPr>
      <w:r w:rsidRPr="004E6CFC">
        <w:rPr>
          <w:rFonts w:cs="Arial"/>
          <w:i/>
          <w:szCs w:val="20"/>
          <w:lang w:val="es-CO"/>
        </w:rPr>
        <w:t>P</w:t>
      </w:r>
      <w:r w:rsidRPr="004E6CFC">
        <w:rPr>
          <w:rFonts w:cs="Arial"/>
          <w:i/>
          <w:szCs w:val="20"/>
          <w:vertAlign w:val="subscript"/>
          <w:lang w:val="es-CO"/>
        </w:rPr>
        <w:t>j,4,</w:t>
      </w:r>
      <w:r>
        <w:rPr>
          <w:rFonts w:cs="Arial"/>
          <w:i/>
          <w:szCs w:val="20"/>
          <w:vertAlign w:val="subscript"/>
          <w:lang w:val="es-CO"/>
        </w:rPr>
        <w:t>m,</w:t>
      </w:r>
      <w:r w:rsidRPr="004E6CFC">
        <w:rPr>
          <w:rFonts w:cs="Arial"/>
          <w:i/>
          <w:szCs w:val="20"/>
          <w:vertAlign w:val="subscript"/>
          <w:lang w:val="es-CO"/>
        </w:rPr>
        <w:t>t</w:t>
      </w:r>
      <w:r w:rsidRPr="004E6CFC">
        <w:rPr>
          <w:rFonts w:cs="Arial"/>
          <w:i/>
          <w:szCs w:val="20"/>
          <w:lang w:val="es-CO"/>
        </w:rPr>
        <w:t>:</w:t>
      </w:r>
      <w:r w:rsidRPr="004E6CFC">
        <w:rPr>
          <w:rFonts w:cs="Arial"/>
          <w:szCs w:val="20"/>
          <w:lang w:val="es-CO"/>
        </w:rPr>
        <w:tab/>
        <w:t xml:space="preserve">Índice de pérdidas reconocidas para el OR </w:t>
      </w:r>
      <w:r w:rsidRPr="004E6CFC">
        <w:rPr>
          <w:rFonts w:cs="Arial"/>
          <w:i/>
          <w:szCs w:val="20"/>
          <w:lang w:val="es-CO"/>
        </w:rPr>
        <w:t>j</w:t>
      </w:r>
      <w:r w:rsidRPr="004E6CFC">
        <w:rPr>
          <w:rFonts w:cs="Arial"/>
          <w:szCs w:val="20"/>
          <w:lang w:val="es-CO"/>
        </w:rPr>
        <w:t xml:space="preserve"> en el nivel de tensión 4</w:t>
      </w:r>
      <w:r>
        <w:rPr>
          <w:rFonts w:cs="Arial"/>
          <w:szCs w:val="20"/>
          <w:lang w:val="es-CO"/>
        </w:rPr>
        <w:t>, en el mes m del</w:t>
      </w:r>
      <w:r w:rsidRPr="004E6CFC">
        <w:rPr>
          <w:rFonts w:cs="Arial"/>
          <w:szCs w:val="20"/>
          <w:lang w:val="es-CO"/>
        </w:rPr>
        <w:t xml:space="preserve"> año t. </w:t>
      </w:r>
    </w:p>
    <w:p w:rsidR="00285A2D" w:rsidRPr="004E6CFC" w:rsidRDefault="00285A2D" w:rsidP="00285A2D">
      <w:pPr>
        <w:ind w:left="1410" w:hanging="1410"/>
        <w:rPr>
          <w:rFonts w:cs="Arial"/>
          <w:i/>
          <w:szCs w:val="20"/>
          <w:lang w:val="es-CO"/>
        </w:rPr>
      </w:pPr>
      <w:r w:rsidRPr="004E6CFC">
        <w:rPr>
          <w:rFonts w:cs="Arial"/>
          <w:i/>
          <w:szCs w:val="20"/>
          <w:lang w:val="es-CO"/>
        </w:rPr>
        <w:t>Pe</w:t>
      </w:r>
      <w:r w:rsidRPr="004E6CFC">
        <w:rPr>
          <w:rFonts w:cs="Arial"/>
          <w:i/>
          <w:szCs w:val="20"/>
          <w:vertAlign w:val="subscript"/>
          <w:lang w:val="es-CO"/>
        </w:rPr>
        <w:t>j,4,</w:t>
      </w:r>
      <w:r>
        <w:rPr>
          <w:rFonts w:cs="Arial"/>
          <w:i/>
          <w:szCs w:val="20"/>
          <w:vertAlign w:val="subscript"/>
          <w:lang w:val="es-CO"/>
        </w:rPr>
        <w:t>m,</w:t>
      </w:r>
      <w:r w:rsidRPr="004E6CFC">
        <w:rPr>
          <w:rFonts w:cs="Arial"/>
          <w:i/>
          <w:szCs w:val="20"/>
          <w:vertAlign w:val="subscript"/>
          <w:lang w:val="es-CO"/>
        </w:rPr>
        <w:t>t</w:t>
      </w:r>
      <w:r w:rsidRPr="004E6CFC">
        <w:rPr>
          <w:rFonts w:cs="Arial"/>
          <w:i/>
          <w:szCs w:val="20"/>
          <w:lang w:val="es-CO"/>
        </w:rPr>
        <w:t>:</w:t>
      </w:r>
      <w:r w:rsidRPr="004E6CFC">
        <w:rPr>
          <w:rFonts w:cs="Arial"/>
          <w:szCs w:val="20"/>
          <w:lang w:val="es-CO"/>
        </w:rPr>
        <w:tab/>
        <w:t xml:space="preserve">Índice de pérdidas eficientes para el OR </w:t>
      </w:r>
      <w:r w:rsidRPr="004E6CFC">
        <w:rPr>
          <w:rFonts w:cs="Arial"/>
          <w:i/>
          <w:szCs w:val="20"/>
          <w:lang w:val="es-CO"/>
        </w:rPr>
        <w:t>j</w:t>
      </w:r>
      <w:r w:rsidRPr="004E6CFC">
        <w:rPr>
          <w:rFonts w:cs="Arial"/>
          <w:szCs w:val="20"/>
          <w:lang w:val="es-CO"/>
        </w:rPr>
        <w:t xml:space="preserve"> en el nivel de tensión 4</w:t>
      </w:r>
      <w:r>
        <w:rPr>
          <w:rFonts w:cs="Arial"/>
          <w:szCs w:val="20"/>
          <w:lang w:val="es-CO"/>
        </w:rPr>
        <w:t>,</w:t>
      </w:r>
      <w:r w:rsidRPr="004E6CFC">
        <w:rPr>
          <w:rFonts w:cs="Arial"/>
          <w:szCs w:val="20"/>
          <w:lang w:val="es-CO"/>
        </w:rPr>
        <w:t xml:space="preserve"> en el </w:t>
      </w:r>
      <w:r>
        <w:rPr>
          <w:rFonts w:cs="Arial"/>
          <w:szCs w:val="20"/>
          <w:lang w:val="es-CO"/>
        </w:rPr>
        <w:t xml:space="preserve">mes m del </w:t>
      </w:r>
      <w:r w:rsidRPr="004E6CFC">
        <w:rPr>
          <w:rFonts w:cs="Arial"/>
          <w:szCs w:val="20"/>
          <w:lang w:val="es-CO"/>
        </w:rPr>
        <w:t xml:space="preserve">año t, según lo establecido en el numeral </w:t>
      </w:r>
      <w:r w:rsidRPr="004E6CFC">
        <w:rPr>
          <w:rFonts w:cs="Arial"/>
          <w:szCs w:val="20"/>
          <w:lang w:val="es-CO"/>
        </w:rPr>
        <w:fldChar w:fldCharType="begin"/>
      </w:r>
      <w:r w:rsidRPr="004E6CFC">
        <w:rPr>
          <w:rFonts w:cs="Arial"/>
          <w:szCs w:val="20"/>
          <w:lang w:val="es-CO"/>
        </w:rPr>
        <w:instrText xml:space="preserve"> REF _Ref445211094 \r \h  \* MERGEFORMAT </w:instrText>
      </w:r>
      <w:r w:rsidRPr="004E6CFC">
        <w:rPr>
          <w:rFonts w:cs="Arial"/>
          <w:szCs w:val="20"/>
          <w:lang w:val="es-CO"/>
        </w:rPr>
      </w:r>
      <w:r w:rsidRPr="004E6CFC">
        <w:rPr>
          <w:rFonts w:cs="Arial"/>
          <w:szCs w:val="20"/>
          <w:lang w:val="es-CO"/>
        </w:rPr>
        <w:fldChar w:fldCharType="separate"/>
      </w:r>
      <w:r w:rsidR="00737178">
        <w:rPr>
          <w:rFonts w:cs="Arial"/>
          <w:szCs w:val="20"/>
          <w:lang w:val="es-CO"/>
        </w:rPr>
        <w:t>7.1.1.1</w:t>
      </w:r>
      <w:r w:rsidRPr="004E6CFC">
        <w:rPr>
          <w:rFonts w:cs="Arial"/>
          <w:szCs w:val="20"/>
          <w:lang w:val="es-CO"/>
        </w:rPr>
        <w:fldChar w:fldCharType="end"/>
      </w:r>
      <w:r w:rsidRPr="004E6CFC">
        <w:rPr>
          <w:rFonts w:cs="Arial"/>
          <w:szCs w:val="20"/>
          <w:lang w:val="es-CO"/>
        </w:rPr>
        <w:t xml:space="preserve"> </w:t>
      </w:r>
    </w:p>
    <w:p w:rsidR="00285A2D" w:rsidRPr="004E6CFC" w:rsidRDefault="00285A2D" w:rsidP="00285A2D">
      <w:pPr>
        <w:ind w:left="1410" w:hanging="1410"/>
        <w:rPr>
          <w:rFonts w:cs="Arial"/>
          <w:szCs w:val="20"/>
          <w:lang w:val="es-CO"/>
        </w:rPr>
      </w:pPr>
      <w:r w:rsidRPr="004E6CFC">
        <w:rPr>
          <w:rFonts w:cs="Arial"/>
          <w:i/>
          <w:szCs w:val="20"/>
          <w:lang w:val="es-CO"/>
        </w:rPr>
        <w:t>P</w:t>
      </w:r>
      <w:r w:rsidRPr="004E6CFC">
        <w:rPr>
          <w:rFonts w:cs="Arial"/>
          <w:i/>
          <w:szCs w:val="20"/>
          <w:vertAlign w:val="subscript"/>
          <w:lang w:val="es-CO"/>
        </w:rPr>
        <w:t>j,n,t</w:t>
      </w:r>
      <w:r w:rsidRPr="004E6CFC">
        <w:rPr>
          <w:rFonts w:cs="Arial"/>
          <w:i/>
          <w:szCs w:val="20"/>
          <w:lang w:val="es-CO"/>
        </w:rPr>
        <w:t>:</w:t>
      </w:r>
      <w:r w:rsidRPr="004E6CFC">
        <w:rPr>
          <w:rFonts w:cs="Arial"/>
          <w:szCs w:val="20"/>
          <w:lang w:val="es-CO"/>
        </w:rPr>
        <w:tab/>
        <w:t xml:space="preserve">Índice de pérdidas reconocidas para el OR </w:t>
      </w:r>
      <w:r w:rsidRPr="004E6CFC">
        <w:rPr>
          <w:rFonts w:cs="Arial"/>
          <w:i/>
          <w:szCs w:val="20"/>
          <w:lang w:val="es-CO"/>
        </w:rPr>
        <w:t>j</w:t>
      </w:r>
      <w:r w:rsidRPr="004E6CFC">
        <w:rPr>
          <w:rFonts w:cs="Arial"/>
          <w:szCs w:val="20"/>
          <w:lang w:val="es-CO"/>
        </w:rPr>
        <w:t xml:space="preserve"> en el nivel de tensión </w:t>
      </w:r>
      <w:r w:rsidRPr="004E6CFC">
        <w:rPr>
          <w:rFonts w:cs="Arial"/>
          <w:i/>
          <w:szCs w:val="20"/>
          <w:lang w:val="es-CO"/>
        </w:rPr>
        <w:t xml:space="preserve">n, </w:t>
      </w:r>
      <w:r w:rsidRPr="004E6CFC">
        <w:rPr>
          <w:rFonts w:cs="Arial"/>
          <w:szCs w:val="20"/>
          <w:lang w:val="es-CO"/>
        </w:rPr>
        <w:t>(con n=3 o 2)</w:t>
      </w:r>
      <w:r w:rsidRPr="004E6CFC">
        <w:rPr>
          <w:rFonts w:cs="Arial"/>
          <w:i/>
          <w:szCs w:val="20"/>
          <w:lang w:val="es-CO"/>
        </w:rPr>
        <w:t xml:space="preserve"> </w:t>
      </w:r>
      <w:r w:rsidRPr="004E6CFC">
        <w:rPr>
          <w:rFonts w:cs="Arial"/>
          <w:szCs w:val="20"/>
          <w:lang w:val="es-CO"/>
        </w:rPr>
        <w:t>en el año</w:t>
      </w:r>
      <w:r w:rsidRPr="004E6CFC">
        <w:rPr>
          <w:rFonts w:cs="Arial"/>
          <w:i/>
          <w:szCs w:val="20"/>
          <w:lang w:val="es-CO"/>
        </w:rPr>
        <w:t> t.</w:t>
      </w:r>
    </w:p>
    <w:p w:rsidR="00285A2D" w:rsidRPr="004E6CFC" w:rsidRDefault="00285A2D" w:rsidP="00285A2D">
      <w:pPr>
        <w:ind w:left="1410" w:hanging="1410"/>
        <w:rPr>
          <w:rFonts w:cs="Arial"/>
          <w:i/>
          <w:szCs w:val="20"/>
          <w:lang w:val="es-CO"/>
        </w:rPr>
      </w:pPr>
      <w:r w:rsidRPr="004E6CFC">
        <w:rPr>
          <w:rFonts w:cs="Arial"/>
          <w:i/>
          <w:szCs w:val="20"/>
          <w:lang w:val="es-CO"/>
        </w:rPr>
        <w:t>Pe</w:t>
      </w:r>
      <w:r w:rsidRPr="004E6CFC">
        <w:rPr>
          <w:rFonts w:cs="Arial"/>
          <w:i/>
          <w:szCs w:val="20"/>
          <w:vertAlign w:val="subscript"/>
          <w:lang w:val="es-CO"/>
        </w:rPr>
        <w:t>j,n</w:t>
      </w:r>
      <w:r w:rsidRPr="004E6CFC">
        <w:rPr>
          <w:rFonts w:cs="Arial"/>
          <w:i/>
          <w:szCs w:val="20"/>
          <w:lang w:val="es-CO"/>
        </w:rPr>
        <w:t>:</w:t>
      </w:r>
      <w:r w:rsidRPr="004E6CFC">
        <w:rPr>
          <w:rFonts w:cs="Arial"/>
          <w:szCs w:val="20"/>
          <w:lang w:val="es-CO"/>
        </w:rPr>
        <w:tab/>
        <w:t xml:space="preserve">Índice de pérdidas eficientes para el OR </w:t>
      </w:r>
      <w:r w:rsidRPr="004E6CFC">
        <w:rPr>
          <w:rFonts w:cs="Arial"/>
          <w:i/>
          <w:szCs w:val="20"/>
          <w:lang w:val="es-CO"/>
        </w:rPr>
        <w:t>j</w:t>
      </w:r>
      <w:r w:rsidRPr="004E6CFC">
        <w:rPr>
          <w:rFonts w:cs="Arial"/>
          <w:szCs w:val="20"/>
          <w:lang w:val="es-CO"/>
        </w:rPr>
        <w:t xml:space="preserve"> en el nivel de tensión </w:t>
      </w:r>
      <w:r w:rsidRPr="004E6CFC">
        <w:rPr>
          <w:rFonts w:cs="Arial"/>
          <w:i/>
          <w:szCs w:val="20"/>
          <w:lang w:val="es-CO"/>
        </w:rPr>
        <w:t xml:space="preserve">n, </w:t>
      </w:r>
      <w:r>
        <w:rPr>
          <w:rFonts w:cs="Arial"/>
          <w:szCs w:val="20"/>
          <w:lang w:val="es-CO"/>
        </w:rPr>
        <w:t>(con n=3 o 2),</w:t>
      </w:r>
      <w:r w:rsidRPr="004E6CFC">
        <w:rPr>
          <w:rFonts w:cs="Arial"/>
          <w:szCs w:val="20"/>
          <w:lang w:val="es-CO"/>
        </w:rPr>
        <w:t xml:space="preserve"> según lo establecido en el numeral </w:t>
      </w:r>
      <w:r w:rsidRPr="004E6CFC">
        <w:rPr>
          <w:rFonts w:cs="Arial"/>
          <w:szCs w:val="20"/>
          <w:lang w:val="es-CO"/>
        </w:rPr>
        <w:fldChar w:fldCharType="begin"/>
      </w:r>
      <w:r w:rsidRPr="004E6CFC">
        <w:rPr>
          <w:rFonts w:cs="Arial"/>
          <w:szCs w:val="20"/>
          <w:lang w:val="es-CO"/>
        </w:rPr>
        <w:instrText xml:space="preserve"> REF _Ref476809368 \r \h  \* MERGEFORMAT </w:instrText>
      </w:r>
      <w:r w:rsidRPr="004E6CFC">
        <w:rPr>
          <w:rFonts w:cs="Arial"/>
          <w:szCs w:val="20"/>
          <w:lang w:val="es-CO"/>
        </w:rPr>
      </w:r>
      <w:r w:rsidRPr="004E6CFC">
        <w:rPr>
          <w:rFonts w:cs="Arial"/>
          <w:szCs w:val="20"/>
          <w:lang w:val="es-CO"/>
        </w:rPr>
        <w:fldChar w:fldCharType="separate"/>
      </w:r>
      <w:r w:rsidR="00737178">
        <w:rPr>
          <w:rFonts w:cs="Arial"/>
          <w:szCs w:val="20"/>
          <w:lang w:val="es-CO"/>
        </w:rPr>
        <w:t>7.1.1.2</w:t>
      </w:r>
      <w:r w:rsidRPr="004E6CFC">
        <w:rPr>
          <w:rFonts w:cs="Arial"/>
          <w:szCs w:val="20"/>
          <w:lang w:val="es-CO"/>
        </w:rPr>
        <w:fldChar w:fldCharType="end"/>
      </w:r>
      <w:r w:rsidRPr="004E6CFC">
        <w:rPr>
          <w:rFonts w:cs="Arial"/>
          <w:i/>
          <w:szCs w:val="20"/>
          <w:lang w:val="es-CO"/>
        </w:rPr>
        <w:t>.</w:t>
      </w:r>
    </w:p>
    <w:p w:rsidR="00285A2D" w:rsidRPr="004E6CFC" w:rsidRDefault="00285A2D" w:rsidP="00285A2D">
      <w:pPr>
        <w:pStyle w:val="Ttulo4"/>
        <w:ind w:left="0" w:firstLine="0"/>
      </w:pPr>
      <w:r w:rsidRPr="004E6CFC">
        <w:t>Nivel de tensión 1</w:t>
      </w:r>
    </w:p>
    <w:p w:rsidR="00285A2D" w:rsidRPr="004E6CFC" w:rsidRDefault="00285A2D" w:rsidP="00285A2D">
      <w:pPr>
        <w:rPr>
          <w:rFonts w:cs="Arial"/>
          <w:szCs w:val="20"/>
          <w:lang w:val="es-ES_tradnl"/>
        </w:rPr>
      </w:pPr>
      <w:r w:rsidRPr="004E6CFC">
        <w:rPr>
          <w:rFonts w:cs="Arial"/>
          <w:szCs w:val="20"/>
          <w:lang w:val="es-ES_tradnl"/>
        </w:rPr>
        <w:t>Para los OR que cuenten con resolución particular de aprobación del índice de pérdidas del nivel de tensión 1 conforme a lo establecido en el artículo 5 de la Resolución CREG 172 de 2011, se continuará aplicando el factor allí aprobado.</w:t>
      </w:r>
    </w:p>
    <w:p w:rsidR="00285A2D" w:rsidRPr="004E6CFC" w:rsidRDefault="00285A2D" w:rsidP="00285A2D">
      <w:r w:rsidRPr="004E6CFC">
        <w:rPr>
          <w:rFonts w:cs="Arial"/>
          <w:szCs w:val="20"/>
          <w:lang w:val="es-ES_tradnl"/>
        </w:rPr>
        <w:t xml:space="preserve">Para el OR </w:t>
      </w:r>
      <w:r w:rsidRPr="004E6CFC">
        <w:rPr>
          <w:lang w:val="es-ES_tradnl"/>
        </w:rPr>
        <w:t xml:space="preserve">que a la fecha de corte registre un índice de pérdidas real de nivel de tensión 1 igual o inferior al reconocido, el valor de la variable </w:t>
      </w:r>
      <w:r w:rsidRPr="004E6CFC">
        <w:rPr>
          <w:i/>
          <w:lang w:val="es-ES_tradnl"/>
        </w:rPr>
        <w:t>P</w:t>
      </w:r>
      <w:r w:rsidRPr="004E6CFC">
        <w:rPr>
          <w:i/>
          <w:vertAlign w:val="subscript"/>
          <w:lang w:val="es-ES_tradnl"/>
        </w:rPr>
        <w:t>j,1,t</w:t>
      </w:r>
      <w:r w:rsidRPr="004E6CFC">
        <w:rPr>
          <w:lang w:val="es-ES_tradnl"/>
        </w:rPr>
        <w:t xml:space="preserve"> será igual al </w:t>
      </w:r>
      <w:r w:rsidRPr="004E6CFC">
        <w:rPr>
          <w:i/>
          <w:lang w:val="es-ES_tradnl"/>
        </w:rPr>
        <w:t>Pe</w:t>
      </w:r>
      <w:r w:rsidRPr="004E6CFC">
        <w:rPr>
          <w:i/>
          <w:vertAlign w:val="subscript"/>
          <w:lang w:val="es-ES_tradnl"/>
        </w:rPr>
        <w:t>j,1</w:t>
      </w:r>
      <w:r w:rsidRPr="004E6CFC">
        <w:rPr>
          <w:i/>
        </w:rPr>
        <w:t xml:space="preserve"> </w:t>
      </w:r>
      <w:r w:rsidRPr="004E6CFC">
        <w:t>calculado</w:t>
      </w:r>
      <w:r w:rsidRPr="004E6CFC">
        <w:rPr>
          <w:i/>
        </w:rPr>
        <w:t xml:space="preserve"> </w:t>
      </w:r>
      <w:r w:rsidRPr="004E6CFC">
        <w:t xml:space="preserve">según lo establecido en el numeral </w:t>
      </w:r>
      <w:r w:rsidRPr="004E6CFC">
        <w:fldChar w:fldCharType="begin"/>
      </w:r>
      <w:r w:rsidRPr="004E6CFC">
        <w:instrText xml:space="preserve"> REF _Ref476809430 \r \h  \* MERGEFORMAT </w:instrText>
      </w:r>
      <w:r w:rsidRPr="004E6CFC">
        <w:fldChar w:fldCharType="separate"/>
      </w:r>
      <w:r w:rsidR="00737178">
        <w:t>7.1.1.3</w:t>
      </w:r>
      <w:r w:rsidRPr="004E6CFC">
        <w:fldChar w:fldCharType="end"/>
      </w:r>
      <w:r w:rsidRPr="004E6CFC">
        <w:t>.</w:t>
      </w:r>
    </w:p>
    <w:p w:rsidR="00285A2D" w:rsidRPr="004E6CFC" w:rsidRDefault="00285A2D" w:rsidP="00285A2D">
      <w:pPr>
        <w:pStyle w:val="Ttulo3"/>
      </w:pPr>
      <w:bookmarkStart w:id="772" w:name="_Ref476810808"/>
      <w:bookmarkStart w:id="773" w:name="_Toc476824930"/>
      <w:bookmarkStart w:id="774" w:name="_Toc505335981"/>
      <w:r w:rsidRPr="004E6CFC">
        <w:t>Pérdidas reconocidas para OR que pueden optar a presentar plan de reducción de pérdidas</w:t>
      </w:r>
      <w:bookmarkEnd w:id="772"/>
      <w:bookmarkEnd w:id="773"/>
      <w:bookmarkEnd w:id="774"/>
    </w:p>
    <w:p w:rsidR="00285A2D" w:rsidRDefault="00285A2D" w:rsidP="00285A2D">
      <w:pPr>
        <w:rPr>
          <w:lang w:val="es-ES_tradnl"/>
        </w:rPr>
      </w:pPr>
      <w:r w:rsidRPr="004E6CFC">
        <w:rPr>
          <w:lang w:val="es-ES_tradnl"/>
        </w:rPr>
        <w:t xml:space="preserve">En este grupo se </w:t>
      </w:r>
      <w:r>
        <w:rPr>
          <w:lang w:val="es-ES_tradnl"/>
        </w:rPr>
        <w:t>incluye</w:t>
      </w:r>
      <w:r w:rsidRPr="004E6CFC">
        <w:rPr>
          <w:lang w:val="es-ES_tradnl"/>
        </w:rPr>
        <w:t>n los OR que a la fecha de corte registren un índice de pérdidas de nivel de tensión 1 superior al reconocido</w:t>
      </w:r>
      <w:r>
        <w:rPr>
          <w:lang w:val="es-ES_tradnl"/>
        </w:rPr>
        <w:t>.</w:t>
      </w:r>
    </w:p>
    <w:p w:rsidR="00285A2D" w:rsidRPr="004E6CFC" w:rsidRDefault="00285A2D" w:rsidP="00285A2D">
      <w:pPr>
        <w:rPr>
          <w:rFonts w:cs="Arial"/>
          <w:szCs w:val="20"/>
          <w:lang w:val="es-ES_tradnl"/>
        </w:rPr>
      </w:pPr>
      <w:r>
        <w:rPr>
          <w:lang w:val="es-ES_tradnl"/>
        </w:rPr>
        <w:t>Para estos OR se</w:t>
      </w:r>
      <w:r w:rsidRPr="004E6CFC">
        <w:rPr>
          <w:rFonts w:cs="Arial"/>
          <w:szCs w:val="20"/>
          <w:lang w:val="es-ES_tradnl"/>
        </w:rPr>
        <w:t xml:space="preserve"> aplicarán los factores calculados por el LAC con base en la siguiente expresión:</w:t>
      </w:r>
    </w:p>
    <w:p w:rsidR="00285A2D" w:rsidRPr="004E6CFC" w:rsidRDefault="00C9592F" w:rsidP="00285A2D">
      <w:pPr>
        <w:rPr>
          <w:rFonts w:cs="Arial"/>
          <w:szCs w:val="20"/>
          <w:lang w:val="es-ES_tradnl"/>
        </w:rPr>
      </w:pPr>
      <m:oMathPara>
        <m:oMath>
          <m:sSub>
            <m:sSubPr>
              <m:ctrlPr>
                <w:rPr>
                  <w:rFonts w:ascii="Cambria Math" w:hAnsi="Cambria Math"/>
                  <w:i/>
                  <w:iCs/>
                  <w:color w:val="000000"/>
                </w:rPr>
              </m:ctrlPr>
            </m:sSubPr>
            <m:e>
              <m:r>
                <w:rPr>
                  <w:rFonts w:ascii="Cambria Math" w:hAnsi="Cambria Math"/>
                  <w:color w:val="000000"/>
                </w:rPr>
                <m:t>P</m:t>
              </m:r>
            </m:e>
            <m:sub>
              <m:r>
                <w:rPr>
                  <w:rFonts w:ascii="Cambria Math" w:hAnsi="Cambria Math"/>
                  <w:color w:val="000000"/>
                </w:rPr>
                <m:t>j,n,m,t</m:t>
              </m:r>
            </m:sub>
          </m:sSub>
          <m:r>
            <w:rPr>
              <w:rFonts w:ascii="Cambria Math" w:hAnsi="Cambria Math"/>
              <w:color w:val="000000"/>
            </w:rPr>
            <m:t>=</m:t>
          </m:r>
          <m:sSub>
            <m:sSubPr>
              <m:ctrlPr>
                <w:rPr>
                  <w:rFonts w:ascii="Cambria Math" w:hAnsi="Cambria Math"/>
                  <w:i/>
                  <w:iCs/>
                  <w:color w:val="000000"/>
                </w:rPr>
              </m:ctrlPr>
            </m:sSubPr>
            <m:e>
              <m:r>
                <w:rPr>
                  <w:rFonts w:ascii="Cambria Math" w:hAnsi="Cambria Math"/>
                  <w:color w:val="000000"/>
                </w:rPr>
                <m:t>Pe</m:t>
              </m:r>
            </m:e>
            <m:sub>
              <m:r>
                <w:rPr>
                  <w:rFonts w:ascii="Cambria Math" w:hAnsi="Cambria Math"/>
                  <w:color w:val="000000"/>
                </w:rPr>
                <m:t>j,n,m,t</m:t>
              </m:r>
            </m:sub>
          </m:sSub>
          <m:r>
            <w:rPr>
              <w:rFonts w:ascii="Cambria Math" w:hAnsi="Cambria Math"/>
              <w:color w:val="000000"/>
            </w:rPr>
            <m:t>+</m:t>
          </m:r>
          <m:sSub>
            <m:sSubPr>
              <m:ctrlPr>
                <w:rPr>
                  <w:rFonts w:ascii="Cambria Math" w:hAnsi="Cambria Math"/>
                  <w:i/>
                  <w:iCs/>
                  <w:color w:val="000000"/>
                </w:rPr>
              </m:ctrlPr>
            </m:sSubPr>
            <m:e>
              <m:r>
                <w:rPr>
                  <w:rFonts w:ascii="Cambria Math" w:hAnsi="Cambria Math"/>
                  <w:color w:val="000000"/>
                </w:rPr>
                <m:t>Pad</m:t>
              </m:r>
            </m:e>
            <m:sub>
              <m:r>
                <w:rPr>
                  <w:rFonts w:ascii="Cambria Math" w:hAnsi="Cambria Math"/>
                  <w:color w:val="000000"/>
                </w:rPr>
                <m:t>j,n,t</m:t>
              </m:r>
            </m:sub>
          </m:sSub>
        </m:oMath>
      </m:oMathPara>
    </w:p>
    <w:p w:rsidR="00285A2D" w:rsidRPr="004E6CFC" w:rsidRDefault="00285A2D" w:rsidP="00285A2D">
      <w:pPr>
        <w:ind w:left="1416" w:hanging="1416"/>
        <w:rPr>
          <w:lang w:val="es-ES_tradnl"/>
        </w:rPr>
      </w:pPr>
      <w:r w:rsidRPr="004E6CFC">
        <w:rPr>
          <w:i/>
          <w:lang w:val="es-ES_tradnl"/>
        </w:rPr>
        <w:t>P</w:t>
      </w:r>
      <w:r w:rsidRPr="004E6CFC">
        <w:rPr>
          <w:i/>
          <w:vertAlign w:val="subscript"/>
          <w:lang w:val="es-ES_tradnl"/>
        </w:rPr>
        <w:t>j,n,</w:t>
      </w:r>
      <w:r>
        <w:rPr>
          <w:i/>
          <w:vertAlign w:val="subscript"/>
          <w:lang w:val="es-ES_tradnl"/>
        </w:rPr>
        <w:t>m,</w:t>
      </w:r>
      <w:r w:rsidRPr="004E6CFC">
        <w:rPr>
          <w:i/>
          <w:vertAlign w:val="subscript"/>
          <w:lang w:val="es-ES_tradnl"/>
        </w:rPr>
        <w:t>t</w:t>
      </w:r>
      <w:r w:rsidRPr="004E6CFC">
        <w:rPr>
          <w:lang w:val="es-ES_tradnl"/>
        </w:rPr>
        <w:t>:</w:t>
      </w:r>
      <w:r w:rsidRPr="004E6CFC">
        <w:rPr>
          <w:lang w:val="es-ES_tradnl"/>
        </w:rPr>
        <w:tab/>
        <w:t xml:space="preserve">Índice de pérdidas reconocidas del nivel de tensión </w:t>
      </w:r>
      <w:r w:rsidRPr="004E6CFC">
        <w:rPr>
          <w:i/>
          <w:lang w:val="es-ES_tradnl"/>
        </w:rPr>
        <w:t>n</w:t>
      </w:r>
      <w:r w:rsidRPr="004E6CFC">
        <w:rPr>
          <w:lang w:val="es-ES_tradnl"/>
        </w:rPr>
        <w:t xml:space="preserve"> del OR </w:t>
      </w:r>
      <w:r w:rsidRPr="004E6CFC">
        <w:rPr>
          <w:i/>
          <w:lang w:val="es-ES_tradnl"/>
        </w:rPr>
        <w:t>j</w:t>
      </w:r>
      <w:r w:rsidRPr="004E6CFC">
        <w:rPr>
          <w:lang w:val="es-ES_tradnl"/>
        </w:rPr>
        <w:t xml:space="preserve"> a aplicar en el </w:t>
      </w:r>
      <w:r>
        <w:rPr>
          <w:lang w:val="es-ES_tradnl"/>
        </w:rPr>
        <w:t xml:space="preserve">mes </w:t>
      </w:r>
      <w:r w:rsidRPr="00B272E6">
        <w:rPr>
          <w:i/>
          <w:lang w:val="es-ES_tradnl"/>
        </w:rPr>
        <w:t>m</w:t>
      </w:r>
      <w:r>
        <w:rPr>
          <w:lang w:val="es-ES_tradnl"/>
        </w:rPr>
        <w:t xml:space="preserve"> del </w:t>
      </w:r>
      <w:r w:rsidRPr="004E6CFC">
        <w:rPr>
          <w:lang w:val="es-ES_tradnl"/>
        </w:rPr>
        <w:t xml:space="preserve">año </w:t>
      </w:r>
      <w:r>
        <w:rPr>
          <w:i/>
          <w:lang w:val="es-ES_tradnl"/>
        </w:rPr>
        <w:t xml:space="preserve">t. </w:t>
      </w:r>
    </w:p>
    <w:p w:rsidR="00285A2D" w:rsidRPr="004E6CFC" w:rsidRDefault="00285A2D" w:rsidP="00285A2D">
      <w:pPr>
        <w:ind w:left="1356" w:hanging="1356"/>
        <w:rPr>
          <w:rFonts w:cs="Arial"/>
          <w:szCs w:val="20"/>
          <w:lang w:val="es-CO"/>
        </w:rPr>
      </w:pPr>
      <w:r w:rsidRPr="004E6CFC">
        <w:rPr>
          <w:rFonts w:cs="Arial"/>
          <w:i/>
          <w:szCs w:val="20"/>
          <w:lang w:val="es-CO"/>
        </w:rPr>
        <w:t>Pe</w:t>
      </w:r>
      <w:r w:rsidRPr="004E6CFC">
        <w:rPr>
          <w:rFonts w:cs="Arial"/>
          <w:i/>
          <w:szCs w:val="20"/>
          <w:vertAlign w:val="subscript"/>
          <w:lang w:val="es-CO"/>
        </w:rPr>
        <w:t>j,n,</w:t>
      </w:r>
      <w:r>
        <w:rPr>
          <w:rFonts w:cs="Arial"/>
          <w:i/>
          <w:szCs w:val="20"/>
          <w:vertAlign w:val="subscript"/>
          <w:lang w:val="es-CO"/>
        </w:rPr>
        <w:t>m,</w:t>
      </w:r>
      <w:r w:rsidRPr="004E6CFC">
        <w:rPr>
          <w:rFonts w:cs="Arial"/>
          <w:i/>
          <w:szCs w:val="20"/>
          <w:vertAlign w:val="subscript"/>
          <w:lang w:val="es-CO"/>
        </w:rPr>
        <w:t>t</w:t>
      </w:r>
      <w:r w:rsidRPr="004E6CFC">
        <w:rPr>
          <w:rFonts w:cs="Arial"/>
          <w:i/>
          <w:szCs w:val="20"/>
          <w:lang w:val="es-CO"/>
        </w:rPr>
        <w:t>:</w:t>
      </w:r>
      <w:r w:rsidRPr="004E6CFC">
        <w:rPr>
          <w:rFonts w:cs="Arial"/>
          <w:szCs w:val="20"/>
          <w:lang w:val="es-CO"/>
        </w:rPr>
        <w:tab/>
        <w:t xml:space="preserve">Índice de pérdidas eficientes para el OR </w:t>
      </w:r>
      <w:r w:rsidRPr="004E6CFC">
        <w:rPr>
          <w:rFonts w:cs="Arial"/>
          <w:i/>
          <w:szCs w:val="20"/>
          <w:lang w:val="es-CO"/>
        </w:rPr>
        <w:t>j</w:t>
      </w:r>
      <w:r w:rsidRPr="004E6CFC">
        <w:rPr>
          <w:rFonts w:cs="Arial"/>
          <w:szCs w:val="20"/>
          <w:lang w:val="es-CO"/>
        </w:rPr>
        <w:t xml:space="preserve"> en el nivel de tensión </w:t>
      </w:r>
      <w:r w:rsidRPr="004E6CFC">
        <w:rPr>
          <w:rFonts w:cs="Arial"/>
          <w:i/>
          <w:szCs w:val="20"/>
          <w:lang w:val="es-CO"/>
        </w:rPr>
        <w:t xml:space="preserve">n </w:t>
      </w:r>
      <w:r w:rsidRPr="004E6CFC">
        <w:rPr>
          <w:rFonts w:cs="Arial"/>
          <w:szCs w:val="20"/>
          <w:lang w:val="es-CO"/>
        </w:rPr>
        <w:t>según</w:t>
      </w:r>
      <w:r w:rsidRPr="004E6CFC">
        <w:rPr>
          <w:lang w:val="es-ES_tradnl"/>
        </w:rPr>
        <w:t xml:space="preserve"> lo establecido en el numeral </w:t>
      </w:r>
      <w:r w:rsidRPr="004E6CFC">
        <w:rPr>
          <w:lang w:val="es-ES_tradnl"/>
        </w:rPr>
        <w:fldChar w:fldCharType="begin"/>
      </w:r>
      <w:r w:rsidRPr="004E6CFC">
        <w:rPr>
          <w:lang w:val="es-ES_tradnl"/>
        </w:rPr>
        <w:instrText xml:space="preserve"> REF _Ref445109957 \r \h  \* MERGEFORMAT </w:instrText>
      </w:r>
      <w:r w:rsidRPr="004E6CFC">
        <w:rPr>
          <w:lang w:val="es-ES_tradnl"/>
        </w:rPr>
      </w:r>
      <w:r w:rsidRPr="004E6CFC">
        <w:rPr>
          <w:lang w:val="es-ES_tradnl"/>
        </w:rPr>
        <w:fldChar w:fldCharType="separate"/>
      </w:r>
      <w:r w:rsidR="00737178">
        <w:rPr>
          <w:lang w:val="es-ES_tradnl"/>
        </w:rPr>
        <w:t>7.1.1</w:t>
      </w:r>
      <w:r w:rsidRPr="004E6CFC">
        <w:rPr>
          <w:lang w:val="es-ES_tradnl"/>
        </w:rPr>
        <w:fldChar w:fldCharType="end"/>
      </w:r>
      <w:r w:rsidRPr="004E6CFC">
        <w:rPr>
          <w:lang w:val="es-ES_tradnl"/>
        </w:rPr>
        <w:t>.</w:t>
      </w:r>
    </w:p>
    <w:p w:rsidR="00285A2D" w:rsidRPr="004E6CFC" w:rsidRDefault="00285A2D" w:rsidP="00285A2D">
      <w:pPr>
        <w:ind w:left="1356" w:hanging="1356"/>
        <w:rPr>
          <w:rFonts w:cs="Arial"/>
          <w:i/>
          <w:szCs w:val="20"/>
          <w:lang w:val="es-CO"/>
        </w:rPr>
      </w:pPr>
      <w:r w:rsidRPr="004E6CFC">
        <w:rPr>
          <w:rFonts w:cs="Arial"/>
          <w:i/>
          <w:szCs w:val="20"/>
          <w:lang w:val="es-CO"/>
        </w:rPr>
        <w:t>Pad</w:t>
      </w:r>
      <w:r w:rsidRPr="004E6CFC">
        <w:rPr>
          <w:rFonts w:cs="Arial"/>
          <w:i/>
          <w:szCs w:val="20"/>
          <w:vertAlign w:val="subscript"/>
          <w:lang w:val="es-CO"/>
        </w:rPr>
        <w:t>j,n,t</w:t>
      </w:r>
      <w:r w:rsidRPr="004E6CFC">
        <w:rPr>
          <w:rFonts w:cs="Arial"/>
          <w:i/>
          <w:szCs w:val="20"/>
          <w:lang w:val="es-CO"/>
        </w:rPr>
        <w:t>:</w:t>
      </w:r>
      <w:r w:rsidRPr="004E6CFC">
        <w:rPr>
          <w:rFonts w:cs="Arial"/>
          <w:szCs w:val="20"/>
          <w:lang w:val="es-CO"/>
        </w:rPr>
        <w:tab/>
        <w:t xml:space="preserve">Índice de pérdidas adicionales reconocidas para el OR </w:t>
      </w:r>
      <w:r w:rsidRPr="004E6CFC">
        <w:rPr>
          <w:rFonts w:cs="Arial"/>
          <w:i/>
          <w:szCs w:val="20"/>
          <w:lang w:val="es-CO"/>
        </w:rPr>
        <w:t>j</w:t>
      </w:r>
      <w:r w:rsidRPr="004E6CFC">
        <w:rPr>
          <w:rFonts w:cs="Arial"/>
          <w:szCs w:val="20"/>
          <w:lang w:val="es-CO"/>
        </w:rPr>
        <w:t xml:space="preserve"> en el nivel de tensión </w:t>
      </w:r>
      <w:r w:rsidRPr="004E6CFC">
        <w:rPr>
          <w:rFonts w:cs="Arial"/>
          <w:i/>
          <w:szCs w:val="20"/>
          <w:lang w:val="es-CO"/>
        </w:rPr>
        <w:t xml:space="preserve">n </w:t>
      </w:r>
      <w:r>
        <w:rPr>
          <w:rFonts w:cs="Arial"/>
          <w:szCs w:val="20"/>
          <w:lang w:val="es-CO"/>
        </w:rPr>
        <w:t xml:space="preserve">para el </w:t>
      </w:r>
      <w:r w:rsidRPr="004E6CFC">
        <w:rPr>
          <w:rFonts w:cs="Arial"/>
          <w:szCs w:val="20"/>
          <w:lang w:val="es-CO"/>
        </w:rPr>
        <w:t xml:space="preserve">año </w:t>
      </w:r>
      <w:r w:rsidRPr="004E6CFC">
        <w:rPr>
          <w:rFonts w:cs="Arial"/>
          <w:i/>
          <w:szCs w:val="20"/>
          <w:lang w:val="es-CO"/>
        </w:rPr>
        <w:t xml:space="preserve">t </w:t>
      </w:r>
      <w:r w:rsidRPr="004E6CFC">
        <w:rPr>
          <w:rFonts w:cs="Arial"/>
          <w:szCs w:val="20"/>
          <w:lang w:val="es-CO"/>
        </w:rPr>
        <w:t xml:space="preserve">según lo establecido en el numeral </w:t>
      </w:r>
      <w:r w:rsidRPr="004E6CFC">
        <w:rPr>
          <w:rFonts w:cs="Arial"/>
          <w:szCs w:val="20"/>
          <w:lang w:val="es-CO"/>
        </w:rPr>
        <w:fldChar w:fldCharType="begin"/>
      </w:r>
      <w:r w:rsidRPr="004E6CFC">
        <w:rPr>
          <w:rFonts w:cs="Arial"/>
          <w:szCs w:val="20"/>
          <w:lang w:val="es-CO"/>
        </w:rPr>
        <w:instrText xml:space="preserve"> REF _Ref476809721 \r \h  \* MERGEFORMAT </w:instrText>
      </w:r>
      <w:r w:rsidRPr="004E6CFC">
        <w:rPr>
          <w:rFonts w:cs="Arial"/>
          <w:szCs w:val="20"/>
          <w:lang w:val="es-CO"/>
        </w:rPr>
      </w:r>
      <w:r w:rsidRPr="004E6CFC">
        <w:rPr>
          <w:rFonts w:cs="Arial"/>
          <w:szCs w:val="20"/>
          <w:lang w:val="es-CO"/>
        </w:rPr>
        <w:fldChar w:fldCharType="separate"/>
      </w:r>
      <w:r w:rsidR="00737178">
        <w:rPr>
          <w:rFonts w:cs="Arial"/>
          <w:szCs w:val="20"/>
          <w:lang w:val="es-CO"/>
        </w:rPr>
        <w:t>7.1.3.1</w:t>
      </w:r>
      <w:r w:rsidRPr="004E6CFC">
        <w:rPr>
          <w:rFonts w:cs="Arial"/>
          <w:szCs w:val="20"/>
          <w:lang w:val="es-CO"/>
        </w:rPr>
        <w:fldChar w:fldCharType="end"/>
      </w:r>
    </w:p>
    <w:p w:rsidR="00285A2D" w:rsidRPr="004E6CFC" w:rsidRDefault="00285A2D" w:rsidP="00285A2D">
      <w:pPr>
        <w:pStyle w:val="Ttulo4"/>
        <w:ind w:left="0" w:firstLine="0"/>
      </w:pPr>
      <w:bookmarkStart w:id="775" w:name="_Ref476809721"/>
      <w:r w:rsidRPr="004E6CFC">
        <w:lastRenderedPageBreak/>
        <w:t>Pérdidas adicionales</w:t>
      </w:r>
      <w:bookmarkEnd w:id="775"/>
    </w:p>
    <w:p w:rsidR="00285A2D" w:rsidRPr="004E6CFC" w:rsidRDefault="00285A2D" w:rsidP="00285A2D">
      <w:pPr>
        <w:rPr>
          <w:rFonts w:cs="Arial"/>
          <w:szCs w:val="20"/>
          <w:lang w:val="es-CO"/>
        </w:rPr>
      </w:pPr>
      <w:r w:rsidRPr="004E6CFC">
        <w:rPr>
          <w:rFonts w:cs="Arial"/>
          <w:szCs w:val="20"/>
          <w:lang w:val="es-CO"/>
        </w:rPr>
        <w:t>A partir de la participación de la energía de cada nivel de tensión en el total de la energía de entrada al sistema del OR j, anualmente el LAC debe calcular los factores de pérdidas adicionales para cada uno de ellos, según las siguientes expresiones:</w:t>
      </w:r>
    </w:p>
    <w:p w:rsidR="00285A2D" w:rsidRPr="004E6CFC" w:rsidRDefault="00C9592F" w:rsidP="00285A2D">
      <w:pPr>
        <w:rPr>
          <w:rFonts w:cs="Arial"/>
          <w:sz w:val="22"/>
          <w:szCs w:val="22"/>
        </w:rPr>
      </w:pPr>
      <m:oMathPara>
        <m:oMath>
          <m:sSub>
            <m:sSubPr>
              <m:ctrlPr>
                <w:rPr>
                  <w:rFonts w:ascii="Cambria Math" w:hAnsi="Cambria Math"/>
                  <w:i/>
                  <w:sz w:val="22"/>
                  <w:szCs w:val="22"/>
                </w:rPr>
              </m:ctrlPr>
            </m:sSubPr>
            <m:e>
              <m:r>
                <w:rPr>
                  <w:rFonts w:ascii="Cambria Math" w:hAnsi="Cambria Math"/>
                  <w:sz w:val="22"/>
                  <w:szCs w:val="22"/>
                </w:rPr>
                <m:t>Pad</m:t>
              </m:r>
            </m:e>
            <m:sub>
              <m:r>
                <w:rPr>
                  <w:rFonts w:ascii="Cambria Math" w:hAnsi="Cambria Math"/>
                  <w:sz w:val="22"/>
                  <w:szCs w:val="22"/>
                </w:rPr>
                <m:t>j,n,t</m:t>
              </m:r>
            </m:sub>
          </m:sSub>
          <m:r>
            <w:rPr>
              <w:rFonts w:ascii="Cambria Math" w:hAnsi="Cambria Math"/>
              <w:sz w:val="22"/>
              <w:szCs w:val="22"/>
            </w:rPr>
            <m:t>=</m:t>
          </m:r>
          <m:f>
            <m:fPr>
              <m:ctrlPr>
                <w:rPr>
                  <w:rFonts w:ascii="Cambria Math" w:hAnsi="Cambria Math"/>
                  <w:i/>
                  <w:sz w:val="22"/>
                  <w:szCs w:val="22"/>
                </w:rPr>
              </m:ctrlPr>
            </m:fPr>
            <m:num>
              <m:sSub>
                <m:sSubPr>
                  <m:ctrlPr>
                    <w:rPr>
                      <w:rFonts w:ascii="Cambria Math" w:hAnsi="Cambria Math"/>
                      <w:i/>
                      <w:sz w:val="22"/>
                      <w:szCs w:val="22"/>
                    </w:rPr>
                  </m:ctrlPr>
                </m:sSubPr>
                <m:e>
                  <m:r>
                    <w:rPr>
                      <w:rFonts w:ascii="Cambria Math" w:hAnsi="Cambria Math"/>
                      <w:sz w:val="22"/>
                      <w:szCs w:val="22"/>
                    </w:rPr>
                    <m:t>Epa</m:t>
                  </m:r>
                </m:e>
                <m:sub>
                  <m:r>
                    <w:rPr>
                      <w:rFonts w:ascii="Cambria Math" w:hAnsi="Cambria Math"/>
                      <w:sz w:val="22"/>
                      <w:szCs w:val="22"/>
                    </w:rPr>
                    <m:t>j,n,t</m:t>
                  </m:r>
                </m:sub>
              </m:sSub>
            </m:num>
            <m:den>
              <m:nary>
                <m:naryPr>
                  <m:chr m:val="∑"/>
                  <m:limLoc m:val="undOvr"/>
                  <m:ctrlPr>
                    <w:rPr>
                      <w:rFonts w:ascii="Cambria Math" w:hAnsi="Cambria Math"/>
                      <w:i/>
                      <w:sz w:val="22"/>
                      <w:szCs w:val="22"/>
                    </w:rPr>
                  </m:ctrlPr>
                </m:naryPr>
                <m:sub>
                  <m:r>
                    <w:rPr>
                      <w:rFonts w:ascii="Cambria Math" w:hAnsi="Cambria Math"/>
                      <w:sz w:val="22"/>
                      <w:szCs w:val="22"/>
                    </w:rPr>
                    <m:t>m-3</m:t>
                  </m:r>
                </m:sub>
                <m:sup>
                  <m:r>
                    <w:rPr>
                      <w:rFonts w:ascii="Cambria Math" w:hAnsi="Cambria Math"/>
                      <w:sz w:val="22"/>
                      <w:szCs w:val="22"/>
                    </w:rPr>
                    <m:t>m-14</m:t>
                  </m:r>
                </m:sup>
                <m:e>
                  <m:sSub>
                    <m:sSubPr>
                      <m:ctrlPr>
                        <w:rPr>
                          <w:rFonts w:ascii="Cambria Math" w:hAnsi="Cambria Math"/>
                          <w:i/>
                          <w:sz w:val="22"/>
                          <w:szCs w:val="22"/>
                        </w:rPr>
                      </m:ctrlPr>
                    </m:sSubPr>
                    <m:e>
                      <m:r>
                        <w:rPr>
                          <w:rFonts w:ascii="Cambria Math" w:hAnsi="Cambria Math"/>
                          <w:sz w:val="22"/>
                          <w:szCs w:val="22"/>
                        </w:rPr>
                        <m:t>Ee</m:t>
                      </m:r>
                    </m:e>
                    <m:sub>
                      <m:r>
                        <w:rPr>
                          <w:rFonts w:ascii="Cambria Math" w:hAnsi="Cambria Math"/>
                          <w:sz w:val="22"/>
                          <w:szCs w:val="22"/>
                        </w:rPr>
                        <m:t>j,n,m</m:t>
                      </m:r>
                    </m:sub>
                  </m:sSub>
                </m:e>
              </m:nary>
            </m:den>
          </m:f>
        </m:oMath>
      </m:oMathPara>
    </w:p>
    <w:p w:rsidR="00285A2D" w:rsidRPr="004E6CFC" w:rsidRDefault="00C9592F" w:rsidP="00285A2D">
      <w:pPr>
        <w:rPr>
          <w:rFonts w:cs="Arial"/>
          <w:sz w:val="22"/>
          <w:szCs w:val="22"/>
        </w:rPr>
      </w:pPr>
      <m:oMathPara>
        <m:oMath>
          <m:sSub>
            <m:sSubPr>
              <m:ctrlPr>
                <w:rPr>
                  <w:rFonts w:ascii="Cambria Math" w:hAnsi="Cambria Math"/>
                  <w:i/>
                  <w:sz w:val="22"/>
                  <w:szCs w:val="22"/>
                </w:rPr>
              </m:ctrlPr>
            </m:sSubPr>
            <m:e>
              <m:r>
                <w:rPr>
                  <w:rFonts w:ascii="Cambria Math" w:hAnsi="Cambria Math"/>
                  <w:sz w:val="22"/>
                  <w:szCs w:val="22"/>
                </w:rPr>
                <m:t>Epa</m:t>
              </m:r>
            </m:e>
            <m:sub>
              <m:r>
                <w:rPr>
                  <w:rFonts w:ascii="Cambria Math" w:hAnsi="Cambria Math"/>
                  <w:sz w:val="22"/>
                  <w:szCs w:val="22"/>
                </w:rPr>
                <m:t>j,n,t</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Part</m:t>
              </m:r>
            </m:e>
            <m:sub>
              <m:r>
                <w:rPr>
                  <w:rFonts w:ascii="Cambria Math" w:hAnsi="Cambria Math"/>
                  <w:sz w:val="22"/>
                  <w:szCs w:val="22"/>
                </w:rPr>
                <m:t>j,n,t</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Epad</m:t>
              </m:r>
            </m:e>
            <m:sub>
              <m:r>
                <w:rPr>
                  <w:rFonts w:ascii="Cambria Math" w:hAnsi="Cambria Math"/>
                  <w:sz w:val="22"/>
                  <w:szCs w:val="22"/>
                </w:rPr>
                <m:t>j,t</m:t>
              </m:r>
            </m:sub>
          </m:sSub>
        </m:oMath>
      </m:oMathPara>
    </w:p>
    <w:p w:rsidR="00285A2D" w:rsidRPr="004E6CFC" w:rsidRDefault="00C9592F" w:rsidP="00285A2D">
      <w:pPr>
        <w:rPr>
          <w:rFonts w:cs="Arial"/>
          <w:sz w:val="22"/>
          <w:szCs w:val="22"/>
        </w:rPr>
      </w:pPr>
      <m:oMathPara>
        <m:oMath>
          <m:sSub>
            <m:sSubPr>
              <m:ctrlPr>
                <w:rPr>
                  <w:rFonts w:ascii="Cambria Math" w:hAnsi="Cambria Math"/>
                  <w:i/>
                  <w:sz w:val="22"/>
                  <w:szCs w:val="22"/>
                </w:rPr>
              </m:ctrlPr>
            </m:sSubPr>
            <m:e>
              <m:r>
                <w:rPr>
                  <w:rFonts w:ascii="Cambria Math" w:hAnsi="Cambria Math"/>
                  <w:sz w:val="22"/>
                  <w:szCs w:val="22"/>
                </w:rPr>
                <m:t>Part</m:t>
              </m:r>
            </m:e>
            <m:sub>
              <m:r>
                <w:rPr>
                  <w:rFonts w:ascii="Cambria Math" w:hAnsi="Cambria Math"/>
                  <w:sz w:val="22"/>
                  <w:szCs w:val="22"/>
                </w:rPr>
                <m:t>j,n,t</m:t>
              </m:r>
            </m:sub>
          </m:sSub>
          <m:r>
            <w:rPr>
              <w:rFonts w:ascii="Cambria Math" w:hAnsi="Cambria Math"/>
              <w:sz w:val="22"/>
              <w:szCs w:val="22"/>
            </w:rPr>
            <m:t>=</m:t>
          </m:r>
          <m:f>
            <m:fPr>
              <m:ctrlPr>
                <w:rPr>
                  <w:rFonts w:ascii="Cambria Math" w:hAnsi="Cambria Math"/>
                  <w:i/>
                  <w:sz w:val="22"/>
                  <w:szCs w:val="22"/>
                </w:rPr>
              </m:ctrlPr>
            </m:fPr>
            <m:num>
              <m:sSub>
                <m:sSubPr>
                  <m:ctrlPr>
                    <w:rPr>
                      <w:rFonts w:ascii="Cambria Math" w:hAnsi="Cambria Math"/>
                      <w:i/>
                      <w:sz w:val="22"/>
                      <w:szCs w:val="22"/>
                    </w:rPr>
                  </m:ctrlPr>
                </m:sSubPr>
                <m:e>
                  <m:r>
                    <w:rPr>
                      <w:rFonts w:ascii="Cambria Math" w:hAnsi="Cambria Math"/>
                      <w:sz w:val="22"/>
                      <w:szCs w:val="22"/>
                    </w:rPr>
                    <m:t>EsVFC</m:t>
                  </m:r>
                </m:e>
                <m:sub>
                  <m:r>
                    <w:rPr>
                      <w:rFonts w:ascii="Cambria Math" w:hAnsi="Cambria Math"/>
                      <w:sz w:val="22"/>
                      <w:szCs w:val="22"/>
                    </w:rPr>
                    <m:t>j,n,m-3</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EsVSFC</m:t>
                  </m:r>
                </m:e>
                <m:sub>
                  <m:r>
                    <w:rPr>
                      <w:rFonts w:ascii="Cambria Math" w:hAnsi="Cambria Math"/>
                      <w:sz w:val="22"/>
                      <w:szCs w:val="22"/>
                    </w:rPr>
                    <m:t>j,n,m-3</m:t>
                  </m:r>
                </m:sub>
              </m:sSub>
            </m:num>
            <m:den>
              <m:nary>
                <m:naryPr>
                  <m:chr m:val="∑"/>
                  <m:limLoc m:val="undOvr"/>
                  <m:ctrlPr>
                    <w:rPr>
                      <w:rFonts w:ascii="Cambria Math" w:hAnsi="Cambria Math"/>
                      <w:i/>
                      <w:sz w:val="22"/>
                      <w:szCs w:val="22"/>
                    </w:rPr>
                  </m:ctrlPr>
                </m:naryPr>
                <m:sub>
                  <m:r>
                    <w:rPr>
                      <w:rFonts w:ascii="Cambria Math" w:hAnsi="Cambria Math"/>
                      <w:sz w:val="22"/>
                      <w:szCs w:val="22"/>
                    </w:rPr>
                    <m:t>n=1</m:t>
                  </m:r>
                </m:sub>
                <m:sup>
                  <m:r>
                    <w:rPr>
                      <w:rFonts w:ascii="Cambria Math" w:hAnsi="Cambria Math"/>
                      <w:sz w:val="22"/>
                      <w:szCs w:val="22"/>
                    </w:rPr>
                    <m:t>N</m:t>
                  </m:r>
                </m:sup>
                <m:e>
                  <m:d>
                    <m:dPr>
                      <m:ctrlPr>
                        <w:rPr>
                          <w:rFonts w:ascii="Cambria Math" w:hAnsi="Cambria Math"/>
                          <w:i/>
                          <w:sz w:val="22"/>
                          <w:szCs w:val="22"/>
                        </w:rPr>
                      </m:ctrlPr>
                    </m:dPr>
                    <m:e>
                      <m:sSub>
                        <m:sSubPr>
                          <m:ctrlPr>
                            <w:rPr>
                              <w:rFonts w:ascii="Cambria Math" w:hAnsi="Cambria Math"/>
                              <w:i/>
                              <w:sz w:val="22"/>
                              <w:szCs w:val="22"/>
                            </w:rPr>
                          </m:ctrlPr>
                        </m:sSubPr>
                        <m:e>
                          <m:r>
                            <w:rPr>
                              <w:rFonts w:ascii="Cambria Math" w:hAnsi="Cambria Math"/>
                              <w:sz w:val="22"/>
                              <w:szCs w:val="22"/>
                            </w:rPr>
                            <m:t>EsVFC</m:t>
                          </m:r>
                        </m:e>
                        <m:sub>
                          <m:r>
                            <w:rPr>
                              <w:rFonts w:ascii="Cambria Math" w:hAnsi="Cambria Math"/>
                              <w:sz w:val="22"/>
                              <w:szCs w:val="22"/>
                            </w:rPr>
                            <m:t>j,n,m-3</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EsVSFC</m:t>
                          </m:r>
                        </m:e>
                        <m:sub>
                          <m:r>
                            <w:rPr>
                              <w:rFonts w:ascii="Cambria Math" w:hAnsi="Cambria Math"/>
                              <w:sz w:val="22"/>
                              <w:szCs w:val="22"/>
                            </w:rPr>
                            <m:t>j,n,m-3</m:t>
                          </m:r>
                        </m:sub>
                      </m:sSub>
                    </m:e>
                  </m:d>
                </m:e>
              </m:nary>
            </m:den>
          </m:f>
        </m:oMath>
      </m:oMathPara>
    </w:p>
    <w:p w:rsidR="00285A2D" w:rsidRPr="004E6CFC" w:rsidRDefault="00285A2D" w:rsidP="00285A2D">
      <w:r w:rsidRPr="004E6CFC">
        <w:t>Donde:</w:t>
      </w:r>
    </w:p>
    <w:p w:rsidR="00285A2D" w:rsidRPr="004E6CFC" w:rsidRDefault="00285A2D" w:rsidP="00285A2D">
      <w:pPr>
        <w:ind w:left="2124" w:hanging="2124"/>
      </w:pPr>
      <w:r w:rsidRPr="004E6CFC">
        <w:rPr>
          <w:i/>
        </w:rPr>
        <w:t>Pad</w:t>
      </w:r>
      <w:r w:rsidRPr="004E6CFC">
        <w:rPr>
          <w:i/>
          <w:vertAlign w:val="subscript"/>
        </w:rPr>
        <w:t>j,n,t</w:t>
      </w:r>
      <w:r w:rsidRPr="004E6CFC">
        <w:rPr>
          <w:i/>
        </w:rPr>
        <w:t>:</w:t>
      </w:r>
      <w:r w:rsidRPr="004E6CFC">
        <w:tab/>
        <w:t xml:space="preserve">Fracción de pérdidas de energía adicional, en porcentaje, asignable al nivel de tensión </w:t>
      </w:r>
      <w:r w:rsidRPr="004E6CFC">
        <w:rPr>
          <w:i/>
        </w:rPr>
        <w:t>n</w:t>
      </w:r>
      <w:r w:rsidRPr="004E6CFC">
        <w:t xml:space="preserve"> del OR </w:t>
      </w:r>
      <w:r w:rsidRPr="004E6CFC">
        <w:rPr>
          <w:i/>
        </w:rPr>
        <w:t>j</w:t>
      </w:r>
      <w:r w:rsidRPr="004E6CFC">
        <w:t xml:space="preserve"> en el año </w:t>
      </w:r>
      <w:r w:rsidRPr="004E6CFC">
        <w:rPr>
          <w:i/>
        </w:rPr>
        <w:t>t</w:t>
      </w:r>
      <w:r w:rsidRPr="004E6CFC">
        <w:t xml:space="preserve">. </w:t>
      </w:r>
    </w:p>
    <w:p w:rsidR="00285A2D" w:rsidRPr="004E6CFC" w:rsidRDefault="00285A2D" w:rsidP="00285A2D">
      <w:pPr>
        <w:ind w:left="2124" w:hanging="2124"/>
        <w:jc w:val="left"/>
      </w:pPr>
      <w:r w:rsidRPr="004E6CFC">
        <w:rPr>
          <w:i/>
        </w:rPr>
        <w:t>Epa</w:t>
      </w:r>
      <w:r w:rsidRPr="004E6CFC">
        <w:rPr>
          <w:i/>
          <w:vertAlign w:val="subscript"/>
        </w:rPr>
        <w:t>j,n,t</w:t>
      </w:r>
      <w:r w:rsidRPr="004E6CFC">
        <w:rPr>
          <w:i/>
        </w:rPr>
        <w:t>:</w:t>
      </w:r>
      <w:r w:rsidRPr="004E6CFC">
        <w:tab/>
        <w:t xml:space="preserve">Energía de pérdidas adicionales asignada al nivel de tensión </w:t>
      </w:r>
      <w:r w:rsidRPr="004E6CFC">
        <w:rPr>
          <w:i/>
        </w:rPr>
        <w:t>n</w:t>
      </w:r>
      <w:r w:rsidRPr="004E6CFC">
        <w:t xml:space="preserve"> del OR </w:t>
      </w:r>
      <w:r w:rsidRPr="004E6CFC">
        <w:rPr>
          <w:i/>
        </w:rPr>
        <w:t>j</w:t>
      </w:r>
      <w:r w:rsidRPr="004E6CFC">
        <w:t xml:space="preserve"> en el año </w:t>
      </w:r>
      <w:r w:rsidRPr="004E6CFC">
        <w:rPr>
          <w:i/>
        </w:rPr>
        <w:t>t</w:t>
      </w:r>
      <w:r w:rsidRPr="004E6CFC">
        <w:t>.</w:t>
      </w:r>
    </w:p>
    <w:p w:rsidR="00285A2D" w:rsidRPr="004E6CFC" w:rsidRDefault="00285A2D" w:rsidP="00285A2D">
      <w:pPr>
        <w:ind w:left="2124" w:hanging="2124"/>
      </w:pPr>
      <w:r w:rsidRPr="004E6CFC">
        <w:rPr>
          <w:i/>
        </w:rPr>
        <w:t>Ee</w:t>
      </w:r>
      <w:r w:rsidRPr="004E6CFC">
        <w:rPr>
          <w:i/>
          <w:vertAlign w:val="subscript"/>
        </w:rPr>
        <w:t>j,n,m</w:t>
      </w:r>
      <w:r w:rsidRPr="004E6CFC">
        <w:rPr>
          <w:i/>
        </w:rPr>
        <w:t>:</w:t>
      </w:r>
      <w:r w:rsidRPr="004E6CFC">
        <w:tab/>
        <w:t xml:space="preserve">Energía de entrada al sistema del OR </w:t>
      </w:r>
      <w:r w:rsidRPr="004E6CFC">
        <w:rPr>
          <w:i/>
        </w:rPr>
        <w:t>j</w:t>
      </w:r>
      <w:r w:rsidRPr="004E6CFC">
        <w:t xml:space="preserve"> en el nivel de tensión </w:t>
      </w:r>
      <w:r w:rsidRPr="004E6CFC">
        <w:rPr>
          <w:i/>
        </w:rPr>
        <w:t>n</w:t>
      </w:r>
      <w:r w:rsidRPr="004E6CFC">
        <w:t xml:space="preserve"> durante el mes </w:t>
      </w:r>
      <w:r w:rsidRPr="004E6CFC">
        <w:rPr>
          <w:i/>
        </w:rPr>
        <w:t>m</w:t>
      </w:r>
      <w:r w:rsidRPr="004E6CFC">
        <w:t xml:space="preserve">, expresada en kWh calculada según el numeral </w:t>
      </w:r>
      <w:r w:rsidRPr="004E6CFC">
        <w:fldChar w:fldCharType="begin"/>
      </w:r>
      <w:r w:rsidRPr="004E6CFC">
        <w:instrText xml:space="preserve"> REF _Ref460823417 \r \h  \* MERGEFORMAT </w:instrText>
      </w:r>
      <w:r w:rsidRPr="004E6CFC">
        <w:fldChar w:fldCharType="separate"/>
      </w:r>
      <w:r w:rsidR="00737178">
        <w:t>7.3.7.1</w:t>
      </w:r>
      <w:r w:rsidRPr="004E6CFC">
        <w:fldChar w:fldCharType="end"/>
      </w:r>
      <w:r w:rsidRPr="004E6CFC">
        <w:t xml:space="preserve">. </w:t>
      </w:r>
    </w:p>
    <w:p w:rsidR="00285A2D" w:rsidRPr="004E6CFC" w:rsidRDefault="00285A2D" w:rsidP="00285A2D">
      <w:pPr>
        <w:ind w:left="2124" w:hanging="2124"/>
      </w:pPr>
      <w:r w:rsidRPr="004E6CFC">
        <w:rPr>
          <w:i/>
        </w:rPr>
        <w:t>Part</w:t>
      </w:r>
      <w:r w:rsidRPr="004E6CFC">
        <w:rPr>
          <w:i/>
          <w:vertAlign w:val="subscript"/>
        </w:rPr>
        <w:t>j,n</w:t>
      </w:r>
      <w:r w:rsidRPr="004E6CFC">
        <w:rPr>
          <w:i/>
        </w:rPr>
        <w:t>:</w:t>
      </w:r>
      <w:r w:rsidRPr="004E6CFC">
        <w:tab/>
        <w:t xml:space="preserve">Participación de la energía de entrada al nivel de tensión </w:t>
      </w:r>
      <w:r w:rsidRPr="004E6CFC">
        <w:rPr>
          <w:i/>
        </w:rPr>
        <w:t>n</w:t>
      </w:r>
      <w:r w:rsidRPr="004E6CFC">
        <w:t xml:space="preserve"> del OR </w:t>
      </w:r>
      <w:r w:rsidRPr="004E6CFC">
        <w:rPr>
          <w:i/>
        </w:rPr>
        <w:t>j</w:t>
      </w:r>
      <w:r w:rsidRPr="004E6CFC">
        <w:t xml:space="preserve"> respecto del total de energía de entrada al sistema. </w:t>
      </w:r>
    </w:p>
    <w:p w:rsidR="00285A2D" w:rsidRPr="004E6CFC" w:rsidRDefault="00285A2D" w:rsidP="00285A2D">
      <w:pPr>
        <w:ind w:left="2124" w:hanging="2124"/>
      </w:pPr>
      <w:r w:rsidRPr="004E6CFC">
        <w:rPr>
          <w:i/>
        </w:rPr>
        <w:t>Epad</w:t>
      </w:r>
      <w:r w:rsidRPr="004E6CFC">
        <w:rPr>
          <w:i/>
          <w:vertAlign w:val="subscript"/>
        </w:rPr>
        <w:t>j,t:</w:t>
      </w:r>
      <w:r w:rsidRPr="004E6CFC">
        <w:tab/>
        <w:t xml:space="preserve">Energía de pérdidas adicionales del OR </w:t>
      </w:r>
      <w:r w:rsidRPr="004E6CFC">
        <w:rPr>
          <w:i/>
        </w:rPr>
        <w:t xml:space="preserve">j </w:t>
      </w:r>
      <w:r w:rsidRPr="004E6CFC">
        <w:t xml:space="preserve">en el año </w:t>
      </w:r>
      <w:r w:rsidRPr="004E6CFC">
        <w:rPr>
          <w:i/>
        </w:rPr>
        <w:t>t</w:t>
      </w:r>
      <w:r w:rsidRPr="004E6CFC">
        <w:t xml:space="preserve"> expresadas en kWh según el numeral </w:t>
      </w:r>
      <w:r w:rsidRPr="004E6CFC">
        <w:fldChar w:fldCharType="begin"/>
      </w:r>
      <w:r w:rsidRPr="004E6CFC">
        <w:instrText xml:space="preserve"> REF _Ref476780076 \r \h  \* MERGEFORMAT </w:instrText>
      </w:r>
      <w:r w:rsidRPr="004E6CFC">
        <w:fldChar w:fldCharType="separate"/>
      </w:r>
      <w:r w:rsidR="00737178">
        <w:t>7.1.4.4</w:t>
      </w:r>
      <w:r w:rsidRPr="004E6CFC">
        <w:fldChar w:fldCharType="end"/>
      </w:r>
      <w:r w:rsidRPr="004E6CFC">
        <w:t xml:space="preserve">. </w:t>
      </w:r>
    </w:p>
    <w:p w:rsidR="00285A2D" w:rsidRPr="004E6CFC" w:rsidRDefault="00285A2D" w:rsidP="00285A2D">
      <w:pPr>
        <w:ind w:left="2124" w:hanging="2124"/>
        <w:rPr>
          <w:lang w:val="es-CO"/>
        </w:rPr>
      </w:pPr>
      <w:r w:rsidRPr="004E6CFC">
        <w:rPr>
          <w:i/>
        </w:rPr>
        <w:t>EsVFC</w:t>
      </w:r>
      <w:r w:rsidRPr="004E6CFC">
        <w:rPr>
          <w:i/>
          <w:vertAlign w:val="subscript"/>
        </w:rPr>
        <w:t>j,n,m</w:t>
      </w:r>
      <w:r w:rsidRPr="004E6CFC">
        <w:t>:</w:t>
      </w:r>
      <w:r w:rsidRPr="004E6CFC">
        <w:tab/>
        <w:t>Ventas de energía en las fronteras comerciales del nivel de tensión </w:t>
      </w:r>
      <w:r w:rsidRPr="004E6CFC">
        <w:rPr>
          <w:i/>
        </w:rPr>
        <w:t>n,</w:t>
      </w:r>
      <w:r w:rsidRPr="004E6CFC">
        <w:t xml:space="preserve"> del mercado de comercialización servido por el OR </w:t>
      </w:r>
      <w:r w:rsidRPr="004E6CFC">
        <w:rPr>
          <w:i/>
        </w:rPr>
        <w:t>j,</w:t>
      </w:r>
      <w:r w:rsidRPr="004E6CFC">
        <w:t xml:space="preserve"> para el mes </w:t>
      </w:r>
      <w:r w:rsidRPr="004E6CFC">
        <w:rPr>
          <w:i/>
        </w:rPr>
        <w:t>m</w:t>
      </w:r>
      <w:r w:rsidRPr="004E6CFC">
        <w:t xml:space="preserve"> de la fecha de corte</w:t>
      </w:r>
      <w:r w:rsidRPr="004E6CFC">
        <w:rPr>
          <w:i/>
        </w:rPr>
        <w:t xml:space="preserve">. </w:t>
      </w:r>
      <w:r w:rsidRPr="004E6CFC">
        <w:t xml:space="preserve">Corresponde a la suma de las medidas en las fronteras comerciales registradas en el SIC para el mercado de comercialización servido por el OR </w:t>
      </w:r>
      <w:r w:rsidRPr="004E6CFC">
        <w:rPr>
          <w:i/>
        </w:rPr>
        <w:t>j,</w:t>
      </w:r>
      <w:r w:rsidRPr="004E6CFC">
        <w:t xml:space="preserve"> sin referir al STN, para la venta de energía a usuarios no regulados de todos los comercializadores del mercado y de las de usuarios regulados de los comercializadores distintos al incumbente. Incluye la energía entregada a los auxiliares de las subestaciones.</w:t>
      </w:r>
    </w:p>
    <w:p w:rsidR="00285A2D" w:rsidRPr="004E6CFC" w:rsidRDefault="00285A2D" w:rsidP="00285A2D">
      <w:pPr>
        <w:ind w:left="2124" w:hanging="2124"/>
      </w:pPr>
      <w:r w:rsidRPr="004E6CFC">
        <w:rPr>
          <w:i/>
        </w:rPr>
        <w:t>EsVSFC</w:t>
      </w:r>
      <w:r w:rsidRPr="004E6CFC">
        <w:rPr>
          <w:i/>
          <w:vertAlign w:val="subscript"/>
        </w:rPr>
        <w:t>j,n,m</w:t>
      </w:r>
      <w:r w:rsidRPr="004E6CFC">
        <w:t>:</w:t>
      </w:r>
      <w:r w:rsidRPr="004E6CFC">
        <w:tab/>
        <w:t xml:space="preserve">Ventas de energía en el sistema del OR </w:t>
      </w:r>
      <w:r w:rsidRPr="004E6CFC">
        <w:rPr>
          <w:i/>
        </w:rPr>
        <w:t>j,</w:t>
      </w:r>
      <w:r w:rsidRPr="004E6CFC">
        <w:t xml:space="preserve"> en el nivel de tensión </w:t>
      </w:r>
      <w:r w:rsidRPr="004E6CFC">
        <w:rPr>
          <w:i/>
        </w:rPr>
        <w:t>n,</w:t>
      </w:r>
      <w:r w:rsidRPr="004E6CFC">
        <w:t xml:space="preserve"> durante el mes </w:t>
      </w:r>
      <w:r w:rsidRPr="004E6CFC">
        <w:rPr>
          <w:i/>
        </w:rPr>
        <w:t xml:space="preserve">m </w:t>
      </w:r>
      <w:r w:rsidRPr="004E6CFC">
        <w:t>de la fecha de corte</w:t>
      </w:r>
      <w:r w:rsidRPr="004E6CFC">
        <w:rPr>
          <w:i/>
        </w:rPr>
        <w:t xml:space="preserve">. </w:t>
      </w:r>
      <w:r w:rsidRPr="004E6CFC">
        <w:t>Corresponde a las ventas de energía eléctrica, en kWh, de usuarios regulados del comercializador incumbente, que es facturado y reportado al SUI. Este valor incluye la energía entregada a los auxiliares de las subestaciones.</w:t>
      </w:r>
    </w:p>
    <w:p w:rsidR="00285A2D" w:rsidRPr="004E6CFC" w:rsidRDefault="00285A2D" w:rsidP="00285A2D">
      <w:pPr>
        <w:pStyle w:val="Ttulo3"/>
        <w:ind w:left="709"/>
      </w:pPr>
      <w:bookmarkStart w:id="776" w:name="_Toc476824931"/>
      <w:bookmarkStart w:id="777" w:name="_Toc505335982"/>
      <w:r w:rsidRPr="004E6CFC">
        <w:lastRenderedPageBreak/>
        <w:t>Cálculo de índices de pérdidas</w:t>
      </w:r>
      <w:bookmarkEnd w:id="776"/>
      <w:bookmarkEnd w:id="777"/>
    </w:p>
    <w:p w:rsidR="00285A2D" w:rsidRPr="004E6CFC" w:rsidRDefault="00285A2D" w:rsidP="00285A2D">
      <w:r w:rsidRPr="004E6CFC">
        <w:t>El ASIC debe aplicar la metodología para el cálculo de las pérdidas totales de energía y las pérdidas de energía en el nivel de tensión 1 definidas en este numeral.</w:t>
      </w:r>
    </w:p>
    <w:p w:rsidR="00285A2D" w:rsidRPr="004E6CFC" w:rsidRDefault="00285A2D" w:rsidP="00285A2D">
      <w:r w:rsidRPr="004E6CFC">
        <w:t>Para determinar las pérdidas de energía se deberá emplear la información de las fronteras comerciales registradas en el ASIC y la reportada al SUI.</w:t>
      </w:r>
    </w:p>
    <w:p w:rsidR="00285A2D" w:rsidRPr="004E6CFC" w:rsidRDefault="00A62992" w:rsidP="00285A2D">
      <w:pPr>
        <w:pStyle w:val="Ttulo4"/>
        <w:ind w:left="0" w:firstLine="0"/>
      </w:pPr>
      <w:bookmarkStart w:id="778" w:name="_Ref476780799"/>
      <w:r>
        <w:t xml:space="preserve"> </w:t>
      </w:r>
      <w:r w:rsidR="00285A2D" w:rsidRPr="004E6CFC">
        <w:t>Pérdidas totales de energía</w:t>
      </w:r>
      <w:bookmarkEnd w:id="778"/>
    </w:p>
    <w:p w:rsidR="00285A2D" w:rsidRPr="004E6CFC" w:rsidRDefault="00285A2D" w:rsidP="00285A2D">
      <w:r w:rsidRPr="004E6CFC">
        <w:t xml:space="preserve">Las pérdidas totales de energía en el mercado de comercialización servido por el OR </w:t>
      </w:r>
      <w:r w:rsidRPr="004E6CFC">
        <w:rPr>
          <w:i/>
        </w:rPr>
        <w:t>j</w:t>
      </w:r>
      <w:r w:rsidRPr="004E6CFC">
        <w:t xml:space="preserve"> para el </w:t>
      </w:r>
      <w:r>
        <w:t>año</w:t>
      </w:r>
      <w:r w:rsidRPr="004E6CFC">
        <w:t xml:space="preserve"> </w:t>
      </w:r>
      <w:r w:rsidRPr="004E6CFC">
        <w:rPr>
          <w:i/>
        </w:rPr>
        <w:t>t</w:t>
      </w:r>
      <w:r w:rsidRPr="004E6CFC">
        <w:t xml:space="preserve"> son:</w:t>
      </w:r>
    </w:p>
    <w:p w:rsidR="00285A2D" w:rsidRPr="004E6CFC" w:rsidRDefault="00C9592F" w:rsidP="00285A2D">
      <w:pPr>
        <w:pStyle w:val="Continuarlista"/>
        <w:jc w:val="center"/>
        <w:rPr>
          <w:i/>
        </w:rPr>
      </w:pPr>
      <m:oMathPara>
        <m:oMath>
          <m:sSub>
            <m:sSubPr>
              <m:ctrlPr>
                <w:rPr>
                  <w:rFonts w:ascii="Cambria Math" w:hAnsi="Cambria Math"/>
                  <w:i/>
                  <w:sz w:val="22"/>
                  <w:szCs w:val="22"/>
                </w:rPr>
              </m:ctrlPr>
            </m:sSubPr>
            <m:e>
              <m:r>
                <w:rPr>
                  <w:rFonts w:ascii="Cambria Math" w:hAnsi="Cambria Math"/>
                  <w:sz w:val="22"/>
                  <w:szCs w:val="22"/>
                </w:rPr>
                <m:t>PT</m:t>
              </m:r>
            </m:e>
            <m:sub>
              <m:r>
                <w:rPr>
                  <w:rFonts w:ascii="Cambria Math" w:hAnsi="Cambria Math"/>
                  <w:sz w:val="22"/>
                  <w:szCs w:val="22"/>
                </w:rPr>
                <m:t>j,t</m:t>
              </m:r>
            </m:sub>
          </m:sSub>
          <m:r>
            <w:rPr>
              <w:rFonts w:ascii="Cambria Math" w:hAnsi="Cambria Math"/>
              <w:sz w:val="22"/>
              <w:szCs w:val="22"/>
            </w:rPr>
            <m:t>=</m:t>
          </m:r>
          <m:nary>
            <m:naryPr>
              <m:chr m:val="∑"/>
              <m:limLoc m:val="undOvr"/>
              <m:ctrlPr>
                <w:rPr>
                  <w:rFonts w:ascii="Cambria Math" w:hAnsi="Cambria Math"/>
                  <w:i/>
                  <w:sz w:val="22"/>
                  <w:szCs w:val="22"/>
                </w:rPr>
              </m:ctrlPr>
            </m:naryPr>
            <m:sub>
              <m:r>
                <w:rPr>
                  <w:rFonts w:ascii="Cambria Math" w:hAnsi="Cambria Math"/>
                  <w:sz w:val="22"/>
                  <w:szCs w:val="22"/>
                </w:rPr>
                <m:t>n=1</m:t>
              </m:r>
            </m:sub>
            <m:sup>
              <m:r>
                <w:rPr>
                  <w:rFonts w:ascii="Cambria Math" w:hAnsi="Cambria Math"/>
                  <w:sz w:val="22"/>
                  <w:szCs w:val="22"/>
                </w:rPr>
                <m:t>4</m:t>
              </m:r>
            </m:sup>
            <m:e>
              <m:nary>
                <m:naryPr>
                  <m:chr m:val="∑"/>
                  <m:limLoc m:val="undOvr"/>
                  <m:ctrlPr>
                    <w:rPr>
                      <w:rFonts w:ascii="Cambria Math" w:hAnsi="Cambria Math"/>
                      <w:i/>
                      <w:sz w:val="22"/>
                      <w:szCs w:val="22"/>
                    </w:rPr>
                  </m:ctrlPr>
                </m:naryPr>
                <m:sub>
                  <m:r>
                    <w:rPr>
                      <w:rFonts w:ascii="Cambria Math" w:hAnsi="Cambria Math"/>
                      <w:sz w:val="22"/>
                      <w:szCs w:val="22"/>
                    </w:rPr>
                    <m:t>m-3</m:t>
                  </m:r>
                </m:sub>
                <m:sup>
                  <m:r>
                    <w:rPr>
                      <w:rFonts w:ascii="Cambria Math" w:hAnsi="Cambria Math"/>
                      <w:sz w:val="22"/>
                      <w:szCs w:val="22"/>
                    </w:rPr>
                    <m:t>m-14</m:t>
                  </m:r>
                </m:sup>
                <m:e>
                  <m:d>
                    <m:dPr>
                      <m:ctrlPr>
                        <w:rPr>
                          <w:rFonts w:ascii="Cambria Math" w:hAnsi="Cambria Math"/>
                          <w:i/>
                          <w:sz w:val="22"/>
                          <w:szCs w:val="22"/>
                        </w:rPr>
                      </m:ctrlPr>
                    </m:dPr>
                    <m:e>
                      <m:sSub>
                        <m:sSubPr>
                          <m:ctrlPr>
                            <w:rPr>
                              <w:rFonts w:ascii="Cambria Math" w:hAnsi="Cambria Math"/>
                              <w:i/>
                              <w:sz w:val="22"/>
                              <w:szCs w:val="22"/>
                            </w:rPr>
                          </m:ctrlPr>
                        </m:sSubPr>
                        <m:e>
                          <m:r>
                            <w:rPr>
                              <w:rFonts w:ascii="Cambria Math" w:hAnsi="Cambria Math"/>
                              <w:sz w:val="22"/>
                              <w:szCs w:val="22"/>
                            </w:rPr>
                            <m:t>Ee</m:t>
                          </m:r>
                        </m:e>
                        <m:sub>
                          <m:r>
                            <w:rPr>
                              <w:rFonts w:ascii="Cambria Math" w:hAnsi="Cambria Math"/>
                              <w:sz w:val="22"/>
                              <w:szCs w:val="22"/>
                            </w:rPr>
                            <m:t>j,n,m</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FeNS</m:t>
                          </m:r>
                        </m:e>
                        <m:sub>
                          <m:r>
                            <w:rPr>
                              <w:rFonts w:ascii="Cambria Math" w:hAnsi="Cambria Math"/>
                              <w:sz w:val="22"/>
                              <w:szCs w:val="22"/>
                            </w:rPr>
                            <m:t>j,n,m</m:t>
                          </m:r>
                        </m:sub>
                      </m:sSub>
                    </m:e>
                  </m:d>
                </m:e>
              </m:nary>
            </m:e>
          </m:nary>
          <m:r>
            <w:rPr>
              <w:rFonts w:ascii="Cambria Math" w:hAnsi="Cambria Math"/>
              <w:sz w:val="22"/>
              <w:szCs w:val="22"/>
            </w:rPr>
            <m:t>-</m:t>
          </m:r>
          <m:nary>
            <m:naryPr>
              <m:chr m:val="∑"/>
              <m:limLoc m:val="undOvr"/>
              <m:ctrlPr>
                <w:rPr>
                  <w:rFonts w:ascii="Cambria Math" w:hAnsi="Cambria Math"/>
                  <w:i/>
                  <w:sz w:val="22"/>
                  <w:szCs w:val="22"/>
                </w:rPr>
              </m:ctrlPr>
            </m:naryPr>
            <m:sub>
              <m:r>
                <w:rPr>
                  <w:rFonts w:ascii="Cambria Math" w:hAnsi="Cambria Math"/>
                  <w:sz w:val="22"/>
                  <w:szCs w:val="22"/>
                </w:rPr>
                <m:t>n=1</m:t>
              </m:r>
            </m:sub>
            <m:sup>
              <m:r>
                <w:rPr>
                  <w:rFonts w:ascii="Cambria Math" w:hAnsi="Cambria Math"/>
                  <w:sz w:val="22"/>
                  <w:szCs w:val="22"/>
                </w:rPr>
                <m:t>4</m:t>
              </m:r>
            </m:sup>
            <m:e>
              <m:nary>
                <m:naryPr>
                  <m:chr m:val="∑"/>
                  <m:limLoc m:val="undOvr"/>
                  <m:ctrlPr>
                    <w:rPr>
                      <w:rFonts w:ascii="Cambria Math" w:hAnsi="Cambria Math"/>
                      <w:i/>
                      <w:sz w:val="22"/>
                      <w:szCs w:val="22"/>
                    </w:rPr>
                  </m:ctrlPr>
                </m:naryPr>
                <m:sub>
                  <m:r>
                    <w:rPr>
                      <w:rFonts w:ascii="Cambria Math" w:hAnsi="Cambria Math"/>
                      <w:sz w:val="22"/>
                      <w:szCs w:val="22"/>
                    </w:rPr>
                    <m:t>m-3</m:t>
                  </m:r>
                </m:sub>
                <m:sup>
                  <m:r>
                    <w:rPr>
                      <w:rFonts w:ascii="Cambria Math" w:hAnsi="Cambria Math"/>
                      <w:sz w:val="22"/>
                      <w:szCs w:val="22"/>
                    </w:rPr>
                    <m:t>m-14</m:t>
                  </m:r>
                </m:sup>
                <m:e>
                  <m:sSub>
                    <m:sSubPr>
                      <m:ctrlPr>
                        <w:rPr>
                          <w:rFonts w:ascii="Cambria Math" w:hAnsi="Cambria Math"/>
                          <w:i/>
                          <w:sz w:val="22"/>
                          <w:szCs w:val="22"/>
                        </w:rPr>
                      </m:ctrlPr>
                    </m:sSubPr>
                    <m:e>
                      <m:r>
                        <w:rPr>
                          <w:rFonts w:ascii="Cambria Math" w:hAnsi="Cambria Math"/>
                          <w:sz w:val="22"/>
                          <w:szCs w:val="22"/>
                        </w:rPr>
                        <m:t>Es</m:t>
                      </m:r>
                    </m:e>
                    <m:sub>
                      <m:r>
                        <w:rPr>
                          <w:rFonts w:ascii="Cambria Math" w:hAnsi="Cambria Math"/>
                          <w:sz w:val="22"/>
                          <w:szCs w:val="22"/>
                        </w:rPr>
                        <m:t>j,n,m</m:t>
                      </m:r>
                    </m:sub>
                  </m:sSub>
                </m:e>
              </m:nary>
            </m:e>
          </m:nary>
        </m:oMath>
      </m:oMathPara>
    </w:p>
    <w:p w:rsidR="00285A2D" w:rsidRPr="004E6CFC" w:rsidRDefault="00285A2D" w:rsidP="00285A2D">
      <w:r w:rsidRPr="004E6CFC">
        <w:t xml:space="preserve">El índice de pérdidas totales de energía en el mercado de comercialización servido por el OR </w:t>
      </w:r>
      <w:r w:rsidRPr="004E6CFC">
        <w:rPr>
          <w:i/>
        </w:rPr>
        <w:t>j</w:t>
      </w:r>
      <w:r w:rsidRPr="004E6CFC">
        <w:t xml:space="preserve"> para el </w:t>
      </w:r>
      <w:r>
        <w:t>año</w:t>
      </w:r>
      <w:r w:rsidRPr="004E6CFC">
        <w:t xml:space="preserve"> </w:t>
      </w:r>
      <w:r w:rsidRPr="004E6CFC">
        <w:rPr>
          <w:i/>
        </w:rPr>
        <w:t>t</w:t>
      </w:r>
      <w:r w:rsidRPr="004E6CFC">
        <w:t xml:space="preserve"> es:</w:t>
      </w:r>
    </w:p>
    <w:p w:rsidR="00285A2D" w:rsidRPr="004E6CFC" w:rsidRDefault="00C9592F" w:rsidP="00285A2D">
      <w:pPr>
        <w:pStyle w:val="Continuarlista"/>
        <w:jc w:val="center"/>
        <w:rPr>
          <w:i/>
        </w:rPr>
      </w:pPr>
      <m:oMathPara>
        <m:oMath>
          <m:sSub>
            <m:sSubPr>
              <m:ctrlPr>
                <w:rPr>
                  <w:rFonts w:ascii="Cambria Math" w:hAnsi="Cambria Math"/>
                  <w:i/>
                  <w:sz w:val="22"/>
                  <w:szCs w:val="22"/>
                </w:rPr>
              </m:ctrlPr>
            </m:sSubPr>
            <m:e>
              <m:r>
                <w:rPr>
                  <w:rFonts w:ascii="Cambria Math" w:hAnsi="Cambria Math"/>
                  <w:sz w:val="22"/>
                  <w:szCs w:val="22"/>
                </w:rPr>
                <m:t>IPT</m:t>
              </m:r>
            </m:e>
            <m:sub>
              <m:r>
                <w:rPr>
                  <w:rFonts w:ascii="Cambria Math" w:hAnsi="Cambria Math"/>
                  <w:sz w:val="22"/>
                  <w:szCs w:val="22"/>
                </w:rPr>
                <m:t>j,t</m:t>
              </m:r>
            </m:sub>
          </m:sSub>
          <m:r>
            <w:rPr>
              <w:rFonts w:ascii="Cambria Math" w:hAnsi="Cambria Math"/>
              <w:sz w:val="22"/>
              <w:szCs w:val="22"/>
            </w:rPr>
            <m:t>=</m:t>
          </m:r>
          <m:f>
            <m:fPr>
              <m:ctrlPr>
                <w:rPr>
                  <w:rFonts w:ascii="Cambria Math" w:hAnsi="Cambria Math"/>
                  <w:i/>
                  <w:sz w:val="22"/>
                  <w:szCs w:val="22"/>
                </w:rPr>
              </m:ctrlPr>
            </m:fPr>
            <m:num>
              <m:sSub>
                <m:sSubPr>
                  <m:ctrlPr>
                    <w:rPr>
                      <w:rFonts w:ascii="Cambria Math" w:hAnsi="Cambria Math"/>
                      <w:i/>
                      <w:sz w:val="22"/>
                      <w:szCs w:val="22"/>
                    </w:rPr>
                  </m:ctrlPr>
                </m:sSubPr>
                <m:e>
                  <m:r>
                    <w:rPr>
                      <w:rFonts w:ascii="Cambria Math" w:hAnsi="Cambria Math"/>
                      <w:sz w:val="22"/>
                      <w:szCs w:val="22"/>
                    </w:rPr>
                    <m:t>PT</m:t>
                  </m:r>
                </m:e>
                <m:sub>
                  <m:r>
                    <w:rPr>
                      <w:rFonts w:ascii="Cambria Math" w:hAnsi="Cambria Math"/>
                      <w:sz w:val="22"/>
                      <w:szCs w:val="22"/>
                    </w:rPr>
                    <m:t>j,t</m:t>
                  </m:r>
                </m:sub>
              </m:sSub>
            </m:num>
            <m:den>
              <m:nary>
                <m:naryPr>
                  <m:chr m:val="∑"/>
                  <m:limLoc m:val="undOvr"/>
                  <m:ctrlPr>
                    <w:rPr>
                      <w:rFonts w:ascii="Cambria Math" w:hAnsi="Cambria Math"/>
                      <w:i/>
                      <w:sz w:val="22"/>
                      <w:szCs w:val="22"/>
                    </w:rPr>
                  </m:ctrlPr>
                </m:naryPr>
                <m:sub>
                  <m:r>
                    <w:rPr>
                      <w:rFonts w:ascii="Cambria Math" w:hAnsi="Cambria Math"/>
                      <w:sz w:val="22"/>
                      <w:szCs w:val="22"/>
                    </w:rPr>
                    <m:t>n=1</m:t>
                  </m:r>
                </m:sub>
                <m:sup>
                  <m:r>
                    <w:rPr>
                      <w:rFonts w:ascii="Cambria Math" w:hAnsi="Cambria Math"/>
                      <w:sz w:val="22"/>
                      <w:szCs w:val="22"/>
                    </w:rPr>
                    <m:t>4</m:t>
                  </m:r>
                </m:sup>
                <m:e>
                  <m:nary>
                    <m:naryPr>
                      <m:chr m:val="∑"/>
                      <m:limLoc m:val="undOvr"/>
                      <m:ctrlPr>
                        <w:rPr>
                          <w:rFonts w:ascii="Cambria Math" w:hAnsi="Cambria Math"/>
                          <w:i/>
                          <w:sz w:val="22"/>
                          <w:szCs w:val="22"/>
                        </w:rPr>
                      </m:ctrlPr>
                    </m:naryPr>
                    <m:sub>
                      <m:r>
                        <w:rPr>
                          <w:rFonts w:ascii="Cambria Math" w:hAnsi="Cambria Math"/>
                          <w:sz w:val="22"/>
                          <w:szCs w:val="22"/>
                        </w:rPr>
                        <m:t>m-3</m:t>
                      </m:r>
                    </m:sub>
                    <m:sup>
                      <m:r>
                        <w:rPr>
                          <w:rFonts w:ascii="Cambria Math" w:hAnsi="Cambria Math"/>
                          <w:sz w:val="22"/>
                          <w:szCs w:val="22"/>
                        </w:rPr>
                        <m:t>m-14</m:t>
                      </m:r>
                    </m:sup>
                    <m:e>
                      <m:d>
                        <m:dPr>
                          <m:ctrlPr>
                            <w:rPr>
                              <w:rFonts w:ascii="Cambria Math" w:hAnsi="Cambria Math"/>
                              <w:i/>
                              <w:sz w:val="22"/>
                              <w:szCs w:val="22"/>
                            </w:rPr>
                          </m:ctrlPr>
                        </m:dPr>
                        <m:e>
                          <m:sSub>
                            <m:sSubPr>
                              <m:ctrlPr>
                                <w:rPr>
                                  <w:rFonts w:ascii="Cambria Math" w:hAnsi="Cambria Math"/>
                                  <w:i/>
                                  <w:sz w:val="22"/>
                                  <w:szCs w:val="22"/>
                                </w:rPr>
                              </m:ctrlPr>
                            </m:sSubPr>
                            <m:e>
                              <m:r>
                                <w:rPr>
                                  <w:rFonts w:ascii="Cambria Math" w:hAnsi="Cambria Math"/>
                                  <w:sz w:val="22"/>
                                  <w:szCs w:val="22"/>
                                </w:rPr>
                                <m:t>Ee</m:t>
                              </m:r>
                            </m:e>
                            <m:sub>
                              <m:r>
                                <w:rPr>
                                  <w:rFonts w:ascii="Cambria Math" w:hAnsi="Cambria Math"/>
                                  <w:sz w:val="22"/>
                                  <w:szCs w:val="22"/>
                                </w:rPr>
                                <m:t>j,n,m</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FeNS</m:t>
                              </m:r>
                            </m:e>
                            <m:sub>
                              <m:r>
                                <w:rPr>
                                  <w:rFonts w:ascii="Cambria Math" w:hAnsi="Cambria Math"/>
                                  <w:sz w:val="22"/>
                                  <w:szCs w:val="22"/>
                                </w:rPr>
                                <m:t>j,n,m</m:t>
                              </m:r>
                            </m:sub>
                          </m:sSub>
                        </m:e>
                      </m:d>
                    </m:e>
                  </m:nary>
                </m:e>
              </m:nary>
              <m:r>
                <w:rPr>
                  <w:rFonts w:ascii="Cambria Math" w:hAnsi="Cambria Math"/>
                  <w:sz w:val="22"/>
                  <w:szCs w:val="22"/>
                </w:rPr>
                <m:t>-</m:t>
              </m:r>
              <m:nary>
                <m:naryPr>
                  <m:chr m:val="∑"/>
                  <m:limLoc m:val="undOvr"/>
                  <m:ctrlPr>
                    <w:rPr>
                      <w:rFonts w:ascii="Cambria Math" w:hAnsi="Cambria Math"/>
                      <w:i/>
                      <w:sz w:val="22"/>
                      <w:szCs w:val="22"/>
                    </w:rPr>
                  </m:ctrlPr>
                </m:naryPr>
                <m:sub>
                  <m:r>
                    <w:rPr>
                      <w:rFonts w:ascii="Cambria Math" w:hAnsi="Cambria Math"/>
                      <w:sz w:val="22"/>
                      <w:szCs w:val="22"/>
                    </w:rPr>
                    <m:t>n=1</m:t>
                  </m:r>
                </m:sub>
                <m:sup>
                  <m:r>
                    <w:rPr>
                      <w:rFonts w:ascii="Cambria Math" w:hAnsi="Cambria Math"/>
                      <w:sz w:val="22"/>
                      <w:szCs w:val="22"/>
                    </w:rPr>
                    <m:t>4</m:t>
                  </m:r>
                </m:sup>
                <m:e>
                  <m:sSub>
                    <m:sSubPr>
                      <m:ctrlPr>
                        <w:rPr>
                          <w:rFonts w:ascii="Cambria Math" w:hAnsi="Cambria Math"/>
                          <w:i/>
                        </w:rPr>
                      </m:ctrlPr>
                    </m:sSubPr>
                    <m:e>
                      <m:nary>
                        <m:naryPr>
                          <m:chr m:val="∑"/>
                          <m:limLoc m:val="undOvr"/>
                          <m:ctrlPr>
                            <w:rPr>
                              <w:rFonts w:ascii="Cambria Math" w:hAnsi="Cambria Math"/>
                              <w:i/>
                              <w:sz w:val="22"/>
                              <w:szCs w:val="22"/>
                            </w:rPr>
                          </m:ctrlPr>
                        </m:naryPr>
                        <m:sub>
                          <m:r>
                            <w:rPr>
                              <w:rFonts w:ascii="Cambria Math" w:hAnsi="Cambria Math"/>
                              <w:sz w:val="22"/>
                              <w:szCs w:val="22"/>
                            </w:rPr>
                            <m:t>m-3</m:t>
                          </m:r>
                        </m:sub>
                        <m:sup>
                          <m:r>
                            <w:rPr>
                              <w:rFonts w:ascii="Cambria Math" w:hAnsi="Cambria Math"/>
                              <w:sz w:val="22"/>
                              <w:szCs w:val="22"/>
                            </w:rPr>
                            <m:t>m-14</m:t>
                          </m:r>
                        </m:sup>
                        <m:e>
                          <m:r>
                            <w:rPr>
                              <w:rFonts w:ascii="Cambria Math" w:hAnsi="Cambria Math"/>
                            </w:rPr>
                            <m:t>FsOR</m:t>
                          </m:r>
                        </m:e>
                      </m:nary>
                    </m:e>
                    <m:sub>
                      <m:r>
                        <w:rPr>
                          <w:rFonts w:ascii="Cambria Math" w:hAnsi="Cambria Math"/>
                        </w:rPr>
                        <m:t>j,n,m</m:t>
                      </m:r>
                    </m:sub>
                  </m:sSub>
                </m:e>
              </m:nary>
            </m:den>
          </m:f>
        </m:oMath>
      </m:oMathPara>
    </w:p>
    <w:p w:rsidR="00285A2D" w:rsidRPr="004E6CFC" w:rsidRDefault="00285A2D" w:rsidP="00285A2D">
      <w:r w:rsidRPr="004E6CFC">
        <w:t>Donde:</w:t>
      </w:r>
    </w:p>
    <w:p w:rsidR="00285A2D" w:rsidRPr="004E6CFC" w:rsidRDefault="00285A2D" w:rsidP="00285A2D">
      <w:pPr>
        <w:ind w:left="1410" w:hanging="1410"/>
      </w:pPr>
      <w:r w:rsidRPr="004E6CFC">
        <w:rPr>
          <w:i/>
        </w:rPr>
        <w:t>PT</w:t>
      </w:r>
      <w:r w:rsidRPr="004E6CFC">
        <w:rPr>
          <w:i/>
          <w:vertAlign w:val="subscript"/>
        </w:rPr>
        <w:t>j,t</w:t>
      </w:r>
      <w:r w:rsidRPr="004E6CFC">
        <w:tab/>
        <w:t xml:space="preserve">Pérdidas totales de energía en el mercado de comercialización servido por el OR </w:t>
      </w:r>
      <w:r w:rsidRPr="004E6CFC">
        <w:rPr>
          <w:i/>
        </w:rPr>
        <w:t>j</w:t>
      </w:r>
      <w:r w:rsidRPr="004E6CFC">
        <w:t xml:space="preserve">, para el </w:t>
      </w:r>
      <w:r>
        <w:t>año</w:t>
      </w:r>
      <w:r w:rsidRPr="004E6CFC">
        <w:t xml:space="preserve"> </w:t>
      </w:r>
      <w:r w:rsidRPr="004E6CFC">
        <w:rPr>
          <w:i/>
        </w:rPr>
        <w:t>t</w:t>
      </w:r>
      <w:r w:rsidRPr="004E6CFC">
        <w:t xml:space="preserve">, expresadas en kWh. </w:t>
      </w:r>
    </w:p>
    <w:p w:rsidR="00285A2D" w:rsidRDefault="00285A2D" w:rsidP="00285A2D">
      <w:pPr>
        <w:ind w:left="1410" w:hanging="1410"/>
      </w:pPr>
      <w:r w:rsidRPr="004E6CFC">
        <w:rPr>
          <w:i/>
        </w:rPr>
        <w:t>IPT</w:t>
      </w:r>
      <w:r w:rsidRPr="004E6CFC">
        <w:rPr>
          <w:i/>
          <w:vertAlign w:val="subscript"/>
        </w:rPr>
        <w:t>j,t</w:t>
      </w:r>
      <w:r w:rsidRPr="004E6CFC">
        <w:tab/>
      </w:r>
      <w:r w:rsidRPr="004E6CFC">
        <w:tab/>
        <w:t xml:space="preserve">Índice de pérdidas totales de energía en el mercado de comercialización servido por el OR </w:t>
      </w:r>
      <w:r w:rsidRPr="004E6CFC">
        <w:rPr>
          <w:i/>
        </w:rPr>
        <w:t>j</w:t>
      </w:r>
      <w:r w:rsidRPr="004E6CFC">
        <w:t xml:space="preserve">, para el </w:t>
      </w:r>
      <w:r>
        <w:t>año</w:t>
      </w:r>
      <w:r w:rsidRPr="004E6CFC">
        <w:t> </w:t>
      </w:r>
      <w:r w:rsidRPr="004E6CFC">
        <w:rPr>
          <w:i/>
        </w:rPr>
        <w:t>t</w:t>
      </w:r>
      <w:r w:rsidRPr="004E6CFC">
        <w:t>. Al inicio del plan, t igual a cero, t</w:t>
      </w:r>
      <w:r w:rsidRPr="004E6CFC">
        <w:rPr>
          <w:i/>
        </w:rPr>
        <w:t xml:space="preserve"> = </w:t>
      </w:r>
      <w:r>
        <w:rPr>
          <w:i/>
        </w:rPr>
        <w:t>0</w:t>
      </w:r>
      <w:r w:rsidRPr="004E6CFC">
        <w:t xml:space="preserve">, corresponde al </w:t>
      </w:r>
      <w:r>
        <w:t>año que finaliza en</w:t>
      </w:r>
      <w:r w:rsidRPr="004E6CFC">
        <w:t xml:space="preserve"> la fecha de corte.</w:t>
      </w:r>
    </w:p>
    <w:p w:rsidR="00285A2D" w:rsidRPr="004E6CFC" w:rsidRDefault="00285A2D" w:rsidP="00285A2D">
      <w:pPr>
        <w:ind w:left="1410" w:hanging="1410"/>
      </w:pPr>
      <w:r w:rsidRPr="004E6CFC">
        <w:rPr>
          <w:i/>
        </w:rPr>
        <w:t>Ee</w:t>
      </w:r>
      <w:r w:rsidRPr="004E6CFC">
        <w:rPr>
          <w:i/>
          <w:vertAlign w:val="subscript"/>
        </w:rPr>
        <w:t>j,n,m</w:t>
      </w:r>
      <w:r w:rsidRPr="004E6CFC">
        <w:tab/>
        <w:t xml:space="preserve">Energía de entrada al sistema del OR </w:t>
      </w:r>
      <w:r w:rsidRPr="004E6CFC">
        <w:rPr>
          <w:i/>
        </w:rPr>
        <w:t>j</w:t>
      </w:r>
      <w:r w:rsidRPr="004E6CFC">
        <w:t xml:space="preserve"> en el nivel de tensión </w:t>
      </w:r>
      <w:r w:rsidRPr="004E6CFC">
        <w:rPr>
          <w:i/>
        </w:rPr>
        <w:t xml:space="preserve">n </w:t>
      </w:r>
      <w:r w:rsidRPr="004E6CFC">
        <w:t xml:space="preserve">durante el mes </w:t>
      </w:r>
      <w:r w:rsidRPr="004E6CFC">
        <w:rPr>
          <w:i/>
        </w:rPr>
        <w:t>m</w:t>
      </w:r>
      <w:r w:rsidRPr="004E6CFC">
        <w:t xml:space="preserve">, expresada en kWh, calculada como se establece en el numeral </w:t>
      </w:r>
      <w:r w:rsidRPr="004E6CFC">
        <w:fldChar w:fldCharType="begin"/>
      </w:r>
      <w:r w:rsidRPr="004E6CFC">
        <w:instrText xml:space="preserve"> REF _Ref461013230 \r \h  \* MERGEFORMAT </w:instrText>
      </w:r>
      <w:r w:rsidRPr="004E6CFC">
        <w:fldChar w:fldCharType="separate"/>
      </w:r>
      <w:r w:rsidR="00737178">
        <w:t>7.3.7.1</w:t>
      </w:r>
      <w:r w:rsidRPr="004E6CFC">
        <w:fldChar w:fldCharType="end"/>
      </w:r>
      <w:r w:rsidRPr="004E6CFC">
        <w:t>.</w:t>
      </w:r>
    </w:p>
    <w:p w:rsidR="00285A2D" w:rsidRPr="004E6CFC" w:rsidRDefault="00285A2D" w:rsidP="00285A2D">
      <w:pPr>
        <w:ind w:left="1410" w:hanging="1410"/>
      </w:pPr>
      <w:r w:rsidRPr="004E6CFC">
        <w:rPr>
          <w:i/>
        </w:rPr>
        <w:t>Es</w:t>
      </w:r>
      <w:r w:rsidRPr="004E6CFC">
        <w:rPr>
          <w:i/>
          <w:vertAlign w:val="subscript"/>
        </w:rPr>
        <w:t>j,n,m</w:t>
      </w:r>
      <w:r w:rsidRPr="004E6CFC">
        <w:tab/>
        <w:t xml:space="preserve">Energía de salida del sistema del OR </w:t>
      </w:r>
      <w:r w:rsidRPr="004E6CFC">
        <w:rPr>
          <w:i/>
        </w:rPr>
        <w:t>j</w:t>
      </w:r>
      <w:r w:rsidRPr="004E6CFC">
        <w:t xml:space="preserve"> en el nivel de tensión </w:t>
      </w:r>
      <w:r w:rsidRPr="004E6CFC">
        <w:rPr>
          <w:i/>
        </w:rPr>
        <w:t xml:space="preserve">n </w:t>
      </w:r>
      <w:r w:rsidRPr="004E6CFC">
        <w:t xml:space="preserve">durante el mes m, expresada en kWh, calculada como se establece en el numeral </w:t>
      </w:r>
      <w:r w:rsidRPr="004E6CFC">
        <w:fldChar w:fldCharType="begin"/>
      </w:r>
      <w:r w:rsidRPr="004E6CFC">
        <w:instrText xml:space="preserve"> REF _Ref445112856 \r \h  \* MERGEFORMAT </w:instrText>
      </w:r>
      <w:r w:rsidRPr="004E6CFC">
        <w:fldChar w:fldCharType="separate"/>
      </w:r>
      <w:r w:rsidR="00737178">
        <w:t>7.3.7.2</w:t>
      </w:r>
      <w:r w:rsidRPr="004E6CFC">
        <w:fldChar w:fldCharType="end"/>
      </w:r>
      <w:r w:rsidRPr="004E6CFC">
        <w:t>.</w:t>
      </w:r>
    </w:p>
    <w:p w:rsidR="00285A2D" w:rsidRPr="004E6CFC" w:rsidRDefault="00285A2D" w:rsidP="00285A2D">
      <w:pPr>
        <w:ind w:left="1410" w:hanging="1410"/>
      </w:pPr>
      <w:r w:rsidRPr="004E6CFC">
        <w:rPr>
          <w:i/>
        </w:rPr>
        <w:t>FeNS</w:t>
      </w:r>
      <w:r w:rsidRPr="004E6CFC">
        <w:rPr>
          <w:i/>
          <w:vertAlign w:val="subscript"/>
        </w:rPr>
        <w:t>j,n,m</w:t>
      </w:r>
      <w:r w:rsidRPr="004E6CFC">
        <w:t xml:space="preserve"> </w:t>
      </w:r>
      <w:r w:rsidRPr="004E6CFC">
        <w:tab/>
        <w:t xml:space="preserve">Flujo de energía desde niveles de tensión superiores en el sistema del OR </w:t>
      </w:r>
      <w:r w:rsidRPr="004E6CFC">
        <w:rPr>
          <w:i/>
        </w:rPr>
        <w:t>j</w:t>
      </w:r>
      <w:r w:rsidRPr="004E6CFC">
        <w:t xml:space="preserve">, al nivel de tensión </w:t>
      </w:r>
      <w:r w:rsidRPr="004E6CFC">
        <w:rPr>
          <w:i/>
        </w:rPr>
        <w:t xml:space="preserve">n, </w:t>
      </w:r>
      <w:r w:rsidRPr="004E6CFC">
        <w:t xml:space="preserve">durante el mes </w:t>
      </w:r>
      <w:r w:rsidRPr="004E6CFC">
        <w:rPr>
          <w:i/>
        </w:rPr>
        <w:t>m,</w:t>
      </w:r>
      <w:r w:rsidRPr="004E6CFC">
        <w:t xml:space="preserve"> expresado en kWh, calculado como se establece en el numeral </w:t>
      </w:r>
      <w:r w:rsidRPr="004E6CFC">
        <w:fldChar w:fldCharType="begin"/>
      </w:r>
      <w:r w:rsidRPr="004E6CFC">
        <w:instrText xml:space="preserve"> REF _Ref460913554 \r \h  \* MERGEFORMAT </w:instrText>
      </w:r>
      <w:r w:rsidRPr="004E6CFC">
        <w:fldChar w:fldCharType="separate"/>
      </w:r>
      <w:r w:rsidR="00737178">
        <w:t>7.3.7.3</w:t>
      </w:r>
      <w:r w:rsidRPr="004E6CFC">
        <w:fldChar w:fldCharType="end"/>
      </w:r>
      <w:r w:rsidRPr="004E6CFC">
        <w:t>.</w:t>
      </w:r>
    </w:p>
    <w:p w:rsidR="00285A2D" w:rsidRPr="004E6CFC" w:rsidRDefault="00285A2D" w:rsidP="00285A2D">
      <w:pPr>
        <w:ind w:left="1410" w:hanging="1410"/>
        <w:rPr>
          <w:lang w:val="es-CO"/>
        </w:rPr>
      </w:pPr>
      <w:r w:rsidRPr="004E6CFC">
        <w:rPr>
          <w:i/>
        </w:rPr>
        <w:t>FsOR</w:t>
      </w:r>
      <w:r w:rsidRPr="004E6CFC">
        <w:rPr>
          <w:i/>
          <w:vertAlign w:val="subscript"/>
        </w:rPr>
        <w:t>j,n,m</w:t>
      </w:r>
      <w:r w:rsidRPr="004E6CFC">
        <w:t xml:space="preserve">  </w:t>
      </w:r>
      <w:r w:rsidRPr="004E6CFC">
        <w:tab/>
        <w:t xml:space="preserve">Flujo de energía de salida desde el sistema del OR </w:t>
      </w:r>
      <w:r w:rsidRPr="004E6CFC">
        <w:rPr>
          <w:i/>
        </w:rPr>
        <w:t>j</w:t>
      </w:r>
      <w:r w:rsidRPr="004E6CFC">
        <w:t xml:space="preserve"> en el nivel de tensión </w:t>
      </w:r>
      <w:r w:rsidRPr="004E6CFC">
        <w:rPr>
          <w:i/>
        </w:rPr>
        <w:t>n</w:t>
      </w:r>
      <w:r w:rsidRPr="004E6CFC">
        <w:t xml:space="preserve">, a otros STR y/o SDL, durante el mes </w:t>
      </w:r>
      <w:r w:rsidR="00D939A2" w:rsidRPr="004E6CFC">
        <w:rPr>
          <w:i/>
        </w:rPr>
        <w:t>m,</w:t>
      </w:r>
      <w:r w:rsidR="00D939A2" w:rsidRPr="004E6CFC">
        <w:t xml:space="preserve"> expresado</w:t>
      </w:r>
      <w:r w:rsidRPr="004E6CFC">
        <w:t xml:space="preserve"> en kWh. Corresponde a la suma de las energías medidas en las fronteras comerciales entre OR, sin referir al STN, registradas en el ASIC</w:t>
      </w:r>
    </w:p>
    <w:p w:rsidR="00285A2D" w:rsidRPr="004E6CFC" w:rsidRDefault="00285A2D" w:rsidP="00285A2D">
      <w:pPr>
        <w:ind w:left="1410" w:hanging="1410"/>
      </w:pPr>
      <w:r w:rsidRPr="004E6CFC">
        <w:rPr>
          <w:i/>
        </w:rPr>
        <w:t>n</w:t>
      </w:r>
      <w:r w:rsidRPr="004E6CFC">
        <w:tab/>
      </w:r>
      <w:r w:rsidRPr="004E6CFC">
        <w:tab/>
        <w:t xml:space="preserve">Corresponde al nivel de tensión para el cual se determina la energía. Toma los valores de 1, 2, 3 </w:t>
      </w:r>
      <w:r w:rsidR="00D939A2" w:rsidRPr="004E6CFC">
        <w:t>o</w:t>
      </w:r>
      <w:r w:rsidRPr="004E6CFC">
        <w:t xml:space="preserve"> 4.</w:t>
      </w:r>
    </w:p>
    <w:p w:rsidR="00285A2D" w:rsidRPr="004E6CFC" w:rsidRDefault="00285A2D" w:rsidP="00285A2D">
      <w:r w:rsidRPr="004E6CFC">
        <w:lastRenderedPageBreak/>
        <w:t xml:space="preserve">Cuando en un mercado de comercialización la energía vendida a usuarios en </w:t>
      </w:r>
      <w:r>
        <w:t xml:space="preserve">el </w:t>
      </w:r>
      <w:r w:rsidRPr="004E6CFC">
        <w:t>nivel de tensión 4 sea igual o superior al 30 % de las ventas totales en dicho mercado sin incluir las ventas en el STN, las ventas en el nivel de tensión 4 no se incluirán en la energía de salida y de la energía de entrada se debe descontar las ventas de energía del nivel de tensión 4 afectadas por las pérdidas reconocidas.</w:t>
      </w:r>
    </w:p>
    <w:p w:rsidR="00285A2D" w:rsidRPr="004E6CFC" w:rsidRDefault="00A62992" w:rsidP="00285A2D">
      <w:pPr>
        <w:pStyle w:val="Ttulo4"/>
        <w:ind w:left="0" w:firstLine="0"/>
      </w:pPr>
      <w:bookmarkStart w:id="779" w:name="_Ref476780492"/>
      <w:r>
        <w:t xml:space="preserve"> </w:t>
      </w:r>
      <w:r w:rsidR="00285A2D" w:rsidRPr="004E6CFC">
        <w:t>Pérdidas de energía en el nivel de tensión 1</w:t>
      </w:r>
      <w:bookmarkEnd w:id="779"/>
      <w:r w:rsidR="00285A2D" w:rsidRPr="004E6CFC">
        <w:t xml:space="preserve">  </w:t>
      </w:r>
    </w:p>
    <w:p w:rsidR="00285A2D" w:rsidRPr="004E6CFC" w:rsidRDefault="00285A2D" w:rsidP="00285A2D">
      <w:pPr>
        <w:rPr>
          <w:iCs/>
        </w:rPr>
      </w:pPr>
      <w:r w:rsidRPr="004E6CFC">
        <w:t>Para determinar las pérdidas de nivel de tensión 1, el ASIC debe realizar el balance de energía para los niveles de tensión superiores.</w:t>
      </w:r>
      <w:r w:rsidRPr="004E6CFC">
        <w:rPr>
          <w:iCs/>
        </w:rPr>
        <w:t xml:space="preserve"> </w:t>
      </w:r>
    </w:p>
    <w:p w:rsidR="00285A2D" w:rsidRPr="004E6CFC" w:rsidRDefault="00285A2D" w:rsidP="00285A2D">
      <w:r w:rsidRPr="004E6CFC">
        <w:t xml:space="preserve">El índice de pérdidas de energía en </w:t>
      </w:r>
      <w:r w:rsidRPr="004E6CFC">
        <w:rPr>
          <w:rFonts w:cs="Arial"/>
        </w:rPr>
        <w:t>nivel de tensión 1</w:t>
      </w:r>
      <w:r w:rsidRPr="004E6CFC">
        <w:t xml:space="preserve"> del OR </w:t>
      </w:r>
      <w:r w:rsidRPr="004E6CFC">
        <w:rPr>
          <w:i/>
        </w:rPr>
        <w:t>j</w:t>
      </w:r>
      <w:r w:rsidRPr="004E6CFC">
        <w:t xml:space="preserve"> es:</w:t>
      </w:r>
    </w:p>
    <w:p w:rsidR="00285A2D" w:rsidRPr="004E6CFC" w:rsidRDefault="00C9592F" w:rsidP="00285A2D">
      <m:oMathPara>
        <m:oMath>
          <m:sSub>
            <m:sSubPr>
              <m:ctrlPr>
                <w:rPr>
                  <w:rFonts w:ascii="Cambria Math" w:hAnsi="Cambria Math"/>
                  <w:i/>
                  <w:sz w:val="22"/>
                  <w:szCs w:val="22"/>
                </w:rPr>
              </m:ctrlPr>
            </m:sSubPr>
            <m:e>
              <m:r>
                <w:rPr>
                  <w:rFonts w:ascii="Cambria Math" w:hAnsi="Cambria Math"/>
                  <w:sz w:val="22"/>
                  <w:szCs w:val="22"/>
                </w:rPr>
                <m:t>PT</m:t>
              </m:r>
            </m:e>
            <m:sub>
              <m:r>
                <w:rPr>
                  <w:rFonts w:ascii="Cambria Math" w:hAnsi="Cambria Math"/>
                  <w:sz w:val="22"/>
                  <w:szCs w:val="22"/>
                </w:rPr>
                <m:t>j,1,t</m:t>
              </m:r>
            </m:sub>
          </m:sSub>
          <m:r>
            <w:rPr>
              <w:rFonts w:ascii="Cambria Math" w:hAnsi="Cambria Math"/>
              <w:sz w:val="22"/>
              <w:szCs w:val="22"/>
            </w:rPr>
            <m:t>=</m:t>
          </m:r>
          <m:f>
            <m:fPr>
              <m:ctrlPr>
                <w:rPr>
                  <w:rFonts w:ascii="Cambria Math" w:hAnsi="Cambria Math"/>
                  <w:i/>
                  <w:sz w:val="22"/>
                  <w:szCs w:val="22"/>
                </w:rPr>
              </m:ctrlPr>
            </m:fPr>
            <m:num>
              <m:nary>
                <m:naryPr>
                  <m:chr m:val="∑"/>
                  <m:limLoc m:val="undOvr"/>
                  <m:ctrlPr>
                    <w:rPr>
                      <w:rFonts w:ascii="Cambria Math" w:hAnsi="Cambria Math"/>
                      <w:i/>
                      <w:sz w:val="22"/>
                      <w:szCs w:val="22"/>
                    </w:rPr>
                  </m:ctrlPr>
                </m:naryPr>
                <m:sub>
                  <m:r>
                    <w:rPr>
                      <w:rFonts w:ascii="Cambria Math" w:hAnsi="Cambria Math"/>
                      <w:sz w:val="22"/>
                      <w:szCs w:val="22"/>
                    </w:rPr>
                    <m:t>m=-3</m:t>
                  </m:r>
                </m:sub>
                <m:sup>
                  <m:r>
                    <w:rPr>
                      <w:rFonts w:ascii="Cambria Math" w:hAnsi="Cambria Math"/>
                      <w:sz w:val="22"/>
                      <w:szCs w:val="22"/>
                    </w:rPr>
                    <m:t>-14</m:t>
                  </m:r>
                </m:sup>
                <m:e>
                  <m:d>
                    <m:dPr>
                      <m:ctrlPr>
                        <w:rPr>
                          <w:rFonts w:ascii="Cambria Math" w:hAnsi="Cambria Math"/>
                          <w:i/>
                          <w:sz w:val="22"/>
                          <w:szCs w:val="22"/>
                        </w:rPr>
                      </m:ctrlPr>
                    </m:dPr>
                    <m:e>
                      <m:sSub>
                        <m:sSubPr>
                          <m:ctrlPr>
                            <w:rPr>
                              <w:rFonts w:ascii="Cambria Math" w:hAnsi="Cambria Math"/>
                              <w:i/>
                              <w:sz w:val="22"/>
                              <w:szCs w:val="22"/>
                            </w:rPr>
                          </m:ctrlPr>
                        </m:sSubPr>
                        <m:e>
                          <m:r>
                            <w:rPr>
                              <w:rFonts w:ascii="Cambria Math" w:hAnsi="Cambria Math"/>
                              <w:sz w:val="22"/>
                              <w:szCs w:val="22"/>
                            </w:rPr>
                            <m:t>Ee</m:t>
                          </m:r>
                        </m:e>
                        <m:sub>
                          <m:r>
                            <w:rPr>
                              <w:rFonts w:ascii="Cambria Math" w:hAnsi="Cambria Math"/>
                              <w:sz w:val="22"/>
                              <w:szCs w:val="22"/>
                            </w:rPr>
                            <m:t>j,1,m</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Es</m:t>
                          </m:r>
                        </m:e>
                        <m:sub>
                          <m:r>
                            <w:rPr>
                              <w:rFonts w:ascii="Cambria Math" w:hAnsi="Cambria Math"/>
                              <w:sz w:val="22"/>
                              <w:szCs w:val="22"/>
                            </w:rPr>
                            <m:t>j,1,m</m:t>
                          </m:r>
                        </m:sub>
                      </m:sSub>
                    </m:e>
                  </m:d>
                </m:e>
              </m:nary>
            </m:num>
            <m:den>
              <m:nary>
                <m:naryPr>
                  <m:chr m:val="∑"/>
                  <m:limLoc m:val="undOvr"/>
                  <m:ctrlPr>
                    <w:rPr>
                      <w:rFonts w:ascii="Cambria Math" w:hAnsi="Cambria Math"/>
                      <w:i/>
                      <w:sz w:val="22"/>
                      <w:szCs w:val="22"/>
                    </w:rPr>
                  </m:ctrlPr>
                </m:naryPr>
                <m:sub>
                  <m:r>
                    <w:rPr>
                      <w:rFonts w:ascii="Cambria Math" w:hAnsi="Cambria Math"/>
                      <w:sz w:val="22"/>
                      <w:szCs w:val="22"/>
                    </w:rPr>
                    <m:t>m=-3</m:t>
                  </m:r>
                </m:sub>
                <m:sup>
                  <m:r>
                    <w:rPr>
                      <w:rFonts w:ascii="Cambria Math" w:hAnsi="Cambria Math"/>
                      <w:sz w:val="22"/>
                      <w:szCs w:val="22"/>
                    </w:rPr>
                    <m:t>-14</m:t>
                  </m:r>
                </m:sup>
                <m:e>
                  <m:sSub>
                    <m:sSubPr>
                      <m:ctrlPr>
                        <w:rPr>
                          <w:rFonts w:ascii="Cambria Math" w:hAnsi="Cambria Math"/>
                          <w:i/>
                          <w:sz w:val="22"/>
                          <w:szCs w:val="22"/>
                        </w:rPr>
                      </m:ctrlPr>
                    </m:sSubPr>
                    <m:e>
                      <m:r>
                        <w:rPr>
                          <w:rFonts w:ascii="Cambria Math" w:hAnsi="Cambria Math"/>
                          <w:sz w:val="22"/>
                          <w:szCs w:val="22"/>
                        </w:rPr>
                        <m:t>Ee</m:t>
                      </m:r>
                    </m:e>
                    <m:sub>
                      <m:r>
                        <w:rPr>
                          <w:rFonts w:ascii="Cambria Math" w:hAnsi="Cambria Math"/>
                          <w:sz w:val="22"/>
                          <w:szCs w:val="22"/>
                        </w:rPr>
                        <m:t>j,1,m</m:t>
                      </m:r>
                    </m:sub>
                  </m:sSub>
                </m:e>
              </m:nary>
            </m:den>
          </m:f>
        </m:oMath>
      </m:oMathPara>
    </w:p>
    <w:p w:rsidR="00285A2D" w:rsidRPr="004E6CFC" w:rsidRDefault="00285A2D" w:rsidP="00285A2D">
      <w:r w:rsidRPr="004E6CFC">
        <w:t xml:space="preserve">Donde: </w:t>
      </w:r>
    </w:p>
    <w:p w:rsidR="00285A2D" w:rsidRPr="004E6CFC" w:rsidRDefault="00285A2D" w:rsidP="00285A2D">
      <w:pPr>
        <w:ind w:left="1410" w:hanging="1410"/>
      </w:pPr>
      <w:r w:rsidRPr="004E6CFC">
        <w:rPr>
          <w:i/>
        </w:rPr>
        <w:t>PT</w:t>
      </w:r>
      <w:r w:rsidRPr="004E6CFC">
        <w:rPr>
          <w:i/>
          <w:vertAlign w:val="subscript"/>
        </w:rPr>
        <w:t>j,1,t</w:t>
      </w:r>
      <w:r w:rsidRPr="004E6CFC">
        <w:tab/>
        <w:t xml:space="preserve">Índice de pérdidas de energía en </w:t>
      </w:r>
      <w:r w:rsidRPr="004E6CFC">
        <w:rPr>
          <w:rFonts w:cs="Arial"/>
        </w:rPr>
        <w:t>nivel de tensión 1</w:t>
      </w:r>
      <w:r w:rsidRPr="004E6CFC">
        <w:t xml:space="preserve"> del OR </w:t>
      </w:r>
      <w:r w:rsidRPr="004E6CFC">
        <w:rPr>
          <w:i/>
        </w:rPr>
        <w:t xml:space="preserve">j </w:t>
      </w:r>
      <w:r w:rsidRPr="004E6CFC">
        <w:t>calculado</w:t>
      </w:r>
      <w:r w:rsidRPr="004E6CFC">
        <w:rPr>
          <w:i/>
        </w:rPr>
        <w:t xml:space="preserve"> </w:t>
      </w:r>
      <w:r w:rsidRPr="004E6CFC">
        <w:t>para el año t. Al inicio del plan, t igual a cero, t</w:t>
      </w:r>
      <w:r w:rsidRPr="004E6CFC">
        <w:rPr>
          <w:i/>
        </w:rPr>
        <w:t xml:space="preserve"> = </w:t>
      </w:r>
      <w:r>
        <w:rPr>
          <w:i/>
        </w:rPr>
        <w:t>0</w:t>
      </w:r>
      <w:r w:rsidRPr="004E6CFC">
        <w:t xml:space="preserve">, corresponde al </w:t>
      </w:r>
      <w:r>
        <w:t>año que finaliza en</w:t>
      </w:r>
      <w:r w:rsidRPr="004E6CFC">
        <w:t xml:space="preserve"> la fecha de corte.</w:t>
      </w:r>
    </w:p>
    <w:p w:rsidR="00285A2D" w:rsidRPr="004E6CFC" w:rsidRDefault="00285A2D" w:rsidP="00285A2D">
      <w:pPr>
        <w:ind w:left="1410" w:hanging="1410"/>
      </w:pPr>
      <w:r w:rsidRPr="004E6CFC">
        <w:rPr>
          <w:i/>
        </w:rPr>
        <w:t>Ee</w:t>
      </w:r>
      <w:r w:rsidRPr="004E6CFC">
        <w:rPr>
          <w:i/>
          <w:vertAlign w:val="subscript"/>
        </w:rPr>
        <w:t>j,1,m</w:t>
      </w:r>
      <w:r w:rsidRPr="004E6CFC">
        <w:rPr>
          <w:i/>
        </w:rPr>
        <w:tab/>
      </w:r>
      <w:r w:rsidRPr="004E6CFC">
        <w:t xml:space="preserve">Energía de entrada en </w:t>
      </w:r>
      <w:r w:rsidRPr="004E6CFC">
        <w:rPr>
          <w:rFonts w:cs="Arial"/>
        </w:rPr>
        <w:t>nivel de tensión 1</w:t>
      </w:r>
      <w:r w:rsidRPr="004E6CFC">
        <w:t xml:space="preserve"> del OR </w:t>
      </w:r>
      <w:r w:rsidRPr="004E6CFC">
        <w:rPr>
          <w:i/>
        </w:rPr>
        <w:t>j</w:t>
      </w:r>
      <w:r w:rsidRPr="004E6CFC">
        <w:t xml:space="preserve"> durante el mes </w:t>
      </w:r>
      <w:r w:rsidRPr="004E6CFC">
        <w:rPr>
          <w:i/>
        </w:rPr>
        <w:t>m</w:t>
      </w:r>
      <w:r w:rsidRPr="004E6CFC">
        <w:t xml:space="preserve">, expresada en kWh, calculada como se establece en el numeral </w:t>
      </w:r>
      <w:r w:rsidRPr="004E6CFC">
        <w:fldChar w:fldCharType="begin"/>
      </w:r>
      <w:r w:rsidRPr="004E6CFC">
        <w:instrText xml:space="preserve"> REF _Ref460823417 \r \h  \* MERGEFORMAT </w:instrText>
      </w:r>
      <w:r w:rsidRPr="004E6CFC">
        <w:fldChar w:fldCharType="separate"/>
      </w:r>
      <w:r w:rsidR="00737178">
        <w:t>7.3.7.1</w:t>
      </w:r>
      <w:r w:rsidRPr="004E6CFC">
        <w:fldChar w:fldCharType="end"/>
      </w:r>
      <w:r w:rsidRPr="004E6CFC">
        <w:t>.</w:t>
      </w:r>
    </w:p>
    <w:p w:rsidR="00285A2D" w:rsidRPr="004E6CFC" w:rsidRDefault="00285A2D" w:rsidP="00285A2D">
      <w:pPr>
        <w:ind w:left="1410" w:hanging="1410"/>
      </w:pPr>
      <w:r w:rsidRPr="004E6CFC">
        <w:rPr>
          <w:i/>
        </w:rPr>
        <w:t>Es</w:t>
      </w:r>
      <w:r w:rsidRPr="004E6CFC">
        <w:rPr>
          <w:i/>
          <w:vertAlign w:val="subscript"/>
        </w:rPr>
        <w:t>j,n,m</w:t>
      </w:r>
      <w:r w:rsidRPr="004E6CFC">
        <w:t xml:space="preserve"> </w:t>
      </w:r>
      <w:r w:rsidRPr="004E6CFC">
        <w:tab/>
        <w:t xml:space="preserve">Energía de salida del sistema del OR </w:t>
      </w:r>
      <w:r w:rsidRPr="004E6CFC">
        <w:rPr>
          <w:i/>
        </w:rPr>
        <w:t>j</w:t>
      </w:r>
      <w:r w:rsidRPr="004E6CFC">
        <w:t xml:space="preserve"> en el nivel de tensión </w:t>
      </w:r>
      <w:r w:rsidRPr="004E6CFC">
        <w:rPr>
          <w:i/>
        </w:rPr>
        <w:t xml:space="preserve">n, </w:t>
      </w:r>
      <w:r w:rsidRPr="004E6CFC">
        <w:t xml:space="preserve">durante el mes </w:t>
      </w:r>
      <w:r w:rsidRPr="004E6CFC">
        <w:rPr>
          <w:i/>
        </w:rPr>
        <w:t xml:space="preserve">m, </w:t>
      </w:r>
      <w:r w:rsidRPr="004E6CFC">
        <w:t xml:space="preserve">expresada en kWh, calculada como se establece en el numeral </w:t>
      </w:r>
      <w:r w:rsidRPr="004E6CFC">
        <w:fldChar w:fldCharType="begin"/>
      </w:r>
      <w:r w:rsidRPr="004E6CFC">
        <w:instrText xml:space="preserve"> REF _Ref445112856 \r \h  \* MERGEFORMAT </w:instrText>
      </w:r>
      <w:r w:rsidRPr="004E6CFC">
        <w:fldChar w:fldCharType="separate"/>
      </w:r>
      <w:r w:rsidR="00737178">
        <w:t>7.3.7.2</w:t>
      </w:r>
      <w:r w:rsidRPr="004E6CFC">
        <w:fldChar w:fldCharType="end"/>
      </w:r>
    </w:p>
    <w:p w:rsidR="00285A2D" w:rsidRPr="004E6CFC" w:rsidRDefault="00A62992" w:rsidP="00285A2D">
      <w:pPr>
        <w:pStyle w:val="Ttulo4"/>
        <w:ind w:left="0" w:firstLine="0"/>
      </w:pPr>
      <w:bookmarkStart w:id="780" w:name="_Ref476735376"/>
      <w:r>
        <w:t xml:space="preserve"> </w:t>
      </w:r>
      <w:r w:rsidR="00285A2D" w:rsidRPr="004E6CFC">
        <w:t xml:space="preserve">Pérdidas de energía </w:t>
      </w:r>
      <w:r w:rsidR="00285A2D">
        <w:t>reconocidas</w:t>
      </w:r>
      <w:r w:rsidR="00285A2D" w:rsidRPr="004E6CFC">
        <w:t xml:space="preserve"> en el nivel de tensión 1</w:t>
      </w:r>
      <w:bookmarkEnd w:id="780"/>
      <w:r w:rsidR="00285A2D" w:rsidRPr="004E6CFC">
        <w:t xml:space="preserve">  </w:t>
      </w:r>
    </w:p>
    <w:p w:rsidR="00285A2D" w:rsidRPr="004E6CFC" w:rsidRDefault="00285A2D" w:rsidP="00285A2D">
      <w:r w:rsidRPr="004E6CFC">
        <w:t xml:space="preserve">El factor de pérdidas de energía </w:t>
      </w:r>
      <w:r>
        <w:t>reconocidas</w:t>
      </w:r>
      <w:r w:rsidRPr="004E6CFC">
        <w:t xml:space="preserve"> en el nivel de tensión 1, </w:t>
      </w:r>
      <w:r w:rsidRPr="004E6CFC">
        <w:rPr>
          <w:i/>
        </w:rPr>
        <w:t>FPI</w:t>
      </w:r>
      <w:r w:rsidRPr="004E6CFC">
        <w:rPr>
          <w:i/>
          <w:vertAlign w:val="subscript"/>
        </w:rPr>
        <w:t>j,t</w:t>
      </w:r>
      <w:r w:rsidRPr="004E6CFC">
        <w:t xml:space="preserve">, se establece según el índice de pérdidas en la fecha de corte y en función de la inversión proyectada por el OR en cada año, según el plan de inversiones de que trata el numeral </w:t>
      </w:r>
      <w:r w:rsidRPr="004E6CFC">
        <w:fldChar w:fldCharType="begin"/>
      </w:r>
      <w:r w:rsidRPr="004E6CFC">
        <w:instrText xml:space="preserve"> REF _Ref445134276 \r \h  \* MERGEFORMAT </w:instrText>
      </w:r>
      <w:r w:rsidRPr="004E6CFC">
        <w:fldChar w:fldCharType="separate"/>
      </w:r>
      <w:r w:rsidR="00737178">
        <w:t>3.1.1.2</w:t>
      </w:r>
      <w:r w:rsidRPr="004E6CFC">
        <w:fldChar w:fldCharType="end"/>
      </w:r>
      <w:r w:rsidRPr="004E6CFC">
        <w:t>., y; con base en la siguiente expresión:</w:t>
      </w:r>
    </w:p>
    <w:p w:rsidR="00285A2D" w:rsidRPr="004E6CFC" w:rsidRDefault="00C9592F" w:rsidP="00285A2D">
      <m:oMathPara>
        <m:oMathParaPr>
          <m:jc m:val="center"/>
        </m:oMathParaPr>
        <m:oMath>
          <m:sSub>
            <m:sSubPr>
              <m:ctrlPr>
                <w:rPr>
                  <w:rFonts w:ascii="Cambria Math" w:hAnsi="Cambria Math"/>
                  <w:i/>
                </w:rPr>
              </m:ctrlPr>
            </m:sSubPr>
            <m:e>
              <m:r>
                <w:rPr>
                  <w:rFonts w:ascii="Cambria Math" w:hAnsi="Cambria Math"/>
                </w:rPr>
                <m:t>FPI</m:t>
              </m:r>
            </m:e>
            <m:sub>
              <m:r>
                <w:rPr>
                  <w:rFonts w:ascii="Cambria Math" w:hAnsi="Cambria Math"/>
                </w:rPr>
                <m:t>j,t</m:t>
              </m:r>
            </m:sub>
          </m:sSub>
          <m:r>
            <w:rPr>
              <w:rFonts w:ascii="Cambria Math" w:hAnsi="Cambria Math"/>
            </w:rPr>
            <m:t>=</m:t>
          </m:r>
          <m:sSub>
            <m:sSubPr>
              <m:ctrlPr>
                <w:rPr>
                  <w:rFonts w:ascii="Cambria Math" w:hAnsi="Cambria Math"/>
                  <w:i/>
                </w:rPr>
              </m:ctrlPr>
            </m:sSubPr>
            <m:e>
              <m:r>
                <w:rPr>
                  <w:rFonts w:ascii="Cambria Math" w:hAnsi="Cambria Math"/>
                </w:rPr>
                <m:t>Ptr</m:t>
              </m:r>
            </m:e>
            <m:sub>
              <m:r>
                <w:rPr>
                  <w:rFonts w:ascii="Cambria Math" w:hAnsi="Cambria Math"/>
                </w:rPr>
                <m:t>j,1,t</m:t>
              </m:r>
            </m:sub>
          </m:sSub>
          <m:d>
            <m:dPr>
              <m:begChr m:val="["/>
              <m:endChr m:val="]"/>
              <m:ctrlPr>
                <w:rPr>
                  <w:rFonts w:ascii="Cambria Math" w:hAnsi="Cambria Math"/>
                  <w:i/>
                </w:rPr>
              </m:ctrlPr>
            </m:dPr>
            <m:e>
              <m:r>
                <w:rPr>
                  <w:rFonts w:ascii="Cambria Math" w:hAnsi="Cambria Math"/>
                </w:rPr>
                <m:t>1-(t-1)*</m:t>
              </m:r>
              <m:d>
                <m:dPr>
                  <m:ctrlPr>
                    <w:rPr>
                      <w:rFonts w:ascii="Cambria Math" w:hAnsi="Cambria Math"/>
                      <w:i/>
                    </w:rPr>
                  </m:ctrlPr>
                </m:dPr>
                <m:e>
                  <m:f>
                    <m:fPr>
                      <m:ctrlPr>
                        <w:rPr>
                          <w:rFonts w:ascii="Cambria Math" w:hAnsi="Cambria Math"/>
                          <w:i/>
                        </w:rPr>
                      </m:ctrlPr>
                    </m:fPr>
                    <m:num>
                      <m:sSub>
                        <m:sSubPr>
                          <m:ctrlPr>
                            <w:rPr>
                              <w:rFonts w:ascii="Cambria Math" w:hAnsi="Cambria Math"/>
                              <w:i/>
                            </w:rPr>
                          </m:ctrlPr>
                        </m:sSubPr>
                        <m:e>
                          <m:r>
                            <w:rPr>
                              <w:rFonts w:ascii="Cambria Math" w:hAnsi="Cambria Math"/>
                            </w:rPr>
                            <m:t>Ptr</m:t>
                          </m:r>
                        </m:e>
                        <m:sub>
                          <m:r>
                            <w:rPr>
                              <w:rFonts w:ascii="Cambria Math" w:hAnsi="Cambria Math"/>
                            </w:rPr>
                            <m:t>j,1,t</m:t>
                          </m:r>
                        </m:sub>
                      </m:sSub>
                      <m:r>
                        <w:rPr>
                          <w:rFonts w:ascii="Cambria Math" w:hAnsi="Cambria Math"/>
                        </w:rPr>
                        <m:t>-</m:t>
                      </m:r>
                      <m:sSub>
                        <m:sSubPr>
                          <m:ctrlPr>
                            <w:rPr>
                              <w:rFonts w:ascii="Cambria Math" w:hAnsi="Cambria Math"/>
                              <w:i/>
                            </w:rPr>
                          </m:ctrlPr>
                        </m:sSubPr>
                        <m:e>
                          <m:r>
                            <w:rPr>
                              <w:rFonts w:ascii="Cambria Math" w:hAnsi="Cambria Math"/>
                            </w:rPr>
                            <m:t>Pe</m:t>
                          </m:r>
                        </m:e>
                        <m:sub>
                          <m:r>
                            <w:rPr>
                              <w:rFonts w:ascii="Cambria Math" w:hAnsi="Cambria Math"/>
                            </w:rPr>
                            <m:t>j,1</m:t>
                          </m:r>
                        </m:sub>
                      </m:sSub>
                    </m:num>
                    <m:den>
                      <m:r>
                        <w:rPr>
                          <w:rFonts w:ascii="Cambria Math" w:hAnsi="Cambria Math"/>
                        </w:rPr>
                        <m:t>9*</m:t>
                      </m:r>
                      <m:sSub>
                        <m:sSubPr>
                          <m:ctrlPr>
                            <w:rPr>
                              <w:rFonts w:ascii="Cambria Math" w:hAnsi="Cambria Math"/>
                              <w:i/>
                            </w:rPr>
                          </m:ctrlPr>
                        </m:sSubPr>
                        <m:e>
                          <m:r>
                            <w:rPr>
                              <w:rFonts w:ascii="Cambria Math" w:hAnsi="Cambria Math"/>
                            </w:rPr>
                            <m:t>Ptr</m:t>
                          </m:r>
                        </m:e>
                        <m:sub>
                          <m:r>
                            <w:rPr>
                              <w:rFonts w:ascii="Cambria Math" w:hAnsi="Cambria Math"/>
                            </w:rPr>
                            <m:t>j,1,t</m:t>
                          </m:r>
                        </m:sub>
                      </m:sSub>
                    </m:den>
                  </m:f>
                </m:e>
              </m:d>
            </m:e>
          </m:d>
        </m:oMath>
      </m:oMathPara>
    </w:p>
    <w:p w:rsidR="00285A2D" w:rsidRDefault="00285A2D" w:rsidP="00285A2D">
      <w:pPr>
        <w:ind w:left="1418" w:hanging="1418"/>
      </w:pPr>
      <w:r w:rsidRPr="004E6CFC">
        <w:t>Donde:</w:t>
      </w:r>
    </w:p>
    <w:p w:rsidR="00285A2D" w:rsidRDefault="00285A2D" w:rsidP="00285A2D">
      <w:pPr>
        <w:ind w:left="1418" w:hanging="1418"/>
        <w:rPr>
          <w:i/>
        </w:rPr>
      </w:pPr>
    </w:p>
    <w:p w:rsidR="00285A2D" w:rsidRDefault="00285A2D" w:rsidP="00285A2D">
      <w:pPr>
        <w:ind w:left="1418" w:hanging="1418"/>
        <w:rPr>
          <w:i/>
        </w:rPr>
      </w:pPr>
      <w:r>
        <w:rPr>
          <w:i/>
        </w:rPr>
        <w:t>FPI</w:t>
      </w:r>
      <w:r w:rsidRPr="004E6CFC">
        <w:rPr>
          <w:i/>
          <w:vertAlign w:val="subscript"/>
        </w:rPr>
        <w:t>j, t</w:t>
      </w:r>
      <w:r w:rsidRPr="004E6CFC">
        <w:tab/>
      </w:r>
      <w:r>
        <w:t xml:space="preserve">Factor de pérdidas reconocidas en el nivel de tensión 1 para el OR </w:t>
      </w:r>
      <w:r w:rsidRPr="00315FFF">
        <w:rPr>
          <w:i/>
        </w:rPr>
        <w:t>j</w:t>
      </w:r>
      <w:r>
        <w:t xml:space="preserve"> en el año </w:t>
      </w:r>
      <w:r w:rsidRPr="00315FFF">
        <w:rPr>
          <w:i/>
        </w:rPr>
        <w:t>t</w:t>
      </w:r>
      <w:r>
        <w:t>.</w:t>
      </w:r>
    </w:p>
    <w:p w:rsidR="00285A2D" w:rsidRPr="004E6CFC" w:rsidRDefault="00285A2D" w:rsidP="00285A2D">
      <w:pPr>
        <w:ind w:left="1418" w:hanging="1418"/>
      </w:pPr>
      <w:r w:rsidRPr="004E6CFC">
        <w:rPr>
          <w:i/>
        </w:rPr>
        <w:t>Ptr</w:t>
      </w:r>
      <w:r>
        <w:rPr>
          <w:i/>
          <w:vertAlign w:val="subscript"/>
        </w:rPr>
        <w:t>j,1,t</w:t>
      </w:r>
      <w:r w:rsidRPr="004E6CFC">
        <w:tab/>
        <w:t xml:space="preserve">Índice de pérdidas de energía de transición del OR </w:t>
      </w:r>
      <w:r w:rsidRPr="004E6CFC">
        <w:rPr>
          <w:i/>
        </w:rPr>
        <w:t>j</w:t>
      </w:r>
      <w:r w:rsidRPr="004E6CFC">
        <w:t xml:space="preserve"> en</w:t>
      </w:r>
      <w:r>
        <w:t xml:space="preserve"> el</w:t>
      </w:r>
      <w:r w:rsidRPr="004E6CFC">
        <w:t xml:space="preserve"> </w:t>
      </w:r>
      <w:r w:rsidRPr="004E6CFC">
        <w:rPr>
          <w:rFonts w:cs="Arial"/>
        </w:rPr>
        <w:t>nivel de tensión 1</w:t>
      </w:r>
      <w:r>
        <w:t xml:space="preserve"> para el año t, determinado </w:t>
      </w:r>
      <w:r w:rsidRPr="004E6CFC">
        <w:t xml:space="preserve">en función del porcentaje de inversión </w:t>
      </w:r>
      <w:r>
        <w:t>y</w:t>
      </w:r>
      <w:r w:rsidRPr="004E6CFC">
        <w:t xml:space="preserve"> el índice de pérdidas del nivel de tensión 1 a la fecha de corte, según lo establecido en </w:t>
      </w:r>
      <w:r>
        <w:t xml:space="preserve">el </w:t>
      </w:r>
      <w:r w:rsidRPr="004E6CFC">
        <w:t xml:space="preserve">numeral </w:t>
      </w:r>
      <w:r>
        <w:fldChar w:fldCharType="begin"/>
      </w:r>
      <w:r>
        <w:instrText xml:space="preserve"> REF _Ref504569680 \r \h </w:instrText>
      </w:r>
      <w:r>
        <w:fldChar w:fldCharType="separate"/>
      </w:r>
      <w:r w:rsidR="00737178">
        <w:t>7.1.4.3.1</w:t>
      </w:r>
      <w:r>
        <w:fldChar w:fldCharType="end"/>
      </w:r>
      <w:r>
        <w:t>.</w:t>
      </w:r>
    </w:p>
    <w:p w:rsidR="00285A2D" w:rsidRPr="004E6CFC" w:rsidRDefault="00285A2D" w:rsidP="00285A2D">
      <w:pPr>
        <w:ind w:left="1418" w:hanging="1418"/>
      </w:pPr>
      <w:r>
        <w:rPr>
          <w:i/>
        </w:rPr>
        <w:lastRenderedPageBreak/>
        <w:t>t</w:t>
      </w:r>
      <w:r w:rsidRPr="004E6CFC">
        <w:tab/>
      </w:r>
      <w:r>
        <w:t>Año de aplicación de los cargos con base en esta resolución. Su máximo valor será diez (10)</w:t>
      </w:r>
    </w:p>
    <w:p w:rsidR="00285A2D" w:rsidRPr="004E6CFC" w:rsidRDefault="00285A2D" w:rsidP="00285A2D">
      <w:pPr>
        <w:ind w:left="1418" w:hanging="1418"/>
      </w:pPr>
      <w:r w:rsidRPr="004E6CFC">
        <w:rPr>
          <w:i/>
        </w:rPr>
        <w:t>Pe</w:t>
      </w:r>
      <w:r w:rsidRPr="004E6CFC">
        <w:rPr>
          <w:i/>
          <w:vertAlign w:val="subscript"/>
        </w:rPr>
        <w:t>j,1</w:t>
      </w:r>
      <w:r w:rsidRPr="004E6CFC">
        <w:tab/>
        <w:t xml:space="preserve">Índice de pérdidas eficientes del OR </w:t>
      </w:r>
      <w:r w:rsidRPr="004E6CFC">
        <w:rPr>
          <w:i/>
        </w:rPr>
        <w:t>j</w:t>
      </w:r>
      <w:r w:rsidRPr="004E6CFC">
        <w:t xml:space="preserve"> en el nivel de tensión 1 según lo establecido en el numeral </w:t>
      </w:r>
      <w:r w:rsidRPr="004E6CFC">
        <w:fldChar w:fldCharType="begin"/>
      </w:r>
      <w:r w:rsidRPr="004E6CFC">
        <w:instrText xml:space="preserve"> REF _Ref476809430 \r \h  \* MERGEFORMAT </w:instrText>
      </w:r>
      <w:r w:rsidRPr="004E6CFC">
        <w:fldChar w:fldCharType="separate"/>
      </w:r>
      <w:r w:rsidR="00737178">
        <w:t>7.1.1.3</w:t>
      </w:r>
      <w:r w:rsidRPr="004E6CFC">
        <w:fldChar w:fldCharType="end"/>
      </w:r>
      <w:r w:rsidRPr="004E6CFC">
        <w:t>.</w:t>
      </w:r>
    </w:p>
    <w:p w:rsidR="00285A2D" w:rsidRPr="004E6CFC" w:rsidRDefault="00285A2D" w:rsidP="00285A2D">
      <w:pPr>
        <w:pStyle w:val="Ttulo5"/>
      </w:pPr>
      <w:bookmarkStart w:id="781" w:name="_Ref504569680"/>
      <w:r>
        <w:t xml:space="preserve">Valor de pérdidas de energía de transición, </w:t>
      </w:r>
      <w:r w:rsidRPr="0022621F">
        <w:rPr>
          <w:i/>
        </w:rPr>
        <w:t>PT</w:t>
      </w:r>
      <w:r>
        <w:rPr>
          <w:i/>
        </w:rPr>
        <w:t>r</w:t>
      </w:r>
      <w:r w:rsidRPr="0022621F">
        <w:rPr>
          <w:i/>
          <w:vertAlign w:val="subscript"/>
        </w:rPr>
        <w:t>j,1</w:t>
      </w:r>
      <w:bookmarkEnd w:id="781"/>
      <w:r>
        <w:rPr>
          <w:i/>
          <w:vertAlign w:val="subscript"/>
        </w:rPr>
        <w:t>,t</w:t>
      </w:r>
      <w:r w:rsidRPr="004E6CFC">
        <w:t xml:space="preserve"> </w:t>
      </w:r>
    </w:p>
    <w:p w:rsidR="00285A2D" w:rsidRPr="004E6CFC" w:rsidRDefault="00285A2D" w:rsidP="00285A2D">
      <w:pPr>
        <w:rPr>
          <w:lang w:val="es-ES_tradnl"/>
        </w:rPr>
      </w:pPr>
      <w:r w:rsidRPr="004E6CFC">
        <w:rPr>
          <w:lang w:val="es-ES_tradnl"/>
        </w:rPr>
        <w:t>Est</w:t>
      </w:r>
      <w:r>
        <w:rPr>
          <w:lang w:val="es-ES_tradnl"/>
        </w:rPr>
        <w:t>e</w:t>
      </w:r>
      <w:r w:rsidRPr="004E6CFC">
        <w:rPr>
          <w:lang w:val="es-ES_tradnl"/>
        </w:rPr>
        <w:t xml:space="preserve"> OR deberá aplicar el factor </w:t>
      </w:r>
      <w:r w:rsidRPr="004E6CFC">
        <w:rPr>
          <w:i/>
          <w:lang w:val="es-ES_tradnl"/>
        </w:rPr>
        <w:t>Ptr</w:t>
      </w:r>
      <w:r w:rsidRPr="004E6CFC">
        <w:rPr>
          <w:i/>
          <w:vertAlign w:val="subscript"/>
          <w:lang w:val="es-ES_tradnl"/>
        </w:rPr>
        <w:t>j,1</w:t>
      </w:r>
      <w:r>
        <w:rPr>
          <w:i/>
          <w:vertAlign w:val="subscript"/>
          <w:lang w:val="es-ES_tradnl"/>
        </w:rPr>
        <w:t>,t</w:t>
      </w:r>
      <w:r w:rsidRPr="004E6CFC">
        <w:rPr>
          <w:lang w:val="es-ES_tradnl"/>
        </w:rPr>
        <w:t xml:space="preserve"> dependiendo del nivel de inversión</w:t>
      </w:r>
      <w:r>
        <w:rPr>
          <w:lang w:val="es-ES_tradnl"/>
        </w:rPr>
        <w:t xml:space="preserve"> </w:t>
      </w:r>
      <w:r w:rsidRPr="00FF1E6E">
        <w:rPr>
          <w:i/>
          <w:lang w:val="es-ES_tradnl"/>
        </w:rPr>
        <w:t>X</w:t>
      </w:r>
      <w:r w:rsidRPr="00FF1E6E">
        <w:rPr>
          <w:i/>
          <w:vertAlign w:val="subscript"/>
          <w:lang w:val="es-ES_tradnl"/>
        </w:rPr>
        <w:t>r,t</w:t>
      </w:r>
      <w:r>
        <w:rPr>
          <w:lang w:val="es-ES_tradnl"/>
        </w:rPr>
        <w:t xml:space="preserve"> y de pérdidas iniciales </w:t>
      </w:r>
      <w:r w:rsidRPr="0022621F">
        <w:rPr>
          <w:i/>
          <w:lang w:val="es-ES_tradnl"/>
        </w:rPr>
        <w:t>PT</w:t>
      </w:r>
      <w:r w:rsidRPr="0022621F">
        <w:rPr>
          <w:i/>
          <w:vertAlign w:val="subscript"/>
          <w:lang w:val="es-ES_tradnl"/>
        </w:rPr>
        <w:t>1,j,0</w:t>
      </w:r>
      <w:r>
        <w:rPr>
          <w:lang w:val="es-ES_tradnl"/>
        </w:rPr>
        <w:t xml:space="preserve"> que correspondan,</w:t>
      </w:r>
      <w:r w:rsidRPr="004E6CFC">
        <w:rPr>
          <w:lang w:val="es-ES_tradnl"/>
        </w:rPr>
        <w:t xml:space="preserve"> según la siguiente tabla:</w:t>
      </w:r>
    </w:p>
    <w:p w:rsidR="00285A2D" w:rsidRPr="0022621F" w:rsidRDefault="00285A2D" w:rsidP="00285A2D">
      <w:pPr>
        <w:ind w:left="1418" w:hanging="1418"/>
        <w:jc w:val="center"/>
      </w:pPr>
      <w:r w:rsidRPr="004E6CFC">
        <w:t xml:space="preserve">Tabla </w:t>
      </w:r>
      <w:r w:rsidRPr="004E6CFC">
        <w:fldChar w:fldCharType="begin"/>
      </w:r>
      <w:r w:rsidRPr="004E6CFC">
        <w:instrText xml:space="preserve"> SEQ Tabla \* ARABIC </w:instrText>
      </w:r>
      <w:r w:rsidRPr="004E6CFC">
        <w:fldChar w:fldCharType="separate"/>
      </w:r>
      <w:r w:rsidR="00737178">
        <w:rPr>
          <w:noProof/>
        </w:rPr>
        <w:t>7</w:t>
      </w:r>
      <w:r w:rsidRPr="004E6CFC">
        <w:fldChar w:fldCharType="end"/>
      </w:r>
      <w:r>
        <w:t>.</w:t>
      </w:r>
      <w:r w:rsidRPr="002D1D8D">
        <w:t xml:space="preserve"> Variable </w:t>
      </w:r>
      <w:r w:rsidRPr="002D1D8D">
        <w:rPr>
          <w:bCs/>
          <w:i/>
          <w:color w:val="000000"/>
          <w:sz w:val="22"/>
          <w:szCs w:val="22"/>
          <w:lang w:val="es-CO" w:eastAsia="es-CO"/>
        </w:rPr>
        <w:t>Ptr</w:t>
      </w:r>
      <w:r w:rsidRPr="002D1D8D">
        <w:rPr>
          <w:bCs/>
          <w:i/>
          <w:color w:val="000000"/>
          <w:sz w:val="22"/>
          <w:szCs w:val="22"/>
          <w:vertAlign w:val="subscript"/>
          <w:lang w:val="es-CO" w:eastAsia="es-CO"/>
        </w:rPr>
        <w:t>j,1</w:t>
      </w:r>
      <w:r>
        <w:rPr>
          <w:bCs/>
          <w:i/>
          <w:color w:val="000000"/>
          <w:sz w:val="22"/>
          <w:szCs w:val="22"/>
          <w:vertAlign w:val="subscript"/>
          <w:lang w:val="es-CO" w:eastAsia="es-CO"/>
        </w:rPr>
        <w:t>,t</w:t>
      </w:r>
      <w:r w:rsidRPr="002D1D8D">
        <w:rPr>
          <w:i/>
          <w:vertAlign w:val="subscript"/>
        </w:rPr>
        <w:t xml:space="preserve"> </w:t>
      </w:r>
      <w:r w:rsidRPr="0022621F">
        <w:t xml:space="preserve">según inversión y </w:t>
      </w:r>
      <w:r w:rsidR="00D939A2" w:rsidRPr="0022621F">
        <w:t>pérdidas</w:t>
      </w:r>
      <w:r w:rsidRPr="0022621F">
        <w:t xml:space="preserve"> iniciales</w:t>
      </w:r>
    </w:p>
    <w:tbl>
      <w:tblPr>
        <w:tblW w:w="8642" w:type="dxa"/>
        <w:jc w:val="center"/>
        <w:tblCellMar>
          <w:left w:w="70" w:type="dxa"/>
          <w:right w:w="70" w:type="dxa"/>
        </w:tblCellMar>
        <w:tblLook w:val="04A0" w:firstRow="1" w:lastRow="0" w:firstColumn="1" w:lastColumn="0" w:noHBand="0" w:noVBand="1"/>
      </w:tblPr>
      <w:tblGrid>
        <w:gridCol w:w="2263"/>
        <w:gridCol w:w="1418"/>
        <w:gridCol w:w="1559"/>
        <w:gridCol w:w="1701"/>
        <w:gridCol w:w="1701"/>
      </w:tblGrid>
      <w:tr w:rsidR="00285A2D" w:rsidRPr="004E6CFC" w:rsidTr="00285A2D">
        <w:trPr>
          <w:trHeight w:val="307"/>
          <w:tblHeader/>
          <w:jc w:val="center"/>
        </w:trPr>
        <w:tc>
          <w:tcPr>
            <w:tcW w:w="2263"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rsidR="00285A2D" w:rsidRPr="008E0FC6" w:rsidRDefault="00285A2D" w:rsidP="00285A2D">
            <w:pPr>
              <w:spacing w:before="0" w:after="0"/>
              <w:jc w:val="center"/>
              <w:rPr>
                <w:b/>
                <w:bCs/>
                <w:color w:val="000000"/>
                <w:sz w:val="18"/>
                <w:szCs w:val="22"/>
                <w:lang w:val="es-CO" w:eastAsia="es-CO"/>
              </w:rPr>
            </w:pPr>
            <w:r w:rsidRPr="008E0FC6">
              <w:rPr>
                <w:b/>
                <w:bCs/>
                <w:color w:val="000000"/>
                <w:sz w:val="18"/>
                <w:szCs w:val="22"/>
                <w:lang w:val="es-CO" w:eastAsia="es-CO"/>
              </w:rPr>
              <w:t>% de Inversión</w:t>
            </w:r>
          </w:p>
        </w:tc>
        <w:tc>
          <w:tcPr>
            <w:tcW w:w="1418" w:type="dxa"/>
            <w:tcBorders>
              <w:top w:val="single" w:sz="4" w:space="0" w:color="auto"/>
              <w:left w:val="nil"/>
              <w:bottom w:val="single" w:sz="4" w:space="0" w:color="auto"/>
              <w:right w:val="single" w:sz="4" w:space="0" w:color="auto"/>
            </w:tcBorders>
            <w:shd w:val="clear" w:color="auto" w:fill="FFFFFF" w:themeFill="background1"/>
            <w:noWrap/>
            <w:vAlign w:val="center"/>
            <w:hideMark/>
          </w:tcPr>
          <w:p w:rsidR="00285A2D" w:rsidRPr="008E0FC6" w:rsidRDefault="00285A2D" w:rsidP="00285A2D">
            <w:pPr>
              <w:spacing w:before="0" w:after="0"/>
              <w:jc w:val="center"/>
              <w:rPr>
                <w:b/>
                <w:bCs/>
                <w:color w:val="000000"/>
                <w:sz w:val="18"/>
                <w:szCs w:val="22"/>
                <w:lang w:val="es-CO" w:eastAsia="es-CO"/>
              </w:rPr>
            </w:pPr>
            <w:r w:rsidRPr="008E0FC6">
              <w:rPr>
                <w:b/>
                <w:bCs/>
                <w:color w:val="000000"/>
                <w:sz w:val="18"/>
                <w:szCs w:val="22"/>
                <w:lang w:val="es-CO" w:eastAsia="es-CO"/>
              </w:rPr>
              <w:t>PT</w:t>
            </w:r>
            <w:r w:rsidRPr="008E0FC6">
              <w:rPr>
                <w:b/>
                <w:bCs/>
                <w:color w:val="000000"/>
                <w:sz w:val="18"/>
                <w:szCs w:val="22"/>
                <w:vertAlign w:val="subscript"/>
                <w:lang w:val="es-CO" w:eastAsia="es-CO"/>
              </w:rPr>
              <w:t>j,1,0</w:t>
            </w:r>
            <w:r w:rsidRPr="008E0FC6">
              <w:rPr>
                <w:b/>
                <w:bCs/>
                <w:color w:val="000000"/>
                <w:sz w:val="18"/>
                <w:szCs w:val="22"/>
                <w:lang w:val="es-CO" w:eastAsia="es-CO"/>
              </w:rPr>
              <w:t xml:space="preserve"> </w:t>
            </w:r>
            <w:r w:rsidRPr="008E0FC6">
              <w:rPr>
                <w:sz w:val="18"/>
              </w:rPr>
              <w:t>≥</w:t>
            </w:r>
            <w:r w:rsidRPr="008E0FC6">
              <w:rPr>
                <w:b/>
                <w:bCs/>
                <w:color w:val="000000"/>
                <w:sz w:val="18"/>
                <w:szCs w:val="22"/>
                <w:lang w:val="es-CO" w:eastAsia="es-CO"/>
              </w:rPr>
              <w:t xml:space="preserve"> 23%</w:t>
            </w:r>
          </w:p>
        </w:tc>
        <w:tc>
          <w:tcPr>
            <w:tcW w:w="1559" w:type="dxa"/>
            <w:tcBorders>
              <w:top w:val="single" w:sz="4" w:space="0" w:color="auto"/>
              <w:left w:val="nil"/>
              <w:bottom w:val="single" w:sz="4" w:space="0" w:color="auto"/>
              <w:right w:val="single" w:sz="4" w:space="0" w:color="auto"/>
            </w:tcBorders>
            <w:shd w:val="clear" w:color="auto" w:fill="FFFFFF" w:themeFill="background1"/>
          </w:tcPr>
          <w:p w:rsidR="00285A2D" w:rsidRPr="008E0FC6" w:rsidRDefault="00285A2D" w:rsidP="00285A2D">
            <w:pPr>
              <w:spacing w:before="0" w:after="0"/>
              <w:jc w:val="center"/>
              <w:rPr>
                <w:b/>
                <w:bCs/>
                <w:color w:val="000000"/>
                <w:sz w:val="18"/>
                <w:szCs w:val="22"/>
                <w:lang w:val="es-CO" w:eastAsia="es-CO"/>
              </w:rPr>
            </w:pPr>
            <w:r w:rsidRPr="008E0FC6">
              <w:rPr>
                <w:b/>
                <w:bCs/>
                <w:color w:val="000000"/>
                <w:sz w:val="18"/>
                <w:szCs w:val="22"/>
                <w:lang w:val="es-CO" w:eastAsia="es-CO"/>
              </w:rPr>
              <w:t>23%&gt;PT</w:t>
            </w:r>
            <w:r w:rsidRPr="008E0FC6">
              <w:rPr>
                <w:b/>
                <w:bCs/>
                <w:color w:val="000000"/>
                <w:sz w:val="18"/>
                <w:szCs w:val="22"/>
                <w:vertAlign w:val="subscript"/>
                <w:lang w:val="es-CO" w:eastAsia="es-CO"/>
              </w:rPr>
              <w:t>j,1,0</w:t>
            </w:r>
            <w:r w:rsidRPr="008E0FC6">
              <w:rPr>
                <w:b/>
                <w:bCs/>
                <w:color w:val="000000"/>
                <w:sz w:val="18"/>
                <w:szCs w:val="22"/>
                <w:lang w:val="es-CO" w:eastAsia="es-CO"/>
              </w:rPr>
              <w:t xml:space="preserve"> </w:t>
            </w:r>
            <w:r w:rsidRPr="008E0FC6">
              <w:rPr>
                <w:sz w:val="18"/>
              </w:rPr>
              <w:t>≥</w:t>
            </w:r>
            <w:r w:rsidRPr="008E0FC6">
              <w:rPr>
                <w:b/>
                <w:bCs/>
                <w:color w:val="000000"/>
                <w:sz w:val="18"/>
                <w:szCs w:val="22"/>
                <w:lang w:val="es-CO" w:eastAsia="es-CO"/>
              </w:rPr>
              <w:t xml:space="preserve"> 19,1%</w:t>
            </w:r>
          </w:p>
        </w:tc>
        <w:tc>
          <w:tcPr>
            <w:tcW w:w="1701" w:type="dxa"/>
            <w:tcBorders>
              <w:top w:val="single" w:sz="4" w:space="0" w:color="auto"/>
              <w:left w:val="nil"/>
              <w:bottom w:val="single" w:sz="4" w:space="0" w:color="auto"/>
              <w:right w:val="single" w:sz="4" w:space="0" w:color="auto"/>
            </w:tcBorders>
            <w:shd w:val="clear" w:color="auto" w:fill="FFFFFF" w:themeFill="background1"/>
          </w:tcPr>
          <w:p w:rsidR="00285A2D" w:rsidRPr="008E0FC6" w:rsidRDefault="00285A2D" w:rsidP="00285A2D">
            <w:pPr>
              <w:spacing w:before="0" w:after="0"/>
              <w:jc w:val="center"/>
              <w:rPr>
                <w:b/>
                <w:bCs/>
                <w:color w:val="000000"/>
                <w:sz w:val="18"/>
                <w:szCs w:val="22"/>
                <w:lang w:val="es-CO" w:eastAsia="es-CO"/>
              </w:rPr>
            </w:pPr>
            <w:r w:rsidRPr="008E0FC6">
              <w:rPr>
                <w:b/>
                <w:bCs/>
                <w:color w:val="000000"/>
                <w:sz w:val="18"/>
                <w:szCs w:val="22"/>
                <w:lang w:val="es-CO" w:eastAsia="es-CO"/>
              </w:rPr>
              <w:t>19,1%&gt;PT</w:t>
            </w:r>
            <w:r w:rsidRPr="008E0FC6">
              <w:rPr>
                <w:b/>
                <w:bCs/>
                <w:color w:val="000000"/>
                <w:sz w:val="18"/>
                <w:szCs w:val="22"/>
                <w:vertAlign w:val="subscript"/>
                <w:lang w:val="es-CO" w:eastAsia="es-CO"/>
              </w:rPr>
              <w:t>j,1,0</w:t>
            </w:r>
            <w:r w:rsidRPr="008E0FC6">
              <w:rPr>
                <w:b/>
                <w:bCs/>
                <w:color w:val="000000"/>
                <w:sz w:val="18"/>
                <w:szCs w:val="22"/>
                <w:lang w:val="es-CO" w:eastAsia="es-CO"/>
              </w:rPr>
              <w:t xml:space="preserve"> </w:t>
            </w:r>
            <w:r w:rsidRPr="008E0FC6">
              <w:rPr>
                <w:sz w:val="18"/>
              </w:rPr>
              <w:t>≥</w:t>
            </w:r>
            <w:r w:rsidRPr="008E0FC6">
              <w:rPr>
                <w:b/>
                <w:bCs/>
                <w:color w:val="000000"/>
                <w:sz w:val="18"/>
                <w:szCs w:val="22"/>
                <w:lang w:val="es-CO" w:eastAsia="es-CO"/>
              </w:rPr>
              <w:t xml:space="preserve"> 15,2%</w:t>
            </w:r>
          </w:p>
        </w:tc>
        <w:tc>
          <w:tcPr>
            <w:tcW w:w="1701" w:type="dxa"/>
            <w:tcBorders>
              <w:top w:val="single" w:sz="4" w:space="0" w:color="auto"/>
              <w:left w:val="nil"/>
              <w:bottom w:val="single" w:sz="4" w:space="0" w:color="auto"/>
              <w:right w:val="single" w:sz="4" w:space="0" w:color="auto"/>
            </w:tcBorders>
            <w:shd w:val="clear" w:color="auto" w:fill="FFFFFF" w:themeFill="background1"/>
          </w:tcPr>
          <w:p w:rsidR="00285A2D" w:rsidRPr="008E0FC6" w:rsidRDefault="00285A2D" w:rsidP="00285A2D">
            <w:pPr>
              <w:spacing w:before="0" w:after="0"/>
              <w:jc w:val="center"/>
              <w:rPr>
                <w:b/>
                <w:bCs/>
                <w:color w:val="000000"/>
                <w:sz w:val="18"/>
                <w:szCs w:val="22"/>
                <w:lang w:val="es-CO" w:eastAsia="es-CO"/>
              </w:rPr>
            </w:pPr>
            <w:r w:rsidRPr="008E0FC6">
              <w:rPr>
                <w:b/>
                <w:bCs/>
                <w:color w:val="000000"/>
                <w:sz w:val="18"/>
                <w:szCs w:val="22"/>
                <w:lang w:val="es-CO" w:eastAsia="es-CO"/>
              </w:rPr>
              <w:t>15,2%&gt;PT</w:t>
            </w:r>
            <w:r w:rsidRPr="008E0FC6">
              <w:rPr>
                <w:b/>
                <w:bCs/>
                <w:color w:val="000000"/>
                <w:sz w:val="18"/>
                <w:szCs w:val="22"/>
                <w:vertAlign w:val="subscript"/>
                <w:lang w:val="es-CO" w:eastAsia="es-CO"/>
              </w:rPr>
              <w:t>j,1,0</w:t>
            </w:r>
            <w:r w:rsidRPr="008E0FC6">
              <w:rPr>
                <w:b/>
                <w:bCs/>
                <w:color w:val="000000"/>
                <w:sz w:val="18"/>
                <w:szCs w:val="22"/>
                <w:lang w:val="es-CO" w:eastAsia="es-CO"/>
              </w:rPr>
              <w:t xml:space="preserve"> </w:t>
            </w:r>
            <w:r w:rsidRPr="008E0FC6">
              <w:rPr>
                <w:sz w:val="18"/>
              </w:rPr>
              <w:t>≥</w:t>
            </w:r>
            <w:r w:rsidRPr="008E0FC6">
              <w:rPr>
                <w:b/>
                <w:bCs/>
                <w:color w:val="000000"/>
                <w:sz w:val="18"/>
                <w:szCs w:val="22"/>
                <w:lang w:val="es-CO" w:eastAsia="es-CO"/>
              </w:rPr>
              <w:t xml:space="preserve"> 11,3%</w:t>
            </w:r>
          </w:p>
        </w:tc>
      </w:tr>
      <w:tr w:rsidR="00285A2D" w:rsidRPr="004E6CFC" w:rsidTr="00285A2D">
        <w:trPr>
          <w:trHeight w:val="397"/>
          <w:jc w:val="center"/>
        </w:trPr>
        <w:tc>
          <w:tcPr>
            <w:tcW w:w="2263" w:type="dxa"/>
            <w:tcBorders>
              <w:top w:val="nil"/>
              <w:left w:val="single" w:sz="4" w:space="0" w:color="auto"/>
              <w:bottom w:val="single" w:sz="4" w:space="0" w:color="auto"/>
              <w:right w:val="single" w:sz="4" w:space="0" w:color="auto"/>
            </w:tcBorders>
            <w:shd w:val="clear" w:color="auto" w:fill="auto"/>
            <w:noWrap/>
            <w:vAlign w:val="center"/>
            <w:hideMark/>
          </w:tcPr>
          <w:p w:rsidR="00285A2D" w:rsidRPr="00646395" w:rsidRDefault="00285A2D" w:rsidP="00285A2D">
            <w:pPr>
              <w:spacing w:before="0" w:after="0"/>
              <w:jc w:val="center"/>
              <w:rPr>
                <w:b/>
                <w:color w:val="000000"/>
                <w:sz w:val="20"/>
                <w:szCs w:val="22"/>
                <w:lang w:val="es-CO" w:eastAsia="es-CO"/>
              </w:rPr>
            </w:pPr>
            <w:r w:rsidRPr="00646395">
              <w:rPr>
                <w:b/>
                <w:i/>
                <w:color w:val="000000"/>
                <w:sz w:val="20"/>
                <w:szCs w:val="22"/>
                <w:lang w:val="es-CO" w:eastAsia="es-CO"/>
              </w:rPr>
              <w:t>X</w:t>
            </w:r>
            <w:r w:rsidRPr="00646395">
              <w:rPr>
                <w:b/>
                <w:i/>
                <w:color w:val="000000"/>
                <w:sz w:val="20"/>
                <w:szCs w:val="22"/>
                <w:vertAlign w:val="subscript"/>
                <w:lang w:val="es-CO" w:eastAsia="es-CO"/>
              </w:rPr>
              <w:t>r,t</w:t>
            </w:r>
            <w:r w:rsidRPr="00646395">
              <w:rPr>
                <w:b/>
                <w:bCs/>
                <w:color w:val="000000"/>
                <w:sz w:val="20"/>
                <w:szCs w:val="28"/>
                <w:lang w:val="es-CO" w:eastAsia="es-CO"/>
              </w:rPr>
              <w:t xml:space="preserve">  ≥</w:t>
            </w:r>
            <w:r w:rsidRPr="00646395">
              <w:rPr>
                <w:b/>
                <w:color w:val="000000"/>
                <w:sz w:val="20"/>
                <w:szCs w:val="22"/>
                <w:lang w:val="es-CO" w:eastAsia="es-CO"/>
              </w:rPr>
              <w:t xml:space="preserve">  7%</w:t>
            </w:r>
          </w:p>
        </w:tc>
        <w:tc>
          <w:tcPr>
            <w:tcW w:w="1418" w:type="dxa"/>
            <w:tcBorders>
              <w:top w:val="nil"/>
              <w:left w:val="nil"/>
              <w:bottom w:val="single" w:sz="4" w:space="0" w:color="auto"/>
              <w:right w:val="single" w:sz="4" w:space="0" w:color="auto"/>
            </w:tcBorders>
            <w:shd w:val="clear" w:color="auto" w:fill="auto"/>
            <w:noWrap/>
            <w:vAlign w:val="center"/>
            <w:hideMark/>
          </w:tcPr>
          <w:p w:rsidR="00285A2D" w:rsidRPr="008E0FC6" w:rsidRDefault="00285A2D" w:rsidP="00285A2D">
            <w:pPr>
              <w:spacing w:before="0" w:after="0"/>
              <w:jc w:val="center"/>
              <w:rPr>
                <w:color w:val="000000"/>
                <w:sz w:val="20"/>
                <w:szCs w:val="22"/>
                <w:lang w:val="es-CO" w:eastAsia="es-CO"/>
              </w:rPr>
            </w:pPr>
            <w:r w:rsidRPr="008E0FC6">
              <w:rPr>
                <w:color w:val="000000"/>
                <w:sz w:val="20"/>
                <w:szCs w:val="22"/>
                <w:lang w:val="es-CO" w:eastAsia="es-CO"/>
              </w:rPr>
              <w:t>PT</w:t>
            </w:r>
            <w:r w:rsidRPr="008E0FC6">
              <w:rPr>
                <w:color w:val="000000"/>
                <w:sz w:val="20"/>
                <w:szCs w:val="22"/>
                <w:vertAlign w:val="subscript"/>
                <w:lang w:val="es-CO" w:eastAsia="es-CO"/>
              </w:rPr>
              <w:t>j,1,0</w:t>
            </w:r>
          </w:p>
        </w:tc>
        <w:tc>
          <w:tcPr>
            <w:tcW w:w="1559" w:type="dxa"/>
            <w:tcBorders>
              <w:top w:val="nil"/>
              <w:left w:val="nil"/>
              <w:bottom w:val="single" w:sz="4" w:space="0" w:color="auto"/>
              <w:right w:val="single" w:sz="4" w:space="0" w:color="auto"/>
            </w:tcBorders>
            <w:vAlign w:val="center"/>
          </w:tcPr>
          <w:p w:rsidR="00285A2D" w:rsidRPr="008E0FC6" w:rsidRDefault="00285A2D" w:rsidP="00285A2D">
            <w:pPr>
              <w:spacing w:before="0" w:after="0"/>
              <w:jc w:val="center"/>
              <w:rPr>
                <w:color w:val="000000"/>
                <w:sz w:val="20"/>
                <w:szCs w:val="22"/>
                <w:lang w:val="es-CO" w:eastAsia="es-CO"/>
              </w:rPr>
            </w:pPr>
            <w:r w:rsidRPr="008E0FC6">
              <w:rPr>
                <w:color w:val="000000"/>
                <w:sz w:val="20"/>
                <w:szCs w:val="22"/>
                <w:lang w:val="es-CO" w:eastAsia="es-CO"/>
              </w:rPr>
              <w:t>PT</w:t>
            </w:r>
            <w:r w:rsidRPr="008E0FC6">
              <w:rPr>
                <w:color w:val="000000"/>
                <w:sz w:val="20"/>
                <w:szCs w:val="22"/>
                <w:vertAlign w:val="subscript"/>
                <w:lang w:val="es-CO" w:eastAsia="es-CO"/>
              </w:rPr>
              <w:t>j,1,0</w:t>
            </w:r>
          </w:p>
        </w:tc>
        <w:tc>
          <w:tcPr>
            <w:tcW w:w="1701" w:type="dxa"/>
            <w:tcBorders>
              <w:top w:val="nil"/>
              <w:left w:val="nil"/>
              <w:bottom w:val="single" w:sz="4" w:space="0" w:color="auto"/>
              <w:right w:val="single" w:sz="4" w:space="0" w:color="auto"/>
            </w:tcBorders>
            <w:vAlign w:val="center"/>
          </w:tcPr>
          <w:p w:rsidR="00285A2D" w:rsidRPr="008E0FC6" w:rsidRDefault="00285A2D" w:rsidP="00285A2D">
            <w:pPr>
              <w:spacing w:before="0" w:after="0"/>
              <w:jc w:val="center"/>
              <w:rPr>
                <w:color w:val="000000"/>
                <w:sz w:val="20"/>
                <w:szCs w:val="22"/>
                <w:lang w:val="es-CO" w:eastAsia="es-CO"/>
              </w:rPr>
            </w:pPr>
            <w:r w:rsidRPr="008E0FC6">
              <w:rPr>
                <w:color w:val="000000"/>
                <w:sz w:val="20"/>
                <w:szCs w:val="22"/>
                <w:lang w:val="es-CO" w:eastAsia="es-CO"/>
              </w:rPr>
              <w:t>PT</w:t>
            </w:r>
            <w:r w:rsidRPr="008E0FC6">
              <w:rPr>
                <w:color w:val="000000"/>
                <w:sz w:val="20"/>
                <w:szCs w:val="22"/>
                <w:vertAlign w:val="subscript"/>
                <w:lang w:val="es-CO" w:eastAsia="es-CO"/>
              </w:rPr>
              <w:t>j,1,0</w:t>
            </w:r>
          </w:p>
        </w:tc>
        <w:tc>
          <w:tcPr>
            <w:tcW w:w="1701" w:type="dxa"/>
            <w:tcBorders>
              <w:top w:val="nil"/>
              <w:left w:val="nil"/>
              <w:bottom w:val="single" w:sz="4" w:space="0" w:color="auto"/>
              <w:right w:val="single" w:sz="4" w:space="0" w:color="auto"/>
            </w:tcBorders>
            <w:vAlign w:val="center"/>
          </w:tcPr>
          <w:p w:rsidR="00285A2D" w:rsidRPr="008E0FC6" w:rsidRDefault="00285A2D" w:rsidP="00285A2D">
            <w:pPr>
              <w:spacing w:before="0" w:after="0"/>
              <w:jc w:val="center"/>
              <w:rPr>
                <w:color w:val="000000"/>
                <w:sz w:val="20"/>
                <w:szCs w:val="22"/>
                <w:lang w:val="es-CO" w:eastAsia="es-CO"/>
              </w:rPr>
            </w:pPr>
            <w:r w:rsidRPr="008E0FC6">
              <w:rPr>
                <w:color w:val="000000"/>
                <w:sz w:val="20"/>
                <w:szCs w:val="22"/>
                <w:lang w:val="es-CO" w:eastAsia="es-CO"/>
              </w:rPr>
              <w:t>PT</w:t>
            </w:r>
            <w:r w:rsidRPr="008E0FC6">
              <w:rPr>
                <w:color w:val="000000"/>
                <w:sz w:val="20"/>
                <w:szCs w:val="22"/>
                <w:vertAlign w:val="subscript"/>
                <w:lang w:val="es-CO" w:eastAsia="es-CO"/>
              </w:rPr>
              <w:t>j,1,0</w:t>
            </w:r>
          </w:p>
        </w:tc>
      </w:tr>
      <w:tr w:rsidR="00285A2D" w:rsidRPr="004E6CFC" w:rsidTr="00285A2D">
        <w:trPr>
          <w:trHeight w:val="397"/>
          <w:jc w:val="center"/>
        </w:trPr>
        <w:tc>
          <w:tcPr>
            <w:tcW w:w="2263" w:type="dxa"/>
            <w:tcBorders>
              <w:top w:val="nil"/>
              <w:left w:val="single" w:sz="4" w:space="0" w:color="auto"/>
              <w:bottom w:val="single" w:sz="4" w:space="0" w:color="auto"/>
              <w:right w:val="single" w:sz="4" w:space="0" w:color="auto"/>
            </w:tcBorders>
            <w:shd w:val="clear" w:color="auto" w:fill="auto"/>
            <w:noWrap/>
            <w:vAlign w:val="center"/>
          </w:tcPr>
          <w:p w:rsidR="00285A2D" w:rsidRPr="00646395" w:rsidRDefault="00285A2D" w:rsidP="00285A2D">
            <w:pPr>
              <w:spacing w:before="0" w:after="0"/>
              <w:jc w:val="center"/>
              <w:rPr>
                <w:b/>
                <w:i/>
                <w:color w:val="000000"/>
                <w:sz w:val="20"/>
                <w:szCs w:val="22"/>
                <w:lang w:val="es-CO" w:eastAsia="es-CO"/>
              </w:rPr>
            </w:pPr>
            <w:r w:rsidRPr="00646395">
              <w:rPr>
                <w:b/>
                <w:color w:val="000000"/>
                <w:sz w:val="20"/>
                <w:szCs w:val="22"/>
                <w:lang w:val="es-CO" w:eastAsia="es-CO"/>
              </w:rPr>
              <w:t xml:space="preserve">7%  </w:t>
            </w:r>
            <w:r w:rsidRPr="00646395">
              <w:rPr>
                <w:b/>
                <w:bCs/>
                <w:color w:val="000000"/>
                <w:sz w:val="20"/>
                <w:szCs w:val="28"/>
                <w:lang w:val="es-CO" w:eastAsia="es-CO"/>
              </w:rPr>
              <w:t xml:space="preserve">&gt;  </w:t>
            </w:r>
            <w:r w:rsidRPr="00646395">
              <w:rPr>
                <w:b/>
                <w:i/>
                <w:color w:val="000000"/>
                <w:sz w:val="20"/>
                <w:szCs w:val="22"/>
                <w:lang w:val="es-CO" w:eastAsia="es-CO"/>
              </w:rPr>
              <w:t>X</w:t>
            </w:r>
            <w:r w:rsidRPr="00646395">
              <w:rPr>
                <w:b/>
                <w:i/>
                <w:color w:val="000000"/>
                <w:sz w:val="20"/>
                <w:szCs w:val="22"/>
                <w:vertAlign w:val="subscript"/>
                <w:lang w:val="es-CO" w:eastAsia="es-CO"/>
              </w:rPr>
              <w:t>r,t</w:t>
            </w:r>
            <w:r w:rsidRPr="00646395">
              <w:rPr>
                <w:b/>
                <w:color w:val="000000"/>
                <w:sz w:val="20"/>
                <w:szCs w:val="22"/>
                <w:lang w:val="es-CO" w:eastAsia="es-CO"/>
              </w:rPr>
              <w:t xml:space="preserve">  </w:t>
            </w:r>
            <w:r w:rsidRPr="00646395">
              <w:rPr>
                <w:b/>
                <w:bCs/>
                <w:color w:val="000000"/>
                <w:sz w:val="20"/>
                <w:szCs w:val="28"/>
                <w:lang w:val="es-CO" w:eastAsia="es-CO"/>
              </w:rPr>
              <w:t>≥</w:t>
            </w:r>
            <w:r w:rsidRPr="00646395">
              <w:rPr>
                <w:b/>
                <w:bCs/>
                <w:color w:val="000000"/>
                <w:sz w:val="20"/>
                <w:lang w:val="es-CO" w:eastAsia="es-CO"/>
              </w:rPr>
              <w:t xml:space="preserve">   6</w:t>
            </w:r>
            <w:r w:rsidRPr="00646395">
              <w:rPr>
                <w:b/>
                <w:color w:val="000000"/>
                <w:sz w:val="20"/>
                <w:szCs w:val="22"/>
                <w:lang w:val="es-CO" w:eastAsia="es-CO"/>
              </w:rPr>
              <w:t>%</w:t>
            </w:r>
          </w:p>
        </w:tc>
        <w:tc>
          <w:tcPr>
            <w:tcW w:w="1418" w:type="dxa"/>
            <w:tcBorders>
              <w:top w:val="nil"/>
              <w:left w:val="nil"/>
              <w:bottom w:val="single" w:sz="4" w:space="0" w:color="auto"/>
              <w:right w:val="single" w:sz="4" w:space="0" w:color="auto"/>
            </w:tcBorders>
            <w:shd w:val="clear" w:color="auto" w:fill="auto"/>
            <w:noWrap/>
            <w:vAlign w:val="center"/>
          </w:tcPr>
          <w:p w:rsidR="00285A2D" w:rsidRPr="008E0FC6" w:rsidRDefault="00285A2D" w:rsidP="00285A2D">
            <w:pPr>
              <w:spacing w:before="0" w:after="0"/>
              <w:jc w:val="center"/>
              <w:rPr>
                <w:color w:val="000000"/>
                <w:sz w:val="20"/>
                <w:szCs w:val="22"/>
                <w:lang w:val="es-CO" w:eastAsia="es-CO"/>
              </w:rPr>
            </w:pPr>
            <w:r w:rsidRPr="008E0FC6">
              <w:rPr>
                <w:color w:val="000000"/>
                <w:sz w:val="20"/>
                <w:szCs w:val="22"/>
                <w:lang w:val="es-CO" w:eastAsia="es-CO"/>
              </w:rPr>
              <w:t>19,1%</w:t>
            </w:r>
          </w:p>
        </w:tc>
        <w:tc>
          <w:tcPr>
            <w:tcW w:w="1559" w:type="dxa"/>
            <w:tcBorders>
              <w:top w:val="nil"/>
              <w:left w:val="nil"/>
              <w:bottom w:val="single" w:sz="4" w:space="0" w:color="auto"/>
              <w:right w:val="single" w:sz="4" w:space="0" w:color="auto"/>
            </w:tcBorders>
            <w:vAlign w:val="center"/>
          </w:tcPr>
          <w:p w:rsidR="00285A2D" w:rsidRPr="008E0FC6" w:rsidRDefault="00285A2D" w:rsidP="00285A2D">
            <w:pPr>
              <w:spacing w:before="0" w:after="0"/>
              <w:jc w:val="center"/>
              <w:rPr>
                <w:color w:val="000000"/>
                <w:sz w:val="20"/>
                <w:szCs w:val="22"/>
                <w:lang w:val="es-CO" w:eastAsia="es-CO"/>
              </w:rPr>
            </w:pPr>
            <w:r w:rsidRPr="008E0FC6">
              <w:rPr>
                <w:color w:val="000000"/>
                <w:sz w:val="20"/>
                <w:szCs w:val="22"/>
                <w:lang w:val="es-CO" w:eastAsia="es-CO"/>
              </w:rPr>
              <w:t>PT</w:t>
            </w:r>
            <w:r w:rsidRPr="008E0FC6">
              <w:rPr>
                <w:color w:val="000000"/>
                <w:sz w:val="20"/>
                <w:szCs w:val="22"/>
                <w:vertAlign w:val="subscript"/>
                <w:lang w:val="es-CO" w:eastAsia="es-CO"/>
              </w:rPr>
              <w:t>j,1,0</w:t>
            </w:r>
          </w:p>
        </w:tc>
        <w:tc>
          <w:tcPr>
            <w:tcW w:w="1701" w:type="dxa"/>
            <w:tcBorders>
              <w:top w:val="nil"/>
              <w:left w:val="nil"/>
              <w:bottom w:val="single" w:sz="4" w:space="0" w:color="auto"/>
              <w:right w:val="single" w:sz="4" w:space="0" w:color="auto"/>
            </w:tcBorders>
            <w:vAlign w:val="center"/>
          </w:tcPr>
          <w:p w:rsidR="00285A2D" w:rsidRPr="008E0FC6" w:rsidRDefault="00285A2D" w:rsidP="00285A2D">
            <w:pPr>
              <w:spacing w:before="0" w:after="0"/>
              <w:jc w:val="center"/>
              <w:rPr>
                <w:color w:val="000000"/>
                <w:sz w:val="20"/>
                <w:szCs w:val="22"/>
                <w:lang w:val="es-CO" w:eastAsia="es-CO"/>
              </w:rPr>
            </w:pPr>
            <w:r w:rsidRPr="008E0FC6">
              <w:rPr>
                <w:color w:val="000000"/>
                <w:sz w:val="20"/>
                <w:szCs w:val="22"/>
                <w:lang w:val="es-CO" w:eastAsia="es-CO"/>
              </w:rPr>
              <w:t>PT</w:t>
            </w:r>
            <w:r w:rsidRPr="008E0FC6">
              <w:rPr>
                <w:color w:val="000000"/>
                <w:sz w:val="20"/>
                <w:szCs w:val="22"/>
                <w:vertAlign w:val="subscript"/>
                <w:lang w:val="es-CO" w:eastAsia="es-CO"/>
              </w:rPr>
              <w:t>j,1,0</w:t>
            </w:r>
          </w:p>
        </w:tc>
        <w:tc>
          <w:tcPr>
            <w:tcW w:w="1701" w:type="dxa"/>
            <w:tcBorders>
              <w:top w:val="nil"/>
              <w:left w:val="nil"/>
              <w:bottom w:val="single" w:sz="4" w:space="0" w:color="auto"/>
              <w:right w:val="single" w:sz="4" w:space="0" w:color="auto"/>
            </w:tcBorders>
            <w:vAlign w:val="center"/>
          </w:tcPr>
          <w:p w:rsidR="00285A2D" w:rsidRPr="008E0FC6" w:rsidRDefault="00285A2D" w:rsidP="00285A2D">
            <w:pPr>
              <w:spacing w:before="0" w:after="0"/>
              <w:jc w:val="center"/>
              <w:rPr>
                <w:color w:val="000000"/>
                <w:sz w:val="20"/>
                <w:szCs w:val="22"/>
                <w:lang w:val="es-CO" w:eastAsia="es-CO"/>
              </w:rPr>
            </w:pPr>
            <w:r w:rsidRPr="008E0FC6">
              <w:rPr>
                <w:color w:val="000000"/>
                <w:sz w:val="20"/>
                <w:szCs w:val="22"/>
                <w:lang w:val="es-CO" w:eastAsia="es-CO"/>
              </w:rPr>
              <w:t>PT</w:t>
            </w:r>
            <w:r w:rsidRPr="008E0FC6">
              <w:rPr>
                <w:color w:val="000000"/>
                <w:sz w:val="20"/>
                <w:szCs w:val="22"/>
                <w:vertAlign w:val="subscript"/>
                <w:lang w:val="es-CO" w:eastAsia="es-CO"/>
              </w:rPr>
              <w:t>j,1,0</w:t>
            </w:r>
          </w:p>
        </w:tc>
      </w:tr>
      <w:tr w:rsidR="00285A2D" w:rsidRPr="004E6CFC" w:rsidTr="00285A2D">
        <w:trPr>
          <w:trHeight w:val="397"/>
          <w:jc w:val="center"/>
        </w:trPr>
        <w:tc>
          <w:tcPr>
            <w:tcW w:w="2263" w:type="dxa"/>
            <w:tcBorders>
              <w:top w:val="nil"/>
              <w:left w:val="single" w:sz="4" w:space="0" w:color="auto"/>
              <w:bottom w:val="single" w:sz="4" w:space="0" w:color="auto"/>
              <w:right w:val="single" w:sz="4" w:space="0" w:color="auto"/>
            </w:tcBorders>
            <w:shd w:val="clear" w:color="auto" w:fill="auto"/>
            <w:noWrap/>
            <w:vAlign w:val="center"/>
            <w:hideMark/>
          </w:tcPr>
          <w:p w:rsidR="00285A2D" w:rsidRPr="00646395" w:rsidRDefault="00285A2D" w:rsidP="00285A2D">
            <w:pPr>
              <w:spacing w:before="0" w:after="0"/>
              <w:jc w:val="center"/>
              <w:rPr>
                <w:b/>
                <w:color w:val="000000"/>
                <w:sz w:val="20"/>
                <w:szCs w:val="22"/>
                <w:lang w:val="es-CO" w:eastAsia="es-CO"/>
              </w:rPr>
            </w:pPr>
            <w:r w:rsidRPr="00646395">
              <w:rPr>
                <w:b/>
                <w:color w:val="000000"/>
                <w:sz w:val="20"/>
                <w:szCs w:val="22"/>
                <w:lang w:val="es-CO" w:eastAsia="es-CO"/>
              </w:rPr>
              <w:t xml:space="preserve">6%  </w:t>
            </w:r>
            <w:r w:rsidRPr="00646395">
              <w:rPr>
                <w:b/>
                <w:bCs/>
                <w:color w:val="000000"/>
                <w:sz w:val="20"/>
                <w:szCs w:val="28"/>
                <w:lang w:val="es-CO" w:eastAsia="es-CO"/>
              </w:rPr>
              <w:t xml:space="preserve">&gt;  </w:t>
            </w:r>
            <w:r w:rsidRPr="00646395">
              <w:rPr>
                <w:b/>
                <w:i/>
                <w:color w:val="000000"/>
                <w:sz w:val="20"/>
                <w:szCs w:val="22"/>
                <w:lang w:val="es-CO" w:eastAsia="es-CO"/>
              </w:rPr>
              <w:t>X</w:t>
            </w:r>
            <w:r w:rsidRPr="00646395">
              <w:rPr>
                <w:b/>
                <w:i/>
                <w:color w:val="000000"/>
                <w:sz w:val="20"/>
                <w:szCs w:val="22"/>
                <w:vertAlign w:val="subscript"/>
                <w:lang w:val="es-CO" w:eastAsia="es-CO"/>
              </w:rPr>
              <w:t>r,t</w:t>
            </w:r>
            <w:r w:rsidRPr="00646395">
              <w:rPr>
                <w:b/>
                <w:color w:val="000000"/>
                <w:sz w:val="20"/>
                <w:szCs w:val="22"/>
                <w:lang w:val="es-CO" w:eastAsia="es-CO"/>
              </w:rPr>
              <w:t xml:space="preserve">  </w:t>
            </w:r>
            <w:r w:rsidRPr="00646395">
              <w:rPr>
                <w:b/>
                <w:bCs/>
                <w:color w:val="000000"/>
                <w:sz w:val="20"/>
                <w:szCs w:val="28"/>
                <w:lang w:val="es-CO" w:eastAsia="es-CO"/>
              </w:rPr>
              <w:t>≥</w:t>
            </w:r>
            <w:r w:rsidRPr="00646395">
              <w:rPr>
                <w:b/>
                <w:bCs/>
                <w:color w:val="000000"/>
                <w:sz w:val="20"/>
                <w:lang w:val="es-CO" w:eastAsia="es-CO"/>
              </w:rPr>
              <w:t xml:space="preserve">   </w:t>
            </w:r>
            <w:r w:rsidRPr="00646395">
              <w:rPr>
                <w:b/>
                <w:color w:val="000000"/>
                <w:sz w:val="20"/>
                <w:szCs w:val="22"/>
                <w:lang w:val="es-CO" w:eastAsia="es-CO"/>
              </w:rPr>
              <w:t>5%</w:t>
            </w:r>
          </w:p>
        </w:tc>
        <w:tc>
          <w:tcPr>
            <w:tcW w:w="1418" w:type="dxa"/>
            <w:tcBorders>
              <w:top w:val="nil"/>
              <w:left w:val="nil"/>
              <w:bottom w:val="single" w:sz="4" w:space="0" w:color="auto"/>
              <w:right w:val="single" w:sz="4" w:space="0" w:color="auto"/>
            </w:tcBorders>
            <w:shd w:val="clear" w:color="auto" w:fill="auto"/>
            <w:noWrap/>
            <w:vAlign w:val="center"/>
            <w:hideMark/>
          </w:tcPr>
          <w:p w:rsidR="00285A2D" w:rsidRPr="008E0FC6" w:rsidRDefault="00285A2D" w:rsidP="00285A2D">
            <w:pPr>
              <w:spacing w:before="0" w:after="0"/>
              <w:jc w:val="center"/>
              <w:rPr>
                <w:color w:val="000000"/>
                <w:sz w:val="20"/>
                <w:szCs w:val="22"/>
                <w:lang w:val="es-CO" w:eastAsia="es-CO"/>
              </w:rPr>
            </w:pPr>
            <w:r w:rsidRPr="008E0FC6">
              <w:rPr>
                <w:color w:val="000000"/>
                <w:sz w:val="20"/>
                <w:szCs w:val="22"/>
                <w:lang w:val="es-CO" w:eastAsia="es-CO"/>
              </w:rPr>
              <w:t>15,2%</w:t>
            </w:r>
          </w:p>
        </w:tc>
        <w:tc>
          <w:tcPr>
            <w:tcW w:w="1559" w:type="dxa"/>
            <w:tcBorders>
              <w:top w:val="nil"/>
              <w:left w:val="nil"/>
              <w:bottom w:val="single" w:sz="4" w:space="0" w:color="auto"/>
              <w:right w:val="single" w:sz="4" w:space="0" w:color="auto"/>
            </w:tcBorders>
            <w:vAlign w:val="center"/>
          </w:tcPr>
          <w:p w:rsidR="00285A2D" w:rsidRPr="008E0FC6" w:rsidRDefault="00285A2D" w:rsidP="00285A2D">
            <w:pPr>
              <w:spacing w:before="0" w:after="0"/>
              <w:jc w:val="center"/>
              <w:rPr>
                <w:color w:val="000000"/>
                <w:sz w:val="20"/>
                <w:szCs w:val="22"/>
                <w:lang w:val="es-CO" w:eastAsia="es-CO"/>
              </w:rPr>
            </w:pPr>
            <w:r w:rsidRPr="008E0FC6">
              <w:rPr>
                <w:color w:val="000000"/>
                <w:sz w:val="20"/>
                <w:szCs w:val="22"/>
                <w:lang w:val="es-CO" w:eastAsia="es-CO"/>
              </w:rPr>
              <w:t>15,2%</w:t>
            </w:r>
          </w:p>
        </w:tc>
        <w:tc>
          <w:tcPr>
            <w:tcW w:w="1701" w:type="dxa"/>
            <w:tcBorders>
              <w:top w:val="nil"/>
              <w:left w:val="nil"/>
              <w:bottom w:val="single" w:sz="4" w:space="0" w:color="auto"/>
              <w:right w:val="single" w:sz="4" w:space="0" w:color="auto"/>
            </w:tcBorders>
            <w:vAlign w:val="center"/>
          </w:tcPr>
          <w:p w:rsidR="00285A2D" w:rsidRPr="008E0FC6" w:rsidRDefault="00285A2D" w:rsidP="00285A2D">
            <w:pPr>
              <w:spacing w:before="0" w:after="0"/>
              <w:jc w:val="center"/>
              <w:rPr>
                <w:color w:val="000000"/>
                <w:sz w:val="20"/>
                <w:szCs w:val="22"/>
                <w:lang w:val="es-CO" w:eastAsia="es-CO"/>
              </w:rPr>
            </w:pPr>
            <w:r w:rsidRPr="008E0FC6">
              <w:rPr>
                <w:color w:val="000000"/>
                <w:sz w:val="20"/>
                <w:szCs w:val="22"/>
                <w:lang w:val="es-CO" w:eastAsia="es-CO"/>
              </w:rPr>
              <w:t>PT</w:t>
            </w:r>
            <w:r w:rsidRPr="008E0FC6">
              <w:rPr>
                <w:color w:val="000000"/>
                <w:sz w:val="20"/>
                <w:szCs w:val="22"/>
                <w:vertAlign w:val="subscript"/>
                <w:lang w:val="es-CO" w:eastAsia="es-CO"/>
              </w:rPr>
              <w:t>j,1,0</w:t>
            </w:r>
          </w:p>
        </w:tc>
        <w:tc>
          <w:tcPr>
            <w:tcW w:w="1701" w:type="dxa"/>
            <w:tcBorders>
              <w:top w:val="nil"/>
              <w:left w:val="nil"/>
              <w:bottom w:val="single" w:sz="4" w:space="0" w:color="auto"/>
              <w:right w:val="single" w:sz="4" w:space="0" w:color="auto"/>
            </w:tcBorders>
            <w:vAlign w:val="center"/>
          </w:tcPr>
          <w:p w:rsidR="00285A2D" w:rsidRPr="008E0FC6" w:rsidRDefault="00285A2D" w:rsidP="00285A2D">
            <w:pPr>
              <w:spacing w:before="0" w:after="0"/>
              <w:jc w:val="center"/>
              <w:rPr>
                <w:color w:val="000000"/>
                <w:sz w:val="20"/>
                <w:szCs w:val="22"/>
                <w:lang w:val="es-CO" w:eastAsia="es-CO"/>
              </w:rPr>
            </w:pPr>
            <w:r w:rsidRPr="008E0FC6">
              <w:rPr>
                <w:color w:val="000000"/>
                <w:sz w:val="20"/>
                <w:szCs w:val="22"/>
                <w:lang w:val="es-CO" w:eastAsia="es-CO"/>
              </w:rPr>
              <w:t>PT</w:t>
            </w:r>
            <w:r w:rsidRPr="008E0FC6">
              <w:rPr>
                <w:color w:val="000000"/>
                <w:sz w:val="20"/>
                <w:szCs w:val="22"/>
                <w:vertAlign w:val="subscript"/>
                <w:lang w:val="es-CO" w:eastAsia="es-CO"/>
              </w:rPr>
              <w:t>j,1,0</w:t>
            </w:r>
          </w:p>
        </w:tc>
      </w:tr>
      <w:tr w:rsidR="00285A2D" w:rsidRPr="004E6CFC" w:rsidTr="00285A2D">
        <w:trPr>
          <w:trHeight w:val="397"/>
          <w:jc w:val="center"/>
        </w:trPr>
        <w:tc>
          <w:tcPr>
            <w:tcW w:w="2263" w:type="dxa"/>
            <w:tcBorders>
              <w:top w:val="nil"/>
              <w:left w:val="single" w:sz="4" w:space="0" w:color="auto"/>
              <w:bottom w:val="single" w:sz="4" w:space="0" w:color="auto"/>
              <w:right w:val="single" w:sz="4" w:space="0" w:color="auto"/>
            </w:tcBorders>
            <w:shd w:val="clear" w:color="auto" w:fill="auto"/>
            <w:noWrap/>
            <w:vAlign w:val="center"/>
            <w:hideMark/>
          </w:tcPr>
          <w:p w:rsidR="00285A2D" w:rsidRPr="00646395" w:rsidRDefault="00285A2D" w:rsidP="00285A2D">
            <w:pPr>
              <w:spacing w:before="0" w:after="0"/>
              <w:jc w:val="center"/>
              <w:rPr>
                <w:b/>
                <w:color w:val="000000"/>
                <w:sz w:val="20"/>
                <w:szCs w:val="22"/>
                <w:lang w:val="es-CO" w:eastAsia="es-CO"/>
              </w:rPr>
            </w:pPr>
            <w:r w:rsidRPr="00646395">
              <w:rPr>
                <w:b/>
                <w:color w:val="000000"/>
                <w:sz w:val="20"/>
                <w:szCs w:val="22"/>
                <w:lang w:val="es-CO" w:eastAsia="es-CO"/>
              </w:rPr>
              <w:t xml:space="preserve">5%  </w:t>
            </w:r>
            <w:r w:rsidRPr="00646395">
              <w:rPr>
                <w:b/>
                <w:bCs/>
                <w:color w:val="000000"/>
                <w:sz w:val="20"/>
                <w:szCs w:val="28"/>
                <w:lang w:val="es-CO" w:eastAsia="es-CO"/>
              </w:rPr>
              <w:t xml:space="preserve">&gt;  </w:t>
            </w:r>
            <w:r w:rsidRPr="00646395">
              <w:rPr>
                <w:b/>
                <w:i/>
                <w:color w:val="000000"/>
                <w:sz w:val="20"/>
                <w:szCs w:val="22"/>
                <w:lang w:val="es-CO" w:eastAsia="es-CO"/>
              </w:rPr>
              <w:t>X</w:t>
            </w:r>
            <w:r w:rsidRPr="00646395">
              <w:rPr>
                <w:b/>
                <w:i/>
                <w:color w:val="000000"/>
                <w:sz w:val="20"/>
                <w:szCs w:val="22"/>
                <w:vertAlign w:val="subscript"/>
                <w:lang w:val="es-CO" w:eastAsia="es-CO"/>
              </w:rPr>
              <w:t>r,t</w:t>
            </w:r>
            <w:r w:rsidRPr="00646395">
              <w:rPr>
                <w:b/>
                <w:color w:val="000000"/>
                <w:sz w:val="20"/>
                <w:szCs w:val="22"/>
                <w:lang w:val="es-CO" w:eastAsia="es-CO"/>
              </w:rPr>
              <w:t xml:space="preserve"> </w:t>
            </w:r>
            <w:r w:rsidRPr="00646395">
              <w:rPr>
                <w:b/>
                <w:bCs/>
                <w:color w:val="000000"/>
                <w:sz w:val="20"/>
                <w:szCs w:val="28"/>
                <w:lang w:val="es-CO" w:eastAsia="es-CO"/>
              </w:rPr>
              <w:t xml:space="preserve"> ≥</w:t>
            </w:r>
            <w:r w:rsidRPr="00646395">
              <w:rPr>
                <w:b/>
                <w:bCs/>
                <w:color w:val="000000"/>
                <w:sz w:val="20"/>
                <w:szCs w:val="22"/>
                <w:lang w:val="es-CO" w:eastAsia="es-CO"/>
              </w:rPr>
              <w:t xml:space="preserve">   </w:t>
            </w:r>
            <w:r w:rsidRPr="00646395">
              <w:rPr>
                <w:b/>
                <w:color w:val="000000"/>
                <w:sz w:val="20"/>
                <w:szCs w:val="22"/>
                <w:lang w:val="es-CO" w:eastAsia="es-CO"/>
              </w:rPr>
              <w:t>4%</w:t>
            </w:r>
          </w:p>
        </w:tc>
        <w:tc>
          <w:tcPr>
            <w:tcW w:w="1418" w:type="dxa"/>
            <w:tcBorders>
              <w:top w:val="nil"/>
              <w:left w:val="nil"/>
              <w:bottom w:val="single" w:sz="4" w:space="0" w:color="auto"/>
              <w:right w:val="single" w:sz="4" w:space="0" w:color="auto"/>
            </w:tcBorders>
            <w:shd w:val="clear" w:color="auto" w:fill="auto"/>
            <w:noWrap/>
            <w:vAlign w:val="center"/>
            <w:hideMark/>
          </w:tcPr>
          <w:p w:rsidR="00285A2D" w:rsidRPr="008E0FC6" w:rsidRDefault="00285A2D" w:rsidP="00285A2D">
            <w:pPr>
              <w:spacing w:before="0" w:after="0"/>
              <w:jc w:val="center"/>
              <w:rPr>
                <w:color w:val="000000"/>
                <w:sz w:val="20"/>
                <w:szCs w:val="22"/>
                <w:lang w:val="es-CO" w:eastAsia="es-CO"/>
              </w:rPr>
            </w:pPr>
            <w:r w:rsidRPr="008E0FC6">
              <w:rPr>
                <w:color w:val="000000"/>
                <w:sz w:val="20"/>
                <w:szCs w:val="22"/>
                <w:lang w:val="es-CO" w:eastAsia="es-CO"/>
              </w:rPr>
              <w:t>11,3%</w:t>
            </w:r>
          </w:p>
        </w:tc>
        <w:tc>
          <w:tcPr>
            <w:tcW w:w="1559" w:type="dxa"/>
            <w:tcBorders>
              <w:top w:val="nil"/>
              <w:left w:val="nil"/>
              <w:bottom w:val="single" w:sz="4" w:space="0" w:color="auto"/>
              <w:right w:val="single" w:sz="4" w:space="0" w:color="auto"/>
            </w:tcBorders>
            <w:vAlign w:val="center"/>
          </w:tcPr>
          <w:p w:rsidR="00285A2D" w:rsidRPr="008E0FC6" w:rsidRDefault="00285A2D" w:rsidP="00285A2D">
            <w:pPr>
              <w:spacing w:before="0" w:after="0"/>
              <w:jc w:val="center"/>
              <w:rPr>
                <w:color w:val="000000"/>
                <w:sz w:val="20"/>
                <w:szCs w:val="22"/>
                <w:lang w:val="es-CO" w:eastAsia="es-CO"/>
              </w:rPr>
            </w:pPr>
            <w:r w:rsidRPr="008E0FC6">
              <w:rPr>
                <w:color w:val="000000"/>
                <w:sz w:val="20"/>
                <w:szCs w:val="22"/>
                <w:lang w:val="es-CO" w:eastAsia="es-CO"/>
              </w:rPr>
              <w:t>11,3%</w:t>
            </w:r>
          </w:p>
        </w:tc>
        <w:tc>
          <w:tcPr>
            <w:tcW w:w="1701" w:type="dxa"/>
            <w:tcBorders>
              <w:top w:val="nil"/>
              <w:left w:val="nil"/>
              <w:bottom w:val="single" w:sz="4" w:space="0" w:color="auto"/>
              <w:right w:val="single" w:sz="4" w:space="0" w:color="auto"/>
            </w:tcBorders>
            <w:vAlign w:val="center"/>
          </w:tcPr>
          <w:p w:rsidR="00285A2D" w:rsidRPr="008E0FC6" w:rsidRDefault="00285A2D" w:rsidP="00285A2D">
            <w:pPr>
              <w:spacing w:before="0" w:after="0"/>
              <w:jc w:val="center"/>
              <w:rPr>
                <w:color w:val="000000"/>
                <w:sz w:val="20"/>
                <w:szCs w:val="22"/>
                <w:lang w:val="es-CO" w:eastAsia="es-CO"/>
              </w:rPr>
            </w:pPr>
            <w:r w:rsidRPr="008E0FC6">
              <w:rPr>
                <w:color w:val="000000"/>
                <w:sz w:val="20"/>
                <w:szCs w:val="22"/>
                <w:lang w:val="es-CO" w:eastAsia="es-CO"/>
              </w:rPr>
              <w:t>11,3%</w:t>
            </w:r>
          </w:p>
        </w:tc>
        <w:tc>
          <w:tcPr>
            <w:tcW w:w="1701" w:type="dxa"/>
            <w:tcBorders>
              <w:top w:val="nil"/>
              <w:left w:val="nil"/>
              <w:bottom w:val="single" w:sz="4" w:space="0" w:color="auto"/>
              <w:right w:val="single" w:sz="4" w:space="0" w:color="auto"/>
            </w:tcBorders>
            <w:vAlign w:val="center"/>
          </w:tcPr>
          <w:p w:rsidR="00285A2D" w:rsidRPr="008E0FC6" w:rsidRDefault="00285A2D" w:rsidP="00285A2D">
            <w:pPr>
              <w:spacing w:before="0" w:after="0"/>
              <w:jc w:val="center"/>
              <w:rPr>
                <w:color w:val="000000"/>
                <w:sz w:val="20"/>
                <w:szCs w:val="22"/>
                <w:lang w:val="es-CO" w:eastAsia="es-CO"/>
              </w:rPr>
            </w:pPr>
            <w:r w:rsidRPr="008E0FC6">
              <w:rPr>
                <w:color w:val="000000"/>
                <w:sz w:val="20"/>
                <w:szCs w:val="22"/>
                <w:lang w:val="es-CO" w:eastAsia="es-CO"/>
              </w:rPr>
              <w:t>PT</w:t>
            </w:r>
            <w:r w:rsidRPr="008E0FC6">
              <w:rPr>
                <w:color w:val="000000"/>
                <w:sz w:val="20"/>
                <w:szCs w:val="22"/>
                <w:vertAlign w:val="subscript"/>
                <w:lang w:val="es-CO" w:eastAsia="es-CO"/>
              </w:rPr>
              <w:t>j,1,0</w:t>
            </w:r>
          </w:p>
        </w:tc>
      </w:tr>
      <w:tr w:rsidR="00285A2D" w:rsidRPr="004E6CFC" w:rsidTr="00285A2D">
        <w:trPr>
          <w:trHeight w:val="397"/>
          <w:jc w:val="center"/>
        </w:trPr>
        <w:tc>
          <w:tcPr>
            <w:tcW w:w="2263" w:type="dxa"/>
            <w:tcBorders>
              <w:top w:val="nil"/>
              <w:left w:val="single" w:sz="4" w:space="0" w:color="auto"/>
              <w:bottom w:val="single" w:sz="4" w:space="0" w:color="auto"/>
              <w:right w:val="single" w:sz="4" w:space="0" w:color="auto"/>
            </w:tcBorders>
            <w:shd w:val="clear" w:color="auto" w:fill="auto"/>
            <w:noWrap/>
            <w:vAlign w:val="center"/>
            <w:hideMark/>
          </w:tcPr>
          <w:p w:rsidR="00285A2D" w:rsidRPr="00646395" w:rsidRDefault="00285A2D" w:rsidP="00285A2D">
            <w:pPr>
              <w:spacing w:before="0" w:after="0"/>
              <w:jc w:val="center"/>
              <w:rPr>
                <w:b/>
                <w:color w:val="000000"/>
                <w:sz w:val="20"/>
                <w:szCs w:val="22"/>
                <w:lang w:val="es-CO" w:eastAsia="es-CO"/>
              </w:rPr>
            </w:pPr>
            <w:r w:rsidRPr="00646395">
              <w:rPr>
                <w:b/>
                <w:color w:val="000000"/>
                <w:sz w:val="20"/>
                <w:szCs w:val="22"/>
                <w:lang w:val="es-CO" w:eastAsia="es-CO"/>
              </w:rPr>
              <w:t xml:space="preserve">4%  </w:t>
            </w:r>
            <w:r w:rsidRPr="00646395">
              <w:rPr>
                <w:b/>
                <w:bCs/>
                <w:color w:val="000000"/>
                <w:sz w:val="20"/>
                <w:szCs w:val="28"/>
                <w:lang w:val="es-CO" w:eastAsia="es-CO"/>
              </w:rPr>
              <w:t>&gt;</w:t>
            </w:r>
            <w:r w:rsidRPr="00646395">
              <w:rPr>
                <w:b/>
                <w:bCs/>
                <w:color w:val="000000"/>
                <w:sz w:val="20"/>
                <w:szCs w:val="22"/>
                <w:lang w:val="es-CO" w:eastAsia="es-CO"/>
              </w:rPr>
              <w:t xml:space="preserve">  </w:t>
            </w:r>
            <w:r w:rsidRPr="00646395">
              <w:rPr>
                <w:b/>
                <w:i/>
                <w:color w:val="000000"/>
                <w:sz w:val="20"/>
                <w:szCs w:val="22"/>
                <w:lang w:val="es-CO" w:eastAsia="es-CO"/>
              </w:rPr>
              <w:t>X</w:t>
            </w:r>
            <w:r w:rsidRPr="00646395">
              <w:rPr>
                <w:b/>
                <w:i/>
                <w:color w:val="000000"/>
                <w:sz w:val="20"/>
                <w:szCs w:val="22"/>
                <w:vertAlign w:val="subscript"/>
                <w:lang w:val="es-CO" w:eastAsia="es-CO"/>
              </w:rPr>
              <w:t>r,t</w:t>
            </w:r>
          </w:p>
        </w:tc>
        <w:tc>
          <w:tcPr>
            <w:tcW w:w="1418" w:type="dxa"/>
            <w:tcBorders>
              <w:top w:val="nil"/>
              <w:left w:val="nil"/>
              <w:bottom w:val="single" w:sz="4" w:space="0" w:color="auto"/>
              <w:right w:val="single" w:sz="4" w:space="0" w:color="auto"/>
            </w:tcBorders>
            <w:shd w:val="clear" w:color="auto" w:fill="auto"/>
            <w:noWrap/>
            <w:vAlign w:val="center"/>
            <w:hideMark/>
          </w:tcPr>
          <w:p w:rsidR="00285A2D" w:rsidRPr="008E0FC6" w:rsidRDefault="00285A2D" w:rsidP="00285A2D">
            <w:pPr>
              <w:spacing w:before="0" w:after="0"/>
              <w:jc w:val="center"/>
              <w:rPr>
                <w:color w:val="000000"/>
                <w:sz w:val="20"/>
                <w:szCs w:val="22"/>
                <w:lang w:val="es-CO" w:eastAsia="es-CO"/>
              </w:rPr>
            </w:pPr>
            <w:r w:rsidRPr="008E0FC6">
              <w:rPr>
                <w:color w:val="000000"/>
                <w:sz w:val="20"/>
                <w:szCs w:val="22"/>
                <w:lang w:val="es-CO" w:eastAsia="es-CO"/>
              </w:rPr>
              <w:t>Pe</w:t>
            </w:r>
            <w:r w:rsidRPr="008E0FC6">
              <w:rPr>
                <w:color w:val="000000"/>
                <w:sz w:val="20"/>
                <w:szCs w:val="22"/>
                <w:vertAlign w:val="subscript"/>
                <w:lang w:val="es-CO" w:eastAsia="es-CO"/>
              </w:rPr>
              <w:t>j,1</w:t>
            </w:r>
          </w:p>
        </w:tc>
        <w:tc>
          <w:tcPr>
            <w:tcW w:w="1559" w:type="dxa"/>
            <w:tcBorders>
              <w:top w:val="nil"/>
              <w:left w:val="nil"/>
              <w:bottom w:val="single" w:sz="4" w:space="0" w:color="auto"/>
              <w:right w:val="single" w:sz="4" w:space="0" w:color="auto"/>
            </w:tcBorders>
            <w:vAlign w:val="center"/>
          </w:tcPr>
          <w:p w:rsidR="00285A2D" w:rsidRPr="008E0FC6" w:rsidRDefault="00285A2D" w:rsidP="00285A2D">
            <w:pPr>
              <w:spacing w:before="0" w:after="0"/>
              <w:jc w:val="center"/>
              <w:rPr>
                <w:color w:val="000000"/>
                <w:sz w:val="20"/>
                <w:szCs w:val="22"/>
                <w:lang w:val="es-CO" w:eastAsia="es-CO"/>
              </w:rPr>
            </w:pPr>
            <w:r w:rsidRPr="008E0FC6">
              <w:rPr>
                <w:color w:val="000000"/>
                <w:sz w:val="20"/>
                <w:szCs w:val="22"/>
                <w:lang w:val="es-CO" w:eastAsia="es-CO"/>
              </w:rPr>
              <w:t>Pe</w:t>
            </w:r>
            <w:r w:rsidRPr="008E0FC6">
              <w:rPr>
                <w:color w:val="000000"/>
                <w:sz w:val="20"/>
                <w:szCs w:val="22"/>
                <w:vertAlign w:val="subscript"/>
                <w:lang w:val="es-CO" w:eastAsia="es-CO"/>
              </w:rPr>
              <w:t>j,1</w:t>
            </w:r>
          </w:p>
        </w:tc>
        <w:tc>
          <w:tcPr>
            <w:tcW w:w="1701" w:type="dxa"/>
            <w:tcBorders>
              <w:top w:val="nil"/>
              <w:left w:val="nil"/>
              <w:bottom w:val="single" w:sz="4" w:space="0" w:color="auto"/>
              <w:right w:val="single" w:sz="4" w:space="0" w:color="auto"/>
            </w:tcBorders>
            <w:vAlign w:val="center"/>
          </w:tcPr>
          <w:p w:rsidR="00285A2D" w:rsidRPr="008E0FC6" w:rsidRDefault="00285A2D" w:rsidP="00285A2D">
            <w:pPr>
              <w:spacing w:before="0" w:after="0"/>
              <w:jc w:val="center"/>
              <w:rPr>
                <w:color w:val="000000"/>
                <w:sz w:val="20"/>
                <w:szCs w:val="22"/>
                <w:lang w:val="es-CO" w:eastAsia="es-CO"/>
              </w:rPr>
            </w:pPr>
            <w:r w:rsidRPr="008E0FC6">
              <w:rPr>
                <w:color w:val="000000"/>
                <w:sz w:val="20"/>
                <w:szCs w:val="22"/>
                <w:lang w:val="es-CO" w:eastAsia="es-CO"/>
              </w:rPr>
              <w:t>Pe</w:t>
            </w:r>
            <w:r w:rsidRPr="008E0FC6">
              <w:rPr>
                <w:color w:val="000000"/>
                <w:sz w:val="20"/>
                <w:szCs w:val="22"/>
                <w:vertAlign w:val="subscript"/>
                <w:lang w:val="es-CO" w:eastAsia="es-CO"/>
              </w:rPr>
              <w:t>j,1</w:t>
            </w:r>
          </w:p>
        </w:tc>
        <w:tc>
          <w:tcPr>
            <w:tcW w:w="1701" w:type="dxa"/>
            <w:tcBorders>
              <w:top w:val="nil"/>
              <w:left w:val="nil"/>
              <w:bottom w:val="single" w:sz="4" w:space="0" w:color="auto"/>
              <w:right w:val="single" w:sz="4" w:space="0" w:color="auto"/>
            </w:tcBorders>
            <w:vAlign w:val="center"/>
          </w:tcPr>
          <w:p w:rsidR="00285A2D" w:rsidRPr="008E0FC6" w:rsidRDefault="00285A2D" w:rsidP="00285A2D">
            <w:pPr>
              <w:spacing w:before="0" w:after="0"/>
              <w:jc w:val="center"/>
              <w:rPr>
                <w:color w:val="000000"/>
                <w:sz w:val="20"/>
                <w:szCs w:val="22"/>
                <w:lang w:val="es-CO" w:eastAsia="es-CO"/>
              </w:rPr>
            </w:pPr>
            <w:r w:rsidRPr="008E0FC6">
              <w:rPr>
                <w:color w:val="000000"/>
                <w:sz w:val="20"/>
                <w:szCs w:val="22"/>
                <w:lang w:val="es-CO" w:eastAsia="es-CO"/>
              </w:rPr>
              <w:t>Pe</w:t>
            </w:r>
            <w:r w:rsidRPr="008E0FC6">
              <w:rPr>
                <w:color w:val="000000"/>
                <w:sz w:val="20"/>
                <w:szCs w:val="22"/>
                <w:vertAlign w:val="subscript"/>
                <w:lang w:val="es-CO" w:eastAsia="es-CO"/>
              </w:rPr>
              <w:t>j,1</w:t>
            </w:r>
          </w:p>
        </w:tc>
      </w:tr>
    </w:tbl>
    <w:p w:rsidR="00285A2D" w:rsidRPr="004E6CFC" w:rsidRDefault="00285A2D" w:rsidP="00285A2D">
      <w:pPr>
        <w:rPr>
          <w:lang w:val="es-ES_tradnl"/>
        </w:rPr>
      </w:pPr>
      <w:r w:rsidRPr="004E6CFC">
        <w:rPr>
          <w:lang w:val="es-ES_tradnl"/>
        </w:rPr>
        <w:t xml:space="preserve">La variable </w:t>
      </w:r>
      <w:r w:rsidRPr="004E6CFC">
        <w:rPr>
          <w:i/>
          <w:lang w:val="es-ES_tradnl"/>
        </w:rPr>
        <w:t>X</w:t>
      </w:r>
      <w:r w:rsidRPr="004E6CFC">
        <w:rPr>
          <w:i/>
          <w:vertAlign w:val="subscript"/>
          <w:lang w:val="es-ES_tradnl"/>
        </w:rPr>
        <w:t>r</w:t>
      </w:r>
      <w:r>
        <w:rPr>
          <w:i/>
          <w:vertAlign w:val="subscript"/>
          <w:lang w:val="es-ES_tradnl"/>
        </w:rPr>
        <w:t>,t</w:t>
      </w:r>
      <w:r w:rsidRPr="004E6CFC">
        <w:rPr>
          <w:lang w:val="es-ES_tradnl"/>
        </w:rPr>
        <w:t xml:space="preserve"> se calcula según lo establecido en el numeral </w:t>
      </w:r>
      <w:r w:rsidRPr="004E6CFC">
        <w:rPr>
          <w:lang w:val="es-ES_tradnl"/>
        </w:rPr>
        <w:fldChar w:fldCharType="begin"/>
      </w:r>
      <w:r w:rsidRPr="004E6CFC">
        <w:rPr>
          <w:lang w:val="es-ES_tradnl"/>
        </w:rPr>
        <w:instrText xml:space="preserve"> REF _Ref476760215 \r \h  \* MERGEFORMAT </w:instrText>
      </w:r>
      <w:r w:rsidRPr="004E6CFC">
        <w:rPr>
          <w:lang w:val="es-ES_tradnl"/>
        </w:rPr>
      </w:r>
      <w:r w:rsidRPr="004E6CFC">
        <w:rPr>
          <w:lang w:val="es-ES_tradnl"/>
        </w:rPr>
        <w:fldChar w:fldCharType="separate"/>
      </w:r>
      <w:r w:rsidR="00737178">
        <w:rPr>
          <w:lang w:val="es-ES_tradnl"/>
        </w:rPr>
        <w:t>7.1.4.3.2</w:t>
      </w:r>
      <w:r w:rsidRPr="004E6CFC">
        <w:rPr>
          <w:lang w:val="es-ES_tradnl"/>
        </w:rPr>
        <w:fldChar w:fldCharType="end"/>
      </w:r>
      <w:r>
        <w:rPr>
          <w:lang w:val="es-ES_tradnl"/>
        </w:rPr>
        <w:t>.</w:t>
      </w:r>
    </w:p>
    <w:p w:rsidR="00285A2D" w:rsidRPr="00A44D93" w:rsidRDefault="00285A2D" w:rsidP="00285A2D">
      <w:pPr>
        <w:pStyle w:val="Ttulo5"/>
        <w:numPr>
          <w:ilvl w:val="0"/>
          <w:numId w:val="0"/>
        </w:numPr>
        <w:rPr>
          <w:b w:val="0"/>
        </w:rPr>
      </w:pPr>
      <w:bookmarkStart w:id="782" w:name="_Ref476760099"/>
      <w:bookmarkStart w:id="783" w:name="_Ref476780345"/>
      <w:r w:rsidRPr="00A44D93">
        <w:rPr>
          <w:b w:val="0"/>
        </w:rPr>
        <w:t xml:space="preserve">En el caso que el OR presente un nivel de pérdidas </w:t>
      </w:r>
      <w:r w:rsidRPr="002B7A4F">
        <w:rPr>
          <w:b w:val="0"/>
          <w:i/>
        </w:rPr>
        <w:t>PT</w:t>
      </w:r>
      <w:r w:rsidRPr="002B7A4F">
        <w:rPr>
          <w:b w:val="0"/>
          <w:i/>
          <w:vertAlign w:val="subscript"/>
        </w:rPr>
        <w:t>j,1,0</w:t>
      </w:r>
      <w:r w:rsidRPr="00A44D93">
        <w:rPr>
          <w:b w:val="0"/>
        </w:rPr>
        <w:t xml:space="preserve"> inferior a 11,3</w:t>
      </w:r>
      <w:r>
        <w:rPr>
          <w:b w:val="0"/>
        </w:rPr>
        <w:t>%</w:t>
      </w:r>
      <w:r w:rsidRPr="00A44D93">
        <w:rPr>
          <w:b w:val="0"/>
        </w:rPr>
        <w:t xml:space="preserve"> deberá </w:t>
      </w:r>
      <w:r>
        <w:rPr>
          <w:b w:val="0"/>
        </w:rPr>
        <w:t>a</w:t>
      </w:r>
      <w:r w:rsidRPr="00A44D93">
        <w:rPr>
          <w:b w:val="0"/>
        </w:rPr>
        <w:t xml:space="preserve">plicar las pérdidas eficientes </w:t>
      </w:r>
      <w:r w:rsidRPr="002B7A4F">
        <w:rPr>
          <w:b w:val="0"/>
          <w:i/>
        </w:rPr>
        <w:t>Pe</w:t>
      </w:r>
      <w:r w:rsidRPr="002B7A4F">
        <w:rPr>
          <w:b w:val="0"/>
          <w:i/>
          <w:vertAlign w:val="subscript"/>
        </w:rPr>
        <w:t>j,1</w:t>
      </w:r>
      <w:r w:rsidRPr="00A44D93">
        <w:rPr>
          <w:b w:val="0"/>
        </w:rPr>
        <w:t xml:space="preserve"> con cualquier nivel de inversión.</w:t>
      </w:r>
    </w:p>
    <w:p w:rsidR="00285A2D" w:rsidRPr="004E6CFC" w:rsidRDefault="00285A2D" w:rsidP="00285A2D">
      <w:pPr>
        <w:pStyle w:val="Ttulo5"/>
      </w:pPr>
      <w:bookmarkStart w:id="784" w:name="_Ref476760215"/>
      <w:bookmarkStart w:id="785" w:name="_Ref476780187"/>
      <w:bookmarkEnd w:id="782"/>
      <w:bookmarkEnd w:id="783"/>
      <w:r>
        <w:t>Porcentaje de inversión proyectada o ejecutada anual,</w:t>
      </w:r>
      <w:bookmarkEnd w:id="784"/>
      <w:r>
        <w:t xml:space="preserve"> </w:t>
      </w:r>
      <w:bookmarkEnd w:id="785"/>
      <w:r>
        <w:t>(</w:t>
      </w:r>
      <w:r w:rsidRPr="004E6CFC">
        <w:rPr>
          <w:i/>
        </w:rPr>
        <w:t>X</w:t>
      </w:r>
      <w:r w:rsidRPr="004E6CFC">
        <w:rPr>
          <w:i/>
          <w:vertAlign w:val="subscript"/>
        </w:rPr>
        <w:t>r</w:t>
      </w:r>
      <w:r>
        <w:rPr>
          <w:i/>
          <w:vertAlign w:val="subscript"/>
        </w:rPr>
        <w:t>, t</w:t>
      </w:r>
      <w:r w:rsidRPr="00462F7C">
        <w:rPr>
          <w:i/>
        </w:rPr>
        <w:t>)</w:t>
      </w:r>
    </w:p>
    <w:p w:rsidR="00285A2D" w:rsidRDefault="00285A2D" w:rsidP="00285A2D">
      <w:r>
        <w:t>El</w:t>
      </w:r>
      <w:r w:rsidRPr="004E6CFC">
        <w:t xml:space="preserve"> </w:t>
      </w:r>
      <w:r>
        <w:t>cálculo del porcentaje de inversión, proyectada para el primer año de aplicación de los cargos calculados con base en esta resolución o, a partir del segundo año, ejecutada en el año anterior,</w:t>
      </w:r>
      <w:r w:rsidRPr="004E6CFC">
        <w:t xml:space="preserve"> se calcula </w:t>
      </w:r>
      <w:r>
        <w:t>según la siguiente expresión</w:t>
      </w:r>
      <w:r w:rsidRPr="004E6CFC">
        <w:t>:</w:t>
      </w:r>
    </w:p>
    <w:p w:rsidR="00285A2D" w:rsidRPr="004E6CFC" w:rsidRDefault="00C9592F" w:rsidP="00285A2D">
      <w:pPr>
        <w:rPr>
          <w:sz w:val="22"/>
          <w:szCs w:val="22"/>
        </w:rPr>
      </w:pPr>
      <m:oMathPara>
        <m:oMath>
          <m:sSub>
            <m:sSubPr>
              <m:ctrlPr>
                <w:rPr>
                  <w:rFonts w:ascii="Cambria Math" w:hAnsi="Cambria Math"/>
                  <w:i/>
                  <w:sz w:val="28"/>
                  <w:szCs w:val="22"/>
                </w:rPr>
              </m:ctrlPr>
            </m:sSubPr>
            <m:e>
              <m:r>
                <w:rPr>
                  <w:rFonts w:ascii="Cambria Math" w:hAnsi="Cambria Math"/>
                  <w:sz w:val="28"/>
                  <w:szCs w:val="22"/>
                </w:rPr>
                <m:t>X</m:t>
              </m:r>
            </m:e>
            <m:sub>
              <m:r>
                <w:rPr>
                  <w:rFonts w:ascii="Cambria Math" w:hAnsi="Cambria Math"/>
                  <w:sz w:val="28"/>
                  <w:szCs w:val="22"/>
                </w:rPr>
                <m:t>r,t</m:t>
              </m:r>
            </m:sub>
          </m:sSub>
          <m:r>
            <w:rPr>
              <w:rFonts w:ascii="Cambria Math" w:hAnsi="Cambria Math"/>
              <w:sz w:val="28"/>
              <w:szCs w:val="22"/>
            </w:rPr>
            <m:t>=</m:t>
          </m:r>
          <m:f>
            <m:fPr>
              <m:ctrlPr>
                <w:rPr>
                  <w:rFonts w:ascii="Cambria Math" w:hAnsi="Cambria Math"/>
                  <w:i/>
                  <w:sz w:val="28"/>
                  <w:szCs w:val="22"/>
                </w:rPr>
              </m:ctrlPr>
            </m:fPr>
            <m:num>
              <m:nary>
                <m:naryPr>
                  <m:chr m:val="∑"/>
                  <m:limLoc m:val="undOvr"/>
                  <m:ctrlPr>
                    <w:rPr>
                      <w:rFonts w:ascii="Cambria Math" w:hAnsi="Cambria Math"/>
                      <w:i/>
                      <w:sz w:val="28"/>
                      <w:szCs w:val="22"/>
                    </w:rPr>
                  </m:ctrlPr>
                </m:naryPr>
                <m:sub>
                  <m:r>
                    <w:rPr>
                      <w:rFonts w:ascii="Cambria Math" w:hAnsi="Cambria Math"/>
                      <w:sz w:val="28"/>
                      <w:szCs w:val="22"/>
                    </w:rPr>
                    <m:t>n=1</m:t>
                  </m:r>
                </m:sub>
                <m:sup>
                  <m:r>
                    <w:rPr>
                      <w:rFonts w:ascii="Cambria Math" w:hAnsi="Cambria Math"/>
                      <w:sz w:val="28"/>
                      <w:szCs w:val="22"/>
                    </w:rPr>
                    <m:t>4</m:t>
                  </m:r>
                </m:sup>
                <m:e>
                  <m:nary>
                    <m:naryPr>
                      <m:chr m:val="∑"/>
                      <m:limLoc m:val="undOvr"/>
                      <m:ctrlPr>
                        <w:rPr>
                          <w:rFonts w:ascii="Cambria Math" w:hAnsi="Cambria Math"/>
                          <w:i/>
                          <w:sz w:val="28"/>
                          <w:szCs w:val="22"/>
                        </w:rPr>
                      </m:ctrlPr>
                    </m:naryPr>
                    <m:sub>
                      <m:r>
                        <w:rPr>
                          <w:rFonts w:ascii="Cambria Math" w:hAnsi="Cambria Math"/>
                          <w:sz w:val="28"/>
                          <w:szCs w:val="22"/>
                        </w:rPr>
                        <m:t>l=1</m:t>
                      </m:r>
                    </m:sub>
                    <m:sup>
                      <m:r>
                        <w:rPr>
                          <w:rFonts w:ascii="Cambria Math" w:hAnsi="Cambria Math"/>
                          <w:sz w:val="28"/>
                          <w:szCs w:val="22"/>
                        </w:rPr>
                        <m:t>Ln</m:t>
                      </m:r>
                    </m:sup>
                    <m:e>
                      <m:sSub>
                        <m:sSubPr>
                          <m:ctrlPr>
                            <w:rPr>
                              <w:rFonts w:ascii="Cambria Math" w:hAnsi="Cambria Math"/>
                              <w:i/>
                              <w:sz w:val="28"/>
                              <w:szCs w:val="22"/>
                            </w:rPr>
                          </m:ctrlPr>
                        </m:sSubPr>
                        <m:e>
                          <m:r>
                            <w:rPr>
                              <w:rFonts w:ascii="Cambria Math" w:hAnsi="Cambria Math"/>
                              <w:sz w:val="28"/>
                              <w:szCs w:val="22"/>
                            </w:rPr>
                            <m:t>INVR</m:t>
                          </m:r>
                        </m:e>
                        <m:sub>
                          <m:r>
                            <w:rPr>
                              <w:rFonts w:ascii="Cambria Math" w:hAnsi="Cambria Math"/>
                              <w:sz w:val="28"/>
                              <w:szCs w:val="22"/>
                            </w:rPr>
                            <m:t>j,n,l,t</m:t>
                          </m:r>
                        </m:sub>
                      </m:sSub>
                    </m:e>
                  </m:nary>
                </m:e>
              </m:nary>
            </m:num>
            <m:den>
              <m:sSub>
                <m:sSubPr>
                  <m:ctrlPr>
                    <w:rPr>
                      <w:rFonts w:ascii="Cambria Math" w:hAnsi="Cambria Math"/>
                      <w:i/>
                      <w:sz w:val="28"/>
                      <w:szCs w:val="22"/>
                    </w:rPr>
                  </m:ctrlPr>
                </m:sSubPr>
                <m:e>
                  <m:r>
                    <w:rPr>
                      <w:rFonts w:ascii="Cambria Math" w:hAnsi="Cambria Math"/>
                      <w:sz w:val="28"/>
                      <w:szCs w:val="22"/>
                    </w:rPr>
                    <m:t>CRR</m:t>
                  </m:r>
                </m:e>
                <m:sub>
                  <m:r>
                    <w:rPr>
                      <w:rFonts w:ascii="Cambria Math" w:hAnsi="Cambria Math"/>
                      <w:sz w:val="28"/>
                      <w:szCs w:val="22"/>
                    </w:rPr>
                    <m:t>j</m:t>
                  </m:r>
                </m:sub>
              </m:sSub>
            </m:den>
          </m:f>
        </m:oMath>
      </m:oMathPara>
    </w:p>
    <w:p w:rsidR="00285A2D" w:rsidRPr="004E6CFC" w:rsidRDefault="00285A2D" w:rsidP="00285A2D">
      <w:pPr>
        <w:rPr>
          <w:i/>
          <w:iCs/>
        </w:rPr>
      </w:pPr>
      <w:r w:rsidRPr="004E6CFC">
        <w:rPr>
          <w:i/>
          <w:iCs/>
        </w:rPr>
        <w:t>Donde:</w:t>
      </w:r>
    </w:p>
    <w:p w:rsidR="00285A2D" w:rsidRDefault="00285A2D" w:rsidP="00285A2D">
      <w:pPr>
        <w:spacing w:before="120"/>
        <w:ind w:left="1418" w:hanging="1418"/>
      </w:pPr>
      <w:r w:rsidRPr="004E6CFC">
        <w:rPr>
          <w:i/>
          <w:iCs/>
        </w:rPr>
        <w:t>INVR</w:t>
      </w:r>
      <w:r w:rsidRPr="004E6CFC">
        <w:rPr>
          <w:i/>
          <w:iCs/>
          <w:vertAlign w:val="subscript"/>
        </w:rPr>
        <w:t>j,n,l,t</w:t>
      </w:r>
      <w:r w:rsidRPr="004E6CFC">
        <w:t>:</w:t>
      </w:r>
      <w:r w:rsidRPr="004E6CFC">
        <w:tab/>
        <w:t xml:space="preserve">Inversiones en activos puestos en operación en el sistema del OR </w:t>
      </w:r>
      <w:r w:rsidRPr="004E6CFC">
        <w:rPr>
          <w:i/>
        </w:rPr>
        <w:t xml:space="preserve">j </w:t>
      </w:r>
      <w:r w:rsidRPr="004E6CFC">
        <w:t xml:space="preserve">en el nivel de tensión </w:t>
      </w:r>
      <w:r w:rsidRPr="004E6CFC">
        <w:rPr>
          <w:i/>
          <w:iCs/>
        </w:rPr>
        <w:t xml:space="preserve">n </w:t>
      </w:r>
      <w:r w:rsidRPr="004E6CFC">
        <w:rPr>
          <w:iCs/>
        </w:rPr>
        <w:t xml:space="preserve">en la categoría de activos </w:t>
      </w:r>
      <w:r w:rsidRPr="004E6CFC">
        <w:rPr>
          <w:i/>
          <w:iCs/>
        </w:rPr>
        <w:t>l</w:t>
      </w:r>
      <w:r w:rsidRPr="004E6CFC">
        <w:rPr>
          <w:iCs/>
        </w:rPr>
        <w:t xml:space="preserve"> </w:t>
      </w:r>
      <w:r w:rsidRPr="004E6CFC">
        <w:t xml:space="preserve">durante el año </w:t>
      </w:r>
      <w:r w:rsidRPr="004E6CFC">
        <w:rPr>
          <w:i/>
        </w:rPr>
        <w:t>t</w:t>
      </w:r>
      <w:r w:rsidRPr="004E6CFC">
        <w:t>,</w:t>
      </w:r>
      <w:r>
        <w:t xml:space="preserve"> calculado según el numeral </w:t>
      </w:r>
      <w:r>
        <w:fldChar w:fldCharType="begin"/>
      </w:r>
      <w:r>
        <w:instrText xml:space="preserve"> REF _Ref443918667 \r \h </w:instrText>
      </w:r>
      <w:r>
        <w:fldChar w:fldCharType="separate"/>
      </w:r>
      <w:r w:rsidR="00737178">
        <w:t>3.1.1.2.3</w:t>
      </w:r>
      <w:r>
        <w:fldChar w:fldCharType="end"/>
      </w:r>
      <w:r>
        <w:t xml:space="preserve">. </w:t>
      </w:r>
    </w:p>
    <w:p w:rsidR="00285A2D" w:rsidRPr="004E6CFC" w:rsidRDefault="00285A2D" w:rsidP="00285A2D">
      <w:pPr>
        <w:spacing w:before="120"/>
        <w:ind w:left="1418"/>
      </w:pPr>
      <w:r>
        <w:t xml:space="preserve">Para el año </w:t>
      </w:r>
      <w:r w:rsidRPr="00D4762E">
        <w:rPr>
          <w:i/>
        </w:rPr>
        <w:t>t</w:t>
      </w:r>
      <w:r w:rsidRPr="00D4762E">
        <w:rPr>
          <w:sz w:val="22"/>
        </w:rPr>
        <w:t>=</w:t>
      </w:r>
      <w:r>
        <w:t xml:space="preserve">1, esta variable se reemplaza por la variable </w:t>
      </w:r>
      <w:r w:rsidRPr="00D4762E">
        <w:rPr>
          <w:i/>
        </w:rPr>
        <w:t>INVA</w:t>
      </w:r>
      <w:r w:rsidRPr="00D4762E">
        <w:rPr>
          <w:i/>
          <w:vertAlign w:val="subscript"/>
        </w:rPr>
        <w:t>j,n,l,t</w:t>
      </w:r>
      <w:r>
        <w:t xml:space="preserve"> de que trata los numerales </w:t>
      </w:r>
      <w:r>
        <w:fldChar w:fldCharType="begin"/>
      </w:r>
      <w:r>
        <w:instrText xml:space="preserve"> REF _Ref443918940 \r \h </w:instrText>
      </w:r>
      <w:r>
        <w:fldChar w:fldCharType="separate"/>
      </w:r>
      <w:r w:rsidR="00737178">
        <w:t>3.1.1.2.1</w:t>
      </w:r>
      <w:r>
        <w:fldChar w:fldCharType="end"/>
      </w:r>
      <w:r>
        <w:t xml:space="preserve"> y </w:t>
      </w:r>
      <w:r>
        <w:fldChar w:fldCharType="begin"/>
      </w:r>
      <w:r>
        <w:instrText xml:space="preserve"> REF _Ref443918943 \r \h </w:instrText>
      </w:r>
      <w:r>
        <w:fldChar w:fldCharType="separate"/>
      </w:r>
      <w:r w:rsidR="00737178">
        <w:t>3.1.1.2.2</w:t>
      </w:r>
      <w:r>
        <w:fldChar w:fldCharType="end"/>
      </w:r>
      <w:r>
        <w:t>.</w:t>
      </w:r>
    </w:p>
    <w:p w:rsidR="00285A2D" w:rsidRDefault="00285A2D" w:rsidP="00285A2D">
      <w:pPr>
        <w:ind w:left="1418" w:hanging="1418"/>
      </w:pPr>
      <w:r w:rsidRPr="004E6CFC">
        <w:rPr>
          <w:i/>
          <w:iCs/>
        </w:rPr>
        <w:t>CRR</w:t>
      </w:r>
      <w:r w:rsidRPr="004E6CFC">
        <w:rPr>
          <w:i/>
          <w:iCs/>
          <w:vertAlign w:val="subscript"/>
        </w:rPr>
        <w:t>j</w:t>
      </w:r>
      <w:r w:rsidRPr="004E6CFC">
        <w:t>:</w:t>
      </w:r>
      <w:r w:rsidRPr="004E6CFC">
        <w:tab/>
        <w:t xml:space="preserve">Costo de reposición de referencia del OR </w:t>
      </w:r>
      <w:r w:rsidRPr="004E6CFC">
        <w:rPr>
          <w:i/>
        </w:rPr>
        <w:t xml:space="preserve">j  </w:t>
      </w:r>
      <w:r w:rsidRPr="004E6CFC">
        <w:t xml:space="preserve">inicio del periodo tarifario, calculado según el numeral </w:t>
      </w:r>
      <w:r w:rsidRPr="004E6CFC">
        <w:fldChar w:fldCharType="begin"/>
      </w:r>
      <w:r w:rsidRPr="004E6CFC">
        <w:instrText xml:space="preserve"> REF _Ref461013047 \r \h  \* MERGEFORMAT </w:instrText>
      </w:r>
      <w:r w:rsidRPr="004E6CFC">
        <w:fldChar w:fldCharType="separate"/>
      </w:r>
      <w:r w:rsidR="00737178">
        <w:t>6.4.2</w:t>
      </w:r>
      <w:r w:rsidRPr="004E6CFC">
        <w:fldChar w:fldCharType="end"/>
      </w:r>
      <w:r w:rsidRPr="004E6CFC">
        <w:t>.</w:t>
      </w:r>
    </w:p>
    <w:p w:rsidR="00285A2D" w:rsidRPr="00DA071E" w:rsidRDefault="00285A2D" w:rsidP="00285A2D">
      <w:pPr>
        <w:ind w:left="1418" w:hanging="1418"/>
      </w:pPr>
      <w:r>
        <w:rPr>
          <w:i/>
          <w:iCs/>
        </w:rPr>
        <w:t>Ln:</w:t>
      </w:r>
      <w:r>
        <w:rPr>
          <w:i/>
          <w:iCs/>
        </w:rPr>
        <w:tab/>
      </w:r>
      <w:r w:rsidRPr="00DA071E">
        <w:rPr>
          <w:iCs/>
        </w:rPr>
        <w:t>Cantidad de categorías de activos en el nivel de te</w:t>
      </w:r>
      <w:r>
        <w:rPr>
          <w:iCs/>
        </w:rPr>
        <w:t>n</w:t>
      </w:r>
      <w:r w:rsidRPr="00DA071E">
        <w:rPr>
          <w:iCs/>
        </w:rPr>
        <w:t>sión n.</w:t>
      </w:r>
    </w:p>
    <w:p w:rsidR="00285A2D" w:rsidRDefault="00285A2D" w:rsidP="00285A2D">
      <w:r>
        <w:lastRenderedPageBreak/>
        <w:t xml:space="preserve">El valor de la variable </w:t>
      </w:r>
      <w:r>
        <w:rPr>
          <w:i/>
        </w:rPr>
        <w:t>X</w:t>
      </w:r>
      <w:r w:rsidRPr="008158FB">
        <w:rPr>
          <w:i/>
          <w:vertAlign w:val="subscript"/>
        </w:rPr>
        <w:t>r,t</w:t>
      </w:r>
      <w:r>
        <w:t xml:space="preserve"> </w:t>
      </w:r>
      <w:r w:rsidRPr="004E6CFC">
        <w:t>deberá ser informad</w:t>
      </w:r>
      <w:r>
        <w:t>a</w:t>
      </w:r>
      <w:r w:rsidRPr="004E6CFC">
        <w:t xml:space="preserve"> al LAC para efectuar el cálculo de los respectivos índices para el siguiente año, </w:t>
      </w:r>
      <w:r>
        <w:t>cuando tenga la información disponible.</w:t>
      </w:r>
    </w:p>
    <w:p w:rsidR="00285A2D" w:rsidRPr="004E6CFC" w:rsidRDefault="00285A2D" w:rsidP="00285A2D">
      <w:r w:rsidRPr="004E6CFC">
        <w:t xml:space="preserve">La CREG podrá efectuar auditorías para verificar el cumplimiento del porcentaje de inversiones </w:t>
      </w:r>
      <w:r w:rsidRPr="004E6CFC">
        <w:rPr>
          <w:i/>
        </w:rPr>
        <w:t>X</w:t>
      </w:r>
      <w:r w:rsidRPr="004E6CFC">
        <w:rPr>
          <w:i/>
          <w:vertAlign w:val="subscript"/>
        </w:rPr>
        <w:t>r</w:t>
      </w:r>
      <w:r>
        <w:rPr>
          <w:i/>
          <w:vertAlign w:val="subscript"/>
        </w:rPr>
        <w:t>,t</w:t>
      </w:r>
      <w:r w:rsidRPr="004E6CFC">
        <w:t>.</w:t>
      </w:r>
    </w:p>
    <w:p w:rsidR="00285A2D" w:rsidRPr="004E6CFC" w:rsidRDefault="00285A2D" w:rsidP="00285A2D">
      <w:pPr>
        <w:pStyle w:val="Ttulo4"/>
        <w:ind w:left="0" w:firstLine="0"/>
      </w:pPr>
      <w:bookmarkStart w:id="786" w:name="_Ref476780076"/>
      <w:r w:rsidRPr="004E6CFC">
        <w:t>Energía de pérdidas adicionales a las eficientes</w:t>
      </w:r>
      <w:bookmarkEnd w:id="786"/>
      <w:r w:rsidRPr="004E6CFC">
        <w:t xml:space="preserve"> </w:t>
      </w:r>
    </w:p>
    <w:p w:rsidR="00285A2D" w:rsidRPr="004E6CFC" w:rsidRDefault="00285A2D" w:rsidP="00285A2D">
      <w:r w:rsidRPr="004E6CFC">
        <w:t>La energía de pérdidas adicionales será el resultado de la siguiente expresión:</w:t>
      </w:r>
    </w:p>
    <w:p w:rsidR="00285A2D" w:rsidRPr="004E6CFC" w:rsidRDefault="00C9592F" w:rsidP="00285A2D">
      <m:oMathPara>
        <m:oMath>
          <m:sSub>
            <m:sSubPr>
              <m:ctrlPr>
                <w:rPr>
                  <w:rFonts w:ascii="Cambria Math" w:hAnsi="Cambria Math"/>
                  <w:i/>
                  <w:sz w:val="22"/>
                  <w:szCs w:val="22"/>
                </w:rPr>
              </m:ctrlPr>
            </m:sSubPr>
            <m:e>
              <m:r>
                <w:rPr>
                  <w:rFonts w:ascii="Cambria Math" w:hAnsi="Cambria Math"/>
                  <w:sz w:val="22"/>
                  <w:szCs w:val="22"/>
                </w:rPr>
                <m:t>Epad</m:t>
              </m:r>
            </m:e>
            <m:sub>
              <m:r>
                <w:rPr>
                  <w:rFonts w:ascii="Cambria Math" w:hAnsi="Cambria Math"/>
                  <w:sz w:val="22"/>
                  <w:szCs w:val="22"/>
                </w:rPr>
                <m:t>j,t</m:t>
              </m:r>
            </m:sub>
          </m:sSub>
          <m:r>
            <w:rPr>
              <w:rFonts w:ascii="Cambria Math" w:hAnsi="Cambria Math"/>
              <w:sz w:val="22"/>
              <w:szCs w:val="22"/>
            </w:rPr>
            <m:t>=</m:t>
          </m:r>
          <m:d>
            <m:dPr>
              <m:ctrlPr>
                <w:rPr>
                  <w:rFonts w:ascii="Cambria Math" w:hAnsi="Cambria Math"/>
                  <w:i/>
                  <w:sz w:val="22"/>
                  <w:szCs w:val="22"/>
                </w:rPr>
              </m:ctrlPr>
            </m:dPr>
            <m:e>
              <m:sSub>
                <m:sSubPr>
                  <m:ctrlPr>
                    <w:rPr>
                      <w:rFonts w:ascii="Cambria Math" w:hAnsi="Cambria Math"/>
                      <w:i/>
                      <w:sz w:val="22"/>
                      <w:szCs w:val="22"/>
                    </w:rPr>
                  </m:ctrlPr>
                </m:sSubPr>
                <m:e>
                  <m:r>
                    <w:rPr>
                      <w:rFonts w:ascii="Cambria Math" w:hAnsi="Cambria Math"/>
                      <w:sz w:val="22"/>
                      <w:szCs w:val="22"/>
                    </w:rPr>
                    <m:t>FPI</m:t>
                  </m:r>
                </m:e>
                <m:sub>
                  <m:r>
                    <w:rPr>
                      <w:rFonts w:ascii="Cambria Math" w:hAnsi="Cambria Math"/>
                      <w:sz w:val="22"/>
                      <w:szCs w:val="22"/>
                    </w:rPr>
                    <m:t>j,t</m:t>
                  </m:r>
                </m:sub>
              </m:sSub>
              <m:r>
                <w:rPr>
                  <w:rFonts w:ascii="Cambria Math" w:hAnsi="Cambria Math"/>
                  <w:sz w:val="22"/>
                  <w:szCs w:val="22"/>
                </w:rPr>
                <m:t xml:space="preserve"> - </m:t>
              </m:r>
              <m:sSub>
                <m:sSubPr>
                  <m:ctrlPr>
                    <w:rPr>
                      <w:rFonts w:ascii="Cambria Math" w:hAnsi="Cambria Math"/>
                      <w:i/>
                      <w:sz w:val="22"/>
                      <w:szCs w:val="22"/>
                    </w:rPr>
                  </m:ctrlPr>
                </m:sSubPr>
                <m:e>
                  <m:r>
                    <w:rPr>
                      <w:rFonts w:ascii="Cambria Math" w:hAnsi="Cambria Math"/>
                      <w:sz w:val="22"/>
                      <w:szCs w:val="22"/>
                    </w:rPr>
                    <m:t>Pe</m:t>
                  </m:r>
                </m:e>
                <m:sub>
                  <m:r>
                    <w:rPr>
                      <w:rFonts w:ascii="Cambria Math" w:hAnsi="Cambria Math"/>
                      <w:sz w:val="22"/>
                      <w:szCs w:val="22"/>
                    </w:rPr>
                    <m:t>j,1</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Pd</m:t>
                  </m:r>
                </m:e>
                <m:sub>
                  <m:r>
                    <w:rPr>
                      <w:rFonts w:ascii="Cambria Math" w:hAnsi="Cambria Math"/>
                      <w:sz w:val="22"/>
                      <w:szCs w:val="22"/>
                    </w:rPr>
                    <m:t>j,t-1</m:t>
                  </m:r>
                </m:sub>
              </m:sSub>
            </m:e>
          </m:d>
          <m:r>
            <w:rPr>
              <w:rFonts w:ascii="Cambria Math" w:hAnsi="Cambria Math"/>
              <w:sz w:val="22"/>
              <w:szCs w:val="22"/>
            </w:rPr>
            <m:t>*</m:t>
          </m:r>
          <m:nary>
            <m:naryPr>
              <m:chr m:val="∑"/>
              <m:limLoc m:val="undOvr"/>
              <m:ctrlPr>
                <w:rPr>
                  <w:rFonts w:ascii="Cambria Math" w:hAnsi="Cambria Math"/>
                  <w:i/>
                  <w:sz w:val="22"/>
                  <w:szCs w:val="22"/>
                </w:rPr>
              </m:ctrlPr>
            </m:naryPr>
            <m:sub>
              <m:r>
                <w:rPr>
                  <w:rFonts w:ascii="Cambria Math" w:hAnsi="Cambria Math"/>
                  <w:sz w:val="22"/>
                  <w:szCs w:val="22"/>
                </w:rPr>
                <m:t>m=-3</m:t>
              </m:r>
            </m:sub>
            <m:sup>
              <m:r>
                <w:rPr>
                  <w:rFonts w:ascii="Cambria Math" w:hAnsi="Cambria Math"/>
                  <w:sz w:val="22"/>
                  <w:szCs w:val="22"/>
                </w:rPr>
                <m:t>-14</m:t>
              </m:r>
            </m:sup>
            <m:e>
              <m:sSub>
                <m:sSubPr>
                  <m:ctrlPr>
                    <w:rPr>
                      <w:rFonts w:ascii="Cambria Math" w:hAnsi="Cambria Math"/>
                      <w:i/>
                      <w:sz w:val="22"/>
                      <w:szCs w:val="22"/>
                    </w:rPr>
                  </m:ctrlPr>
                </m:sSubPr>
                <m:e>
                  <m:r>
                    <w:rPr>
                      <w:rFonts w:ascii="Cambria Math" w:hAnsi="Cambria Math"/>
                      <w:sz w:val="22"/>
                      <w:szCs w:val="22"/>
                    </w:rPr>
                    <m:t>Ee</m:t>
                  </m:r>
                </m:e>
                <m:sub>
                  <m:r>
                    <w:rPr>
                      <w:rFonts w:ascii="Cambria Math" w:hAnsi="Cambria Math"/>
                      <w:sz w:val="22"/>
                      <w:szCs w:val="22"/>
                    </w:rPr>
                    <m:t>j,1,m</m:t>
                  </m:r>
                </m:sub>
              </m:sSub>
            </m:e>
          </m:nary>
        </m:oMath>
      </m:oMathPara>
    </w:p>
    <w:p w:rsidR="00285A2D" w:rsidRPr="004E6CFC" w:rsidRDefault="00285A2D" w:rsidP="00285A2D">
      <w:r w:rsidRPr="004E6CFC">
        <w:t xml:space="preserve">Donde: </w:t>
      </w:r>
    </w:p>
    <w:p w:rsidR="00285A2D" w:rsidRPr="004E6CFC" w:rsidRDefault="00285A2D" w:rsidP="00285A2D">
      <w:pPr>
        <w:ind w:left="1410" w:hanging="1410"/>
      </w:pPr>
      <w:r w:rsidRPr="004E6CFC">
        <w:rPr>
          <w:i/>
        </w:rPr>
        <w:t>Epad</w:t>
      </w:r>
      <w:r w:rsidRPr="004E6CFC">
        <w:rPr>
          <w:i/>
          <w:vertAlign w:val="subscript"/>
        </w:rPr>
        <w:t>j,t</w:t>
      </w:r>
      <w:r w:rsidRPr="004E6CFC">
        <w:tab/>
        <w:t xml:space="preserve">Energía de pérdidas adicionales del OR </w:t>
      </w:r>
      <w:r w:rsidRPr="004E6CFC">
        <w:rPr>
          <w:i/>
        </w:rPr>
        <w:t xml:space="preserve">j </w:t>
      </w:r>
      <w:r w:rsidRPr="004E6CFC">
        <w:t xml:space="preserve">en el año </w:t>
      </w:r>
      <w:r w:rsidRPr="004E6CFC">
        <w:rPr>
          <w:i/>
        </w:rPr>
        <w:t>t</w:t>
      </w:r>
      <w:r w:rsidRPr="004E6CFC">
        <w:t xml:space="preserve"> expresadas en kWh.</w:t>
      </w:r>
    </w:p>
    <w:p w:rsidR="00285A2D" w:rsidRPr="004E6CFC" w:rsidRDefault="00285A2D" w:rsidP="00285A2D">
      <w:pPr>
        <w:ind w:left="1418" w:hanging="1418"/>
      </w:pPr>
      <w:r>
        <w:rPr>
          <w:i/>
        </w:rPr>
        <w:t>FPI</w:t>
      </w:r>
      <w:r w:rsidRPr="004E6CFC">
        <w:rPr>
          <w:i/>
          <w:vertAlign w:val="subscript"/>
        </w:rPr>
        <w:t>j,</w:t>
      </w:r>
      <w:r w:rsidRPr="004E6CFC" w:rsidDel="00826106">
        <w:rPr>
          <w:i/>
          <w:vertAlign w:val="subscript"/>
        </w:rPr>
        <w:t xml:space="preserve"> </w:t>
      </w:r>
      <w:r w:rsidRPr="004E6CFC">
        <w:rPr>
          <w:i/>
          <w:vertAlign w:val="subscript"/>
        </w:rPr>
        <w:t>t</w:t>
      </w:r>
      <w:r w:rsidRPr="004E6CFC">
        <w:tab/>
        <w:t xml:space="preserve">Índice de pérdidas de energía de transición del OR </w:t>
      </w:r>
      <w:r w:rsidRPr="004E6CFC">
        <w:rPr>
          <w:i/>
        </w:rPr>
        <w:t>j</w:t>
      </w:r>
      <w:r w:rsidRPr="004E6CFC">
        <w:t xml:space="preserve"> en </w:t>
      </w:r>
      <w:r w:rsidRPr="004E6CFC">
        <w:rPr>
          <w:rFonts w:cs="Arial"/>
        </w:rPr>
        <w:t>nivel de tensión 1</w:t>
      </w:r>
      <w:r w:rsidRPr="004E6CFC">
        <w:t xml:space="preserve"> del año </w:t>
      </w:r>
      <w:r w:rsidRPr="004E6CFC">
        <w:rPr>
          <w:i/>
        </w:rPr>
        <w:t>t</w:t>
      </w:r>
      <w:r w:rsidRPr="004E6CFC">
        <w:t xml:space="preserve">, </w:t>
      </w:r>
      <w:r>
        <w:t xml:space="preserve">calculado </w:t>
      </w:r>
      <w:r w:rsidRPr="004E6CFC">
        <w:t xml:space="preserve">según lo establecido en el numeral </w:t>
      </w:r>
      <w:r w:rsidRPr="004E6CFC">
        <w:fldChar w:fldCharType="begin"/>
      </w:r>
      <w:r w:rsidRPr="004E6CFC">
        <w:instrText xml:space="preserve"> REF _Ref476735376 \r \h  \* MERGEFORMAT </w:instrText>
      </w:r>
      <w:r w:rsidRPr="004E6CFC">
        <w:fldChar w:fldCharType="separate"/>
      </w:r>
      <w:r w:rsidR="00737178">
        <w:t>7.1.4.3</w:t>
      </w:r>
      <w:r w:rsidRPr="004E6CFC">
        <w:fldChar w:fldCharType="end"/>
      </w:r>
    </w:p>
    <w:p w:rsidR="00285A2D" w:rsidRPr="004E6CFC" w:rsidRDefault="00285A2D" w:rsidP="00285A2D">
      <w:pPr>
        <w:ind w:left="1418" w:hanging="1418"/>
        <w:rPr>
          <w:rFonts w:cs="Arial"/>
          <w:szCs w:val="20"/>
          <w:lang w:val="es-ES_tradnl"/>
        </w:rPr>
      </w:pPr>
      <w:r w:rsidRPr="004E6CFC">
        <w:rPr>
          <w:rFonts w:cs="Arial"/>
          <w:i/>
          <w:szCs w:val="20"/>
          <w:lang w:val="es-ES_tradnl"/>
        </w:rPr>
        <w:t>Pe</w:t>
      </w:r>
      <w:r w:rsidRPr="004E6CFC">
        <w:rPr>
          <w:rFonts w:cs="Arial"/>
          <w:i/>
          <w:szCs w:val="20"/>
          <w:vertAlign w:val="subscript"/>
          <w:lang w:val="es-ES_tradnl"/>
        </w:rPr>
        <w:t>j,1</w:t>
      </w:r>
      <w:r w:rsidRPr="004E6CFC">
        <w:rPr>
          <w:rFonts w:cs="Arial"/>
          <w:szCs w:val="20"/>
          <w:lang w:val="es-ES_tradnl"/>
        </w:rPr>
        <w:t>:</w:t>
      </w:r>
      <w:r w:rsidRPr="004E6CFC">
        <w:rPr>
          <w:rFonts w:cs="Arial"/>
          <w:szCs w:val="20"/>
          <w:lang w:val="es-ES_tradnl"/>
        </w:rPr>
        <w:tab/>
        <w:t xml:space="preserve">Índice de pérdidas calculado del nivel de tensión 1 del OR </w:t>
      </w:r>
      <w:r w:rsidRPr="004E6CFC">
        <w:rPr>
          <w:rFonts w:cs="Arial"/>
          <w:i/>
          <w:szCs w:val="20"/>
          <w:lang w:val="es-ES_tradnl"/>
        </w:rPr>
        <w:t>j</w:t>
      </w:r>
      <w:r w:rsidRPr="004E6CFC">
        <w:rPr>
          <w:rFonts w:cs="Arial"/>
          <w:szCs w:val="20"/>
          <w:lang w:val="es-ES_tradnl"/>
        </w:rPr>
        <w:t xml:space="preserve">, según lo establecido en el numeral </w:t>
      </w:r>
      <w:r w:rsidRPr="004E6CFC">
        <w:rPr>
          <w:rFonts w:cs="Arial"/>
          <w:szCs w:val="20"/>
          <w:lang w:val="es-ES_tradnl"/>
        </w:rPr>
        <w:fldChar w:fldCharType="begin"/>
      </w:r>
      <w:r w:rsidRPr="004E6CFC">
        <w:rPr>
          <w:rFonts w:cs="Arial"/>
          <w:szCs w:val="20"/>
          <w:lang w:val="es-ES_tradnl"/>
        </w:rPr>
        <w:instrText xml:space="preserve"> REF _Ref476809430 \r \h  \* MERGEFORMAT </w:instrText>
      </w:r>
      <w:r w:rsidRPr="004E6CFC">
        <w:rPr>
          <w:rFonts w:cs="Arial"/>
          <w:szCs w:val="20"/>
          <w:lang w:val="es-ES_tradnl"/>
        </w:rPr>
      </w:r>
      <w:r w:rsidRPr="004E6CFC">
        <w:rPr>
          <w:rFonts w:cs="Arial"/>
          <w:szCs w:val="20"/>
          <w:lang w:val="es-ES_tradnl"/>
        </w:rPr>
        <w:fldChar w:fldCharType="separate"/>
      </w:r>
      <w:r w:rsidR="00737178">
        <w:rPr>
          <w:rFonts w:cs="Arial"/>
          <w:szCs w:val="20"/>
          <w:lang w:val="es-ES_tradnl"/>
        </w:rPr>
        <w:t>7.1.1.3</w:t>
      </w:r>
      <w:r w:rsidRPr="004E6CFC">
        <w:rPr>
          <w:rFonts w:cs="Arial"/>
          <w:szCs w:val="20"/>
          <w:lang w:val="es-ES_tradnl"/>
        </w:rPr>
        <w:fldChar w:fldCharType="end"/>
      </w:r>
      <w:r w:rsidRPr="004E6CFC">
        <w:rPr>
          <w:rFonts w:cs="Arial"/>
          <w:szCs w:val="20"/>
          <w:lang w:val="es-ES_tradnl"/>
        </w:rPr>
        <w:t>.</w:t>
      </w:r>
    </w:p>
    <w:p w:rsidR="00285A2D" w:rsidRPr="004E6CFC" w:rsidRDefault="00285A2D" w:rsidP="00285A2D">
      <w:pPr>
        <w:ind w:left="1410" w:hanging="1410"/>
      </w:pPr>
      <w:r w:rsidRPr="004E6CFC">
        <w:rPr>
          <w:i/>
        </w:rPr>
        <w:t>Ee</w:t>
      </w:r>
      <w:r w:rsidRPr="004E6CFC">
        <w:rPr>
          <w:i/>
          <w:vertAlign w:val="subscript"/>
        </w:rPr>
        <w:t>j,1,m</w:t>
      </w:r>
      <w:r w:rsidRPr="004E6CFC">
        <w:rPr>
          <w:i/>
        </w:rPr>
        <w:tab/>
      </w:r>
      <w:r w:rsidRPr="004E6CFC">
        <w:t xml:space="preserve">Energía de entrada en </w:t>
      </w:r>
      <w:r w:rsidRPr="004E6CFC">
        <w:rPr>
          <w:rFonts w:cs="Arial"/>
        </w:rPr>
        <w:t>nivel de tensión 1</w:t>
      </w:r>
      <w:r w:rsidRPr="004E6CFC">
        <w:t xml:space="preserve"> del OR </w:t>
      </w:r>
      <w:r w:rsidRPr="004E6CFC">
        <w:rPr>
          <w:i/>
        </w:rPr>
        <w:t>j</w:t>
      </w:r>
      <w:r w:rsidRPr="004E6CFC">
        <w:t xml:space="preserve"> durante el mes </w:t>
      </w:r>
      <w:r w:rsidRPr="004E6CFC">
        <w:rPr>
          <w:i/>
        </w:rPr>
        <w:t>m</w:t>
      </w:r>
      <w:r w:rsidRPr="004E6CFC">
        <w:t xml:space="preserve">, expresada en kWh, calculada como se establece en el numeral </w:t>
      </w:r>
      <w:r w:rsidRPr="004E6CFC">
        <w:fldChar w:fldCharType="begin"/>
      </w:r>
      <w:r w:rsidRPr="004E6CFC">
        <w:instrText xml:space="preserve"> REF _Ref460823417 \r \h  \* MERGEFORMAT </w:instrText>
      </w:r>
      <w:r w:rsidRPr="004E6CFC">
        <w:fldChar w:fldCharType="separate"/>
      </w:r>
      <w:r w:rsidR="00737178">
        <w:t>7.3.7.1</w:t>
      </w:r>
      <w:r w:rsidRPr="004E6CFC">
        <w:fldChar w:fldCharType="end"/>
      </w:r>
      <w:r w:rsidRPr="004E6CFC">
        <w:t>.</w:t>
      </w:r>
    </w:p>
    <w:p w:rsidR="00285A2D" w:rsidRPr="004E6CFC" w:rsidRDefault="00285A2D" w:rsidP="00285A2D">
      <w:pPr>
        <w:ind w:left="1418" w:hanging="1418"/>
        <w:rPr>
          <w:rFonts w:cs="Arial"/>
          <w:szCs w:val="20"/>
          <w:lang w:val="es-ES_tradnl"/>
        </w:rPr>
      </w:pPr>
      <w:r w:rsidRPr="004E6CFC">
        <w:rPr>
          <w:rFonts w:cs="Arial"/>
          <w:i/>
          <w:szCs w:val="20"/>
          <w:lang w:val="es-ES_tradnl"/>
        </w:rPr>
        <w:t>Pd</w:t>
      </w:r>
      <w:r w:rsidRPr="004E6CFC">
        <w:rPr>
          <w:rFonts w:cs="Arial"/>
          <w:i/>
          <w:szCs w:val="20"/>
          <w:vertAlign w:val="subscript"/>
          <w:lang w:val="es-ES_tradnl"/>
        </w:rPr>
        <w:t>j,t-1</w:t>
      </w:r>
      <w:r w:rsidRPr="004E6CFC">
        <w:rPr>
          <w:rFonts w:cs="Arial"/>
          <w:szCs w:val="20"/>
          <w:lang w:val="es-ES_tradnl"/>
        </w:rPr>
        <w:t>:</w:t>
      </w:r>
      <w:r w:rsidRPr="004E6CFC">
        <w:rPr>
          <w:rFonts w:cs="Arial"/>
          <w:szCs w:val="20"/>
          <w:lang w:val="es-ES_tradnl"/>
        </w:rPr>
        <w:tab/>
        <w:t>Índice de pérdidas a devolver</w:t>
      </w:r>
      <w:r>
        <w:rPr>
          <w:rFonts w:cs="Arial"/>
          <w:szCs w:val="20"/>
          <w:lang w:val="es-ES_tradnl"/>
        </w:rPr>
        <w:t xml:space="preserve">. Se aplica únicamente en el segundo año, cuando las inversiones ejecutadas en el primer año son inferiores al valor mínimo del rango de inversión con base en el cual se aprobó la variable </w:t>
      </w:r>
      <w:r w:rsidRPr="00CD34FD">
        <w:rPr>
          <w:rFonts w:cs="Arial"/>
          <w:i/>
          <w:szCs w:val="20"/>
          <w:lang w:val="es-ES_tradnl"/>
        </w:rPr>
        <w:t>Ptr</w:t>
      </w:r>
      <w:r w:rsidRPr="00CD34FD">
        <w:rPr>
          <w:rFonts w:cs="Arial"/>
          <w:i/>
          <w:szCs w:val="20"/>
          <w:vertAlign w:val="subscript"/>
          <w:lang w:val="es-ES_tradnl"/>
        </w:rPr>
        <w:t>j,1,</w:t>
      </w:r>
      <w:r>
        <w:rPr>
          <w:rFonts w:cs="Arial"/>
          <w:i/>
          <w:szCs w:val="20"/>
          <w:vertAlign w:val="subscript"/>
          <w:lang w:val="es-ES_tradnl"/>
        </w:rPr>
        <w:t>1</w:t>
      </w:r>
      <w:r>
        <w:rPr>
          <w:rFonts w:cs="Arial"/>
          <w:szCs w:val="20"/>
          <w:lang w:val="es-ES_tradnl"/>
        </w:rPr>
        <w:t xml:space="preserve">. Se calcula restando el </w:t>
      </w:r>
      <w:r w:rsidRPr="003C5D89">
        <w:rPr>
          <w:rFonts w:cs="Arial"/>
          <w:i/>
          <w:szCs w:val="20"/>
          <w:lang w:val="es-ES_tradnl"/>
        </w:rPr>
        <w:t>FPI</w:t>
      </w:r>
      <w:r w:rsidRPr="003C5D89">
        <w:rPr>
          <w:rFonts w:cs="Arial"/>
          <w:i/>
          <w:szCs w:val="20"/>
          <w:vertAlign w:val="subscript"/>
          <w:lang w:val="es-ES_tradnl"/>
        </w:rPr>
        <w:t>j,1</w:t>
      </w:r>
      <w:r>
        <w:rPr>
          <w:rFonts w:cs="Arial"/>
          <w:szCs w:val="20"/>
          <w:lang w:val="es-ES_tradnl"/>
        </w:rPr>
        <w:t xml:space="preserve"> calculado con base en el capex ejecutado en el primer año del </w:t>
      </w:r>
      <w:r w:rsidRPr="003C5D89">
        <w:rPr>
          <w:rFonts w:cs="Arial"/>
          <w:i/>
          <w:szCs w:val="20"/>
          <w:lang w:val="es-ES_tradnl"/>
        </w:rPr>
        <w:t>FPI</w:t>
      </w:r>
      <w:r w:rsidRPr="003C5D89">
        <w:rPr>
          <w:rFonts w:cs="Arial"/>
          <w:i/>
          <w:szCs w:val="20"/>
          <w:vertAlign w:val="subscript"/>
          <w:lang w:val="es-ES_tradnl"/>
        </w:rPr>
        <w:t>j,1</w:t>
      </w:r>
      <w:r>
        <w:rPr>
          <w:rFonts w:cs="Arial"/>
          <w:i/>
          <w:szCs w:val="20"/>
          <w:vertAlign w:val="subscript"/>
          <w:lang w:val="es-ES_tradnl"/>
        </w:rPr>
        <w:t xml:space="preserve"> </w:t>
      </w:r>
      <w:r>
        <w:rPr>
          <w:rFonts w:cs="Arial"/>
          <w:szCs w:val="20"/>
          <w:lang w:val="es-ES_tradnl"/>
        </w:rPr>
        <w:t xml:space="preserve">aprobado para el primer año. </w:t>
      </w:r>
    </w:p>
    <w:p w:rsidR="00285A2D" w:rsidRPr="004E6CFC" w:rsidRDefault="00285A2D" w:rsidP="00285A2D">
      <w:pPr>
        <w:pStyle w:val="Ttulo2"/>
        <w:rPr>
          <w:lang w:val="es-CO"/>
        </w:rPr>
      </w:pPr>
      <w:bookmarkStart w:id="787" w:name="_Toc210616143"/>
      <w:bookmarkStart w:id="788" w:name="_Ref208800387"/>
      <w:bookmarkStart w:id="789" w:name="_Ref208799633"/>
      <w:bookmarkStart w:id="790" w:name="_Toc406406212"/>
      <w:bookmarkStart w:id="791" w:name="_Toc408493207"/>
      <w:bookmarkStart w:id="792" w:name="_Toc443655740"/>
      <w:bookmarkStart w:id="793" w:name="_Ref445132964"/>
      <w:bookmarkStart w:id="794" w:name="_Ref445141930"/>
      <w:bookmarkStart w:id="795" w:name="_Ref445142069"/>
      <w:bookmarkStart w:id="796" w:name="_Toc445214130"/>
      <w:bookmarkStart w:id="797" w:name="_Toc466009905"/>
      <w:bookmarkStart w:id="798" w:name="_Toc476824932"/>
      <w:bookmarkStart w:id="799" w:name="_Toc505335983"/>
      <w:r w:rsidRPr="004E6CFC">
        <w:t>Determinación de los factores para referir al STN</w:t>
      </w:r>
      <w:bookmarkEnd w:id="787"/>
      <w:bookmarkEnd w:id="788"/>
      <w:bookmarkEnd w:id="789"/>
      <w:bookmarkEnd w:id="790"/>
      <w:bookmarkEnd w:id="791"/>
      <w:bookmarkEnd w:id="792"/>
      <w:bookmarkEnd w:id="793"/>
      <w:bookmarkEnd w:id="794"/>
      <w:bookmarkEnd w:id="795"/>
      <w:bookmarkEnd w:id="796"/>
      <w:bookmarkEnd w:id="797"/>
      <w:bookmarkEnd w:id="798"/>
      <w:bookmarkEnd w:id="799"/>
    </w:p>
    <w:p w:rsidR="00285A2D" w:rsidRPr="004E6CFC" w:rsidRDefault="00285A2D" w:rsidP="00285A2D">
      <w:pPr>
        <w:rPr>
          <w:rFonts w:cs="Arial"/>
          <w:szCs w:val="20"/>
          <w:lang w:val="es-CO"/>
        </w:rPr>
      </w:pPr>
      <w:r w:rsidRPr="004E6CFC">
        <w:rPr>
          <w:rFonts w:cs="Arial"/>
          <w:szCs w:val="20"/>
          <w:lang w:val="es-CO"/>
        </w:rPr>
        <w:t>Los factores de cada nivel de tensión para referir las medidas de energía al STN, considerando las pérdidas de energía eficientes de los STR o SDL, se determinarán, para cada OR, siguiendo las siguientes expresiones:</w:t>
      </w:r>
    </w:p>
    <w:p w:rsidR="00285A2D" w:rsidRPr="004E6CFC" w:rsidRDefault="00285A2D" w:rsidP="00285A2D">
      <w:pPr>
        <w:pStyle w:val="Ttulo3"/>
      </w:pPr>
      <w:bookmarkStart w:id="800" w:name="_Toc466009906"/>
      <w:bookmarkStart w:id="801" w:name="_Toc476824933"/>
      <w:bookmarkStart w:id="802" w:name="_Ref505174347"/>
      <w:bookmarkStart w:id="803" w:name="_Toc505335984"/>
      <w:r w:rsidRPr="004E6CFC">
        <w:t>Nivel de tensión 4</w:t>
      </w:r>
      <w:bookmarkEnd w:id="800"/>
      <w:bookmarkEnd w:id="801"/>
      <w:bookmarkEnd w:id="802"/>
      <w:bookmarkEnd w:id="803"/>
    </w:p>
    <w:p w:rsidR="00285A2D" w:rsidRPr="004E6CFC" w:rsidRDefault="00285A2D" w:rsidP="00285A2D">
      <w:pPr>
        <w:rPr>
          <w:rFonts w:cs="Arial"/>
          <w:szCs w:val="20"/>
          <w:lang w:val="es-CO"/>
        </w:rPr>
      </w:pPr>
      <w:r>
        <w:rPr>
          <w:rFonts w:cs="Arial"/>
          <w:szCs w:val="20"/>
          <w:lang w:val="es-CO"/>
        </w:rPr>
        <w:t>Este índice se define en el numeral</w:t>
      </w:r>
      <w:r w:rsidR="00DA7FDA">
        <w:rPr>
          <w:rFonts w:cs="Arial"/>
          <w:szCs w:val="20"/>
          <w:lang w:val="es-CO"/>
        </w:rPr>
        <w:t xml:space="preserve"> </w:t>
      </w:r>
      <w:r w:rsidR="00DA7FDA">
        <w:rPr>
          <w:rFonts w:cs="Arial"/>
          <w:szCs w:val="20"/>
          <w:lang w:val="es-CO"/>
        </w:rPr>
        <w:fldChar w:fldCharType="begin"/>
      </w:r>
      <w:r w:rsidR="00DA7FDA">
        <w:rPr>
          <w:rFonts w:cs="Arial"/>
          <w:szCs w:val="20"/>
          <w:lang w:val="es-CO"/>
        </w:rPr>
        <w:instrText xml:space="preserve"> REF _Ref505174675 \r \h </w:instrText>
      </w:r>
      <w:r w:rsidR="00DA7FDA">
        <w:rPr>
          <w:rFonts w:cs="Arial"/>
          <w:szCs w:val="20"/>
          <w:lang w:val="es-CO"/>
        </w:rPr>
      </w:r>
      <w:r w:rsidR="00DA7FDA">
        <w:rPr>
          <w:rFonts w:cs="Arial"/>
          <w:szCs w:val="20"/>
          <w:lang w:val="es-CO"/>
        </w:rPr>
        <w:fldChar w:fldCharType="separate"/>
      </w:r>
      <w:r w:rsidR="00737178">
        <w:rPr>
          <w:rFonts w:cs="Arial"/>
          <w:szCs w:val="20"/>
          <w:lang w:val="es-CO"/>
        </w:rPr>
        <w:t>1.1.1</w:t>
      </w:r>
      <w:r w:rsidR="00DA7FDA">
        <w:rPr>
          <w:rFonts w:cs="Arial"/>
          <w:szCs w:val="20"/>
          <w:lang w:val="es-CO"/>
        </w:rPr>
        <w:fldChar w:fldCharType="end"/>
      </w:r>
      <w:r>
        <w:rPr>
          <w:rFonts w:cs="Arial"/>
          <w:szCs w:val="20"/>
          <w:lang w:val="es-CO"/>
        </w:rPr>
        <w:t>.</w:t>
      </w:r>
    </w:p>
    <w:p w:rsidR="00285A2D" w:rsidRPr="004E6CFC" w:rsidRDefault="00285A2D" w:rsidP="00285A2D">
      <w:pPr>
        <w:pStyle w:val="Ttulo3"/>
      </w:pPr>
      <w:bookmarkStart w:id="804" w:name="_Toc466009907"/>
      <w:bookmarkStart w:id="805" w:name="_Toc476824934"/>
      <w:bookmarkStart w:id="806" w:name="_Toc505335985"/>
      <w:r w:rsidRPr="004E6CFC">
        <w:t>Nivel de tensión 3</w:t>
      </w:r>
      <w:bookmarkEnd w:id="804"/>
      <w:bookmarkEnd w:id="805"/>
      <w:bookmarkEnd w:id="806"/>
    </w:p>
    <w:p w:rsidR="00285A2D" w:rsidRPr="004E6CFC" w:rsidRDefault="00C9592F" w:rsidP="00285A2D">
      <w:pPr>
        <w:rPr>
          <w:rFonts w:cs="Arial"/>
          <w:bCs/>
          <w:lang w:val="es-ES_tradnl"/>
        </w:rPr>
      </w:pPr>
      <m:oMathPara>
        <m:oMath>
          <m:sSub>
            <m:sSubPr>
              <m:ctrlPr>
                <w:rPr>
                  <w:rFonts w:ascii="Cambria Math" w:hAnsi="Cambria Math"/>
                  <w:bCs/>
                  <w:i/>
                  <w:lang w:val="es-ES_tradnl"/>
                </w:rPr>
              </m:ctrlPr>
            </m:sSubPr>
            <m:e>
              <m:r>
                <w:rPr>
                  <w:rFonts w:ascii="Cambria Math" w:hAnsi="Cambria Math"/>
                  <w:lang w:val="es-ES_tradnl"/>
                </w:rPr>
                <m:t>PR</m:t>
              </m:r>
            </m:e>
            <m:sub>
              <m:r>
                <w:rPr>
                  <w:rFonts w:ascii="Cambria Math" w:hAnsi="Cambria Math"/>
                  <w:lang w:val="es-ES_tradnl"/>
                </w:rPr>
                <m:t>3,j,t</m:t>
              </m:r>
            </m:sub>
          </m:sSub>
          <m:r>
            <w:rPr>
              <w:rFonts w:ascii="Cambria Math" w:hAnsi="Cambria Math"/>
              <w:lang w:val="es-ES_tradnl"/>
            </w:rPr>
            <m:t>=1-</m:t>
          </m:r>
          <m:d>
            <m:dPr>
              <m:ctrlPr>
                <w:rPr>
                  <w:rFonts w:ascii="Cambria Math" w:hAnsi="Cambria Math"/>
                  <w:bCs/>
                  <w:i/>
                  <w:lang w:val="es-ES_tradnl"/>
                </w:rPr>
              </m:ctrlPr>
            </m:dPr>
            <m:e>
              <m:r>
                <w:rPr>
                  <w:rFonts w:ascii="Cambria Math" w:hAnsi="Cambria Math"/>
                  <w:lang w:val="es-ES_tradnl"/>
                </w:rPr>
                <m:t>1-</m:t>
              </m:r>
              <m:sSub>
                <m:sSubPr>
                  <m:ctrlPr>
                    <w:rPr>
                      <w:rFonts w:ascii="Cambria Math" w:hAnsi="Cambria Math"/>
                      <w:bCs/>
                      <w:i/>
                      <w:lang w:val="es-ES_tradnl"/>
                    </w:rPr>
                  </m:ctrlPr>
                </m:sSubPr>
                <m:e>
                  <m:r>
                    <w:rPr>
                      <w:rFonts w:ascii="Cambria Math" w:hAnsi="Cambria Math"/>
                      <w:lang w:val="es-ES_tradnl"/>
                    </w:rPr>
                    <m:t>P</m:t>
                  </m:r>
                </m:e>
                <m:sub>
                  <m:r>
                    <w:rPr>
                      <w:rFonts w:ascii="Cambria Math" w:hAnsi="Cambria Math"/>
                      <w:lang w:val="es-ES_tradnl"/>
                    </w:rPr>
                    <m:t>j,3,t</m:t>
                  </m:r>
                </m:sub>
              </m:sSub>
            </m:e>
          </m:d>
          <m:d>
            <m:dPr>
              <m:begChr m:val="["/>
              <m:endChr m:val="]"/>
              <m:ctrlPr>
                <w:rPr>
                  <w:rFonts w:ascii="Cambria Math" w:hAnsi="Cambria Math"/>
                  <w:bCs/>
                  <w:i/>
                  <w:lang w:val="es-ES_tradnl"/>
                </w:rPr>
              </m:ctrlPr>
            </m:dPr>
            <m:e>
              <m:d>
                <m:dPr>
                  <m:ctrlPr>
                    <w:rPr>
                      <w:rFonts w:ascii="Cambria Math" w:hAnsi="Cambria Math"/>
                      <w:bCs/>
                      <w:i/>
                      <w:lang w:val="es-ES_tradnl"/>
                    </w:rPr>
                  </m:ctrlPr>
                </m:dPr>
                <m:e>
                  <m:r>
                    <w:rPr>
                      <w:rFonts w:ascii="Cambria Math" w:hAnsi="Cambria Math"/>
                      <w:lang w:val="es-ES_tradnl"/>
                    </w:rPr>
                    <m:t>1-</m:t>
                  </m:r>
                  <m:sSub>
                    <m:sSubPr>
                      <m:ctrlPr>
                        <w:rPr>
                          <w:rFonts w:ascii="Cambria Math" w:hAnsi="Cambria Math" w:cs="Arial"/>
                          <w:i/>
                          <w:szCs w:val="20"/>
                          <w:lang w:val="es-CO"/>
                        </w:rPr>
                      </m:ctrlPr>
                    </m:sSubPr>
                    <m:e>
                      <m:r>
                        <w:rPr>
                          <w:rFonts w:ascii="Cambria Math" w:hAnsi="Cambria Math" w:cs="Arial"/>
                          <w:szCs w:val="20"/>
                          <w:lang w:val="es-CO"/>
                        </w:rPr>
                        <m:t>P</m:t>
                      </m:r>
                    </m:e>
                    <m:sub>
                      <m:r>
                        <w:rPr>
                          <w:rFonts w:ascii="Cambria Math" w:hAnsi="Cambria Math" w:cs="Arial"/>
                          <w:szCs w:val="20"/>
                          <w:lang w:val="es-CO"/>
                        </w:rPr>
                        <m:t>4,R,m,t</m:t>
                      </m:r>
                    </m:sub>
                  </m:sSub>
                </m:e>
              </m:d>
              <m:d>
                <m:dPr>
                  <m:ctrlPr>
                    <w:rPr>
                      <w:rFonts w:ascii="Cambria Math" w:hAnsi="Cambria Math"/>
                      <w:bCs/>
                      <w:i/>
                      <w:lang w:val="es-ES_tradnl"/>
                    </w:rPr>
                  </m:ctrlPr>
                </m:dPr>
                <m:e>
                  <m:f>
                    <m:fPr>
                      <m:ctrlPr>
                        <w:rPr>
                          <w:rFonts w:ascii="Cambria Math" w:hAnsi="Cambria Math"/>
                          <w:bCs/>
                          <w:i/>
                          <w:lang w:val="es-ES_tradnl"/>
                        </w:rPr>
                      </m:ctrlPr>
                    </m:fPr>
                    <m:num>
                      <m:sSub>
                        <m:sSubPr>
                          <m:ctrlPr>
                            <w:rPr>
                              <w:rFonts w:ascii="Cambria Math" w:hAnsi="Cambria Math"/>
                              <w:bCs/>
                              <w:i/>
                              <w:lang w:val="es-ES_tradnl"/>
                            </w:rPr>
                          </m:ctrlPr>
                        </m:sSubPr>
                        <m:e>
                          <m:r>
                            <w:rPr>
                              <w:rFonts w:ascii="Cambria Math" w:hAnsi="Cambria Math"/>
                              <w:lang w:val="es-ES_tradnl"/>
                            </w:rPr>
                            <m:t>Fe</m:t>
                          </m:r>
                        </m:e>
                        <m:sub>
                          <m:r>
                            <w:rPr>
                              <w:rFonts w:ascii="Cambria Math" w:hAnsi="Cambria Math"/>
                              <w:lang w:val="es-ES_tradnl"/>
                            </w:rPr>
                            <m:t>j,4-3</m:t>
                          </m:r>
                        </m:sub>
                      </m:sSub>
                    </m:num>
                    <m:den>
                      <m:sSub>
                        <m:sSubPr>
                          <m:ctrlPr>
                            <w:rPr>
                              <w:rFonts w:ascii="Cambria Math" w:hAnsi="Cambria Math"/>
                              <w:bCs/>
                              <w:i/>
                              <w:lang w:val="es-ES_tradnl"/>
                            </w:rPr>
                          </m:ctrlPr>
                        </m:sSubPr>
                        <m:e>
                          <m:r>
                            <w:rPr>
                              <w:rFonts w:ascii="Cambria Math" w:hAnsi="Cambria Math"/>
                              <w:lang w:val="es-ES_tradnl"/>
                            </w:rPr>
                            <m:t>Fe</m:t>
                          </m:r>
                        </m:e>
                        <m:sub>
                          <m:r>
                            <w:rPr>
                              <w:rFonts w:ascii="Cambria Math" w:hAnsi="Cambria Math"/>
                              <w:lang w:val="es-ES_tradnl"/>
                            </w:rPr>
                            <m:t>j,3</m:t>
                          </m:r>
                        </m:sub>
                      </m:sSub>
                    </m:den>
                  </m:f>
                </m:e>
              </m:d>
              <m:r>
                <w:rPr>
                  <w:rFonts w:ascii="Cambria Math" w:hAnsi="Cambria Math"/>
                  <w:lang w:val="es-ES_tradnl"/>
                </w:rPr>
                <m:t>+</m:t>
              </m:r>
              <m:d>
                <m:dPr>
                  <m:ctrlPr>
                    <w:rPr>
                      <w:rFonts w:ascii="Cambria Math" w:hAnsi="Cambria Math"/>
                      <w:bCs/>
                      <w:i/>
                      <w:lang w:val="es-ES_tradnl"/>
                    </w:rPr>
                  </m:ctrlPr>
                </m:dPr>
                <m:e>
                  <m:r>
                    <w:rPr>
                      <w:rFonts w:ascii="Cambria Math" w:hAnsi="Cambria Math"/>
                      <w:lang w:val="es-ES_tradnl"/>
                    </w:rPr>
                    <m:t>1-</m:t>
                  </m:r>
                  <m:sSub>
                    <m:sSubPr>
                      <m:ctrlPr>
                        <w:rPr>
                          <w:rFonts w:ascii="Cambria Math" w:hAnsi="Cambria Math"/>
                          <w:bCs/>
                          <w:i/>
                          <w:lang w:val="es-ES_tradnl"/>
                        </w:rPr>
                      </m:ctrlPr>
                    </m:sSubPr>
                    <m:e>
                      <m:r>
                        <w:rPr>
                          <w:rFonts w:ascii="Cambria Math" w:hAnsi="Cambria Math"/>
                          <w:lang w:val="es-ES_tradnl"/>
                        </w:rPr>
                        <m:t>P</m:t>
                      </m:r>
                    </m:e>
                    <m:sub>
                      <m:r>
                        <w:rPr>
                          <w:rFonts w:ascii="Cambria Math" w:hAnsi="Cambria Math"/>
                          <w:lang w:val="es-ES_tradnl"/>
                        </w:rPr>
                        <m:t>j,STN-3</m:t>
                      </m:r>
                    </m:sub>
                  </m:sSub>
                </m:e>
              </m:d>
              <m:d>
                <m:dPr>
                  <m:ctrlPr>
                    <w:rPr>
                      <w:rFonts w:ascii="Cambria Math" w:hAnsi="Cambria Math"/>
                      <w:bCs/>
                      <w:i/>
                      <w:lang w:val="es-ES_tradnl"/>
                    </w:rPr>
                  </m:ctrlPr>
                </m:dPr>
                <m:e>
                  <m:f>
                    <m:fPr>
                      <m:ctrlPr>
                        <w:rPr>
                          <w:rFonts w:ascii="Cambria Math" w:hAnsi="Cambria Math"/>
                          <w:bCs/>
                          <w:i/>
                          <w:lang w:val="es-ES_tradnl"/>
                        </w:rPr>
                      </m:ctrlPr>
                    </m:fPr>
                    <m:num>
                      <m:sSub>
                        <m:sSubPr>
                          <m:ctrlPr>
                            <w:rPr>
                              <w:rFonts w:ascii="Cambria Math" w:hAnsi="Cambria Math"/>
                              <w:bCs/>
                              <w:i/>
                              <w:lang w:val="es-ES_tradnl"/>
                            </w:rPr>
                          </m:ctrlPr>
                        </m:sSubPr>
                        <m:e>
                          <m:r>
                            <w:rPr>
                              <w:rFonts w:ascii="Cambria Math" w:hAnsi="Cambria Math"/>
                              <w:lang w:val="es-ES_tradnl"/>
                            </w:rPr>
                            <m:t>Fe</m:t>
                          </m:r>
                        </m:e>
                        <m:sub>
                          <m:r>
                            <w:rPr>
                              <w:rFonts w:ascii="Cambria Math" w:hAnsi="Cambria Math"/>
                              <w:lang w:val="es-ES_tradnl"/>
                            </w:rPr>
                            <m:t>j,STN-3</m:t>
                          </m:r>
                        </m:sub>
                      </m:sSub>
                    </m:num>
                    <m:den>
                      <m:sSub>
                        <m:sSubPr>
                          <m:ctrlPr>
                            <w:rPr>
                              <w:rFonts w:ascii="Cambria Math" w:hAnsi="Cambria Math"/>
                              <w:bCs/>
                              <w:i/>
                              <w:lang w:val="es-ES_tradnl"/>
                            </w:rPr>
                          </m:ctrlPr>
                        </m:sSubPr>
                        <m:e>
                          <m:r>
                            <w:rPr>
                              <w:rFonts w:ascii="Cambria Math" w:hAnsi="Cambria Math"/>
                              <w:lang w:val="es-ES_tradnl"/>
                            </w:rPr>
                            <m:t>Fe</m:t>
                          </m:r>
                        </m:e>
                        <m:sub>
                          <m:r>
                            <w:rPr>
                              <w:rFonts w:ascii="Cambria Math" w:hAnsi="Cambria Math"/>
                              <w:lang w:val="es-ES_tradnl"/>
                            </w:rPr>
                            <m:t>j,3</m:t>
                          </m:r>
                        </m:sub>
                      </m:sSub>
                    </m:den>
                  </m:f>
                </m:e>
              </m:d>
            </m:e>
          </m:d>
        </m:oMath>
      </m:oMathPara>
    </w:p>
    <w:p w:rsidR="00285A2D" w:rsidRPr="004E6CFC" w:rsidRDefault="00C9592F" w:rsidP="00285A2D">
      <w:pPr>
        <w:rPr>
          <w:rFonts w:cs="Arial"/>
          <w:szCs w:val="20"/>
          <w:lang w:val="es-CO"/>
        </w:rPr>
      </w:pPr>
      <m:oMathPara>
        <m:oMath>
          <m:sSub>
            <m:sSubPr>
              <m:ctrlPr>
                <w:rPr>
                  <w:rFonts w:ascii="Cambria Math" w:hAnsi="Cambria Math"/>
                  <w:bCs/>
                  <w:i/>
                  <w:lang w:val="es-ES_tradnl"/>
                </w:rPr>
              </m:ctrlPr>
            </m:sSubPr>
            <m:e>
              <m:r>
                <w:rPr>
                  <w:rFonts w:ascii="Cambria Math" w:hAnsi="Cambria Math"/>
                  <w:lang w:val="es-ES_tradnl"/>
                </w:rPr>
                <m:t>Fe</m:t>
              </m:r>
            </m:e>
            <m:sub>
              <m:r>
                <w:rPr>
                  <w:rFonts w:ascii="Cambria Math" w:hAnsi="Cambria Math"/>
                  <w:lang w:val="es-ES_tradnl"/>
                </w:rPr>
                <m:t>j,3</m:t>
              </m:r>
            </m:sub>
          </m:sSub>
          <m:r>
            <w:rPr>
              <w:rFonts w:ascii="Cambria Math" w:hAnsi="Cambria Math"/>
              <w:lang w:val="es-ES_tradnl"/>
            </w:rPr>
            <m:t>=</m:t>
          </m:r>
          <m:sSub>
            <m:sSubPr>
              <m:ctrlPr>
                <w:rPr>
                  <w:rFonts w:ascii="Cambria Math" w:hAnsi="Cambria Math"/>
                  <w:bCs/>
                  <w:i/>
                  <w:lang w:val="es-ES_tradnl"/>
                </w:rPr>
              </m:ctrlPr>
            </m:sSubPr>
            <m:e>
              <m:r>
                <w:rPr>
                  <w:rFonts w:ascii="Cambria Math" w:hAnsi="Cambria Math"/>
                  <w:lang w:val="es-ES_tradnl"/>
                </w:rPr>
                <m:t>Fe</m:t>
              </m:r>
            </m:e>
            <m:sub>
              <m:r>
                <w:rPr>
                  <w:rFonts w:ascii="Cambria Math" w:hAnsi="Cambria Math"/>
                  <w:lang w:val="es-ES_tradnl"/>
                </w:rPr>
                <m:t>j,4-3</m:t>
              </m:r>
            </m:sub>
          </m:sSub>
          <m:r>
            <w:rPr>
              <w:rFonts w:ascii="Cambria Math" w:hAnsi="Cambria Math"/>
              <w:lang w:val="es-ES_tradnl"/>
            </w:rPr>
            <m:t>+</m:t>
          </m:r>
          <m:sSub>
            <m:sSubPr>
              <m:ctrlPr>
                <w:rPr>
                  <w:rFonts w:ascii="Cambria Math" w:hAnsi="Cambria Math"/>
                  <w:bCs/>
                  <w:i/>
                  <w:lang w:val="es-ES_tradnl"/>
                </w:rPr>
              </m:ctrlPr>
            </m:sSubPr>
            <m:e>
              <m:r>
                <w:rPr>
                  <w:rFonts w:ascii="Cambria Math" w:hAnsi="Cambria Math"/>
                  <w:lang w:val="es-ES_tradnl"/>
                </w:rPr>
                <m:t>Fe</m:t>
              </m:r>
            </m:e>
            <m:sub>
              <m:r>
                <w:rPr>
                  <w:rFonts w:ascii="Cambria Math" w:hAnsi="Cambria Math"/>
                  <w:lang w:val="es-ES_tradnl"/>
                </w:rPr>
                <m:t>j,STN-3</m:t>
              </m:r>
            </m:sub>
          </m:sSub>
        </m:oMath>
      </m:oMathPara>
    </w:p>
    <w:p w:rsidR="00285A2D" w:rsidRPr="004E6CFC" w:rsidRDefault="00285A2D" w:rsidP="00285A2D">
      <w:pPr>
        <w:rPr>
          <w:rFonts w:cs="Arial"/>
          <w:szCs w:val="20"/>
          <w:lang w:val="es-CO"/>
        </w:rPr>
      </w:pPr>
      <w:r w:rsidRPr="004E6CFC">
        <w:rPr>
          <w:rFonts w:cs="Arial"/>
          <w:szCs w:val="20"/>
          <w:lang w:val="es-CO"/>
        </w:rPr>
        <w:lastRenderedPageBreak/>
        <w:t>Donde:</w:t>
      </w:r>
    </w:p>
    <w:p w:rsidR="00285A2D" w:rsidRPr="004E6CFC" w:rsidRDefault="00285A2D" w:rsidP="00285A2D">
      <w:pPr>
        <w:ind w:left="1418" w:hanging="1418"/>
        <w:rPr>
          <w:rFonts w:cs="Arial"/>
          <w:szCs w:val="20"/>
          <w:lang w:val="es-CO"/>
        </w:rPr>
      </w:pPr>
      <w:r w:rsidRPr="004E6CFC">
        <w:rPr>
          <w:rFonts w:cs="Arial"/>
          <w:i/>
          <w:szCs w:val="20"/>
          <w:lang w:val="es-CO"/>
        </w:rPr>
        <w:t>PR</w:t>
      </w:r>
      <w:r w:rsidRPr="004E6CFC">
        <w:rPr>
          <w:rFonts w:cs="Arial"/>
          <w:i/>
          <w:szCs w:val="20"/>
          <w:vertAlign w:val="subscript"/>
          <w:lang w:val="es-CO"/>
        </w:rPr>
        <w:t>3,j,t</w:t>
      </w:r>
      <w:r w:rsidRPr="004E6CFC">
        <w:rPr>
          <w:rFonts w:cs="Arial"/>
          <w:i/>
          <w:szCs w:val="20"/>
          <w:lang w:val="es-CO"/>
        </w:rPr>
        <w:t>:</w:t>
      </w:r>
      <w:r w:rsidRPr="004E6CFC">
        <w:rPr>
          <w:rFonts w:cs="Arial"/>
          <w:szCs w:val="20"/>
          <w:lang w:val="es-CO"/>
        </w:rPr>
        <w:tab/>
        <w:t xml:space="preserve">Factor para referir las medidas de energía del nivel de tensión 3 del OR </w:t>
      </w:r>
      <w:r w:rsidRPr="004E6CFC">
        <w:rPr>
          <w:rFonts w:cs="Arial"/>
          <w:i/>
          <w:szCs w:val="20"/>
          <w:lang w:val="es-CO"/>
        </w:rPr>
        <w:t>j</w:t>
      </w:r>
      <w:r w:rsidRPr="004E6CFC">
        <w:rPr>
          <w:rFonts w:cs="Arial"/>
          <w:szCs w:val="20"/>
          <w:lang w:val="es-CO"/>
        </w:rPr>
        <w:t xml:space="preserve"> al STN en el año </w:t>
      </w:r>
      <w:r w:rsidRPr="004E6CFC">
        <w:rPr>
          <w:rFonts w:cs="Arial"/>
          <w:i/>
          <w:szCs w:val="20"/>
          <w:lang w:val="es-CO"/>
        </w:rPr>
        <w:t>t</w:t>
      </w:r>
      <w:r w:rsidRPr="004E6CFC">
        <w:rPr>
          <w:rFonts w:cs="Arial"/>
          <w:szCs w:val="20"/>
          <w:lang w:val="es-CO"/>
        </w:rPr>
        <w:t>.</w:t>
      </w:r>
    </w:p>
    <w:p w:rsidR="00285A2D" w:rsidRPr="004E6CFC" w:rsidRDefault="00285A2D" w:rsidP="00285A2D">
      <w:pPr>
        <w:ind w:left="1418" w:hanging="1418"/>
        <w:rPr>
          <w:rFonts w:cs="Arial"/>
          <w:szCs w:val="20"/>
          <w:lang w:val="es-CO"/>
        </w:rPr>
      </w:pPr>
      <w:r w:rsidRPr="004E6CFC">
        <w:rPr>
          <w:rFonts w:cs="Arial"/>
          <w:i/>
          <w:szCs w:val="20"/>
          <w:lang w:val="es-CO"/>
        </w:rPr>
        <w:t>P</w:t>
      </w:r>
      <w:r w:rsidRPr="004E6CFC">
        <w:rPr>
          <w:rFonts w:cs="Arial"/>
          <w:i/>
          <w:szCs w:val="20"/>
          <w:vertAlign w:val="subscript"/>
          <w:lang w:val="es-CO"/>
        </w:rPr>
        <w:t>j,3,t</w:t>
      </w:r>
      <w:r w:rsidRPr="004E6CFC">
        <w:rPr>
          <w:rFonts w:cs="Arial"/>
          <w:szCs w:val="20"/>
          <w:lang w:val="es-CO"/>
        </w:rPr>
        <w:t>:</w:t>
      </w:r>
      <w:r w:rsidRPr="004E6CFC">
        <w:rPr>
          <w:rFonts w:cs="Arial"/>
          <w:szCs w:val="20"/>
          <w:lang w:val="es-CO"/>
        </w:rPr>
        <w:tab/>
        <w:t xml:space="preserve">Pérdidas a reconocer en el nivel de tensión 3 del OR </w:t>
      </w:r>
      <w:r w:rsidRPr="004E6CFC">
        <w:rPr>
          <w:rFonts w:cs="Arial"/>
          <w:i/>
          <w:szCs w:val="20"/>
          <w:lang w:val="es-CO"/>
        </w:rPr>
        <w:t xml:space="preserve">j </w:t>
      </w:r>
      <w:r w:rsidRPr="004E6CFC">
        <w:rPr>
          <w:rFonts w:cs="Arial"/>
          <w:szCs w:val="20"/>
          <w:lang w:val="es-CO"/>
        </w:rPr>
        <w:t xml:space="preserve">en el año </w:t>
      </w:r>
      <w:r w:rsidRPr="004E6CFC">
        <w:rPr>
          <w:rFonts w:cs="Arial"/>
          <w:i/>
          <w:szCs w:val="20"/>
          <w:lang w:val="es-CO"/>
        </w:rPr>
        <w:t>t</w:t>
      </w:r>
      <w:r w:rsidRPr="004E6CFC">
        <w:rPr>
          <w:rFonts w:cs="Arial"/>
          <w:szCs w:val="20"/>
          <w:lang w:val="es-CO"/>
        </w:rPr>
        <w:t xml:space="preserve">, según lo establecido en los numerales  </w:t>
      </w:r>
      <w:r w:rsidRPr="004E6CFC">
        <w:rPr>
          <w:rFonts w:cs="Arial"/>
          <w:szCs w:val="20"/>
          <w:lang w:val="es-CO"/>
        </w:rPr>
        <w:fldChar w:fldCharType="begin"/>
      </w:r>
      <w:r w:rsidRPr="004E6CFC">
        <w:rPr>
          <w:rFonts w:cs="Arial"/>
          <w:szCs w:val="20"/>
          <w:lang w:val="es-CO"/>
        </w:rPr>
        <w:instrText xml:space="preserve"> REF _Ref476810803 \r \h  \* MERGEFORMAT </w:instrText>
      </w:r>
      <w:r w:rsidRPr="004E6CFC">
        <w:rPr>
          <w:rFonts w:cs="Arial"/>
          <w:szCs w:val="20"/>
          <w:lang w:val="es-CO"/>
        </w:rPr>
      </w:r>
      <w:r w:rsidRPr="004E6CFC">
        <w:rPr>
          <w:rFonts w:cs="Arial"/>
          <w:szCs w:val="20"/>
          <w:lang w:val="es-CO"/>
        </w:rPr>
        <w:fldChar w:fldCharType="separate"/>
      </w:r>
      <w:r w:rsidR="00737178">
        <w:rPr>
          <w:rFonts w:cs="Arial"/>
          <w:szCs w:val="20"/>
          <w:lang w:val="es-CO"/>
        </w:rPr>
        <w:t>7.1.2</w:t>
      </w:r>
      <w:r w:rsidRPr="004E6CFC">
        <w:rPr>
          <w:rFonts w:cs="Arial"/>
          <w:szCs w:val="20"/>
          <w:lang w:val="es-CO"/>
        </w:rPr>
        <w:fldChar w:fldCharType="end"/>
      </w:r>
      <w:r w:rsidRPr="004E6CFC">
        <w:rPr>
          <w:rFonts w:cs="Arial"/>
          <w:szCs w:val="20"/>
          <w:lang w:val="es-CO"/>
        </w:rPr>
        <w:t xml:space="preserve"> y </w:t>
      </w:r>
      <w:r w:rsidRPr="004E6CFC">
        <w:rPr>
          <w:rFonts w:cs="Arial"/>
          <w:szCs w:val="20"/>
          <w:lang w:val="es-CO"/>
        </w:rPr>
        <w:fldChar w:fldCharType="begin"/>
      </w:r>
      <w:r w:rsidRPr="004E6CFC">
        <w:rPr>
          <w:rFonts w:cs="Arial"/>
          <w:szCs w:val="20"/>
          <w:lang w:val="es-CO"/>
        </w:rPr>
        <w:instrText xml:space="preserve"> REF _Ref476810808 \r \h  \* MERGEFORMAT </w:instrText>
      </w:r>
      <w:r w:rsidRPr="004E6CFC">
        <w:rPr>
          <w:rFonts w:cs="Arial"/>
          <w:szCs w:val="20"/>
          <w:lang w:val="es-CO"/>
        </w:rPr>
      </w:r>
      <w:r w:rsidRPr="004E6CFC">
        <w:rPr>
          <w:rFonts w:cs="Arial"/>
          <w:szCs w:val="20"/>
          <w:lang w:val="es-CO"/>
        </w:rPr>
        <w:fldChar w:fldCharType="separate"/>
      </w:r>
      <w:r w:rsidR="00737178">
        <w:rPr>
          <w:rFonts w:cs="Arial"/>
          <w:szCs w:val="20"/>
          <w:lang w:val="es-CO"/>
        </w:rPr>
        <w:t>7.1.3</w:t>
      </w:r>
      <w:r w:rsidRPr="004E6CFC">
        <w:rPr>
          <w:rFonts w:cs="Arial"/>
          <w:szCs w:val="20"/>
          <w:lang w:val="es-CO"/>
        </w:rPr>
        <w:fldChar w:fldCharType="end"/>
      </w:r>
      <w:r w:rsidRPr="004E6CFC">
        <w:rPr>
          <w:rFonts w:cs="Arial"/>
          <w:szCs w:val="20"/>
          <w:lang w:val="es-CO"/>
        </w:rPr>
        <w:t>.</w:t>
      </w:r>
    </w:p>
    <w:p w:rsidR="00285A2D" w:rsidRPr="004E6CFC" w:rsidRDefault="00285A2D" w:rsidP="00285A2D">
      <w:pPr>
        <w:ind w:left="1410" w:hanging="1410"/>
      </w:pPr>
      <w:r>
        <w:rPr>
          <w:i/>
          <w:iCs/>
        </w:rPr>
        <w:t>P</w:t>
      </w:r>
      <w:r w:rsidRPr="004E6CFC">
        <w:rPr>
          <w:i/>
          <w:iCs/>
          <w:vertAlign w:val="subscript"/>
        </w:rPr>
        <w:t>4,R,m,t</w:t>
      </w:r>
      <w:r w:rsidRPr="004E6CFC">
        <w:t>:</w:t>
      </w:r>
      <w:r w:rsidRPr="004E6CFC">
        <w:tab/>
      </w:r>
      <w:r>
        <w:t xml:space="preserve">Factor de pérdidas ponderado del nivel de tensión 4, para los OR que hacen parte del </w:t>
      </w:r>
      <w:r w:rsidRPr="00F46F2A">
        <w:t>STR</w:t>
      </w:r>
      <w:r>
        <w:t> </w:t>
      </w:r>
      <w:r w:rsidRPr="004E6CFC">
        <w:rPr>
          <w:i/>
          <w:iCs/>
        </w:rPr>
        <w:t>R</w:t>
      </w:r>
      <w:r>
        <w:t xml:space="preserve">, </w:t>
      </w:r>
      <w:r w:rsidRPr="004E6CFC">
        <w:t xml:space="preserve">en el mes </w:t>
      </w:r>
      <w:r w:rsidRPr="004E6CFC">
        <w:rPr>
          <w:i/>
        </w:rPr>
        <w:t>m</w:t>
      </w:r>
      <w:r w:rsidRPr="004E6CFC">
        <w:t xml:space="preserve"> del año </w:t>
      </w:r>
      <w:r w:rsidRPr="004E6CFC">
        <w:rPr>
          <w:i/>
        </w:rPr>
        <w:t>t</w:t>
      </w:r>
      <w:r>
        <w:t>, según lo</w:t>
      </w:r>
      <w:r w:rsidR="00D939A2">
        <w:t xml:space="preserve"> establecido</w:t>
      </w:r>
      <w:r>
        <w:t xml:space="preserve"> en el numeral </w:t>
      </w:r>
      <w:r w:rsidR="00DA7FDA">
        <w:fldChar w:fldCharType="begin"/>
      </w:r>
      <w:r w:rsidR="00DA7FDA">
        <w:instrText xml:space="preserve"> REF _Ref505174733 \r \h </w:instrText>
      </w:r>
      <w:r w:rsidR="00DA7FDA">
        <w:fldChar w:fldCharType="separate"/>
      </w:r>
      <w:r w:rsidR="00737178">
        <w:t>1.1.1</w:t>
      </w:r>
      <w:r w:rsidR="00DA7FDA">
        <w:fldChar w:fldCharType="end"/>
      </w:r>
      <w:r w:rsidR="00DA7FDA">
        <w:t>.</w:t>
      </w:r>
    </w:p>
    <w:p w:rsidR="00285A2D" w:rsidRPr="004E6CFC" w:rsidRDefault="00285A2D" w:rsidP="00285A2D">
      <w:pPr>
        <w:ind w:left="1418" w:hanging="1418"/>
        <w:rPr>
          <w:rFonts w:cs="Arial"/>
          <w:szCs w:val="20"/>
          <w:lang w:val="es-CO"/>
        </w:rPr>
      </w:pPr>
      <w:r w:rsidRPr="004E6CFC">
        <w:rPr>
          <w:rFonts w:cs="Arial"/>
          <w:i/>
          <w:szCs w:val="20"/>
          <w:lang w:val="es-CO"/>
        </w:rPr>
        <w:t>Fe</w:t>
      </w:r>
      <w:r w:rsidRPr="004E6CFC">
        <w:rPr>
          <w:rFonts w:cs="Arial"/>
          <w:i/>
          <w:szCs w:val="20"/>
          <w:vertAlign w:val="subscript"/>
          <w:lang w:val="es-CO"/>
        </w:rPr>
        <w:t>j,n-3</w:t>
      </w:r>
      <w:r w:rsidRPr="004E6CFC">
        <w:rPr>
          <w:rFonts w:cs="Arial"/>
          <w:szCs w:val="20"/>
          <w:lang w:val="es-CO"/>
        </w:rPr>
        <w:t>:</w:t>
      </w:r>
      <w:r w:rsidRPr="004E6CFC">
        <w:rPr>
          <w:rFonts w:cs="Arial"/>
          <w:szCs w:val="20"/>
          <w:lang w:val="es-CO"/>
        </w:rPr>
        <w:tab/>
        <w:t xml:space="preserve">Flujo de energía anual entre el nivel de tensión </w:t>
      </w:r>
      <w:r w:rsidRPr="004E6CFC">
        <w:rPr>
          <w:rFonts w:cs="Arial"/>
          <w:i/>
          <w:szCs w:val="20"/>
          <w:lang w:val="es-CO"/>
        </w:rPr>
        <w:t>n</w:t>
      </w:r>
      <w:r w:rsidRPr="004E6CFC">
        <w:rPr>
          <w:rFonts w:cs="Arial"/>
          <w:szCs w:val="20"/>
          <w:lang w:val="es-CO"/>
        </w:rPr>
        <w:t xml:space="preserve">, </w:t>
      </w:r>
      <w:r w:rsidRPr="004E6CFC">
        <w:rPr>
          <w:rFonts w:cs="Arial"/>
          <w:i/>
          <w:szCs w:val="20"/>
          <w:lang w:val="es-CO"/>
        </w:rPr>
        <w:t>n</w:t>
      </w:r>
      <w:r w:rsidRPr="004E6CFC">
        <w:rPr>
          <w:rFonts w:cs="Arial"/>
          <w:szCs w:val="20"/>
          <w:lang w:val="es-CO"/>
        </w:rPr>
        <w:t xml:space="preserve"> es STN </w:t>
      </w:r>
      <w:r w:rsidR="00D939A2" w:rsidRPr="004E6CFC">
        <w:rPr>
          <w:rFonts w:cs="Arial"/>
          <w:szCs w:val="20"/>
          <w:lang w:val="es-CO"/>
        </w:rPr>
        <w:t>o</w:t>
      </w:r>
      <w:r w:rsidRPr="004E6CFC">
        <w:rPr>
          <w:rFonts w:cs="Arial"/>
          <w:szCs w:val="20"/>
          <w:lang w:val="es-CO"/>
        </w:rPr>
        <w:t xml:space="preserve"> 4, y el nivel de tensión 3 del OR </w:t>
      </w:r>
      <w:r w:rsidRPr="004E6CFC">
        <w:rPr>
          <w:rFonts w:cs="Arial"/>
          <w:i/>
          <w:szCs w:val="20"/>
          <w:lang w:val="es-CO"/>
        </w:rPr>
        <w:t>j</w:t>
      </w:r>
      <w:r w:rsidRPr="004E6CFC">
        <w:rPr>
          <w:rFonts w:cs="Arial"/>
          <w:szCs w:val="20"/>
          <w:lang w:val="es-CO"/>
        </w:rPr>
        <w:t xml:space="preserve"> (MWh-año).</w:t>
      </w:r>
    </w:p>
    <w:p w:rsidR="00285A2D" w:rsidRPr="004E6CFC" w:rsidRDefault="00285A2D" w:rsidP="00285A2D">
      <w:pPr>
        <w:spacing w:before="120"/>
        <w:ind w:left="1416" w:hanging="1416"/>
        <w:rPr>
          <w:rFonts w:cs="Arial"/>
        </w:rPr>
      </w:pPr>
      <w:r w:rsidRPr="004E6CFC">
        <w:rPr>
          <w:rFonts w:cs="Arial"/>
          <w:i/>
        </w:rPr>
        <w:t>P</w:t>
      </w:r>
      <w:r w:rsidRPr="004E6CFC">
        <w:rPr>
          <w:rFonts w:cs="Arial"/>
          <w:i/>
          <w:vertAlign w:val="subscript"/>
        </w:rPr>
        <w:t>j,STN-3</w:t>
      </w:r>
      <w:r w:rsidRPr="004E6CFC">
        <w:rPr>
          <w:rFonts w:cs="Arial"/>
        </w:rPr>
        <w:t>:</w:t>
      </w:r>
      <w:r w:rsidRPr="004E6CFC">
        <w:rPr>
          <w:rFonts w:cs="Arial"/>
        </w:rPr>
        <w:tab/>
        <w:t>Pérdidas de transformación para referir las medidas de energía del nivel de tensión 3 al STN e iguales a 0,23 %.</w:t>
      </w:r>
    </w:p>
    <w:p w:rsidR="00285A2D" w:rsidRPr="004E6CFC" w:rsidRDefault="00285A2D" w:rsidP="00285A2D">
      <w:pPr>
        <w:ind w:left="1418" w:hanging="1418"/>
        <w:rPr>
          <w:rFonts w:cs="Arial"/>
          <w:szCs w:val="20"/>
          <w:lang w:val="es-CO"/>
        </w:rPr>
      </w:pPr>
      <w:r w:rsidRPr="004E6CFC">
        <w:rPr>
          <w:rFonts w:cs="Arial"/>
          <w:i/>
        </w:rPr>
        <w:t>Fe</w:t>
      </w:r>
      <w:r w:rsidRPr="004E6CFC">
        <w:rPr>
          <w:rFonts w:cs="Arial"/>
          <w:i/>
          <w:vertAlign w:val="subscript"/>
        </w:rPr>
        <w:t>j,3</w:t>
      </w:r>
      <w:r w:rsidRPr="004E6CFC">
        <w:rPr>
          <w:rFonts w:cs="Arial"/>
          <w:i/>
        </w:rPr>
        <w:t xml:space="preserve">:     </w:t>
      </w:r>
      <w:r w:rsidRPr="004E6CFC">
        <w:rPr>
          <w:rFonts w:cs="Arial"/>
          <w:i/>
        </w:rPr>
        <w:tab/>
      </w:r>
      <w:r w:rsidRPr="004E6CFC">
        <w:rPr>
          <w:rFonts w:cs="Arial"/>
          <w:szCs w:val="20"/>
          <w:lang w:val="es-CO"/>
        </w:rPr>
        <w:t xml:space="preserve">Flujo de energía anual desde otros niveles de tensión al nivel de tensión 3 del OR </w:t>
      </w:r>
      <w:r w:rsidRPr="004E6CFC">
        <w:rPr>
          <w:rFonts w:cs="Arial"/>
          <w:i/>
          <w:szCs w:val="20"/>
          <w:lang w:val="es-CO"/>
        </w:rPr>
        <w:t>j</w:t>
      </w:r>
      <w:r w:rsidRPr="004E6CFC">
        <w:rPr>
          <w:rFonts w:cs="Arial"/>
          <w:szCs w:val="20"/>
          <w:lang w:val="es-CO"/>
        </w:rPr>
        <w:t xml:space="preserve"> (MWh-año). En el caso que no existan flujos de energía a este nivel, la variable tomará el valor de 1.</w:t>
      </w:r>
    </w:p>
    <w:p w:rsidR="00285A2D" w:rsidRPr="004E6CFC" w:rsidRDefault="00285A2D" w:rsidP="00285A2D">
      <w:pPr>
        <w:pStyle w:val="Ttulo3"/>
      </w:pPr>
      <w:bookmarkStart w:id="807" w:name="_Toc466009908"/>
      <w:bookmarkStart w:id="808" w:name="_Toc476824935"/>
      <w:bookmarkStart w:id="809" w:name="_Toc505335986"/>
      <w:r w:rsidRPr="004E6CFC">
        <w:t>Nivel de tensión 2</w:t>
      </w:r>
      <w:bookmarkEnd w:id="807"/>
      <w:bookmarkEnd w:id="808"/>
      <w:bookmarkEnd w:id="809"/>
    </w:p>
    <w:p w:rsidR="00285A2D" w:rsidRPr="004E6CFC" w:rsidRDefault="00C9592F" w:rsidP="00285A2D">
      <w:pPr>
        <w:rPr>
          <w:rFonts w:cs="Arial"/>
          <w:bCs/>
          <w:lang w:val="es-ES_tradnl"/>
        </w:rPr>
      </w:pPr>
      <m:oMathPara>
        <m:oMath>
          <m:sSub>
            <m:sSubPr>
              <m:ctrlPr>
                <w:rPr>
                  <w:rFonts w:ascii="Cambria Math" w:hAnsi="Cambria Math"/>
                  <w:bCs/>
                  <w:i/>
                  <w:lang w:val="es-ES_tradnl"/>
                </w:rPr>
              </m:ctrlPr>
            </m:sSubPr>
            <m:e>
              <m:r>
                <w:rPr>
                  <w:rFonts w:ascii="Cambria Math" w:hAnsi="Cambria Math"/>
                  <w:lang w:val="es-ES_tradnl"/>
                </w:rPr>
                <m:t>PR</m:t>
              </m:r>
            </m:e>
            <m:sub>
              <m:r>
                <w:rPr>
                  <w:rFonts w:ascii="Cambria Math" w:hAnsi="Cambria Math"/>
                  <w:lang w:val="es-ES_tradnl"/>
                </w:rPr>
                <m:t>2,j,t</m:t>
              </m:r>
            </m:sub>
          </m:sSub>
          <m:r>
            <w:rPr>
              <w:rFonts w:ascii="Cambria Math" w:hAnsi="Cambria Math"/>
              <w:lang w:val="es-ES_tradnl"/>
            </w:rPr>
            <m:t>=1-</m:t>
          </m:r>
          <m:d>
            <m:dPr>
              <m:ctrlPr>
                <w:rPr>
                  <w:rFonts w:ascii="Cambria Math" w:hAnsi="Cambria Math"/>
                  <w:bCs/>
                  <w:i/>
                  <w:lang w:val="es-ES_tradnl"/>
                </w:rPr>
              </m:ctrlPr>
            </m:dPr>
            <m:e>
              <m:r>
                <w:rPr>
                  <w:rFonts w:ascii="Cambria Math" w:hAnsi="Cambria Math"/>
                  <w:lang w:val="es-ES_tradnl"/>
                </w:rPr>
                <m:t>1-</m:t>
              </m:r>
              <m:sSub>
                <m:sSubPr>
                  <m:ctrlPr>
                    <w:rPr>
                      <w:rFonts w:ascii="Cambria Math" w:hAnsi="Cambria Math"/>
                      <w:bCs/>
                      <w:i/>
                      <w:lang w:val="es-ES_tradnl"/>
                    </w:rPr>
                  </m:ctrlPr>
                </m:sSubPr>
                <m:e>
                  <m:r>
                    <w:rPr>
                      <w:rFonts w:ascii="Cambria Math" w:hAnsi="Cambria Math"/>
                      <w:lang w:val="es-ES_tradnl"/>
                    </w:rPr>
                    <m:t>P</m:t>
                  </m:r>
                </m:e>
                <m:sub>
                  <m:r>
                    <w:rPr>
                      <w:rFonts w:ascii="Cambria Math" w:hAnsi="Cambria Math"/>
                      <w:lang w:val="es-ES_tradnl"/>
                    </w:rPr>
                    <m:t>j,2,t</m:t>
                  </m:r>
                </m:sub>
              </m:sSub>
            </m:e>
          </m:d>
          <m:d>
            <m:dPr>
              <m:begChr m:val="["/>
              <m:endChr m:val="]"/>
              <m:ctrlPr>
                <w:rPr>
                  <w:rFonts w:ascii="Cambria Math" w:hAnsi="Cambria Math"/>
                  <w:bCs/>
                  <w:i/>
                  <w:lang w:val="es-ES_tradnl"/>
                </w:rPr>
              </m:ctrlPr>
            </m:dPr>
            <m:e>
              <m:d>
                <m:dPr>
                  <m:ctrlPr>
                    <w:rPr>
                      <w:rFonts w:ascii="Cambria Math" w:hAnsi="Cambria Math"/>
                      <w:bCs/>
                      <w:i/>
                      <w:lang w:val="es-ES_tradnl"/>
                    </w:rPr>
                  </m:ctrlPr>
                </m:dPr>
                <m:e>
                  <m:r>
                    <w:rPr>
                      <w:rFonts w:ascii="Cambria Math" w:hAnsi="Cambria Math"/>
                      <w:lang w:val="es-ES_tradnl"/>
                    </w:rPr>
                    <m:t>1-</m:t>
                  </m:r>
                  <m:sSub>
                    <m:sSubPr>
                      <m:ctrlPr>
                        <w:rPr>
                          <w:rFonts w:ascii="Cambria Math" w:hAnsi="Cambria Math" w:cs="Arial"/>
                          <w:i/>
                          <w:szCs w:val="20"/>
                          <w:lang w:val="es-CO"/>
                        </w:rPr>
                      </m:ctrlPr>
                    </m:sSubPr>
                    <m:e>
                      <m:r>
                        <w:rPr>
                          <w:rFonts w:ascii="Cambria Math" w:hAnsi="Cambria Math" w:cs="Arial"/>
                          <w:szCs w:val="20"/>
                          <w:lang w:val="es-CO"/>
                        </w:rPr>
                        <m:t>P</m:t>
                      </m:r>
                    </m:e>
                    <m:sub>
                      <m:r>
                        <w:rPr>
                          <w:rFonts w:ascii="Cambria Math" w:hAnsi="Cambria Math" w:cs="Arial"/>
                          <w:szCs w:val="20"/>
                          <w:lang w:val="es-CO"/>
                        </w:rPr>
                        <m:t>4,R,m,t</m:t>
                      </m:r>
                    </m:sub>
                  </m:sSub>
                </m:e>
              </m:d>
              <m:d>
                <m:dPr>
                  <m:ctrlPr>
                    <w:rPr>
                      <w:rFonts w:ascii="Cambria Math" w:hAnsi="Cambria Math"/>
                      <w:bCs/>
                      <w:i/>
                      <w:lang w:val="es-ES_tradnl"/>
                    </w:rPr>
                  </m:ctrlPr>
                </m:dPr>
                <m:e>
                  <m:r>
                    <w:rPr>
                      <w:rFonts w:ascii="Cambria Math" w:hAnsi="Cambria Math"/>
                      <w:lang w:val="es-ES_tradnl"/>
                    </w:rPr>
                    <m:t>1-</m:t>
                  </m:r>
                  <m:sSub>
                    <m:sSubPr>
                      <m:ctrlPr>
                        <w:rPr>
                          <w:rFonts w:ascii="Cambria Math" w:hAnsi="Cambria Math"/>
                          <w:bCs/>
                          <w:i/>
                          <w:lang w:val="es-ES_tradnl"/>
                        </w:rPr>
                      </m:ctrlPr>
                    </m:sSubPr>
                    <m:e>
                      <m:r>
                        <w:rPr>
                          <w:rFonts w:ascii="Cambria Math" w:hAnsi="Cambria Math"/>
                          <w:lang w:val="es-ES_tradnl"/>
                        </w:rPr>
                        <m:t>P</m:t>
                      </m:r>
                    </m:e>
                    <m:sub>
                      <m:r>
                        <w:rPr>
                          <w:rFonts w:ascii="Cambria Math" w:hAnsi="Cambria Math"/>
                          <w:lang w:val="es-ES_tradnl"/>
                        </w:rPr>
                        <m:t>j,3,t</m:t>
                      </m:r>
                    </m:sub>
                  </m:sSub>
                </m:e>
              </m:d>
              <m:d>
                <m:dPr>
                  <m:ctrlPr>
                    <w:rPr>
                      <w:rFonts w:ascii="Cambria Math" w:hAnsi="Cambria Math"/>
                      <w:bCs/>
                      <w:i/>
                      <w:lang w:val="es-ES_tradnl"/>
                    </w:rPr>
                  </m:ctrlPr>
                </m:dPr>
                <m:e>
                  <m:f>
                    <m:fPr>
                      <m:ctrlPr>
                        <w:rPr>
                          <w:rFonts w:ascii="Cambria Math" w:hAnsi="Cambria Math"/>
                          <w:bCs/>
                          <w:i/>
                          <w:lang w:val="es-ES_tradnl"/>
                        </w:rPr>
                      </m:ctrlPr>
                    </m:fPr>
                    <m:num>
                      <m:sSub>
                        <m:sSubPr>
                          <m:ctrlPr>
                            <w:rPr>
                              <w:rFonts w:ascii="Cambria Math" w:hAnsi="Cambria Math"/>
                              <w:bCs/>
                              <w:i/>
                              <w:lang w:val="es-ES_tradnl"/>
                            </w:rPr>
                          </m:ctrlPr>
                        </m:sSubPr>
                        <m:e>
                          <m:r>
                            <w:rPr>
                              <w:rFonts w:ascii="Cambria Math" w:hAnsi="Cambria Math"/>
                              <w:lang w:val="es-ES_tradnl"/>
                            </w:rPr>
                            <m:t>Fe</m:t>
                          </m:r>
                        </m:e>
                        <m:sub>
                          <m:r>
                            <w:rPr>
                              <w:rFonts w:ascii="Cambria Math" w:hAnsi="Cambria Math"/>
                              <w:lang w:val="es-ES_tradnl"/>
                            </w:rPr>
                            <m:t>j,3-2</m:t>
                          </m:r>
                        </m:sub>
                      </m:sSub>
                    </m:num>
                    <m:den>
                      <m:sSub>
                        <m:sSubPr>
                          <m:ctrlPr>
                            <w:rPr>
                              <w:rFonts w:ascii="Cambria Math" w:hAnsi="Cambria Math"/>
                              <w:bCs/>
                              <w:i/>
                              <w:lang w:val="es-ES_tradnl"/>
                            </w:rPr>
                          </m:ctrlPr>
                        </m:sSubPr>
                        <m:e>
                          <m:r>
                            <w:rPr>
                              <w:rFonts w:ascii="Cambria Math" w:hAnsi="Cambria Math"/>
                              <w:lang w:val="es-ES_tradnl"/>
                            </w:rPr>
                            <m:t>Fe</m:t>
                          </m:r>
                        </m:e>
                        <m:sub>
                          <m:r>
                            <w:rPr>
                              <w:rFonts w:ascii="Cambria Math" w:hAnsi="Cambria Math"/>
                              <w:lang w:val="es-ES_tradnl"/>
                            </w:rPr>
                            <m:t>j,2</m:t>
                          </m:r>
                        </m:sub>
                      </m:sSub>
                    </m:den>
                  </m:f>
                </m:e>
              </m:d>
              <m:r>
                <w:rPr>
                  <w:rFonts w:ascii="Cambria Math" w:hAnsi="Cambria Math"/>
                  <w:lang w:val="es-ES_tradnl"/>
                </w:rPr>
                <m:t>+</m:t>
              </m:r>
              <m:d>
                <m:dPr>
                  <m:ctrlPr>
                    <w:rPr>
                      <w:rFonts w:ascii="Cambria Math" w:hAnsi="Cambria Math"/>
                      <w:bCs/>
                      <w:i/>
                      <w:lang w:val="es-ES_tradnl"/>
                    </w:rPr>
                  </m:ctrlPr>
                </m:dPr>
                <m:e>
                  <m:r>
                    <w:rPr>
                      <w:rFonts w:ascii="Cambria Math" w:hAnsi="Cambria Math"/>
                      <w:lang w:val="es-ES_tradnl"/>
                    </w:rPr>
                    <m:t>1-</m:t>
                  </m:r>
                  <m:sSub>
                    <m:sSubPr>
                      <m:ctrlPr>
                        <w:rPr>
                          <w:rFonts w:ascii="Cambria Math" w:hAnsi="Cambria Math" w:cs="Arial"/>
                          <w:i/>
                          <w:szCs w:val="20"/>
                          <w:lang w:val="es-CO"/>
                        </w:rPr>
                      </m:ctrlPr>
                    </m:sSubPr>
                    <m:e>
                      <m:r>
                        <w:rPr>
                          <w:rFonts w:ascii="Cambria Math" w:hAnsi="Cambria Math" w:cs="Arial"/>
                          <w:szCs w:val="20"/>
                          <w:lang w:val="es-CO"/>
                        </w:rPr>
                        <m:t>P</m:t>
                      </m:r>
                    </m:e>
                    <m:sub>
                      <m:r>
                        <w:rPr>
                          <w:rFonts w:ascii="Cambria Math" w:hAnsi="Cambria Math" w:cs="Arial"/>
                          <w:szCs w:val="20"/>
                          <w:lang w:val="es-CO"/>
                        </w:rPr>
                        <m:t>4,R,m,t</m:t>
                      </m:r>
                    </m:sub>
                  </m:sSub>
                </m:e>
              </m:d>
              <m:d>
                <m:dPr>
                  <m:ctrlPr>
                    <w:rPr>
                      <w:rFonts w:ascii="Cambria Math" w:hAnsi="Cambria Math"/>
                      <w:bCs/>
                      <w:i/>
                      <w:lang w:val="es-ES_tradnl"/>
                    </w:rPr>
                  </m:ctrlPr>
                </m:dPr>
                <m:e>
                  <m:r>
                    <w:rPr>
                      <w:rFonts w:ascii="Cambria Math" w:hAnsi="Cambria Math"/>
                      <w:lang w:val="es-ES_tradnl"/>
                    </w:rPr>
                    <m:t>1-</m:t>
                  </m:r>
                  <m:sSub>
                    <m:sSubPr>
                      <m:ctrlPr>
                        <w:rPr>
                          <w:rFonts w:ascii="Cambria Math" w:hAnsi="Cambria Math"/>
                          <w:bCs/>
                          <w:i/>
                          <w:lang w:val="es-ES_tradnl"/>
                        </w:rPr>
                      </m:ctrlPr>
                    </m:sSubPr>
                    <m:e>
                      <m:r>
                        <w:rPr>
                          <w:rFonts w:ascii="Cambria Math" w:hAnsi="Cambria Math"/>
                          <w:lang w:val="es-ES_tradnl"/>
                        </w:rPr>
                        <m:t>P</m:t>
                      </m:r>
                    </m:e>
                    <m:sub>
                      <m:r>
                        <w:rPr>
                          <w:rFonts w:ascii="Cambria Math" w:hAnsi="Cambria Math"/>
                          <w:lang w:val="es-ES_tradnl"/>
                        </w:rPr>
                        <m:t>j,4-2</m:t>
                      </m:r>
                    </m:sub>
                  </m:sSub>
                </m:e>
              </m:d>
              <m:d>
                <m:dPr>
                  <m:ctrlPr>
                    <w:rPr>
                      <w:rFonts w:ascii="Cambria Math" w:hAnsi="Cambria Math"/>
                      <w:bCs/>
                      <w:i/>
                      <w:lang w:val="es-ES_tradnl"/>
                    </w:rPr>
                  </m:ctrlPr>
                </m:dPr>
                <m:e>
                  <m:f>
                    <m:fPr>
                      <m:ctrlPr>
                        <w:rPr>
                          <w:rFonts w:ascii="Cambria Math" w:hAnsi="Cambria Math"/>
                          <w:bCs/>
                          <w:i/>
                          <w:lang w:val="es-ES_tradnl"/>
                        </w:rPr>
                      </m:ctrlPr>
                    </m:fPr>
                    <m:num>
                      <m:sSub>
                        <m:sSubPr>
                          <m:ctrlPr>
                            <w:rPr>
                              <w:rFonts w:ascii="Cambria Math" w:hAnsi="Cambria Math"/>
                              <w:bCs/>
                              <w:i/>
                              <w:lang w:val="es-ES_tradnl"/>
                            </w:rPr>
                          </m:ctrlPr>
                        </m:sSubPr>
                        <m:e>
                          <m:r>
                            <w:rPr>
                              <w:rFonts w:ascii="Cambria Math" w:hAnsi="Cambria Math"/>
                              <w:lang w:val="es-ES_tradnl"/>
                            </w:rPr>
                            <m:t>Fe</m:t>
                          </m:r>
                        </m:e>
                        <m:sub>
                          <m:r>
                            <w:rPr>
                              <w:rFonts w:ascii="Cambria Math" w:hAnsi="Cambria Math"/>
                              <w:lang w:val="es-ES_tradnl"/>
                            </w:rPr>
                            <m:t>j,4-2</m:t>
                          </m:r>
                        </m:sub>
                      </m:sSub>
                    </m:num>
                    <m:den>
                      <m:sSub>
                        <m:sSubPr>
                          <m:ctrlPr>
                            <w:rPr>
                              <w:rFonts w:ascii="Cambria Math" w:hAnsi="Cambria Math"/>
                              <w:bCs/>
                              <w:i/>
                              <w:lang w:val="es-ES_tradnl"/>
                            </w:rPr>
                          </m:ctrlPr>
                        </m:sSubPr>
                        <m:e>
                          <m:r>
                            <w:rPr>
                              <w:rFonts w:ascii="Cambria Math" w:hAnsi="Cambria Math"/>
                              <w:lang w:val="es-ES_tradnl"/>
                            </w:rPr>
                            <m:t>Fe</m:t>
                          </m:r>
                        </m:e>
                        <m:sub>
                          <m:r>
                            <w:rPr>
                              <w:rFonts w:ascii="Cambria Math" w:hAnsi="Cambria Math"/>
                              <w:lang w:val="es-ES_tradnl"/>
                            </w:rPr>
                            <m:t>j,2</m:t>
                          </m:r>
                        </m:sub>
                      </m:sSub>
                    </m:den>
                  </m:f>
                </m:e>
              </m:d>
              <m:r>
                <w:rPr>
                  <w:rFonts w:ascii="Cambria Math" w:hAnsi="Cambria Math"/>
                  <w:lang w:val="es-ES_tradnl"/>
                </w:rPr>
                <m:t>+</m:t>
              </m:r>
              <m:d>
                <m:dPr>
                  <m:ctrlPr>
                    <w:rPr>
                      <w:rFonts w:ascii="Cambria Math" w:hAnsi="Cambria Math"/>
                      <w:bCs/>
                      <w:i/>
                      <w:lang w:val="es-ES_tradnl"/>
                    </w:rPr>
                  </m:ctrlPr>
                </m:dPr>
                <m:e>
                  <m:r>
                    <w:rPr>
                      <w:rFonts w:ascii="Cambria Math" w:hAnsi="Cambria Math"/>
                      <w:lang w:val="es-ES_tradnl"/>
                    </w:rPr>
                    <m:t>1-</m:t>
                  </m:r>
                  <m:sSub>
                    <m:sSubPr>
                      <m:ctrlPr>
                        <w:rPr>
                          <w:rFonts w:ascii="Cambria Math" w:hAnsi="Cambria Math"/>
                          <w:bCs/>
                          <w:i/>
                          <w:lang w:val="es-ES_tradnl"/>
                        </w:rPr>
                      </m:ctrlPr>
                    </m:sSubPr>
                    <m:e>
                      <m:r>
                        <w:rPr>
                          <w:rFonts w:ascii="Cambria Math" w:hAnsi="Cambria Math"/>
                          <w:lang w:val="es-ES_tradnl"/>
                        </w:rPr>
                        <m:t>P</m:t>
                      </m:r>
                    </m:e>
                    <m:sub>
                      <m:r>
                        <w:rPr>
                          <w:rFonts w:ascii="Cambria Math" w:hAnsi="Cambria Math"/>
                          <w:lang w:val="es-ES_tradnl"/>
                        </w:rPr>
                        <m:t>j,STN-2</m:t>
                      </m:r>
                    </m:sub>
                  </m:sSub>
                </m:e>
              </m:d>
              <m:d>
                <m:dPr>
                  <m:ctrlPr>
                    <w:rPr>
                      <w:rFonts w:ascii="Cambria Math" w:hAnsi="Cambria Math"/>
                      <w:bCs/>
                      <w:i/>
                      <w:lang w:val="es-ES_tradnl"/>
                    </w:rPr>
                  </m:ctrlPr>
                </m:dPr>
                <m:e>
                  <m:f>
                    <m:fPr>
                      <m:ctrlPr>
                        <w:rPr>
                          <w:rFonts w:ascii="Cambria Math" w:hAnsi="Cambria Math"/>
                          <w:bCs/>
                          <w:i/>
                          <w:lang w:val="es-ES_tradnl"/>
                        </w:rPr>
                      </m:ctrlPr>
                    </m:fPr>
                    <m:num>
                      <m:sSub>
                        <m:sSubPr>
                          <m:ctrlPr>
                            <w:rPr>
                              <w:rFonts w:ascii="Cambria Math" w:hAnsi="Cambria Math"/>
                              <w:bCs/>
                              <w:i/>
                              <w:lang w:val="es-ES_tradnl"/>
                            </w:rPr>
                          </m:ctrlPr>
                        </m:sSubPr>
                        <m:e>
                          <m:r>
                            <w:rPr>
                              <w:rFonts w:ascii="Cambria Math" w:hAnsi="Cambria Math"/>
                              <w:lang w:val="es-ES_tradnl"/>
                            </w:rPr>
                            <m:t>Fe</m:t>
                          </m:r>
                        </m:e>
                        <m:sub>
                          <m:r>
                            <w:rPr>
                              <w:rFonts w:ascii="Cambria Math" w:hAnsi="Cambria Math"/>
                              <w:lang w:val="es-ES_tradnl"/>
                            </w:rPr>
                            <m:t>j,STN-2</m:t>
                          </m:r>
                        </m:sub>
                      </m:sSub>
                    </m:num>
                    <m:den>
                      <m:sSub>
                        <m:sSubPr>
                          <m:ctrlPr>
                            <w:rPr>
                              <w:rFonts w:ascii="Cambria Math" w:hAnsi="Cambria Math"/>
                              <w:bCs/>
                              <w:i/>
                              <w:lang w:val="es-ES_tradnl"/>
                            </w:rPr>
                          </m:ctrlPr>
                        </m:sSubPr>
                        <m:e>
                          <m:r>
                            <w:rPr>
                              <w:rFonts w:ascii="Cambria Math" w:hAnsi="Cambria Math"/>
                              <w:lang w:val="es-ES_tradnl"/>
                            </w:rPr>
                            <m:t>Fe</m:t>
                          </m:r>
                        </m:e>
                        <m:sub>
                          <m:r>
                            <w:rPr>
                              <w:rFonts w:ascii="Cambria Math" w:hAnsi="Cambria Math"/>
                              <w:lang w:val="es-ES_tradnl"/>
                            </w:rPr>
                            <m:t>j,2</m:t>
                          </m:r>
                        </m:sub>
                      </m:sSub>
                    </m:den>
                  </m:f>
                </m:e>
              </m:d>
            </m:e>
          </m:d>
        </m:oMath>
      </m:oMathPara>
    </w:p>
    <w:p w:rsidR="00285A2D" w:rsidRPr="004E6CFC" w:rsidRDefault="00C9592F" w:rsidP="00285A2D">
      <w:pPr>
        <w:rPr>
          <w:rFonts w:cs="Arial"/>
          <w:szCs w:val="20"/>
          <w:lang w:val="es-CO"/>
        </w:rPr>
      </w:pPr>
      <m:oMathPara>
        <m:oMath>
          <m:sSub>
            <m:sSubPr>
              <m:ctrlPr>
                <w:rPr>
                  <w:rFonts w:ascii="Cambria Math" w:hAnsi="Cambria Math"/>
                  <w:bCs/>
                  <w:i/>
                  <w:lang w:val="es-ES_tradnl"/>
                </w:rPr>
              </m:ctrlPr>
            </m:sSubPr>
            <m:e>
              <m:r>
                <w:rPr>
                  <w:rFonts w:ascii="Cambria Math" w:hAnsi="Cambria Math"/>
                  <w:lang w:val="es-ES_tradnl"/>
                </w:rPr>
                <m:t>Fe</m:t>
              </m:r>
            </m:e>
            <m:sub>
              <m:r>
                <w:rPr>
                  <w:rFonts w:ascii="Cambria Math" w:hAnsi="Cambria Math"/>
                  <w:lang w:val="es-ES_tradnl"/>
                </w:rPr>
                <m:t>j,2</m:t>
              </m:r>
            </m:sub>
          </m:sSub>
          <m:r>
            <w:rPr>
              <w:rFonts w:ascii="Cambria Math" w:hAnsi="Cambria Math"/>
              <w:lang w:val="es-ES_tradnl"/>
            </w:rPr>
            <m:t>=</m:t>
          </m:r>
          <m:sSub>
            <m:sSubPr>
              <m:ctrlPr>
                <w:rPr>
                  <w:rFonts w:ascii="Cambria Math" w:hAnsi="Cambria Math"/>
                  <w:bCs/>
                  <w:i/>
                  <w:lang w:val="es-ES_tradnl"/>
                </w:rPr>
              </m:ctrlPr>
            </m:sSubPr>
            <m:e>
              <m:r>
                <w:rPr>
                  <w:rFonts w:ascii="Cambria Math" w:hAnsi="Cambria Math"/>
                  <w:lang w:val="es-ES_tradnl"/>
                </w:rPr>
                <m:t>Fe</m:t>
              </m:r>
            </m:e>
            <m:sub>
              <m:r>
                <w:rPr>
                  <w:rFonts w:ascii="Cambria Math" w:hAnsi="Cambria Math"/>
                  <w:lang w:val="es-ES_tradnl"/>
                </w:rPr>
                <m:t>j,STN-2</m:t>
              </m:r>
            </m:sub>
          </m:sSub>
          <m:r>
            <w:rPr>
              <w:rFonts w:ascii="Cambria Math" w:hAnsi="Cambria Math"/>
              <w:lang w:val="es-ES_tradnl"/>
            </w:rPr>
            <m:t>+</m:t>
          </m:r>
          <m:sSub>
            <m:sSubPr>
              <m:ctrlPr>
                <w:rPr>
                  <w:rFonts w:ascii="Cambria Math" w:hAnsi="Cambria Math"/>
                  <w:bCs/>
                  <w:i/>
                  <w:lang w:val="es-ES_tradnl"/>
                </w:rPr>
              </m:ctrlPr>
            </m:sSubPr>
            <m:e>
              <m:r>
                <w:rPr>
                  <w:rFonts w:ascii="Cambria Math" w:hAnsi="Cambria Math"/>
                  <w:lang w:val="es-ES_tradnl"/>
                </w:rPr>
                <m:t>Fe</m:t>
              </m:r>
            </m:e>
            <m:sub>
              <m:r>
                <w:rPr>
                  <w:rFonts w:ascii="Cambria Math" w:hAnsi="Cambria Math"/>
                  <w:lang w:val="es-ES_tradnl"/>
                </w:rPr>
                <m:t>j,4-2</m:t>
              </m:r>
            </m:sub>
          </m:sSub>
          <m:r>
            <w:rPr>
              <w:rFonts w:ascii="Cambria Math" w:hAnsi="Cambria Math"/>
              <w:lang w:val="es-ES_tradnl"/>
            </w:rPr>
            <m:t>+</m:t>
          </m:r>
          <m:sSub>
            <m:sSubPr>
              <m:ctrlPr>
                <w:rPr>
                  <w:rFonts w:ascii="Cambria Math" w:hAnsi="Cambria Math"/>
                  <w:bCs/>
                  <w:i/>
                  <w:lang w:val="es-ES_tradnl"/>
                </w:rPr>
              </m:ctrlPr>
            </m:sSubPr>
            <m:e>
              <m:r>
                <w:rPr>
                  <w:rFonts w:ascii="Cambria Math" w:hAnsi="Cambria Math"/>
                  <w:lang w:val="es-ES_tradnl"/>
                </w:rPr>
                <m:t>Fe</m:t>
              </m:r>
            </m:e>
            <m:sub>
              <m:r>
                <w:rPr>
                  <w:rFonts w:ascii="Cambria Math" w:hAnsi="Cambria Math"/>
                  <w:lang w:val="es-ES_tradnl"/>
                </w:rPr>
                <m:t>j,3-2</m:t>
              </m:r>
            </m:sub>
          </m:sSub>
        </m:oMath>
      </m:oMathPara>
    </w:p>
    <w:p w:rsidR="00285A2D" w:rsidRPr="004E6CFC" w:rsidRDefault="00285A2D" w:rsidP="00285A2D">
      <w:pPr>
        <w:rPr>
          <w:rFonts w:cs="Arial"/>
          <w:szCs w:val="20"/>
          <w:lang w:val="es-CO"/>
        </w:rPr>
      </w:pPr>
      <w:r w:rsidRPr="004E6CFC">
        <w:rPr>
          <w:rFonts w:cs="Arial"/>
          <w:szCs w:val="20"/>
          <w:lang w:val="es-CO"/>
        </w:rPr>
        <w:t>Donde:</w:t>
      </w:r>
    </w:p>
    <w:p w:rsidR="00285A2D" w:rsidRPr="004E6CFC" w:rsidRDefault="00285A2D" w:rsidP="00285A2D">
      <w:pPr>
        <w:ind w:left="1418" w:hanging="1418"/>
        <w:rPr>
          <w:rFonts w:cs="Arial"/>
          <w:szCs w:val="20"/>
          <w:lang w:val="es-CO"/>
        </w:rPr>
      </w:pPr>
      <w:r w:rsidRPr="004E6CFC">
        <w:rPr>
          <w:rFonts w:cs="Arial"/>
          <w:i/>
          <w:szCs w:val="20"/>
          <w:lang w:val="es-CO"/>
        </w:rPr>
        <w:t>PR</w:t>
      </w:r>
      <w:r w:rsidRPr="004E6CFC">
        <w:rPr>
          <w:rFonts w:cs="Arial"/>
          <w:i/>
          <w:szCs w:val="20"/>
          <w:vertAlign w:val="subscript"/>
          <w:lang w:val="es-CO"/>
        </w:rPr>
        <w:t>2,j,t</w:t>
      </w:r>
      <w:r w:rsidRPr="004E6CFC">
        <w:rPr>
          <w:rFonts w:cs="Arial"/>
          <w:i/>
          <w:szCs w:val="20"/>
          <w:lang w:val="es-CO"/>
        </w:rPr>
        <w:t>:</w:t>
      </w:r>
      <w:r w:rsidRPr="004E6CFC">
        <w:rPr>
          <w:rFonts w:cs="Arial"/>
          <w:szCs w:val="20"/>
          <w:lang w:val="es-CO"/>
        </w:rPr>
        <w:tab/>
        <w:t xml:space="preserve">Factor para referir las medidas de energía del nivel de tensión 2 del OR </w:t>
      </w:r>
      <w:r w:rsidRPr="004E6CFC">
        <w:rPr>
          <w:rFonts w:cs="Arial"/>
          <w:i/>
          <w:szCs w:val="20"/>
          <w:lang w:val="es-CO"/>
        </w:rPr>
        <w:t>j</w:t>
      </w:r>
      <w:r w:rsidRPr="004E6CFC">
        <w:rPr>
          <w:rFonts w:cs="Arial"/>
          <w:szCs w:val="20"/>
          <w:lang w:val="es-CO"/>
        </w:rPr>
        <w:t xml:space="preserve"> al STN en el año </w:t>
      </w:r>
      <w:r w:rsidRPr="004E6CFC">
        <w:rPr>
          <w:rFonts w:cs="Arial"/>
          <w:i/>
          <w:szCs w:val="20"/>
          <w:lang w:val="es-CO"/>
        </w:rPr>
        <w:t>t</w:t>
      </w:r>
      <w:r w:rsidRPr="004E6CFC">
        <w:rPr>
          <w:rFonts w:cs="Arial"/>
          <w:szCs w:val="20"/>
          <w:lang w:val="es-CO"/>
        </w:rPr>
        <w:t>.</w:t>
      </w:r>
    </w:p>
    <w:p w:rsidR="00285A2D" w:rsidRPr="004E6CFC" w:rsidRDefault="00285A2D" w:rsidP="00285A2D">
      <w:pPr>
        <w:ind w:left="1416" w:hanging="1416"/>
        <w:rPr>
          <w:lang w:val="es-CO"/>
        </w:rPr>
      </w:pPr>
      <w:r w:rsidRPr="004E6CFC">
        <w:rPr>
          <w:i/>
          <w:lang w:val="es-CO"/>
        </w:rPr>
        <w:t>P</w:t>
      </w:r>
      <w:r w:rsidRPr="004E6CFC">
        <w:rPr>
          <w:i/>
          <w:vertAlign w:val="subscript"/>
          <w:lang w:val="es-CO"/>
        </w:rPr>
        <w:t>j,2,t</w:t>
      </w:r>
      <w:r w:rsidRPr="004E6CFC">
        <w:rPr>
          <w:lang w:val="es-CO"/>
        </w:rPr>
        <w:t>:</w:t>
      </w:r>
      <w:r w:rsidRPr="004E6CFC">
        <w:rPr>
          <w:lang w:val="es-CO"/>
        </w:rPr>
        <w:tab/>
        <w:t xml:space="preserve">Pérdidas a reconocer en el nivel de tensión 2 del OR </w:t>
      </w:r>
      <w:r w:rsidRPr="004E6CFC">
        <w:rPr>
          <w:i/>
          <w:lang w:val="es-CO"/>
        </w:rPr>
        <w:t xml:space="preserve">j </w:t>
      </w:r>
      <w:r w:rsidRPr="004E6CFC">
        <w:rPr>
          <w:rFonts w:cs="Arial"/>
          <w:szCs w:val="20"/>
          <w:lang w:val="es-CO"/>
        </w:rPr>
        <w:t xml:space="preserve">en el año </w:t>
      </w:r>
      <w:r w:rsidRPr="004E6CFC">
        <w:rPr>
          <w:rFonts w:cs="Arial"/>
          <w:i/>
          <w:szCs w:val="20"/>
          <w:lang w:val="es-CO"/>
        </w:rPr>
        <w:t>t</w:t>
      </w:r>
      <w:r w:rsidRPr="004E6CFC">
        <w:rPr>
          <w:lang w:val="es-CO"/>
        </w:rPr>
        <w:t xml:space="preserve">, según lo establecido en los numerales </w:t>
      </w:r>
      <w:r w:rsidRPr="004E6CFC">
        <w:rPr>
          <w:rFonts w:cs="Arial"/>
          <w:szCs w:val="20"/>
          <w:lang w:val="es-CO"/>
        </w:rPr>
        <w:fldChar w:fldCharType="begin"/>
      </w:r>
      <w:r w:rsidRPr="004E6CFC">
        <w:rPr>
          <w:rFonts w:cs="Arial"/>
          <w:szCs w:val="20"/>
          <w:lang w:val="es-CO"/>
        </w:rPr>
        <w:instrText xml:space="preserve"> REF _Ref476810803 \r \h  \* MERGEFORMAT </w:instrText>
      </w:r>
      <w:r w:rsidRPr="004E6CFC">
        <w:rPr>
          <w:rFonts w:cs="Arial"/>
          <w:szCs w:val="20"/>
          <w:lang w:val="es-CO"/>
        </w:rPr>
      </w:r>
      <w:r w:rsidRPr="004E6CFC">
        <w:rPr>
          <w:rFonts w:cs="Arial"/>
          <w:szCs w:val="20"/>
          <w:lang w:val="es-CO"/>
        </w:rPr>
        <w:fldChar w:fldCharType="separate"/>
      </w:r>
      <w:r w:rsidR="00737178">
        <w:rPr>
          <w:rFonts w:cs="Arial"/>
          <w:szCs w:val="20"/>
          <w:lang w:val="es-CO"/>
        </w:rPr>
        <w:t>7.1.2</w:t>
      </w:r>
      <w:r w:rsidRPr="004E6CFC">
        <w:rPr>
          <w:rFonts w:cs="Arial"/>
          <w:szCs w:val="20"/>
          <w:lang w:val="es-CO"/>
        </w:rPr>
        <w:fldChar w:fldCharType="end"/>
      </w:r>
      <w:r w:rsidRPr="004E6CFC">
        <w:rPr>
          <w:rFonts w:cs="Arial"/>
          <w:szCs w:val="20"/>
          <w:lang w:val="es-CO"/>
        </w:rPr>
        <w:t xml:space="preserve"> y </w:t>
      </w:r>
      <w:r w:rsidRPr="004E6CFC">
        <w:rPr>
          <w:rFonts w:cs="Arial"/>
          <w:szCs w:val="20"/>
          <w:lang w:val="es-CO"/>
        </w:rPr>
        <w:fldChar w:fldCharType="begin"/>
      </w:r>
      <w:r w:rsidRPr="004E6CFC">
        <w:rPr>
          <w:rFonts w:cs="Arial"/>
          <w:szCs w:val="20"/>
          <w:lang w:val="es-CO"/>
        </w:rPr>
        <w:instrText xml:space="preserve"> REF _Ref476810808 \r \h  \* MERGEFORMAT </w:instrText>
      </w:r>
      <w:r w:rsidRPr="004E6CFC">
        <w:rPr>
          <w:rFonts w:cs="Arial"/>
          <w:szCs w:val="20"/>
          <w:lang w:val="es-CO"/>
        </w:rPr>
      </w:r>
      <w:r w:rsidRPr="004E6CFC">
        <w:rPr>
          <w:rFonts w:cs="Arial"/>
          <w:szCs w:val="20"/>
          <w:lang w:val="es-CO"/>
        </w:rPr>
        <w:fldChar w:fldCharType="separate"/>
      </w:r>
      <w:r w:rsidR="00737178">
        <w:rPr>
          <w:rFonts w:cs="Arial"/>
          <w:szCs w:val="20"/>
          <w:lang w:val="es-CO"/>
        </w:rPr>
        <w:t>7.1.3</w:t>
      </w:r>
      <w:r w:rsidRPr="004E6CFC">
        <w:rPr>
          <w:rFonts w:cs="Arial"/>
          <w:szCs w:val="20"/>
          <w:lang w:val="es-CO"/>
        </w:rPr>
        <w:fldChar w:fldCharType="end"/>
      </w:r>
      <w:r w:rsidRPr="004E6CFC">
        <w:rPr>
          <w:lang w:val="es-CO"/>
        </w:rPr>
        <w:t>.</w:t>
      </w:r>
    </w:p>
    <w:p w:rsidR="00285A2D" w:rsidRPr="004E6CFC" w:rsidRDefault="00285A2D" w:rsidP="00285A2D">
      <w:pPr>
        <w:ind w:left="1410" w:hanging="1410"/>
      </w:pPr>
      <w:r>
        <w:rPr>
          <w:i/>
          <w:iCs/>
        </w:rPr>
        <w:t>P</w:t>
      </w:r>
      <w:r w:rsidRPr="004E6CFC">
        <w:rPr>
          <w:i/>
          <w:iCs/>
          <w:vertAlign w:val="subscript"/>
        </w:rPr>
        <w:t>4,R,m,t</w:t>
      </w:r>
      <w:r w:rsidRPr="004E6CFC">
        <w:t>:</w:t>
      </w:r>
      <w:r w:rsidRPr="004E6CFC">
        <w:tab/>
      </w:r>
      <w:r>
        <w:t xml:space="preserve">Factor de pérdidas ponderado del nivel de tensión 4, para los OR que hacen parte del </w:t>
      </w:r>
      <w:r w:rsidRPr="00F46F2A">
        <w:t>STR</w:t>
      </w:r>
      <w:r>
        <w:t> </w:t>
      </w:r>
      <w:r w:rsidRPr="004E6CFC">
        <w:rPr>
          <w:i/>
          <w:iCs/>
        </w:rPr>
        <w:t>R</w:t>
      </w:r>
      <w:r>
        <w:t xml:space="preserve">, </w:t>
      </w:r>
      <w:r w:rsidRPr="004E6CFC">
        <w:t xml:space="preserve">en el mes </w:t>
      </w:r>
      <w:r w:rsidRPr="004E6CFC">
        <w:rPr>
          <w:i/>
        </w:rPr>
        <w:t>m</w:t>
      </w:r>
      <w:r w:rsidRPr="004E6CFC">
        <w:t xml:space="preserve"> del año </w:t>
      </w:r>
      <w:r w:rsidRPr="004E6CFC">
        <w:rPr>
          <w:i/>
        </w:rPr>
        <w:t>t</w:t>
      </w:r>
      <w:r>
        <w:t xml:space="preserve">, según loe </w:t>
      </w:r>
      <w:r w:rsidR="00D939A2">
        <w:t>establecido</w:t>
      </w:r>
      <w:r>
        <w:t xml:space="preserve"> en el numeral </w:t>
      </w:r>
      <w:r w:rsidR="00DA7FDA">
        <w:fldChar w:fldCharType="begin"/>
      </w:r>
      <w:r w:rsidR="00DA7FDA">
        <w:instrText xml:space="preserve"> REF _Ref505174854 \r \h </w:instrText>
      </w:r>
      <w:r w:rsidR="00DA7FDA">
        <w:fldChar w:fldCharType="separate"/>
      </w:r>
      <w:r w:rsidR="00737178">
        <w:t>1.1.1</w:t>
      </w:r>
      <w:r w:rsidR="00DA7FDA">
        <w:fldChar w:fldCharType="end"/>
      </w:r>
      <w:r w:rsidR="00DA7FDA">
        <w:t>.</w:t>
      </w:r>
    </w:p>
    <w:p w:rsidR="00285A2D" w:rsidRPr="004E6CFC" w:rsidRDefault="00285A2D" w:rsidP="00285A2D">
      <w:pPr>
        <w:ind w:left="1416" w:hanging="1416"/>
        <w:rPr>
          <w:lang w:val="es-CO"/>
        </w:rPr>
      </w:pPr>
      <w:r w:rsidRPr="004E6CFC">
        <w:rPr>
          <w:i/>
          <w:lang w:val="es-CO"/>
        </w:rPr>
        <w:t>P</w:t>
      </w:r>
      <w:r w:rsidRPr="004E6CFC">
        <w:rPr>
          <w:i/>
          <w:vertAlign w:val="subscript"/>
          <w:lang w:val="es-CO"/>
        </w:rPr>
        <w:t>j,3,t</w:t>
      </w:r>
      <w:r w:rsidRPr="004E6CFC">
        <w:rPr>
          <w:lang w:val="es-CO"/>
        </w:rPr>
        <w:t>:</w:t>
      </w:r>
      <w:r w:rsidRPr="004E6CFC">
        <w:rPr>
          <w:lang w:val="es-CO"/>
        </w:rPr>
        <w:tab/>
        <w:t xml:space="preserve">Pérdidas a reconocer en el nivel de tensión 3 del OR </w:t>
      </w:r>
      <w:r w:rsidRPr="004E6CFC">
        <w:rPr>
          <w:i/>
          <w:lang w:val="es-CO"/>
        </w:rPr>
        <w:t>j</w:t>
      </w:r>
      <w:r w:rsidRPr="004E6CFC">
        <w:rPr>
          <w:lang w:val="es-CO"/>
        </w:rPr>
        <w:t xml:space="preserve">, en el año </w:t>
      </w:r>
      <w:r w:rsidRPr="004E6CFC">
        <w:rPr>
          <w:i/>
          <w:lang w:val="es-CO"/>
        </w:rPr>
        <w:t>t</w:t>
      </w:r>
      <w:r w:rsidRPr="004E6CFC">
        <w:rPr>
          <w:lang w:val="es-CO"/>
        </w:rPr>
        <w:t xml:space="preserve">, según lo establecido en los numerales </w:t>
      </w:r>
      <w:r w:rsidRPr="004E6CFC">
        <w:rPr>
          <w:rFonts w:cs="Arial"/>
          <w:szCs w:val="20"/>
          <w:lang w:val="es-CO"/>
        </w:rPr>
        <w:fldChar w:fldCharType="begin"/>
      </w:r>
      <w:r w:rsidRPr="004E6CFC">
        <w:rPr>
          <w:rFonts w:cs="Arial"/>
          <w:szCs w:val="20"/>
          <w:lang w:val="es-CO"/>
        </w:rPr>
        <w:instrText xml:space="preserve"> REF _Ref476810803 \r \h  \* MERGEFORMAT </w:instrText>
      </w:r>
      <w:r w:rsidRPr="004E6CFC">
        <w:rPr>
          <w:rFonts w:cs="Arial"/>
          <w:szCs w:val="20"/>
          <w:lang w:val="es-CO"/>
        </w:rPr>
      </w:r>
      <w:r w:rsidRPr="004E6CFC">
        <w:rPr>
          <w:rFonts w:cs="Arial"/>
          <w:szCs w:val="20"/>
          <w:lang w:val="es-CO"/>
        </w:rPr>
        <w:fldChar w:fldCharType="separate"/>
      </w:r>
      <w:r w:rsidR="00737178">
        <w:rPr>
          <w:rFonts w:cs="Arial"/>
          <w:szCs w:val="20"/>
          <w:lang w:val="es-CO"/>
        </w:rPr>
        <w:t>7.1.2</w:t>
      </w:r>
      <w:r w:rsidRPr="004E6CFC">
        <w:rPr>
          <w:rFonts w:cs="Arial"/>
          <w:szCs w:val="20"/>
          <w:lang w:val="es-CO"/>
        </w:rPr>
        <w:fldChar w:fldCharType="end"/>
      </w:r>
      <w:r w:rsidRPr="004E6CFC">
        <w:rPr>
          <w:rFonts w:cs="Arial"/>
          <w:szCs w:val="20"/>
          <w:lang w:val="es-CO"/>
        </w:rPr>
        <w:t xml:space="preserve"> y </w:t>
      </w:r>
      <w:r w:rsidRPr="004E6CFC">
        <w:rPr>
          <w:rFonts w:cs="Arial"/>
          <w:szCs w:val="20"/>
          <w:lang w:val="es-CO"/>
        </w:rPr>
        <w:fldChar w:fldCharType="begin"/>
      </w:r>
      <w:r w:rsidRPr="004E6CFC">
        <w:rPr>
          <w:rFonts w:cs="Arial"/>
          <w:szCs w:val="20"/>
          <w:lang w:val="es-CO"/>
        </w:rPr>
        <w:instrText xml:space="preserve"> REF _Ref476810808 \r \h  \* MERGEFORMAT </w:instrText>
      </w:r>
      <w:r w:rsidRPr="004E6CFC">
        <w:rPr>
          <w:rFonts w:cs="Arial"/>
          <w:szCs w:val="20"/>
          <w:lang w:val="es-CO"/>
        </w:rPr>
      </w:r>
      <w:r w:rsidRPr="004E6CFC">
        <w:rPr>
          <w:rFonts w:cs="Arial"/>
          <w:szCs w:val="20"/>
          <w:lang w:val="es-CO"/>
        </w:rPr>
        <w:fldChar w:fldCharType="separate"/>
      </w:r>
      <w:r w:rsidR="00737178">
        <w:rPr>
          <w:rFonts w:cs="Arial"/>
          <w:szCs w:val="20"/>
          <w:lang w:val="es-CO"/>
        </w:rPr>
        <w:t>7.1.3</w:t>
      </w:r>
      <w:r w:rsidRPr="004E6CFC">
        <w:rPr>
          <w:rFonts w:cs="Arial"/>
          <w:szCs w:val="20"/>
          <w:lang w:val="es-CO"/>
        </w:rPr>
        <w:fldChar w:fldCharType="end"/>
      </w:r>
      <w:r w:rsidRPr="004E6CFC">
        <w:rPr>
          <w:lang w:val="es-CO"/>
        </w:rPr>
        <w:t>.</w:t>
      </w:r>
    </w:p>
    <w:p w:rsidR="00285A2D" w:rsidRPr="004E6CFC" w:rsidRDefault="00285A2D" w:rsidP="00285A2D">
      <w:pPr>
        <w:ind w:left="1418" w:hanging="1418"/>
        <w:rPr>
          <w:rFonts w:cs="Arial"/>
          <w:szCs w:val="20"/>
          <w:lang w:val="es-CO"/>
        </w:rPr>
      </w:pPr>
      <w:r w:rsidRPr="004E6CFC">
        <w:rPr>
          <w:rFonts w:cs="Arial"/>
          <w:i/>
          <w:szCs w:val="20"/>
          <w:lang w:val="es-CO"/>
        </w:rPr>
        <w:t>Fe</w:t>
      </w:r>
      <w:r w:rsidRPr="004E6CFC">
        <w:rPr>
          <w:rFonts w:cs="Arial"/>
          <w:i/>
          <w:szCs w:val="20"/>
          <w:vertAlign w:val="subscript"/>
          <w:lang w:val="es-CO"/>
        </w:rPr>
        <w:t>j,n-2</w:t>
      </w:r>
      <w:r w:rsidRPr="004E6CFC">
        <w:rPr>
          <w:rFonts w:cs="Arial"/>
          <w:szCs w:val="20"/>
          <w:lang w:val="es-CO"/>
        </w:rPr>
        <w:t>:</w:t>
      </w:r>
      <w:r w:rsidRPr="004E6CFC">
        <w:rPr>
          <w:rFonts w:cs="Arial"/>
          <w:szCs w:val="20"/>
          <w:lang w:val="es-CO"/>
        </w:rPr>
        <w:tab/>
        <w:t xml:space="preserve">Flujo de energía anual entre el nivel de tensión </w:t>
      </w:r>
      <w:r w:rsidRPr="004E6CFC">
        <w:rPr>
          <w:rFonts w:cs="Arial"/>
          <w:i/>
          <w:szCs w:val="20"/>
          <w:lang w:val="es-CO"/>
        </w:rPr>
        <w:t>n</w:t>
      </w:r>
      <w:r w:rsidRPr="004E6CFC">
        <w:rPr>
          <w:rFonts w:cs="Arial"/>
          <w:szCs w:val="20"/>
          <w:lang w:val="es-CO"/>
        </w:rPr>
        <w:t xml:space="preserve">, </w:t>
      </w:r>
      <w:r w:rsidRPr="004E6CFC">
        <w:rPr>
          <w:rFonts w:cs="Arial"/>
          <w:i/>
          <w:szCs w:val="20"/>
          <w:lang w:val="es-CO"/>
        </w:rPr>
        <w:t>n</w:t>
      </w:r>
      <w:r w:rsidRPr="004E6CFC">
        <w:rPr>
          <w:rFonts w:cs="Arial"/>
          <w:szCs w:val="20"/>
          <w:lang w:val="es-CO"/>
        </w:rPr>
        <w:t xml:space="preserve"> es STN, 4 o 3, y el nivel de tensión 2 del OR </w:t>
      </w:r>
      <w:r w:rsidRPr="004E6CFC">
        <w:rPr>
          <w:rFonts w:cs="Arial"/>
          <w:i/>
          <w:szCs w:val="20"/>
          <w:lang w:val="es-CO"/>
        </w:rPr>
        <w:t>j</w:t>
      </w:r>
      <w:r w:rsidRPr="004E6CFC">
        <w:rPr>
          <w:rFonts w:cs="Arial"/>
          <w:szCs w:val="20"/>
          <w:lang w:val="es-CO"/>
        </w:rPr>
        <w:t>, MWh-año.</w:t>
      </w:r>
    </w:p>
    <w:p w:rsidR="00285A2D" w:rsidRPr="004E6CFC" w:rsidRDefault="00285A2D" w:rsidP="00285A2D">
      <w:pPr>
        <w:ind w:left="1418" w:hanging="1418"/>
        <w:rPr>
          <w:rFonts w:cs="Arial"/>
          <w:szCs w:val="20"/>
          <w:lang w:val="es-CO"/>
        </w:rPr>
      </w:pPr>
      <w:r w:rsidRPr="004E6CFC">
        <w:rPr>
          <w:rFonts w:cs="Arial"/>
          <w:i/>
        </w:rPr>
        <w:t>Fe</w:t>
      </w:r>
      <w:r w:rsidRPr="004E6CFC">
        <w:rPr>
          <w:rFonts w:cs="Arial"/>
          <w:i/>
          <w:vertAlign w:val="subscript"/>
        </w:rPr>
        <w:t>j,2</w:t>
      </w:r>
      <w:r w:rsidRPr="004E6CFC">
        <w:rPr>
          <w:rFonts w:cs="Arial"/>
          <w:i/>
        </w:rPr>
        <w:t xml:space="preserve">:     </w:t>
      </w:r>
      <w:r w:rsidRPr="004E6CFC">
        <w:rPr>
          <w:rFonts w:cs="Arial"/>
          <w:i/>
        </w:rPr>
        <w:tab/>
      </w:r>
      <w:r w:rsidRPr="004E6CFC">
        <w:rPr>
          <w:rFonts w:cs="Arial"/>
          <w:szCs w:val="20"/>
          <w:lang w:val="es-CO"/>
        </w:rPr>
        <w:t xml:space="preserve">Flujo de energía anual desde otros niveles de tensión al nivel de tensión 2 del OR </w:t>
      </w:r>
      <w:r w:rsidRPr="004E6CFC">
        <w:rPr>
          <w:rFonts w:cs="Arial"/>
          <w:i/>
          <w:szCs w:val="20"/>
          <w:lang w:val="es-CO"/>
        </w:rPr>
        <w:t>j</w:t>
      </w:r>
      <w:r w:rsidRPr="004E6CFC">
        <w:rPr>
          <w:rFonts w:cs="Arial"/>
          <w:szCs w:val="20"/>
          <w:lang w:val="es-CO"/>
        </w:rPr>
        <w:t xml:space="preserve"> (MWh-año).</w:t>
      </w:r>
    </w:p>
    <w:p w:rsidR="00285A2D" w:rsidRPr="004E6CFC" w:rsidRDefault="00285A2D" w:rsidP="00285A2D">
      <w:pPr>
        <w:spacing w:before="120"/>
        <w:ind w:left="1410" w:hanging="1410"/>
        <w:rPr>
          <w:rFonts w:cs="Arial"/>
        </w:rPr>
      </w:pPr>
      <w:r w:rsidRPr="004E6CFC">
        <w:rPr>
          <w:rFonts w:cs="Arial"/>
          <w:i/>
        </w:rPr>
        <w:lastRenderedPageBreak/>
        <w:t>P</w:t>
      </w:r>
      <w:r w:rsidRPr="004E6CFC">
        <w:rPr>
          <w:rFonts w:cs="Arial"/>
          <w:i/>
          <w:vertAlign w:val="subscript"/>
        </w:rPr>
        <w:t>j,n-2</w:t>
      </w:r>
      <w:r w:rsidRPr="004E6CFC">
        <w:rPr>
          <w:rFonts w:cs="Arial"/>
        </w:rPr>
        <w:t>:</w:t>
      </w:r>
      <w:r w:rsidRPr="004E6CFC">
        <w:rPr>
          <w:rFonts w:cs="Arial"/>
        </w:rPr>
        <w:tab/>
      </w:r>
      <w:r w:rsidRPr="004E6CFC">
        <w:rPr>
          <w:rFonts w:cs="Arial"/>
        </w:rPr>
        <w:tab/>
        <w:t xml:space="preserve">Pérdidas de transformación para referir las medidas de energía del Nivel de Tensión 2 al STN o al nivel de tensión 4 (n es STN </w:t>
      </w:r>
      <w:r w:rsidR="00D939A2" w:rsidRPr="004E6CFC">
        <w:rPr>
          <w:rFonts w:cs="Arial"/>
        </w:rPr>
        <w:t>o</w:t>
      </w:r>
      <w:r w:rsidRPr="004E6CFC">
        <w:rPr>
          <w:rFonts w:cs="Arial"/>
        </w:rPr>
        <w:t xml:space="preserve"> 4) del mismo OR e iguales a 0,23 %.</w:t>
      </w:r>
    </w:p>
    <w:p w:rsidR="00285A2D" w:rsidRPr="004E6CFC" w:rsidRDefault="00285A2D" w:rsidP="00285A2D">
      <w:pPr>
        <w:pStyle w:val="Ttulo3"/>
      </w:pPr>
      <w:bookmarkStart w:id="810" w:name="_Toc466009909"/>
      <w:bookmarkStart w:id="811" w:name="_Toc476824936"/>
      <w:bookmarkStart w:id="812" w:name="_Toc505335987"/>
      <w:r w:rsidRPr="004E6CFC">
        <w:t>Nivel de tensión 1</w:t>
      </w:r>
      <w:bookmarkEnd w:id="810"/>
      <w:bookmarkEnd w:id="811"/>
      <w:bookmarkEnd w:id="812"/>
    </w:p>
    <w:p w:rsidR="00285A2D" w:rsidRPr="004E6CFC" w:rsidRDefault="00C9592F" w:rsidP="00285A2D">
      <w:pPr>
        <w:rPr>
          <w:rFonts w:cs="Arial"/>
          <w:bCs/>
          <w:lang w:val="es-ES_tradnl"/>
        </w:rPr>
      </w:pPr>
      <m:oMathPara>
        <m:oMath>
          <m:sSub>
            <m:sSubPr>
              <m:ctrlPr>
                <w:rPr>
                  <w:rFonts w:ascii="Cambria Math" w:hAnsi="Cambria Math"/>
                  <w:bCs/>
                  <w:i/>
                  <w:lang w:val="es-ES_tradnl"/>
                </w:rPr>
              </m:ctrlPr>
            </m:sSubPr>
            <m:e>
              <m:r>
                <w:rPr>
                  <w:rFonts w:ascii="Cambria Math" w:hAnsi="Cambria Math"/>
                  <w:lang w:val="es-ES_tradnl"/>
                </w:rPr>
                <m:t>PR</m:t>
              </m:r>
            </m:e>
            <m:sub>
              <m:r>
                <w:rPr>
                  <w:rFonts w:ascii="Cambria Math" w:hAnsi="Cambria Math"/>
                  <w:lang w:val="es-ES_tradnl"/>
                </w:rPr>
                <m:t>1,j,t</m:t>
              </m:r>
            </m:sub>
          </m:sSub>
          <m:r>
            <w:rPr>
              <w:rFonts w:ascii="Cambria Math" w:hAnsi="Cambria Math"/>
              <w:lang w:val="es-ES_tradnl"/>
            </w:rPr>
            <m:t>=1-</m:t>
          </m:r>
          <m:d>
            <m:dPr>
              <m:ctrlPr>
                <w:rPr>
                  <w:rFonts w:ascii="Cambria Math" w:hAnsi="Cambria Math"/>
                  <w:bCs/>
                  <w:i/>
                  <w:lang w:val="es-ES_tradnl"/>
                </w:rPr>
              </m:ctrlPr>
            </m:dPr>
            <m:e>
              <m:r>
                <w:rPr>
                  <w:rFonts w:ascii="Cambria Math" w:hAnsi="Cambria Math"/>
                  <w:lang w:val="es-ES_tradnl"/>
                </w:rPr>
                <m:t>1-</m:t>
              </m:r>
              <m:sSub>
                <m:sSubPr>
                  <m:ctrlPr>
                    <w:rPr>
                      <w:rFonts w:ascii="Cambria Math" w:hAnsi="Cambria Math"/>
                      <w:bCs/>
                      <w:i/>
                      <w:lang w:val="es-ES_tradnl"/>
                    </w:rPr>
                  </m:ctrlPr>
                </m:sSubPr>
                <m:e>
                  <m:r>
                    <w:rPr>
                      <w:rFonts w:ascii="Cambria Math" w:hAnsi="Cambria Math"/>
                      <w:lang w:val="es-ES_tradnl"/>
                    </w:rPr>
                    <m:t>P</m:t>
                  </m:r>
                </m:e>
                <m:sub>
                  <m:r>
                    <w:rPr>
                      <w:rFonts w:ascii="Cambria Math" w:hAnsi="Cambria Math"/>
                      <w:lang w:val="es-ES_tradnl"/>
                    </w:rPr>
                    <m:t>j,1,t</m:t>
                  </m:r>
                </m:sub>
              </m:sSub>
            </m:e>
          </m:d>
          <m:d>
            <m:dPr>
              <m:begChr m:val="["/>
              <m:endChr m:val="]"/>
              <m:ctrlPr>
                <w:rPr>
                  <w:rFonts w:ascii="Cambria Math" w:hAnsi="Cambria Math"/>
                  <w:bCs/>
                  <w:i/>
                  <w:lang w:val="es-ES_tradnl"/>
                </w:rPr>
              </m:ctrlPr>
            </m:dPr>
            <m:e>
              <m:d>
                <m:dPr>
                  <m:ctrlPr>
                    <w:rPr>
                      <w:rFonts w:ascii="Cambria Math" w:hAnsi="Cambria Math"/>
                      <w:bCs/>
                      <w:i/>
                      <w:lang w:val="es-ES_tradnl"/>
                    </w:rPr>
                  </m:ctrlPr>
                </m:dPr>
                <m:e>
                  <m:r>
                    <w:rPr>
                      <w:rFonts w:ascii="Cambria Math" w:hAnsi="Cambria Math"/>
                      <w:lang w:val="es-ES_tradnl"/>
                    </w:rPr>
                    <m:t>1-</m:t>
                  </m:r>
                  <m:sSub>
                    <m:sSubPr>
                      <m:ctrlPr>
                        <w:rPr>
                          <w:rFonts w:ascii="Cambria Math" w:hAnsi="Cambria Math"/>
                          <w:bCs/>
                          <w:i/>
                          <w:lang w:val="es-ES_tradnl"/>
                        </w:rPr>
                      </m:ctrlPr>
                    </m:sSubPr>
                    <m:e>
                      <m:r>
                        <w:rPr>
                          <w:rFonts w:ascii="Cambria Math" w:hAnsi="Cambria Math"/>
                          <w:lang w:val="es-ES_tradnl"/>
                        </w:rPr>
                        <m:t>PR</m:t>
                      </m:r>
                    </m:e>
                    <m:sub>
                      <m:r>
                        <w:rPr>
                          <w:rFonts w:ascii="Cambria Math" w:hAnsi="Cambria Math"/>
                          <w:lang w:val="es-ES_tradnl"/>
                        </w:rPr>
                        <m:t>3,j,t</m:t>
                      </m:r>
                    </m:sub>
                  </m:sSub>
                </m:e>
              </m:d>
              <m:d>
                <m:dPr>
                  <m:ctrlPr>
                    <w:rPr>
                      <w:rFonts w:ascii="Cambria Math" w:hAnsi="Cambria Math"/>
                      <w:bCs/>
                      <w:i/>
                      <w:lang w:val="es-ES_tradnl"/>
                    </w:rPr>
                  </m:ctrlPr>
                </m:dPr>
                <m:e>
                  <m:f>
                    <m:fPr>
                      <m:ctrlPr>
                        <w:rPr>
                          <w:rFonts w:ascii="Cambria Math" w:hAnsi="Cambria Math"/>
                          <w:bCs/>
                          <w:i/>
                          <w:lang w:val="es-ES_tradnl"/>
                        </w:rPr>
                      </m:ctrlPr>
                    </m:fPr>
                    <m:num>
                      <m:sSub>
                        <m:sSubPr>
                          <m:ctrlPr>
                            <w:rPr>
                              <w:rFonts w:ascii="Cambria Math" w:hAnsi="Cambria Math"/>
                              <w:bCs/>
                              <w:i/>
                              <w:lang w:val="es-ES_tradnl"/>
                            </w:rPr>
                          </m:ctrlPr>
                        </m:sSubPr>
                        <m:e>
                          <m:r>
                            <w:rPr>
                              <w:rFonts w:ascii="Cambria Math" w:hAnsi="Cambria Math"/>
                              <w:lang w:val="es-ES_tradnl"/>
                            </w:rPr>
                            <m:t>Fe</m:t>
                          </m:r>
                        </m:e>
                        <m:sub>
                          <m:r>
                            <w:rPr>
                              <w:rFonts w:ascii="Cambria Math" w:hAnsi="Cambria Math"/>
                              <w:lang w:val="es-ES_tradnl"/>
                            </w:rPr>
                            <m:t>j,3-1</m:t>
                          </m:r>
                        </m:sub>
                      </m:sSub>
                    </m:num>
                    <m:den>
                      <m:sSub>
                        <m:sSubPr>
                          <m:ctrlPr>
                            <w:rPr>
                              <w:rFonts w:ascii="Cambria Math" w:hAnsi="Cambria Math"/>
                              <w:bCs/>
                              <w:i/>
                              <w:lang w:val="es-ES_tradnl"/>
                            </w:rPr>
                          </m:ctrlPr>
                        </m:sSubPr>
                        <m:e>
                          <m:r>
                            <w:rPr>
                              <w:rFonts w:ascii="Cambria Math" w:hAnsi="Cambria Math"/>
                              <w:lang w:val="es-ES_tradnl"/>
                            </w:rPr>
                            <m:t>Fe</m:t>
                          </m:r>
                        </m:e>
                        <m:sub>
                          <m:r>
                            <w:rPr>
                              <w:rFonts w:ascii="Cambria Math" w:hAnsi="Cambria Math"/>
                              <w:lang w:val="es-ES_tradnl"/>
                            </w:rPr>
                            <m:t>j,1</m:t>
                          </m:r>
                        </m:sub>
                      </m:sSub>
                    </m:den>
                  </m:f>
                </m:e>
              </m:d>
              <m:r>
                <w:rPr>
                  <w:rFonts w:ascii="Cambria Math" w:hAnsi="Cambria Math"/>
                  <w:lang w:val="es-ES_tradnl"/>
                </w:rPr>
                <m:t>+</m:t>
              </m:r>
              <m:d>
                <m:dPr>
                  <m:ctrlPr>
                    <w:rPr>
                      <w:rFonts w:ascii="Cambria Math" w:hAnsi="Cambria Math"/>
                      <w:bCs/>
                      <w:i/>
                      <w:lang w:val="es-ES_tradnl"/>
                    </w:rPr>
                  </m:ctrlPr>
                </m:dPr>
                <m:e>
                  <m:r>
                    <w:rPr>
                      <w:rFonts w:ascii="Cambria Math" w:hAnsi="Cambria Math"/>
                      <w:lang w:val="es-ES_tradnl"/>
                    </w:rPr>
                    <m:t>1-</m:t>
                  </m:r>
                  <m:sSub>
                    <m:sSubPr>
                      <m:ctrlPr>
                        <w:rPr>
                          <w:rFonts w:ascii="Cambria Math" w:hAnsi="Cambria Math"/>
                          <w:bCs/>
                          <w:i/>
                          <w:lang w:val="es-ES_tradnl"/>
                        </w:rPr>
                      </m:ctrlPr>
                    </m:sSubPr>
                    <m:e>
                      <m:r>
                        <w:rPr>
                          <w:rFonts w:ascii="Cambria Math" w:hAnsi="Cambria Math"/>
                          <w:lang w:val="es-ES_tradnl"/>
                        </w:rPr>
                        <m:t>PR</m:t>
                      </m:r>
                    </m:e>
                    <m:sub>
                      <m:r>
                        <w:rPr>
                          <w:rFonts w:ascii="Cambria Math" w:hAnsi="Cambria Math"/>
                          <w:lang w:val="es-ES_tradnl"/>
                        </w:rPr>
                        <m:t>2,j,t</m:t>
                      </m:r>
                    </m:sub>
                  </m:sSub>
                </m:e>
              </m:d>
              <m:d>
                <m:dPr>
                  <m:ctrlPr>
                    <w:rPr>
                      <w:rFonts w:ascii="Cambria Math" w:hAnsi="Cambria Math"/>
                      <w:bCs/>
                      <w:i/>
                      <w:lang w:val="es-ES_tradnl"/>
                    </w:rPr>
                  </m:ctrlPr>
                </m:dPr>
                <m:e>
                  <m:f>
                    <m:fPr>
                      <m:ctrlPr>
                        <w:rPr>
                          <w:rFonts w:ascii="Cambria Math" w:hAnsi="Cambria Math"/>
                          <w:bCs/>
                          <w:i/>
                          <w:lang w:val="es-ES_tradnl"/>
                        </w:rPr>
                      </m:ctrlPr>
                    </m:fPr>
                    <m:num>
                      <m:sSub>
                        <m:sSubPr>
                          <m:ctrlPr>
                            <w:rPr>
                              <w:rFonts w:ascii="Cambria Math" w:hAnsi="Cambria Math"/>
                              <w:bCs/>
                              <w:i/>
                              <w:lang w:val="es-ES_tradnl"/>
                            </w:rPr>
                          </m:ctrlPr>
                        </m:sSubPr>
                        <m:e>
                          <m:r>
                            <w:rPr>
                              <w:rFonts w:ascii="Cambria Math" w:hAnsi="Cambria Math"/>
                              <w:lang w:val="es-ES_tradnl"/>
                            </w:rPr>
                            <m:t>Fe</m:t>
                          </m:r>
                        </m:e>
                        <m:sub>
                          <m:r>
                            <w:rPr>
                              <w:rFonts w:ascii="Cambria Math" w:hAnsi="Cambria Math"/>
                              <w:lang w:val="es-ES_tradnl"/>
                            </w:rPr>
                            <m:t>j,2-1</m:t>
                          </m:r>
                        </m:sub>
                      </m:sSub>
                    </m:num>
                    <m:den>
                      <m:sSub>
                        <m:sSubPr>
                          <m:ctrlPr>
                            <w:rPr>
                              <w:rFonts w:ascii="Cambria Math" w:hAnsi="Cambria Math"/>
                              <w:bCs/>
                              <w:i/>
                              <w:lang w:val="es-ES_tradnl"/>
                            </w:rPr>
                          </m:ctrlPr>
                        </m:sSubPr>
                        <m:e>
                          <m:r>
                            <w:rPr>
                              <w:rFonts w:ascii="Cambria Math" w:hAnsi="Cambria Math"/>
                              <w:lang w:val="es-ES_tradnl"/>
                            </w:rPr>
                            <m:t>Fe</m:t>
                          </m:r>
                        </m:e>
                        <m:sub>
                          <m:r>
                            <w:rPr>
                              <w:rFonts w:ascii="Cambria Math" w:hAnsi="Cambria Math"/>
                              <w:lang w:val="es-ES_tradnl"/>
                            </w:rPr>
                            <m:t>j,1</m:t>
                          </m:r>
                        </m:sub>
                      </m:sSub>
                    </m:den>
                  </m:f>
                </m:e>
              </m:d>
            </m:e>
          </m:d>
        </m:oMath>
      </m:oMathPara>
    </w:p>
    <w:p w:rsidR="00285A2D" w:rsidRPr="004E6CFC" w:rsidRDefault="00C9592F" w:rsidP="00285A2D">
      <w:pPr>
        <w:rPr>
          <w:rFonts w:cs="Arial"/>
          <w:szCs w:val="20"/>
          <w:lang w:val="es-CO"/>
        </w:rPr>
      </w:pPr>
      <m:oMathPara>
        <m:oMath>
          <m:sSub>
            <m:sSubPr>
              <m:ctrlPr>
                <w:rPr>
                  <w:rFonts w:ascii="Cambria Math" w:hAnsi="Cambria Math"/>
                  <w:bCs/>
                  <w:i/>
                  <w:lang w:val="es-ES_tradnl"/>
                </w:rPr>
              </m:ctrlPr>
            </m:sSubPr>
            <m:e>
              <m:r>
                <w:rPr>
                  <w:rFonts w:ascii="Cambria Math" w:hAnsi="Cambria Math"/>
                  <w:lang w:val="es-ES_tradnl"/>
                </w:rPr>
                <m:t>Fe</m:t>
              </m:r>
            </m:e>
            <m:sub>
              <m:r>
                <w:rPr>
                  <w:rFonts w:ascii="Cambria Math" w:hAnsi="Cambria Math"/>
                  <w:lang w:val="es-ES_tradnl"/>
                </w:rPr>
                <m:t>j,1</m:t>
              </m:r>
            </m:sub>
          </m:sSub>
          <m:r>
            <w:rPr>
              <w:rFonts w:ascii="Cambria Math" w:hAnsi="Cambria Math"/>
              <w:lang w:val="es-ES_tradnl"/>
            </w:rPr>
            <m:t>=</m:t>
          </m:r>
          <m:sSub>
            <m:sSubPr>
              <m:ctrlPr>
                <w:rPr>
                  <w:rFonts w:ascii="Cambria Math" w:hAnsi="Cambria Math"/>
                  <w:bCs/>
                  <w:i/>
                  <w:lang w:val="es-ES_tradnl"/>
                </w:rPr>
              </m:ctrlPr>
            </m:sSubPr>
            <m:e>
              <m:r>
                <w:rPr>
                  <w:rFonts w:ascii="Cambria Math" w:hAnsi="Cambria Math"/>
                  <w:lang w:val="es-ES_tradnl"/>
                </w:rPr>
                <m:t>Fe</m:t>
              </m:r>
            </m:e>
            <m:sub>
              <m:r>
                <w:rPr>
                  <w:rFonts w:ascii="Cambria Math" w:hAnsi="Cambria Math"/>
                  <w:lang w:val="es-ES_tradnl"/>
                </w:rPr>
                <m:t>j,3-1</m:t>
              </m:r>
            </m:sub>
          </m:sSub>
          <m:r>
            <w:rPr>
              <w:rFonts w:ascii="Cambria Math" w:hAnsi="Cambria Math"/>
              <w:lang w:val="es-ES_tradnl"/>
            </w:rPr>
            <m:t>+</m:t>
          </m:r>
          <m:sSub>
            <m:sSubPr>
              <m:ctrlPr>
                <w:rPr>
                  <w:rFonts w:ascii="Cambria Math" w:hAnsi="Cambria Math"/>
                  <w:bCs/>
                  <w:i/>
                  <w:lang w:val="es-ES_tradnl"/>
                </w:rPr>
              </m:ctrlPr>
            </m:sSubPr>
            <m:e>
              <m:r>
                <w:rPr>
                  <w:rFonts w:ascii="Cambria Math" w:hAnsi="Cambria Math"/>
                  <w:lang w:val="es-ES_tradnl"/>
                </w:rPr>
                <m:t>Fe</m:t>
              </m:r>
            </m:e>
            <m:sub>
              <m:r>
                <w:rPr>
                  <w:rFonts w:ascii="Cambria Math" w:hAnsi="Cambria Math"/>
                  <w:lang w:val="es-ES_tradnl"/>
                </w:rPr>
                <m:t>j,2-1</m:t>
              </m:r>
            </m:sub>
          </m:sSub>
        </m:oMath>
      </m:oMathPara>
    </w:p>
    <w:p w:rsidR="00285A2D" w:rsidRPr="004E6CFC" w:rsidRDefault="00285A2D" w:rsidP="00285A2D">
      <w:pPr>
        <w:rPr>
          <w:rFonts w:cs="Arial"/>
          <w:szCs w:val="20"/>
          <w:lang w:val="es-CO"/>
        </w:rPr>
      </w:pPr>
      <w:r w:rsidRPr="004E6CFC">
        <w:rPr>
          <w:rFonts w:cs="Arial"/>
          <w:szCs w:val="20"/>
          <w:lang w:val="es-CO"/>
        </w:rPr>
        <w:t>Donde:</w:t>
      </w:r>
    </w:p>
    <w:p w:rsidR="00285A2D" w:rsidRPr="004E6CFC" w:rsidRDefault="00285A2D" w:rsidP="00285A2D">
      <w:pPr>
        <w:ind w:left="1418" w:hanging="1418"/>
        <w:rPr>
          <w:rFonts w:cs="Arial"/>
          <w:szCs w:val="20"/>
          <w:lang w:val="es-CO"/>
        </w:rPr>
      </w:pPr>
      <w:r w:rsidRPr="004E6CFC">
        <w:rPr>
          <w:rFonts w:cs="Arial"/>
          <w:i/>
          <w:szCs w:val="20"/>
          <w:lang w:val="es-CO"/>
        </w:rPr>
        <w:t>PR</w:t>
      </w:r>
      <w:r w:rsidRPr="004E6CFC">
        <w:rPr>
          <w:rFonts w:cs="Arial"/>
          <w:i/>
          <w:szCs w:val="20"/>
          <w:vertAlign w:val="subscript"/>
          <w:lang w:val="es-CO"/>
        </w:rPr>
        <w:t>1,j,t</w:t>
      </w:r>
      <w:r w:rsidRPr="004E6CFC">
        <w:rPr>
          <w:rFonts w:cs="Arial"/>
          <w:szCs w:val="20"/>
          <w:lang w:val="es-CO"/>
        </w:rPr>
        <w:t>:</w:t>
      </w:r>
      <w:r w:rsidRPr="004E6CFC">
        <w:rPr>
          <w:rFonts w:cs="Arial"/>
          <w:szCs w:val="20"/>
          <w:lang w:val="es-CO"/>
        </w:rPr>
        <w:tab/>
        <w:t xml:space="preserve">Factor para referir las medidas de energía del nivel de tensión 1 del OR </w:t>
      </w:r>
      <w:r w:rsidRPr="004E6CFC">
        <w:rPr>
          <w:rFonts w:cs="Arial"/>
          <w:i/>
          <w:szCs w:val="20"/>
          <w:lang w:val="es-CO"/>
        </w:rPr>
        <w:t>j</w:t>
      </w:r>
      <w:r w:rsidRPr="004E6CFC">
        <w:rPr>
          <w:rFonts w:cs="Arial"/>
          <w:szCs w:val="20"/>
          <w:lang w:val="es-CO"/>
        </w:rPr>
        <w:t xml:space="preserve"> al STN en el año </w:t>
      </w:r>
      <w:r w:rsidRPr="004E6CFC">
        <w:rPr>
          <w:rFonts w:cs="Arial"/>
          <w:i/>
          <w:szCs w:val="20"/>
          <w:lang w:val="es-CO"/>
        </w:rPr>
        <w:t>t</w:t>
      </w:r>
      <w:r w:rsidRPr="004E6CFC">
        <w:rPr>
          <w:rFonts w:cs="Arial"/>
          <w:szCs w:val="20"/>
          <w:lang w:val="es-CO"/>
        </w:rPr>
        <w:t>.</w:t>
      </w:r>
    </w:p>
    <w:p w:rsidR="00285A2D" w:rsidRPr="004E6CFC" w:rsidRDefault="00285A2D" w:rsidP="00285A2D">
      <w:pPr>
        <w:ind w:left="1418" w:hanging="1418"/>
        <w:rPr>
          <w:rFonts w:cs="Arial"/>
          <w:szCs w:val="20"/>
          <w:lang w:val="es-CO"/>
        </w:rPr>
      </w:pPr>
      <w:r w:rsidRPr="004E6CFC">
        <w:rPr>
          <w:rFonts w:cs="Arial"/>
          <w:i/>
          <w:szCs w:val="20"/>
          <w:lang w:val="es-CO"/>
        </w:rPr>
        <w:t>P</w:t>
      </w:r>
      <w:r w:rsidRPr="004E6CFC">
        <w:rPr>
          <w:rFonts w:cs="Arial"/>
          <w:i/>
          <w:szCs w:val="20"/>
          <w:vertAlign w:val="subscript"/>
          <w:lang w:val="es-CO"/>
        </w:rPr>
        <w:t>j,1,t</w:t>
      </w:r>
      <w:r w:rsidRPr="004E6CFC">
        <w:rPr>
          <w:rFonts w:cs="Arial"/>
          <w:szCs w:val="20"/>
          <w:lang w:val="es-CO"/>
        </w:rPr>
        <w:t>:</w:t>
      </w:r>
      <w:r w:rsidRPr="004E6CFC">
        <w:rPr>
          <w:rFonts w:cs="Arial"/>
          <w:szCs w:val="20"/>
          <w:lang w:val="es-CO"/>
        </w:rPr>
        <w:tab/>
        <w:t xml:space="preserve">Pérdidas reconocidas en el nivel de tensión 1 del OR </w:t>
      </w:r>
      <w:r w:rsidRPr="004E6CFC">
        <w:rPr>
          <w:rFonts w:cs="Arial"/>
          <w:i/>
          <w:szCs w:val="20"/>
          <w:lang w:val="es-CO"/>
        </w:rPr>
        <w:t xml:space="preserve">j </w:t>
      </w:r>
      <w:r w:rsidRPr="004E6CFC">
        <w:rPr>
          <w:rFonts w:cs="Arial"/>
          <w:szCs w:val="20"/>
          <w:lang w:val="es-CO"/>
        </w:rPr>
        <w:t xml:space="preserve">en el año </w:t>
      </w:r>
      <w:r w:rsidRPr="004E6CFC">
        <w:rPr>
          <w:rFonts w:cs="Arial"/>
          <w:i/>
          <w:szCs w:val="20"/>
          <w:lang w:val="es-CO"/>
        </w:rPr>
        <w:t>t</w:t>
      </w:r>
      <w:r w:rsidRPr="004E6CFC">
        <w:rPr>
          <w:rFonts w:cs="Arial"/>
          <w:szCs w:val="20"/>
          <w:lang w:val="es-CO"/>
        </w:rPr>
        <w:t xml:space="preserve"> calculadas según lo establecido en los numerales </w:t>
      </w:r>
      <w:r w:rsidRPr="004E6CFC">
        <w:rPr>
          <w:rFonts w:cs="Arial"/>
          <w:szCs w:val="20"/>
          <w:lang w:val="es-CO"/>
        </w:rPr>
        <w:fldChar w:fldCharType="begin"/>
      </w:r>
      <w:r w:rsidRPr="004E6CFC">
        <w:rPr>
          <w:rFonts w:cs="Arial"/>
          <w:szCs w:val="20"/>
          <w:lang w:val="es-CO"/>
        </w:rPr>
        <w:instrText xml:space="preserve"> REF _Ref476810803 \r \h  \* MERGEFORMAT </w:instrText>
      </w:r>
      <w:r w:rsidRPr="004E6CFC">
        <w:rPr>
          <w:rFonts w:cs="Arial"/>
          <w:szCs w:val="20"/>
          <w:lang w:val="es-CO"/>
        </w:rPr>
      </w:r>
      <w:r w:rsidRPr="004E6CFC">
        <w:rPr>
          <w:rFonts w:cs="Arial"/>
          <w:szCs w:val="20"/>
          <w:lang w:val="es-CO"/>
        </w:rPr>
        <w:fldChar w:fldCharType="separate"/>
      </w:r>
      <w:r w:rsidR="00737178">
        <w:rPr>
          <w:rFonts w:cs="Arial"/>
          <w:szCs w:val="20"/>
          <w:lang w:val="es-CO"/>
        </w:rPr>
        <w:t>7.1.2</w:t>
      </w:r>
      <w:r w:rsidRPr="004E6CFC">
        <w:rPr>
          <w:rFonts w:cs="Arial"/>
          <w:szCs w:val="20"/>
          <w:lang w:val="es-CO"/>
        </w:rPr>
        <w:fldChar w:fldCharType="end"/>
      </w:r>
      <w:r w:rsidRPr="004E6CFC">
        <w:rPr>
          <w:rFonts w:cs="Arial"/>
          <w:szCs w:val="20"/>
          <w:lang w:val="es-CO"/>
        </w:rPr>
        <w:t xml:space="preserve"> y </w:t>
      </w:r>
      <w:r w:rsidRPr="004E6CFC">
        <w:rPr>
          <w:rFonts w:cs="Arial"/>
          <w:szCs w:val="20"/>
          <w:lang w:val="es-CO"/>
        </w:rPr>
        <w:fldChar w:fldCharType="begin"/>
      </w:r>
      <w:r w:rsidRPr="004E6CFC">
        <w:rPr>
          <w:rFonts w:cs="Arial"/>
          <w:szCs w:val="20"/>
          <w:lang w:val="es-CO"/>
        </w:rPr>
        <w:instrText xml:space="preserve"> REF _Ref476810808 \r \h  \* MERGEFORMAT </w:instrText>
      </w:r>
      <w:r w:rsidRPr="004E6CFC">
        <w:rPr>
          <w:rFonts w:cs="Arial"/>
          <w:szCs w:val="20"/>
          <w:lang w:val="es-CO"/>
        </w:rPr>
      </w:r>
      <w:r w:rsidRPr="004E6CFC">
        <w:rPr>
          <w:rFonts w:cs="Arial"/>
          <w:szCs w:val="20"/>
          <w:lang w:val="es-CO"/>
        </w:rPr>
        <w:fldChar w:fldCharType="separate"/>
      </w:r>
      <w:r w:rsidR="00737178">
        <w:rPr>
          <w:rFonts w:cs="Arial"/>
          <w:szCs w:val="20"/>
          <w:lang w:val="es-CO"/>
        </w:rPr>
        <w:t>7.1.3</w:t>
      </w:r>
      <w:r w:rsidRPr="004E6CFC">
        <w:rPr>
          <w:rFonts w:cs="Arial"/>
          <w:szCs w:val="20"/>
          <w:lang w:val="es-CO"/>
        </w:rPr>
        <w:fldChar w:fldCharType="end"/>
      </w:r>
      <w:r w:rsidRPr="004E6CFC">
        <w:rPr>
          <w:rFonts w:cs="Arial"/>
          <w:szCs w:val="20"/>
          <w:lang w:val="es-CO"/>
        </w:rPr>
        <w:t>.</w:t>
      </w:r>
    </w:p>
    <w:p w:rsidR="00285A2D" w:rsidRPr="004E6CFC" w:rsidRDefault="00285A2D" w:rsidP="00285A2D">
      <w:pPr>
        <w:ind w:left="1418" w:hanging="1418"/>
        <w:rPr>
          <w:rFonts w:cs="Arial"/>
          <w:szCs w:val="20"/>
          <w:lang w:val="es-CO"/>
        </w:rPr>
      </w:pPr>
      <w:r w:rsidRPr="004E6CFC">
        <w:rPr>
          <w:rFonts w:cs="Arial"/>
          <w:i/>
          <w:szCs w:val="20"/>
          <w:lang w:val="es-CO"/>
        </w:rPr>
        <w:t>PR</w:t>
      </w:r>
      <w:r w:rsidRPr="004E6CFC">
        <w:rPr>
          <w:rFonts w:cs="Arial"/>
          <w:i/>
          <w:szCs w:val="20"/>
          <w:vertAlign w:val="subscript"/>
          <w:lang w:val="es-CO"/>
        </w:rPr>
        <w:t>3,j,t</w:t>
      </w:r>
      <w:r w:rsidRPr="004E6CFC">
        <w:rPr>
          <w:rFonts w:cs="Arial"/>
          <w:szCs w:val="20"/>
          <w:lang w:val="es-CO"/>
        </w:rPr>
        <w:t>:</w:t>
      </w:r>
      <w:r w:rsidRPr="004E6CFC">
        <w:rPr>
          <w:rFonts w:cs="Arial"/>
          <w:szCs w:val="20"/>
          <w:lang w:val="es-CO"/>
        </w:rPr>
        <w:tab/>
        <w:t xml:space="preserve">Factor para referir las medidas de energía del nivel de tensión 3 del OR </w:t>
      </w:r>
      <w:r w:rsidRPr="004E6CFC">
        <w:rPr>
          <w:rFonts w:cs="Arial"/>
          <w:i/>
          <w:szCs w:val="20"/>
          <w:lang w:val="es-CO"/>
        </w:rPr>
        <w:t>j</w:t>
      </w:r>
      <w:r w:rsidRPr="004E6CFC">
        <w:rPr>
          <w:rFonts w:cs="Arial"/>
          <w:szCs w:val="20"/>
          <w:lang w:val="es-CO"/>
        </w:rPr>
        <w:t xml:space="preserve"> al STN en el año </w:t>
      </w:r>
      <w:r w:rsidRPr="004E6CFC">
        <w:rPr>
          <w:rFonts w:cs="Arial"/>
          <w:i/>
          <w:szCs w:val="20"/>
          <w:lang w:val="es-CO"/>
        </w:rPr>
        <w:t>t</w:t>
      </w:r>
      <w:r w:rsidRPr="004E6CFC">
        <w:rPr>
          <w:rFonts w:cs="Arial"/>
          <w:szCs w:val="20"/>
          <w:lang w:val="es-CO"/>
        </w:rPr>
        <w:t>.</w:t>
      </w:r>
    </w:p>
    <w:p w:rsidR="00285A2D" w:rsidRPr="004E6CFC" w:rsidRDefault="00285A2D" w:rsidP="00285A2D">
      <w:pPr>
        <w:ind w:left="1418" w:hanging="1418"/>
        <w:rPr>
          <w:rFonts w:cs="Arial"/>
          <w:szCs w:val="20"/>
          <w:lang w:val="es-CO"/>
        </w:rPr>
      </w:pPr>
      <w:r w:rsidRPr="004E6CFC">
        <w:rPr>
          <w:rFonts w:cs="Arial"/>
          <w:i/>
          <w:szCs w:val="20"/>
          <w:lang w:val="es-CO"/>
        </w:rPr>
        <w:t>PR</w:t>
      </w:r>
      <w:r w:rsidRPr="004E6CFC">
        <w:rPr>
          <w:rFonts w:cs="Arial"/>
          <w:i/>
          <w:szCs w:val="20"/>
          <w:vertAlign w:val="subscript"/>
          <w:lang w:val="es-CO"/>
        </w:rPr>
        <w:t>2,j,t</w:t>
      </w:r>
      <w:r w:rsidRPr="004E6CFC">
        <w:rPr>
          <w:rFonts w:cs="Arial"/>
          <w:szCs w:val="20"/>
          <w:lang w:val="es-CO"/>
        </w:rPr>
        <w:t>:</w:t>
      </w:r>
      <w:r w:rsidRPr="004E6CFC">
        <w:rPr>
          <w:rFonts w:cs="Arial"/>
          <w:szCs w:val="20"/>
          <w:lang w:val="es-CO"/>
        </w:rPr>
        <w:tab/>
        <w:t xml:space="preserve">Factor para referir las medidas de energía del nivel de tensión 2 del OR </w:t>
      </w:r>
      <w:r w:rsidRPr="004E6CFC">
        <w:rPr>
          <w:rFonts w:cs="Arial"/>
          <w:i/>
          <w:szCs w:val="20"/>
          <w:lang w:val="es-CO"/>
        </w:rPr>
        <w:t>j</w:t>
      </w:r>
      <w:r w:rsidRPr="004E6CFC">
        <w:rPr>
          <w:rFonts w:cs="Arial"/>
          <w:szCs w:val="20"/>
          <w:lang w:val="es-CO"/>
        </w:rPr>
        <w:t xml:space="preserve"> al STN en el año </w:t>
      </w:r>
      <w:r w:rsidRPr="004E6CFC">
        <w:rPr>
          <w:rFonts w:cs="Arial"/>
          <w:i/>
          <w:szCs w:val="20"/>
          <w:lang w:val="es-CO"/>
        </w:rPr>
        <w:t>t</w:t>
      </w:r>
      <w:r w:rsidRPr="004E6CFC">
        <w:rPr>
          <w:rFonts w:cs="Arial"/>
          <w:szCs w:val="20"/>
          <w:lang w:val="es-CO"/>
        </w:rPr>
        <w:t>.</w:t>
      </w:r>
    </w:p>
    <w:p w:rsidR="00285A2D" w:rsidRDefault="00285A2D" w:rsidP="00285A2D">
      <w:pPr>
        <w:ind w:left="1418" w:hanging="1418"/>
        <w:rPr>
          <w:rFonts w:cs="Arial"/>
          <w:szCs w:val="20"/>
          <w:lang w:val="es-CO"/>
        </w:rPr>
      </w:pPr>
      <w:r w:rsidRPr="004E6CFC">
        <w:rPr>
          <w:rFonts w:cs="Arial"/>
          <w:i/>
          <w:szCs w:val="20"/>
          <w:lang w:val="es-CO"/>
        </w:rPr>
        <w:t>Fe</w:t>
      </w:r>
      <w:r w:rsidRPr="004E6CFC">
        <w:rPr>
          <w:rFonts w:cs="Arial"/>
          <w:i/>
          <w:szCs w:val="20"/>
          <w:vertAlign w:val="subscript"/>
          <w:lang w:val="es-CO"/>
        </w:rPr>
        <w:t>j,n-1</w:t>
      </w:r>
      <w:r w:rsidRPr="004E6CFC">
        <w:rPr>
          <w:rFonts w:cs="Arial"/>
          <w:szCs w:val="20"/>
          <w:lang w:val="es-CO"/>
        </w:rPr>
        <w:t>:</w:t>
      </w:r>
      <w:r w:rsidRPr="004E6CFC">
        <w:rPr>
          <w:rFonts w:cs="Arial"/>
          <w:szCs w:val="20"/>
          <w:lang w:val="es-CO"/>
        </w:rPr>
        <w:tab/>
        <w:t xml:space="preserve">Flujo de energía anual entre el nivel de tensión </w:t>
      </w:r>
      <w:r w:rsidRPr="004E6CFC">
        <w:rPr>
          <w:rFonts w:cs="Arial"/>
          <w:i/>
          <w:szCs w:val="20"/>
          <w:lang w:val="es-CO"/>
        </w:rPr>
        <w:t>n</w:t>
      </w:r>
      <w:r w:rsidRPr="004E6CFC">
        <w:rPr>
          <w:rFonts w:cs="Arial"/>
          <w:szCs w:val="20"/>
          <w:lang w:val="es-CO"/>
        </w:rPr>
        <w:t xml:space="preserve">, </w:t>
      </w:r>
      <w:r w:rsidRPr="004E6CFC">
        <w:rPr>
          <w:rFonts w:cs="Arial"/>
          <w:i/>
          <w:szCs w:val="20"/>
          <w:lang w:val="es-CO"/>
        </w:rPr>
        <w:t>n</w:t>
      </w:r>
      <w:r w:rsidRPr="004E6CFC">
        <w:rPr>
          <w:rFonts w:cs="Arial"/>
          <w:szCs w:val="20"/>
          <w:lang w:val="es-CO"/>
        </w:rPr>
        <w:t xml:space="preserve"> es 3 o 2, y el nivel de tensión 1 del OR </w:t>
      </w:r>
      <w:r w:rsidRPr="004E6CFC">
        <w:rPr>
          <w:rFonts w:cs="Arial"/>
          <w:i/>
          <w:szCs w:val="20"/>
          <w:lang w:val="es-CO"/>
        </w:rPr>
        <w:t>j</w:t>
      </w:r>
      <w:r w:rsidRPr="004E6CFC">
        <w:rPr>
          <w:rFonts w:cs="Arial"/>
          <w:szCs w:val="20"/>
          <w:lang w:val="es-CO"/>
        </w:rPr>
        <w:t xml:space="preserve"> (MWh-año).</w:t>
      </w:r>
    </w:p>
    <w:p w:rsidR="00285A2D" w:rsidRPr="004E6CFC" w:rsidRDefault="00285A2D" w:rsidP="00285A2D">
      <w:pPr>
        <w:ind w:left="1418" w:hanging="1418"/>
        <w:rPr>
          <w:rFonts w:cs="Arial"/>
          <w:szCs w:val="20"/>
          <w:lang w:val="es-CO"/>
        </w:rPr>
      </w:pPr>
      <w:r w:rsidRPr="004E6CFC">
        <w:rPr>
          <w:rFonts w:cs="Arial"/>
          <w:i/>
        </w:rPr>
        <w:t>Fe</w:t>
      </w:r>
      <w:r w:rsidRPr="004E6CFC">
        <w:rPr>
          <w:rFonts w:cs="Arial"/>
          <w:i/>
          <w:vertAlign w:val="subscript"/>
        </w:rPr>
        <w:t>j,</w:t>
      </w:r>
      <w:r>
        <w:rPr>
          <w:rFonts w:cs="Arial"/>
          <w:i/>
          <w:vertAlign w:val="subscript"/>
        </w:rPr>
        <w:t>1</w:t>
      </w:r>
      <w:r w:rsidRPr="004E6CFC">
        <w:rPr>
          <w:rFonts w:cs="Arial"/>
          <w:i/>
        </w:rPr>
        <w:t xml:space="preserve">:     </w:t>
      </w:r>
      <w:r w:rsidRPr="004E6CFC">
        <w:rPr>
          <w:rFonts w:cs="Arial"/>
          <w:i/>
        </w:rPr>
        <w:tab/>
      </w:r>
      <w:r w:rsidRPr="004E6CFC">
        <w:rPr>
          <w:rFonts w:cs="Arial"/>
          <w:szCs w:val="20"/>
          <w:lang w:val="es-CO"/>
        </w:rPr>
        <w:t xml:space="preserve">Flujo de energía anual desde otros niveles de tensión al nivel de tensión </w:t>
      </w:r>
      <w:r>
        <w:rPr>
          <w:rFonts w:cs="Arial"/>
          <w:szCs w:val="20"/>
          <w:lang w:val="es-CO"/>
        </w:rPr>
        <w:t>1</w:t>
      </w:r>
      <w:r w:rsidRPr="004E6CFC">
        <w:rPr>
          <w:rFonts w:cs="Arial"/>
          <w:szCs w:val="20"/>
          <w:lang w:val="es-CO"/>
        </w:rPr>
        <w:t xml:space="preserve"> del OR </w:t>
      </w:r>
      <w:r w:rsidRPr="004E6CFC">
        <w:rPr>
          <w:rFonts w:cs="Arial"/>
          <w:i/>
          <w:szCs w:val="20"/>
          <w:lang w:val="es-CO"/>
        </w:rPr>
        <w:t>j</w:t>
      </w:r>
      <w:r w:rsidRPr="004E6CFC">
        <w:rPr>
          <w:rFonts w:cs="Arial"/>
          <w:szCs w:val="20"/>
          <w:lang w:val="es-CO"/>
        </w:rPr>
        <w:t xml:space="preserve"> (MWh-año).</w:t>
      </w:r>
    </w:p>
    <w:p w:rsidR="00285A2D" w:rsidRPr="004E6CFC" w:rsidRDefault="00285A2D" w:rsidP="00285A2D">
      <w:pPr>
        <w:pStyle w:val="Ttulo3"/>
      </w:pPr>
      <w:bookmarkStart w:id="813" w:name="_Toc466009910"/>
      <w:bookmarkStart w:id="814" w:name="_Toc476824937"/>
      <w:bookmarkStart w:id="815" w:name="_Toc505335988"/>
      <w:r w:rsidRPr="004E6CFC">
        <w:t>Pérdidas de transformadores de conexión al STN:</w:t>
      </w:r>
      <w:bookmarkEnd w:id="813"/>
      <w:bookmarkEnd w:id="814"/>
      <w:bookmarkEnd w:id="815"/>
    </w:p>
    <w:p w:rsidR="00285A2D" w:rsidRPr="004E6CFC" w:rsidRDefault="00285A2D" w:rsidP="00285A2D">
      <w:pPr>
        <w:rPr>
          <w:rFonts w:cs="Arial"/>
          <w:szCs w:val="20"/>
          <w:lang w:val="es-CO"/>
        </w:rPr>
      </w:pPr>
      <w:r w:rsidRPr="004E6CFC">
        <w:rPr>
          <w:rFonts w:cs="Arial"/>
        </w:rPr>
        <w:t>Las pérdidas de transformación para referir las medidas de usuarios que se consideran conectados directamente al STN, independientemente del nivel de tensión de baja tensión del transformador de conexión al STN donde se encuentre su medida, son iguales a 0,23 %.</w:t>
      </w:r>
    </w:p>
    <w:p w:rsidR="00285A2D" w:rsidRPr="004E6CFC" w:rsidRDefault="00285A2D" w:rsidP="00285A2D">
      <w:pPr>
        <w:pStyle w:val="Ttulo2"/>
        <w:rPr>
          <w:lang w:val="es-CO"/>
        </w:rPr>
      </w:pPr>
      <w:bookmarkStart w:id="816" w:name="_Ref403659426"/>
      <w:bookmarkStart w:id="817" w:name="_Toc406406213"/>
      <w:bookmarkStart w:id="818" w:name="_Toc408493208"/>
      <w:bookmarkStart w:id="819" w:name="_Toc443655741"/>
      <w:bookmarkStart w:id="820" w:name="_Toc445214131"/>
      <w:bookmarkStart w:id="821" w:name="_Toc466009911"/>
      <w:bookmarkStart w:id="822" w:name="_Toc476824938"/>
      <w:bookmarkStart w:id="823" w:name="_Toc505335989"/>
      <w:r w:rsidRPr="004E6CFC">
        <w:t>gestión de pérdidas</w:t>
      </w:r>
      <w:bookmarkEnd w:id="816"/>
      <w:bookmarkEnd w:id="817"/>
      <w:bookmarkEnd w:id="818"/>
      <w:bookmarkEnd w:id="819"/>
      <w:bookmarkEnd w:id="820"/>
      <w:bookmarkEnd w:id="821"/>
      <w:bookmarkEnd w:id="822"/>
      <w:bookmarkEnd w:id="823"/>
    </w:p>
    <w:p w:rsidR="00285A2D" w:rsidRPr="004E6CFC" w:rsidRDefault="00285A2D" w:rsidP="00285A2D">
      <w:pPr>
        <w:rPr>
          <w:rFonts w:cs="Arial"/>
          <w:szCs w:val="20"/>
          <w:lang w:val="es-CO"/>
        </w:rPr>
      </w:pPr>
      <w:r w:rsidRPr="004E6CFC">
        <w:rPr>
          <w:rFonts w:cs="Arial"/>
          <w:szCs w:val="20"/>
          <w:lang w:val="es-CO"/>
        </w:rPr>
        <w:t>En esta sección se encuentra lo relativo a los planes de reducción y de mantenimiento de pérdidas.</w:t>
      </w:r>
    </w:p>
    <w:p w:rsidR="00285A2D" w:rsidRPr="004E6CFC" w:rsidRDefault="00285A2D" w:rsidP="00285A2D">
      <w:pPr>
        <w:rPr>
          <w:rFonts w:cs="Arial"/>
          <w:szCs w:val="20"/>
          <w:lang w:val="es-CO"/>
        </w:rPr>
      </w:pPr>
      <w:r w:rsidRPr="004E6CFC">
        <w:rPr>
          <w:rFonts w:cs="Arial"/>
          <w:szCs w:val="20"/>
          <w:lang w:val="es-CO"/>
        </w:rPr>
        <w:t>La metodología para la aprobación de los planes de gestión de pérdidas tiene en cuenta los siguientes criterios:</w:t>
      </w:r>
    </w:p>
    <w:p w:rsidR="00285A2D" w:rsidRPr="004E6CFC" w:rsidRDefault="00285A2D" w:rsidP="00285A2D">
      <w:pPr>
        <w:pStyle w:val="Prrafodelista"/>
        <w:numPr>
          <w:ilvl w:val="0"/>
          <w:numId w:val="7"/>
        </w:numPr>
      </w:pPr>
      <w:r w:rsidRPr="004E6CFC">
        <w:t>La presentación de plan de reducción es opcional.</w:t>
      </w:r>
    </w:p>
    <w:p w:rsidR="00285A2D" w:rsidRPr="004E6CFC" w:rsidRDefault="00285A2D" w:rsidP="00285A2D">
      <w:pPr>
        <w:pStyle w:val="Prrafodelista"/>
        <w:numPr>
          <w:ilvl w:val="0"/>
          <w:numId w:val="7"/>
        </w:numPr>
        <w:spacing w:before="120" w:after="0"/>
        <w:rPr>
          <w:rFonts w:cs="Arial"/>
        </w:rPr>
      </w:pPr>
      <w:r w:rsidRPr="004E6CFC">
        <w:rPr>
          <w:rFonts w:cs="Arial"/>
        </w:rPr>
        <w:t xml:space="preserve">Los costos eficientes del plan están constituidos por las inversiones y por los costos y gastos aprobados al OR para tal fin. </w:t>
      </w:r>
    </w:p>
    <w:p w:rsidR="00285A2D" w:rsidRPr="004E6CFC" w:rsidRDefault="00285A2D" w:rsidP="00285A2D">
      <w:pPr>
        <w:pStyle w:val="Prrafodelista"/>
        <w:numPr>
          <w:ilvl w:val="0"/>
          <w:numId w:val="7"/>
        </w:numPr>
        <w:spacing w:before="120" w:after="0"/>
        <w:rPr>
          <w:rFonts w:cs="Arial"/>
        </w:rPr>
      </w:pPr>
      <w:r w:rsidRPr="004E6CFC">
        <w:rPr>
          <w:rFonts w:cs="Arial"/>
        </w:rPr>
        <w:t xml:space="preserve">La remuneración de los planes de reducción de pérdidas será aplicable únicamente en los mercados de comercialización que presenten pérdidas de energía eléctrica superiores a las pérdidas reconocidas en el nivel de tensión 1 </w:t>
      </w:r>
      <w:r w:rsidRPr="004E6CFC">
        <w:rPr>
          <w:rFonts w:cs="Arial"/>
        </w:rPr>
        <w:lastRenderedPageBreak/>
        <w:t>a la fecha de corte. La parte de esta remuneración asociada con aspectos distintos al AOM de pérdidas tendrá una duración de cinco años.</w:t>
      </w:r>
    </w:p>
    <w:p w:rsidR="00285A2D" w:rsidRPr="004E6CFC" w:rsidRDefault="00285A2D" w:rsidP="00285A2D">
      <w:pPr>
        <w:pStyle w:val="Prrafodelista"/>
        <w:numPr>
          <w:ilvl w:val="0"/>
          <w:numId w:val="7"/>
        </w:numPr>
        <w:spacing w:before="120" w:after="0"/>
        <w:rPr>
          <w:rFonts w:cs="Arial"/>
        </w:rPr>
      </w:pPr>
      <w:r w:rsidRPr="004E6CFC">
        <w:rPr>
          <w:rFonts w:cs="Arial"/>
        </w:rPr>
        <w:t>La remuneración de los planes de reducción de pérdidas está sujeta al cumplimiento de las metas aprobadas a cada OR en resolución particular.  El incumplimiento de las metas será causal de devolución, a los usuarios del mercado de comercialización respectivo, de los recursos recibidos para inversión mediante el CPROG.</w:t>
      </w:r>
    </w:p>
    <w:p w:rsidR="00285A2D" w:rsidRPr="004E6CFC" w:rsidRDefault="00285A2D" w:rsidP="00285A2D">
      <w:pPr>
        <w:pStyle w:val="Prrafodelista"/>
        <w:numPr>
          <w:ilvl w:val="0"/>
          <w:numId w:val="7"/>
        </w:numPr>
      </w:pPr>
      <w:r w:rsidRPr="004E6CFC">
        <w:t>La remuneración de los planes de reducción y mantenimiento de pérdidas de energía se efectuará a través de la variable CPROG incluida en el costo unitario de prestación del servicio en el caso de los usuarios regulados y que se debe incorporar como parte de los costos del servicio para los usuarios no regulados.</w:t>
      </w:r>
    </w:p>
    <w:p w:rsidR="00285A2D" w:rsidRPr="004E6CFC" w:rsidRDefault="00285A2D" w:rsidP="00285A2D">
      <w:pPr>
        <w:pStyle w:val="Prrafodelista"/>
        <w:numPr>
          <w:ilvl w:val="0"/>
          <w:numId w:val="7"/>
        </w:numPr>
      </w:pPr>
      <w:r w:rsidRPr="004E6CFC">
        <w:t xml:space="preserve">Para efectos de la revisión del plan de gestión de pérdidas, el período de evaluación es anual. En todo caso, el LAC calculará y publicará </w:t>
      </w:r>
      <w:r>
        <w:t>anu</w:t>
      </w:r>
      <w:r w:rsidRPr="004E6CFC">
        <w:t>almente los índices de pérdidas</w:t>
      </w:r>
      <w:r>
        <w:t xml:space="preserve">, </w:t>
      </w:r>
      <w:r w:rsidRPr="004E4903">
        <w:rPr>
          <w:i/>
        </w:rPr>
        <w:t>IPT</w:t>
      </w:r>
      <w:r w:rsidRPr="004E4903">
        <w:rPr>
          <w:i/>
          <w:vertAlign w:val="subscript"/>
        </w:rPr>
        <w:t>j,t</w:t>
      </w:r>
      <w:r>
        <w:t xml:space="preserve"> de que trata el numeral </w:t>
      </w:r>
      <w:r>
        <w:fldChar w:fldCharType="begin"/>
      </w:r>
      <w:r>
        <w:instrText xml:space="preserve"> REF _Ref476780799 \r \h </w:instrText>
      </w:r>
      <w:r>
        <w:fldChar w:fldCharType="separate"/>
      </w:r>
      <w:r w:rsidR="00737178">
        <w:t>7.1.4.1</w:t>
      </w:r>
      <w:r>
        <w:fldChar w:fldCharType="end"/>
      </w:r>
      <w:r>
        <w:t>.</w:t>
      </w:r>
    </w:p>
    <w:p w:rsidR="00285A2D" w:rsidRDefault="00285A2D" w:rsidP="00285A2D">
      <w:pPr>
        <w:pStyle w:val="Prrafodelista"/>
        <w:numPr>
          <w:ilvl w:val="0"/>
          <w:numId w:val="7"/>
        </w:numPr>
      </w:pPr>
      <w:r w:rsidRPr="004E6CFC">
        <w:rPr>
          <w:rFonts w:cs="Arial"/>
        </w:rPr>
        <w:t xml:space="preserve">La remuneración de costos de mantenimiento de pérdidas de energía aplica para todos los OR y se remunerará mediante la variable CPROG, </w:t>
      </w:r>
      <w:r w:rsidRPr="004E6CFC">
        <w:t>no se encuentra sujeta al cumplimiento de ninguna otra condición y se efectuará en la vigencia de la presente metodología, independientemente de la vigencia de los planes de reducción.</w:t>
      </w:r>
    </w:p>
    <w:p w:rsidR="00285A2D" w:rsidRDefault="00285A2D" w:rsidP="00285A2D">
      <w:pPr>
        <w:pStyle w:val="Prrafodelista"/>
        <w:numPr>
          <w:ilvl w:val="0"/>
          <w:numId w:val="7"/>
        </w:numPr>
      </w:pPr>
      <w:r w:rsidRPr="00874331">
        <w:t xml:space="preserve">Cuando se modifiquen los parámetros de medición en las zonas especiales con los cuales fueron calculadas las pérdidas de que trata el numeral </w:t>
      </w:r>
      <w:r w:rsidR="004842F4">
        <w:fldChar w:fldCharType="begin"/>
      </w:r>
      <w:r w:rsidR="004842F4">
        <w:instrText xml:space="preserve"> REF _Ref476780492 \r \h </w:instrText>
      </w:r>
      <w:r w:rsidR="004842F4">
        <w:fldChar w:fldCharType="separate"/>
      </w:r>
      <w:r w:rsidR="00737178">
        <w:t>7.1.4.2</w:t>
      </w:r>
      <w:r w:rsidR="004842F4">
        <w:fldChar w:fldCharType="end"/>
      </w:r>
      <w:r w:rsidRPr="00874331">
        <w:t xml:space="preserve"> inicialmente; se deber</w:t>
      </w:r>
      <w:r>
        <w:t>á</w:t>
      </w:r>
      <w:r w:rsidRPr="00874331">
        <w:t xml:space="preserve"> recalcular </w:t>
      </w:r>
      <w:r>
        <w:t>la senda de reducción de pérdidas de energía, sin que se puedan superar los valores inicialmente aprobados.</w:t>
      </w:r>
    </w:p>
    <w:p w:rsidR="00285A2D" w:rsidRPr="004E6CFC" w:rsidRDefault="00285A2D" w:rsidP="00285A2D">
      <w:pPr>
        <w:pStyle w:val="Ttulo3"/>
        <w:ind w:left="709"/>
      </w:pPr>
      <w:bookmarkStart w:id="824" w:name="_Ref402520523"/>
      <w:bookmarkStart w:id="825" w:name="_Toc406406214"/>
      <w:bookmarkStart w:id="826" w:name="_Toc408493209"/>
      <w:bookmarkStart w:id="827" w:name="_Toc443655742"/>
      <w:bookmarkStart w:id="828" w:name="_Toc445214132"/>
      <w:bookmarkStart w:id="829" w:name="_Toc466009912"/>
      <w:bookmarkStart w:id="830" w:name="_Toc476824939"/>
      <w:bookmarkStart w:id="831" w:name="_Toc505335990"/>
      <w:bookmarkStart w:id="832" w:name="_Ref300655216"/>
      <w:bookmarkStart w:id="833" w:name="_Ref259687819"/>
      <w:r w:rsidRPr="004E6CFC">
        <w:t>Requisitos para la presentación del plan de reducción.</w:t>
      </w:r>
      <w:bookmarkEnd w:id="824"/>
      <w:bookmarkEnd w:id="825"/>
      <w:bookmarkEnd w:id="826"/>
      <w:bookmarkEnd w:id="827"/>
      <w:bookmarkEnd w:id="828"/>
      <w:bookmarkEnd w:id="829"/>
      <w:bookmarkEnd w:id="830"/>
      <w:bookmarkEnd w:id="831"/>
      <w:r w:rsidRPr="004E6CFC">
        <w:t xml:space="preserve">  </w:t>
      </w:r>
    </w:p>
    <w:p w:rsidR="00285A2D" w:rsidRPr="004E6CFC" w:rsidRDefault="00285A2D" w:rsidP="00285A2D">
      <w:r w:rsidRPr="004E6CFC">
        <w:t xml:space="preserve">El OR </w:t>
      </w:r>
      <w:r w:rsidRPr="004E6CFC">
        <w:rPr>
          <w:i/>
        </w:rPr>
        <w:t>j</w:t>
      </w:r>
      <w:r w:rsidRPr="004E6CFC">
        <w:t xml:space="preserve"> que atienda un mercado de comercialización que presente pérdidas de energía en el nivel de tensión 1, </w:t>
      </w:r>
      <w:r w:rsidRPr="004E6CFC">
        <w:rPr>
          <w:i/>
        </w:rPr>
        <w:t>PT</w:t>
      </w:r>
      <w:r w:rsidRPr="004E6CFC">
        <w:rPr>
          <w:i/>
          <w:vertAlign w:val="subscript"/>
        </w:rPr>
        <w:t>j,1,t</w:t>
      </w:r>
      <w:r w:rsidRPr="004E6CFC">
        <w:t xml:space="preserve"> calculadas según lo establecido en el numeral </w:t>
      </w:r>
      <w:r w:rsidRPr="004E6CFC">
        <w:fldChar w:fldCharType="begin"/>
      </w:r>
      <w:r w:rsidRPr="004E6CFC">
        <w:instrText xml:space="preserve"> REF _Ref476780492 \r \h  \* MERGEFORMAT </w:instrText>
      </w:r>
      <w:r w:rsidRPr="004E6CFC">
        <w:fldChar w:fldCharType="separate"/>
      </w:r>
      <w:r w:rsidR="00737178">
        <w:t>7.1.4.2</w:t>
      </w:r>
      <w:r w:rsidRPr="004E6CFC">
        <w:fldChar w:fldCharType="end"/>
      </w:r>
      <w:r w:rsidRPr="004E6CFC">
        <w:t xml:space="preserve"> del presente capítulo, a la fecha de corte, superiores a las pérdidas reconocidas en el mismo momento, podrá someter para aprobación de la CREG el plan que debe contener, como mínimo, </w:t>
      </w:r>
      <w:bookmarkEnd w:id="832"/>
      <w:bookmarkEnd w:id="833"/>
      <w:r w:rsidRPr="004E6CFC">
        <w:t>la siguiente información:</w:t>
      </w:r>
    </w:p>
    <w:p w:rsidR="00285A2D" w:rsidRPr="004E6CFC" w:rsidRDefault="00285A2D" w:rsidP="00285A2D">
      <w:pPr>
        <w:pStyle w:val="Prrafodelista"/>
        <w:numPr>
          <w:ilvl w:val="0"/>
          <w:numId w:val="8"/>
        </w:numPr>
        <w:spacing w:before="120" w:after="0"/>
      </w:pPr>
      <w:r w:rsidRPr="004E6CFC">
        <w:t xml:space="preserve">Resumen del plan: El cual debe incluir el cálculo de las variables </w:t>
      </w:r>
      <w:r w:rsidRPr="004E6CFC">
        <w:rPr>
          <w:i/>
        </w:rPr>
        <w:t>CPOR</w:t>
      </w:r>
      <w:r w:rsidRPr="004E6CFC">
        <w:rPr>
          <w:i/>
          <w:vertAlign w:val="subscript"/>
        </w:rPr>
        <w:t>j</w:t>
      </w:r>
      <w:r w:rsidRPr="004E6CFC">
        <w:rPr>
          <w:i/>
        </w:rPr>
        <w:t>, IPT</w:t>
      </w:r>
      <w:r w:rsidRPr="004E6CFC">
        <w:rPr>
          <w:i/>
          <w:vertAlign w:val="subscript"/>
        </w:rPr>
        <w:t>j,0</w:t>
      </w:r>
      <w:r w:rsidRPr="004E6CFC">
        <w:rPr>
          <w:i/>
        </w:rPr>
        <w:t>, PT</w:t>
      </w:r>
      <w:r w:rsidRPr="004E6CFC">
        <w:rPr>
          <w:i/>
          <w:vertAlign w:val="subscript"/>
        </w:rPr>
        <w:t>j,1,0</w:t>
      </w:r>
      <w:r w:rsidRPr="004E6CFC">
        <w:t xml:space="preserve"> </w:t>
      </w:r>
      <w:r w:rsidR="00D939A2" w:rsidRPr="004E6CFC">
        <w:t>y las</w:t>
      </w:r>
      <w:r w:rsidRPr="004E6CFC">
        <w:t xml:space="preserve"> metas para cada </w:t>
      </w:r>
      <w:r>
        <w:t>año</w:t>
      </w:r>
      <w:r w:rsidRPr="004E6CFC">
        <w:t xml:space="preserve">. </w:t>
      </w:r>
    </w:p>
    <w:p w:rsidR="00285A2D" w:rsidRPr="004E6CFC" w:rsidRDefault="00285A2D" w:rsidP="00285A2D">
      <w:pPr>
        <w:pStyle w:val="Prrafodelista"/>
        <w:numPr>
          <w:ilvl w:val="0"/>
          <w:numId w:val="8"/>
        </w:numPr>
        <w:spacing w:before="120" w:after="0"/>
      </w:pPr>
      <w:r w:rsidRPr="004E6CFC">
        <w:t>Bases de cálculo: El OR deberá entregar la totalidad de la información utilizada para el cálculo de cada una de las variables presentadas, en hojas de cálculo del programa Excel.</w:t>
      </w:r>
    </w:p>
    <w:p w:rsidR="00285A2D" w:rsidRPr="004E6CFC" w:rsidRDefault="00285A2D" w:rsidP="00285A2D">
      <w:pPr>
        <w:pStyle w:val="Prrafodelista"/>
        <w:numPr>
          <w:ilvl w:val="0"/>
          <w:numId w:val="8"/>
        </w:numPr>
        <w:spacing w:before="120" w:after="0"/>
      </w:pPr>
      <w:r w:rsidRPr="004E6CFC">
        <w:t xml:space="preserve">Balance de energía, de doce meses calendario que finalizan en la fecha de corte, según lo expuesto en los numerales </w:t>
      </w:r>
      <w:r w:rsidRPr="004E6CFC">
        <w:fldChar w:fldCharType="begin"/>
      </w:r>
      <w:r w:rsidRPr="004E6CFC">
        <w:instrText xml:space="preserve"> REF _Ref476780799 \r \h  \* MERGEFORMAT </w:instrText>
      </w:r>
      <w:r w:rsidRPr="004E6CFC">
        <w:fldChar w:fldCharType="separate"/>
      </w:r>
      <w:r w:rsidR="00737178">
        <w:t>7.1.4.1</w:t>
      </w:r>
      <w:r w:rsidRPr="004E6CFC">
        <w:fldChar w:fldCharType="end"/>
      </w:r>
      <w:r w:rsidRPr="004E6CFC">
        <w:t xml:space="preserve"> y </w:t>
      </w:r>
      <w:r w:rsidRPr="004E6CFC">
        <w:fldChar w:fldCharType="begin"/>
      </w:r>
      <w:r w:rsidRPr="004E6CFC">
        <w:instrText xml:space="preserve"> REF _Ref460823417 \r \h  \* MERGEFORMAT </w:instrText>
      </w:r>
      <w:r w:rsidRPr="004E6CFC">
        <w:fldChar w:fldCharType="separate"/>
      </w:r>
      <w:r w:rsidR="00737178">
        <w:t>7.3.7.1</w:t>
      </w:r>
      <w:r w:rsidRPr="004E6CFC">
        <w:fldChar w:fldCharType="end"/>
      </w:r>
      <w:r w:rsidRPr="004E6CFC">
        <w:t xml:space="preserve">, detallando el código SIC de cada frontera comercial en el mercado de comercialización del OR, señalando el tipo de frontera, el código SIC y el nivel de tensión asociado. </w:t>
      </w:r>
    </w:p>
    <w:p w:rsidR="00285A2D" w:rsidRPr="004E6CFC" w:rsidRDefault="00285A2D" w:rsidP="00285A2D">
      <w:pPr>
        <w:pStyle w:val="Prrafodelista"/>
        <w:numPr>
          <w:ilvl w:val="0"/>
          <w:numId w:val="8"/>
        </w:numPr>
        <w:spacing w:before="120" w:after="0"/>
      </w:pPr>
      <w:r w:rsidRPr="004E6CFC">
        <w:t>Listado de usuarios conectados directamente al STN en el mercado de comercialización del OR, indicando su ubicación y código SIC.</w:t>
      </w:r>
    </w:p>
    <w:p w:rsidR="00285A2D" w:rsidRPr="004E6CFC" w:rsidRDefault="00285A2D" w:rsidP="00285A2D">
      <w:pPr>
        <w:pStyle w:val="Prrafodelista"/>
        <w:numPr>
          <w:ilvl w:val="0"/>
          <w:numId w:val="8"/>
        </w:numPr>
        <w:spacing w:before="120" w:after="0"/>
      </w:pPr>
      <w:r w:rsidRPr="004E6CFC">
        <w:t xml:space="preserve">Certificación del representante legal, contador y revisor fiscal del </w:t>
      </w:r>
      <w:r w:rsidR="00D939A2" w:rsidRPr="004E6CFC">
        <w:t>OR detallando</w:t>
      </w:r>
      <w:r w:rsidRPr="004E6CFC">
        <w:t xml:space="preserve"> el código de las cuentas creadas en la contabilidad, que permitan el registro independiente de todas las actividades relacionadas con el plan.</w:t>
      </w:r>
    </w:p>
    <w:p w:rsidR="00285A2D" w:rsidRPr="004E6CFC" w:rsidRDefault="00285A2D" w:rsidP="00285A2D">
      <w:pPr>
        <w:pStyle w:val="Prrafodelista"/>
        <w:numPr>
          <w:ilvl w:val="0"/>
          <w:numId w:val="8"/>
        </w:numPr>
        <w:spacing w:before="120" w:after="0"/>
      </w:pPr>
      <w:r w:rsidRPr="004E6CFC">
        <w:lastRenderedPageBreak/>
        <w:t xml:space="preserve">Valores de inversión, en $/kWh, para los años </w:t>
      </w:r>
      <w:r w:rsidRPr="004E6CFC">
        <w:rPr>
          <w:i/>
        </w:rPr>
        <w:t>t</w:t>
      </w:r>
      <w:r w:rsidRPr="004E6CFC">
        <w:t xml:space="preserve"> y </w:t>
      </w:r>
      <w:r w:rsidRPr="004E6CFC">
        <w:rPr>
          <w:i/>
        </w:rPr>
        <w:t>t-1</w:t>
      </w:r>
      <w:r w:rsidRPr="004E6CFC">
        <w:t>.</w:t>
      </w:r>
    </w:p>
    <w:p w:rsidR="00285A2D" w:rsidRPr="004E6CFC" w:rsidRDefault="00A62992" w:rsidP="00285A2D">
      <w:pPr>
        <w:pStyle w:val="Ttulo4"/>
        <w:ind w:left="0" w:firstLine="0"/>
      </w:pPr>
      <w:bookmarkStart w:id="834" w:name="_Ref461095126"/>
      <w:r>
        <w:t xml:space="preserve"> </w:t>
      </w:r>
      <w:r w:rsidR="00285A2D" w:rsidRPr="004E6CFC">
        <w:t>Senda de reducción de pérdidas</w:t>
      </w:r>
      <w:bookmarkEnd w:id="834"/>
    </w:p>
    <w:p w:rsidR="00285A2D" w:rsidRPr="004E6CFC" w:rsidRDefault="00285A2D" w:rsidP="00285A2D">
      <w:pPr>
        <w:rPr>
          <w:lang w:val="es-CO"/>
        </w:rPr>
      </w:pPr>
      <w:r w:rsidRPr="004E6CFC">
        <w:rPr>
          <w:lang w:val="es-CO"/>
        </w:rPr>
        <w:t xml:space="preserve">Las metas de reducción de pérdidas de cada </w:t>
      </w:r>
      <w:r>
        <w:rPr>
          <w:lang w:val="es-CO"/>
        </w:rPr>
        <w:t>año</w:t>
      </w:r>
      <w:r w:rsidRPr="004E6CFC">
        <w:rPr>
          <w:lang w:val="es-CO"/>
        </w:rPr>
        <w:t xml:space="preserve"> deben cumplir con la siguiente condición: </w:t>
      </w:r>
    </w:p>
    <w:p w:rsidR="00285A2D" w:rsidRPr="004E6CFC" w:rsidRDefault="00C9592F" w:rsidP="00285A2D">
      <w:pPr>
        <w:jc w:val="center"/>
        <w:rPr>
          <w:i/>
          <w:lang w:val="es-CO"/>
        </w:rPr>
      </w:pPr>
      <m:oMathPara>
        <m:oMath>
          <m:sSub>
            <m:sSubPr>
              <m:ctrlPr>
                <w:rPr>
                  <w:rFonts w:ascii="Cambria Math" w:hAnsi="Cambria Math"/>
                  <w:i/>
                </w:rPr>
              </m:ctrlPr>
            </m:sSubPr>
            <m:e>
              <m:r>
                <w:rPr>
                  <w:rFonts w:ascii="Cambria Math" w:hAnsi="Cambria Math"/>
                  <w:lang w:val="es-CO"/>
                </w:rPr>
                <m:t>IPTS</m:t>
              </m:r>
            </m:e>
            <m:sub>
              <m:r>
                <w:rPr>
                  <w:rFonts w:ascii="Cambria Math" w:hAnsi="Cambria Math"/>
                  <w:vertAlign w:val="subscript"/>
                  <w:lang w:val="es-CO"/>
                </w:rPr>
                <m:t>j,t</m:t>
              </m:r>
            </m:sub>
          </m:sSub>
          <m:r>
            <w:rPr>
              <w:rFonts w:ascii="Cambria Math" w:hAnsi="Cambria Math"/>
              <w:lang w:val="es-CO"/>
            </w:rPr>
            <m:t>-</m:t>
          </m:r>
          <m:sSub>
            <m:sSubPr>
              <m:ctrlPr>
                <w:rPr>
                  <w:rFonts w:ascii="Cambria Math" w:hAnsi="Cambria Math"/>
                  <w:i/>
                </w:rPr>
              </m:ctrlPr>
            </m:sSubPr>
            <m:e>
              <m:r>
                <w:rPr>
                  <w:rFonts w:ascii="Cambria Math" w:hAnsi="Cambria Math"/>
                  <w:lang w:val="es-CO"/>
                </w:rPr>
                <m:t>IPTS</m:t>
              </m:r>
            </m:e>
            <m:sub>
              <m:r>
                <w:rPr>
                  <w:rFonts w:ascii="Cambria Math" w:hAnsi="Cambria Math"/>
                  <w:vertAlign w:val="subscript"/>
                  <w:lang w:val="es-CO"/>
                </w:rPr>
                <m:t>j,t+1</m:t>
              </m:r>
            </m:sub>
          </m:sSub>
          <m:r>
            <w:rPr>
              <w:rFonts w:ascii="Cambria Math" w:hAnsi="Cambria Math"/>
              <w:lang w:val="es-CO"/>
            </w:rPr>
            <m:t>&lt;0,4*</m:t>
          </m:r>
          <m:d>
            <m:dPr>
              <m:ctrlPr>
                <w:rPr>
                  <w:rFonts w:ascii="Cambria Math" w:hAnsi="Cambria Math"/>
                  <w:i/>
                </w:rPr>
              </m:ctrlPr>
            </m:dPr>
            <m:e>
              <m:sSub>
                <m:sSubPr>
                  <m:ctrlPr>
                    <w:rPr>
                      <w:rFonts w:ascii="Cambria Math" w:hAnsi="Cambria Math"/>
                      <w:i/>
                    </w:rPr>
                  </m:ctrlPr>
                </m:sSubPr>
                <m:e>
                  <m:r>
                    <w:rPr>
                      <w:rFonts w:ascii="Cambria Math" w:hAnsi="Cambria Math"/>
                      <w:lang w:val="es-CO"/>
                    </w:rPr>
                    <m:t>IPT</m:t>
                  </m:r>
                </m:e>
                <m:sub>
                  <m:r>
                    <w:rPr>
                      <w:rFonts w:ascii="Cambria Math" w:hAnsi="Cambria Math"/>
                      <w:vertAlign w:val="subscript"/>
                      <w:lang w:val="es-CO"/>
                    </w:rPr>
                    <m:t>j,0</m:t>
                  </m:r>
                </m:sub>
              </m:sSub>
              <m:r>
                <w:rPr>
                  <w:rFonts w:ascii="Cambria Math" w:hAnsi="Cambria Math"/>
                  <w:lang w:val="es-CO"/>
                </w:rPr>
                <m:t>-</m:t>
              </m:r>
              <m:sSub>
                <m:sSubPr>
                  <m:ctrlPr>
                    <w:rPr>
                      <w:rFonts w:ascii="Cambria Math" w:hAnsi="Cambria Math"/>
                      <w:i/>
                    </w:rPr>
                  </m:ctrlPr>
                </m:sSubPr>
                <m:e>
                  <m:r>
                    <w:rPr>
                      <w:rFonts w:ascii="Cambria Math" w:hAnsi="Cambria Math"/>
                      <w:lang w:val="es-CO"/>
                    </w:rPr>
                    <m:t>IPTS</m:t>
                  </m:r>
                </m:e>
                <m:sub>
                  <m:r>
                    <w:rPr>
                      <w:rFonts w:ascii="Cambria Math" w:hAnsi="Cambria Math"/>
                      <w:vertAlign w:val="subscript"/>
                      <w:lang w:val="es-CO"/>
                    </w:rPr>
                    <m:t>j,9</m:t>
                  </m:r>
                </m:sub>
              </m:sSub>
            </m:e>
          </m:d>
        </m:oMath>
      </m:oMathPara>
    </w:p>
    <w:p w:rsidR="00285A2D" w:rsidRPr="004E6CFC" w:rsidRDefault="00285A2D" w:rsidP="00285A2D">
      <w:pPr>
        <w:rPr>
          <w:lang w:val="es-CO"/>
        </w:rPr>
      </w:pPr>
      <w:r w:rsidRPr="004E6CFC">
        <w:rPr>
          <w:lang w:val="es-CO"/>
        </w:rPr>
        <w:t>Donde:</w:t>
      </w:r>
    </w:p>
    <w:p w:rsidR="00285A2D" w:rsidRPr="004E6CFC" w:rsidRDefault="00285A2D" w:rsidP="00285A2D">
      <w:pPr>
        <w:ind w:left="1416" w:hanging="1416"/>
        <w:rPr>
          <w:lang w:val="es-CO"/>
        </w:rPr>
      </w:pPr>
      <w:r w:rsidRPr="004E6CFC">
        <w:rPr>
          <w:i/>
          <w:lang w:val="es-CO"/>
        </w:rPr>
        <w:t>IPT</w:t>
      </w:r>
      <w:r w:rsidRPr="004E6CFC">
        <w:rPr>
          <w:i/>
          <w:vertAlign w:val="subscript"/>
          <w:lang w:val="es-CO"/>
        </w:rPr>
        <w:t>j,0</w:t>
      </w:r>
      <w:r w:rsidRPr="004E6CFC">
        <w:rPr>
          <w:lang w:val="es-CO"/>
        </w:rPr>
        <w:t xml:space="preserve">:  </w:t>
      </w:r>
      <w:r w:rsidRPr="004E6CFC">
        <w:rPr>
          <w:lang w:val="es-CO"/>
        </w:rPr>
        <w:tab/>
        <w:t xml:space="preserve">Índice de pérdidas totales del mercado atendido por el OR </w:t>
      </w:r>
      <w:r w:rsidRPr="004E6CFC">
        <w:rPr>
          <w:i/>
          <w:lang w:val="es-CO"/>
        </w:rPr>
        <w:t>j</w:t>
      </w:r>
      <w:r w:rsidRPr="004E6CFC">
        <w:rPr>
          <w:lang w:val="es-CO"/>
        </w:rPr>
        <w:t xml:space="preserve"> al inicio del plan.  </w:t>
      </w:r>
    </w:p>
    <w:p w:rsidR="00285A2D" w:rsidRPr="004E6CFC" w:rsidRDefault="00285A2D" w:rsidP="00285A2D">
      <w:pPr>
        <w:ind w:left="1416" w:hanging="1416"/>
        <w:rPr>
          <w:lang w:val="es-CO"/>
        </w:rPr>
      </w:pPr>
      <w:r w:rsidRPr="004E6CFC">
        <w:rPr>
          <w:i/>
          <w:lang w:val="es-CO"/>
        </w:rPr>
        <w:t>IPTS</w:t>
      </w:r>
      <w:r w:rsidRPr="004E6CFC">
        <w:rPr>
          <w:i/>
          <w:vertAlign w:val="subscript"/>
          <w:lang w:val="es-CO"/>
        </w:rPr>
        <w:t>j,t</w:t>
      </w:r>
      <w:r w:rsidRPr="004E6CFC">
        <w:rPr>
          <w:lang w:val="es-CO"/>
        </w:rPr>
        <w:t xml:space="preserve">:  </w:t>
      </w:r>
      <w:r w:rsidRPr="004E6CFC">
        <w:rPr>
          <w:lang w:val="es-CO"/>
        </w:rPr>
        <w:tab/>
        <w:t xml:space="preserve">Índice de pérdidas totales de la senda propuesto por el OR </w:t>
      </w:r>
      <w:r w:rsidRPr="004E6CFC">
        <w:rPr>
          <w:i/>
          <w:lang w:val="es-CO"/>
        </w:rPr>
        <w:t>j</w:t>
      </w:r>
      <w:r w:rsidRPr="004E6CFC">
        <w:rPr>
          <w:lang w:val="es-CO"/>
        </w:rPr>
        <w:t xml:space="preserve"> en el </w:t>
      </w:r>
      <w:r>
        <w:rPr>
          <w:lang w:val="es-CO"/>
        </w:rPr>
        <w:t>año</w:t>
      </w:r>
      <w:r w:rsidRPr="004E6CFC">
        <w:rPr>
          <w:lang w:val="es-CO"/>
        </w:rPr>
        <w:t xml:space="preserve"> </w:t>
      </w:r>
      <w:r w:rsidRPr="004E6CFC">
        <w:rPr>
          <w:i/>
          <w:lang w:val="es-CO"/>
        </w:rPr>
        <w:t>t</w:t>
      </w:r>
      <w:r w:rsidRPr="004E6CFC">
        <w:rPr>
          <w:lang w:val="es-CO"/>
        </w:rPr>
        <w:t xml:space="preserve">.  </w:t>
      </w:r>
    </w:p>
    <w:p w:rsidR="00285A2D" w:rsidRPr="004E6CFC" w:rsidRDefault="00285A2D" w:rsidP="00285A2D">
      <w:r w:rsidRPr="004E6CFC">
        <w:t xml:space="preserve">Para la ejecución de las actividades propias de la actividad de comercialización, tales como instalación de micromedidores, revisión de medidores y gestión comercial, entre otras, el OR deberá efectuarlas a través del comercializador que corresponda. </w:t>
      </w:r>
    </w:p>
    <w:p w:rsidR="00285A2D" w:rsidRPr="004E6CFC" w:rsidRDefault="00285A2D" w:rsidP="00285A2D">
      <w:pPr>
        <w:pStyle w:val="Ttulo3"/>
        <w:ind w:left="709"/>
      </w:pPr>
      <w:bookmarkStart w:id="835" w:name="_Toc406406215"/>
      <w:bookmarkStart w:id="836" w:name="_Toc408493210"/>
      <w:bookmarkStart w:id="837" w:name="_Toc443655743"/>
      <w:bookmarkStart w:id="838" w:name="_Toc445214133"/>
      <w:bookmarkStart w:id="839" w:name="_Ref460834646"/>
      <w:bookmarkStart w:id="840" w:name="_Ref460834944"/>
      <w:bookmarkStart w:id="841" w:name="_Toc466009913"/>
      <w:bookmarkStart w:id="842" w:name="_Toc476824940"/>
      <w:bookmarkStart w:id="843" w:name="_Toc505335991"/>
      <w:r w:rsidRPr="004E6CFC">
        <w:t>Cálculo del costo total del plan.</w:t>
      </w:r>
      <w:bookmarkEnd w:id="835"/>
      <w:bookmarkEnd w:id="836"/>
      <w:bookmarkEnd w:id="837"/>
      <w:bookmarkEnd w:id="838"/>
      <w:bookmarkEnd w:id="839"/>
      <w:bookmarkEnd w:id="840"/>
      <w:bookmarkEnd w:id="841"/>
      <w:bookmarkEnd w:id="842"/>
      <w:bookmarkEnd w:id="843"/>
    </w:p>
    <w:p w:rsidR="00285A2D" w:rsidRPr="004E6CFC" w:rsidRDefault="00285A2D" w:rsidP="00285A2D">
      <w:r w:rsidRPr="004E6CFC">
        <w:t>Se verificará que el costo total del plan presentado por el OR no supere el costo total de referencia, calculado con el modelo de estimación del costo eficiente a partir de la meta final de pérdidas de energía solicitada por el OR. El costo total del plan a aprobar será el menor entre el costo total presentado por el OR y el costo total de referencia.</w:t>
      </w:r>
    </w:p>
    <w:p w:rsidR="00285A2D" w:rsidRPr="004E6CFC" w:rsidRDefault="00285A2D" w:rsidP="00285A2D">
      <w:r w:rsidRPr="004E6CFC">
        <w:t xml:space="preserve">La CREG podrá aprobar un valor inferior al solicitado por el OR para la ejecución de su plan sin perjuicio de lo cual el OR que acepte la ejecución del mismo deberá cumplir con las metas de reducción de pérdidas para cada </w:t>
      </w:r>
      <w:r>
        <w:t>año</w:t>
      </w:r>
      <w:r w:rsidRPr="004E6CFC">
        <w:t xml:space="preserve">.  </w:t>
      </w:r>
    </w:p>
    <w:p w:rsidR="00285A2D" w:rsidRPr="004E6CFC" w:rsidRDefault="00285A2D" w:rsidP="00285A2D">
      <w:r w:rsidRPr="004E6CFC">
        <w:t>El costo del plan de reducción de pérdidas está compuesto por las inversiones asociadas con la reducción de pérdidas no técnicas y por los costos y gastos en que incurra el agente en la ejecución del plan, mientras que el plan de mantenimiento de pérdidas está compuesto únicamente por los costos y gastos en que incurra el agente en el desarrollo de esta actividad.</w:t>
      </w:r>
    </w:p>
    <w:p w:rsidR="00285A2D" w:rsidRPr="004E6CFC" w:rsidRDefault="00285A2D" w:rsidP="00285A2D">
      <w:r w:rsidRPr="004E6CFC">
        <w:t>El costo total del plan a aprobar a cada OR se determinará según la siguiente expresión:</w:t>
      </w:r>
    </w:p>
    <w:p w:rsidR="00285A2D" w:rsidRPr="004E6CFC" w:rsidRDefault="00C9592F" w:rsidP="00285A2D">
      <w:pPr>
        <w:jc w:val="center"/>
      </w:pPr>
      <m:oMathPara>
        <m:oMath>
          <m:sSub>
            <m:sSubPr>
              <m:ctrlPr>
                <w:rPr>
                  <w:rFonts w:ascii="Cambria Math" w:hAnsi="Cambria Math"/>
                  <w:i/>
                </w:rPr>
              </m:ctrlPr>
            </m:sSubPr>
            <m:e>
              <m:r>
                <w:rPr>
                  <w:rFonts w:ascii="Cambria Math" w:hAnsi="Cambria Math"/>
                </w:rPr>
                <m:t>CTP</m:t>
              </m:r>
            </m:e>
            <m:sub>
              <m:r>
                <w:rPr>
                  <w:rFonts w:ascii="Cambria Math" w:hAnsi="Cambria Math"/>
                </w:rPr>
                <m:t>j</m:t>
              </m:r>
            </m:sub>
          </m:sSub>
          <m:r>
            <w:rPr>
              <w:rFonts w:ascii="Cambria Math" w:hAnsi="Cambria Math"/>
            </w:rPr>
            <m:t>=mín</m:t>
          </m:r>
          <m:d>
            <m:dPr>
              <m:begChr m:val="{"/>
              <m:endChr m:val="}"/>
              <m:ctrlPr>
                <w:rPr>
                  <w:rFonts w:ascii="Cambria Math" w:hAnsi="Cambria Math"/>
                  <w:i/>
                </w:rPr>
              </m:ctrlPr>
            </m:dPr>
            <m:e>
              <m:r>
                <w:rPr>
                  <w:rFonts w:ascii="Cambria Math" w:hAnsi="Cambria Math"/>
                </w:rPr>
                <m:t>C</m:t>
              </m:r>
              <m:sSub>
                <m:sSubPr>
                  <m:ctrlPr>
                    <w:rPr>
                      <w:rFonts w:ascii="Cambria Math" w:hAnsi="Cambria Math"/>
                      <w:i/>
                    </w:rPr>
                  </m:ctrlPr>
                </m:sSubPr>
                <m:e>
                  <m:r>
                    <w:rPr>
                      <w:rFonts w:ascii="Cambria Math" w:hAnsi="Cambria Math"/>
                    </w:rPr>
                    <m:t>PCE</m:t>
                  </m:r>
                </m:e>
                <m:sub>
                  <m:r>
                    <w:rPr>
                      <w:rFonts w:ascii="Cambria Math" w:hAnsi="Cambria Math"/>
                    </w:rPr>
                    <m:t>j</m:t>
                  </m:r>
                </m:sub>
              </m:sSub>
              <m:r>
                <w:rPr>
                  <w:rFonts w:ascii="Cambria Math" w:hAnsi="Cambria Math"/>
                </w:rPr>
                <m:t>,</m:t>
              </m:r>
              <m:sSub>
                <m:sSubPr>
                  <m:ctrlPr>
                    <w:rPr>
                      <w:rFonts w:ascii="Cambria Math" w:hAnsi="Cambria Math"/>
                      <w:i/>
                    </w:rPr>
                  </m:ctrlPr>
                </m:sSubPr>
                <m:e>
                  <m:r>
                    <w:rPr>
                      <w:rFonts w:ascii="Cambria Math" w:hAnsi="Cambria Math"/>
                    </w:rPr>
                    <m:t>CPOR</m:t>
                  </m:r>
                </m:e>
                <m:sub>
                  <m:r>
                    <w:rPr>
                      <w:rFonts w:ascii="Cambria Math" w:hAnsi="Cambria Math"/>
                    </w:rPr>
                    <m:t>j</m:t>
                  </m:r>
                </m:sub>
              </m:sSub>
            </m:e>
          </m:d>
        </m:oMath>
      </m:oMathPara>
    </w:p>
    <w:p w:rsidR="00285A2D" w:rsidRPr="004E6CFC" w:rsidRDefault="00285A2D" w:rsidP="00285A2D">
      <w:pPr>
        <w:tabs>
          <w:tab w:val="left" w:pos="993"/>
        </w:tabs>
        <w:ind w:left="1410" w:hanging="1410"/>
        <w:rPr>
          <w:lang w:val="es-CO"/>
        </w:rPr>
      </w:pPr>
      <w:r w:rsidRPr="004E6CFC">
        <w:rPr>
          <w:lang w:val="es-CO"/>
        </w:rPr>
        <w:t>Donde:</w:t>
      </w:r>
    </w:p>
    <w:p w:rsidR="00285A2D" w:rsidRPr="004E6CFC" w:rsidRDefault="00285A2D" w:rsidP="00285A2D">
      <w:pPr>
        <w:tabs>
          <w:tab w:val="left" w:pos="993"/>
        </w:tabs>
        <w:ind w:left="1410" w:hanging="1410"/>
      </w:pPr>
      <w:r w:rsidRPr="004E6CFC">
        <w:rPr>
          <w:i/>
        </w:rPr>
        <w:t>CTP</w:t>
      </w:r>
      <w:r w:rsidRPr="004E6CFC">
        <w:rPr>
          <w:i/>
          <w:vertAlign w:val="subscript"/>
        </w:rPr>
        <w:t>j</w:t>
      </w:r>
      <w:r w:rsidRPr="004E6CFC">
        <w:t>:</w:t>
      </w:r>
      <w:r w:rsidRPr="004E6CFC">
        <w:rPr>
          <w:vertAlign w:val="subscript"/>
        </w:rPr>
        <w:t xml:space="preserve">  </w:t>
      </w:r>
      <w:r w:rsidRPr="004E6CFC">
        <w:rPr>
          <w:vertAlign w:val="subscript"/>
        </w:rPr>
        <w:tab/>
      </w:r>
      <w:r w:rsidRPr="004E6CFC">
        <w:rPr>
          <w:vertAlign w:val="subscript"/>
        </w:rPr>
        <w:tab/>
      </w:r>
      <w:r w:rsidRPr="004E6CFC">
        <w:rPr>
          <w:vertAlign w:val="subscript"/>
        </w:rPr>
        <w:tab/>
      </w:r>
      <w:r w:rsidRPr="004E6CFC">
        <w:t xml:space="preserve">Costo total del plan para el OR </w:t>
      </w:r>
      <w:r w:rsidRPr="004E6CFC">
        <w:rPr>
          <w:i/>
        </w:rPr>
        <w:t>j</w:t>
      </w:r>
      <w:r w:rsidRPr="004E6CFC">
        <w:t>, en pesos de la fecha de corte.</w:t>
      </w:r>
    </w:p>
    <w:p w:rsidR="00285A2D" w:rsidRPr="004E6CFC" w:rsidRDefault="00285A2D" w:rsidP="00285A2D">
      <w:pPr>
        <w:tabs>
          <w:tab w:val="left" w:pos="993"/>
        </w:tabs>
        <w:ind w:left="1410" w:hanging="1410"/>
      </w:pPr>
      <w:r w:rsidRPr="004E6CFC">
        <w:rPr>
          <w:i/>
        </w:rPr>
        <w:t>CPCE</w:t>
      </w:r>
      <w:r w:rsidRPr="004E6CFC">
        <w:rPr>
          <w:i/>
          <w:vertAlign w:val="subscript"/>
        </w:rPr>
        <w:t>j</w:t>
      </w:r>
      <w:r w:rsidRPr="004E6CFC">
        <w:t xml:space="preserve">: </w:t>
      </w:r>
      <w:r w:rsidRPr="004E6CFC">
        <w:tab/>
      </w:r>
      <w:r w:rsidRPr="004E6CFC">
        <w:tab/>
      </w:r>
      <w:r w:rsidRPr="004E6CFC">
        <w:tab/>
        <w:t xml:space="preserve">Costo total del plan, en pesos de la fecha de corte. Este valor resulta de la aplicación del modelo de costos eficientes de que trata el numeral </w:t>
      </w:r>
      <w:r w:rsidRPr="004E6CFC">
        <w:fldChar w:fldCharType="begin"/>
      </w:r>
      <w:r w:rsidRPr="004E6CFC">
        <w:instrText xml:space="preserve"> REF _Ref460823144 \r \h  \* MERGEFORMAT </w:instrText>
      </w:r>
      <w:r w:rsidRPr="004E6CFC">
        <w:fldChar w:fldCharType="separate"/>
      </w:r>
      <w:r w:rsidR="00737178">
        <w:t>7.3.2.2</w:t>
      </w:r>
      <w:r w:rsidRPr="004E6CFC">
        <w:fldChar w:fldCharType="end"/>
      </w:r>
      <w:r w:rsidRPr="004E6CFC">
        <w:t>, actualizado a pesos de la fecha de corte.</w:t>
      </w:r>
    </w:p>
    <w:p w:rsidR="00285A2D" w:rsidRPr="004E6CFC" w:rsidRDefault="00285A2D" w:rsidP="00285A2D">
      <w:pPr>
        <w:tabs>
          <w:tab w:val="left" w:pos="993"/>
        </w:tabs>
        <w:ind w:left="1410" w:hanging="1410"/>
      </w:pPr>
      <w:r w:rsidRPr="004E6CFC">
        <w:rPr>
          <w:i/>
        </w:rPr>
        <w:lastRenderedPageBreak/>
        <w:t>CPOR</w:t>
      </w:r>
      <w:r w:rsidRPr="004E6CFC">
        <w:rPr>
          <w:i/>
          <w:vertAlign w:val="subscript"/>
        </w:rPr>
        <w:t>j</w:t>
      </w:r>
      <w:r w:rsidRPr="004E6CFC">
        <w:t xml:space="preserve">: </w:t>
      </w:r>
      <w:r w:rsidRPr="004E6CFC">
        <w:tab/>
      </w:r>
      <w:r w:rsidRPr="004E6CFC">
        <w:tab/>
        <w:t xml:space="preserve">Costo total del plan, en pesos de la fecha de corte, presentado por el OR </w:t>
      </w:r>
      <w:r w:rsidR="00D939A2" w:rsidRPr="004E6CFC">
        <w:rPr>
          <w:i/>
        </w:rPr>
        <w:t>j</w:t>
      </w:r>
      <w:r w:rsidR="00D939A2" w:rsidRPr="004E6CFC">
        <w:t xml:space="preserve"> para</w:t>
      </w:r>
      <w:r w:rsidRPr="004E6CFC">
        <w:t xml:space="preserve"> su aprobación. </w:t>
      </w:r>
    </w:p>
    <w:p w:rsidR="00285A2D" w:rsidRPr="004E6CFC" w:rsidRDefault="00A62992" w:rsidP="00285A2D">
      <w:pPr>
        <w:pStyle w:val="Ttulo4"/>
        <w:ind w:left="0" w:firstLine="0"/>
      </w:pPr>
      <w:bookmarkStart w:id="844" w:name="_Ref476643369"/>
      <w:r>
        <w:t xml:space="preserve"> </w:t>
      </w:r>
      <w:r w:rsidR="00285A2D" w:rsidRPr="004E6CFC">
        <w:t>Calculo del costo anual del plan</w:t>
      </w:r>
      <w:bookmarkEnd w:id="844"/>
    </w:p>
    <w:p w:rsidR="00285A2D" w:rsidRPr="004E6CFC" w:rsidRDefault="00285A2D" w:rsidP="00285A2D">
      <w:r w:rsidRPr="004E6CFC">
        <w:t>La variable CAP</w:t>
      </w:r>
      <w:r w:rsidR="00E9756B">
        <w:rPr>
          <w:i/>
          <w:vertAlign w:val="subscript"/>
        </w:rPr>
        <w:t>j</w:t>
      </w:r>
      <w:r w:rsidRPr="004E6CFC">
        <w:t xml:space="preserve"> corresponde al costo anual del plan que remunera los costos y gastos asociados con la recuperación o mantenimiento de pérdidas de energía y, para los OR que requieren de aprobación de plan de reducción de pérdidas, la remuneración de activos no asociados con UC, así:</w:t>
      </w:r>
    </w:p>
    <w:p w:rsidR="00285A2D" w:rsidRPr="004E6CFC" w:rsidRDefault="00C9592F" w:rsidP="00285A2D">
      <w:pPr>
        <w:jc w:val="center"/>
      </w:pPr>
      <m:oMathPara>
        <m:oMath>
          <m:sSub>
            <m:sSubPr>
              <m:ctrlPr>
                <w:rPr>
                  <w:rFonts w:ascii="Cambria Math" w:hAnsi="Cambria Math"/>
                  <w:i/>
                </w:rPr>
              </m:ctrlPr>
            </m:sSubPr>
            <m:e>
              <m:r>
                <w:rPr>
                  <w:rFonts w:ascii="Cambria Math" w:hAnsi="Cambria Math"/>
                </w:rPr>
                <m:t>CAP</m:t>
              </m:r>
            </m:e>
            <m:sub>
              <m:r>
                <w:rPr>
                  <w:rFonts w:ascii="Cambria Math" w:hAnsi="Cambria Math"/>
                </w:rPr>
                <m:t>j</m:t>
              </m:r>
            </m:sub>
          </m:sSub>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CTP</m:t>
                  </m:r>
                </m:e>
                <m:sub>
                  <m:r>
                    <w:rPr>
                      <w:rFonts w:ascii="Cambria Math" w:hAnsi="Cambria Math"/>
                    </w:rPr>
                    <m:t>j</m:t>
                  </m:r>
                </m:sub>
              </m:sSub>
            </m:num>
            <m:den>
              <m:r>
                <w:rPr>
                  <w:rFonts w:ascii="Cambria Math" w:hAnsi="Cambria Math"/>
                </w:rPr>
                <m:t>10</m:t>
              </m:r>
            </m:den>
          </m:f>
        </m:oMath>
      </m:oMathPara>
    </w:p>
    <w:p w:rsidR="00285A2D" w:rsidRPr="004E6CFC" w:rsidRDefault="00285A2D" w:rsidP="00285A2D">
      <w:pPr>
        <w:ind w:left="1410" w:hanging="1410"/>
      </w:pPr>
      <w:r w:rsidRPr="004E6CFC">
        <w:t>Donde:</w:t>
      </w:r>
    </w:p>
    <w:p w:rsidR="00285A2D" w:rsidRPr="004E6CFC" w:rsidRDefault="00285A2D" w:rsidP="00285A2D">
      <w:pPr>
        <w:ind w:left="993" w:hanging="993"/>
      </w:pPr>
      <w:r w:rsidRPr="004E6CFC">
        <w:rPr>
          <w:i/>
        </w:rPr>
        <w:t>CAP</w:t>
      </w:r>
      <w:r w:rsidRPr="004E6CFC">
        <w:rPr>
          <w:i/>
          <w:vertAlign w:val="subscript"/>
        </w:rPr>
        <w:t>j</w:t>
      </w:r>
      <w:r w:rsidRPr="004E6CFC">
        <w:rPr>
          <w:i/>
        </w:rPr>
        <w:t xml:space="preserve">: </w:t>
      </w:r>
      <w:r w:rsidRPr="004E6CFC">
        <w:tab/>
        <w:t xml:space="preserve">Costo anual del plan de gestión de pérdidas del mercado de comercialización </w:t>
      </w:r>
      <w:r w:rsidRPr="004E6CFC">
        <w:rPr>
          <w:i/>
        </w:rPr>
        <w:t>j</w:t>
      </w:r>
      <w:r w:rsidRPr="004E6CFC">
        <w:t xml:space="preserve">, aprobado al OR que atiende dicho mercado. El menor valor que toma esta variable es </w:t>
      </w:r>
      <w:r w:rsidRPr="004E6CFC">
        <w:tab/>
        <w:t>el que corresponde al AOM de mantenimiento de pérdidas.</w:t>
      </w:r>
    </w:p>
    <w:p w:rsidR="00285A2D" w:rsidRPr="004E6CFC" w:rsidRDefault="00285A2D" w:rsidP="00285A2D">
      <w:pPr>
        <w:ind w:left="993" w:hanging="993"/>
      </w:pPr>
      <w:r w:rsidRPr="004E6CFC">
        <w:rPr>
          <w:i/>
        </w:rPr>
        <w:t>CTP</w:t>
      </w:r>
      <w:r w:rsidRPr="004E6CFC">
        <w:rPr>
          <w:i/>
          <w:vertAlign w:val="subscript"/>
        </w:rPr>
        <w:t>j</w:t>
      </w:r>
      <w:r w:rsidRPr="004E6CFC">
        <w:t>:</w:t>
      </w:r>
      <w:r w:rsidRPr="004E6CFC">
        <w:rPr>
          <w:vertAlign w:val="subscript"/>
        </w:rPr>
        <w:t xml:space="preserve">  </w:t>
      </w:r>
      <w:r w:rsidRPr="004E6CFC">
        <w:rPr>
          <w:vertAlign w:val="subscript"/>
        </w:rPr>
        <w:tab/>
      </w:r>
      <w:r w:rsidRPr="004E6CFC">
        <w:t xml:space="preserve">Costo total del plan para el OR </w:t>
      </w:r>
      <w:r w:rsidRPr="004E6CFC">
        <w:rPr>
          <w:i/>
        </w:rPr>
        <w:t>j</w:t>
      </w:r>
      <w:r w:rsidRPr="004E6CFC">
        <w:t xml:space="preserve">, en pesos de la fecha de corte, calculado según el numeral </w:t>
      </w:r>
      <w:r w:rsidRPr="004E6CFC">
        <w:fldChar w:fldCharType="begin"/>
      </w:r>
      <w:r w:rsidRPr="004E6CFC">
        <w:instrText xml:space="preserve"> REF _Ref460834646 \r \h  \* MERGEFORMAT </w:instrText>
      </w:r>
      <w:r w:rsidRPr="004E6CFC">
        <w:fldChar w:fldCharType="separate"/>
      </w:r>
      <w:r w:rsidR="00737178">
        <w:t>7.3.2</w:t>
      </w:r>
      <w:r w:rsidRPr="004E6CFC">
        <w:fldChar w:fldCharType="end"/>
      </w:r>
      <w:r w:rsidRPr="004E6CFC">
        <w:t>.</w:t>
      </w:r>
    </w:p>
    <w:p w:rsidR="00285A2D" w:rsidRPr="004E6CFC" w:rsidRDefault="00285A2D" w:rsidP="00285A2D">
      <w:r w:rsidRPr="004E6CFC">
        <w:t xml:space="preserve">En el costo total del plan se pueden incluir las siguientes inversiones: medidores de usuarios finales regulados que no cuenten con medidor a la fecha de presentación del plan y su costo no sea trasladado al usuario, medidores en el arranque de todas las líneas, equipos de medida en los puntos de entrada de cada nivel de tensión, macromedidores instalados en transformadores de distribución y sistemas de medición centralizada, incluyendo software y comunicaciones. </w:t>
      </w:r>
    </w:p>
    <w:p w:rsidR="00285A2D" w:rsidRPr="004E6CFC" w:rsidRDefault="00285A2D" w:rsidP="00285A2D">
      <w:r w:rsidRPr="004E6CFC">
        <w:t xml:space="preserve">Todos los sistemas de medición deben cumplir con el código de medida vigente y aplicar criterios de adaptabilidad, confiabilidad, seguridad, interoperabilidad, flexibilidad y escalabilidad. </w:t>
      </w:r>
    </w:p>
    <w:p w:rsidR="00285A2D" w:rsidRPr="004E6CFC" w:rsidRDefault="00285A2D" w:rsidP="00285A2D">
      <w:pPr>
        <w:tabs>
          <w:tab w:val="left" w:pos="993"/>
        </w:tabs>
      </w:pPr>
      <w:r w:rsidRPr="004E6CFC">
        <w:t>En el desarrollo de los planes de reducción de pérdidas de energía, en las redes de baja tensión donde estén instalados o se vayan a instalar sistemas de medición centralizada, el comercializador deberá solicitar a sus usuarios regulados un equipo de medida compatible con el sistema de medición centralizada que instale el OR. El usuario regulado podrá cambiar su medidor por uno de las calidades exigidas en la regulación vigente o acogerse a la medida dispuesta por el comercializador integrado con el OR a través del sistema de medición centralizada instalado por el OR. En este último caso, el medidor no tendrá ningún costo para el usuario y la responsabilidad por su custodia será del OR.</w:t>
      </w:r>
    </w:p>
    <w:p w:rsidR="00285A2D" w:rsidRPr="004E6CFC" w:rsidRDefault="00285A2D" w:rsidP="00285A2D">
      <w:pPr>
        <w:tabs>
          <w:tab w:val="left" w:pos="993"/>
        </w:tabs>
      </w:pPr>
      <w:r w:rsidRPr="004E6CFC">
        <w:t xml:space="preserve">Todas las inversiones realizadas deberán reportarse junto con el reporte anual de ejecución del plan de inversiones del OR. </w:t>
      </w:r>
    </w:p>
    <w:p w:rsidR="00285A2D" w:rsidRPr="004E6CFC" w:rsidRDefault="00285A2D" w:rsidP="00285A2D">
      <w:pPr>
        <w:pStyle w:val="Ttulo4"/>
      </w:pPr>
      <w:bookmarkStart w:id="845" w:name="_Ref460823144"/>
      <w:r w:rsidRPr="004E6CFC">
        <w:t xml:space="preserve">Cálculo de la variable </w:t>
      </w:r>
      <w:r w:rsidRPr="00D939A2">
        <w:rPr>
          <w:i/>
        </w:rPr>
        <w:t>CPCE</w:t>
      </w:r>
      <w:r w:rsidRPr="00D939A2">
        <w:rPr>
          <w:vertAlign w:val="subscript"/>
        </w:rPr>
        <w:t>j</w:t>
      </w:r>
      <w:bookmarkEnd w:id="845"/>
    </w:p>
    <w:p w:rsidR="00285A2D" w:rsidRPr="004E6CFC" w:rsidRDefault="00285A2D" w:rsidP="00285A2D">
      <w:r w:rsidRPr="004E6CFC">
        <w:t xml:space="preserve">La variable </w:t>
      </w:r>
      <w:r w:rsidRPr="004E6CFC">
        <w:rPr>
          <w:i/>
        </w:rPr>
        <w:t>CPCE</w:t>
      </w:r>
      <w:r w:rsidRPr="004E6CFC">
        <w:rPr>
          <w:i/>
          <w:vertAlign w:val="subscript"/>
        </w:rPr>
        <w:t>j</w:t>
      </w:r>
      <w:r w:rsidRPr="004E6CFC">
        <w:t xml:space="preserve"> se obtendrá a partir del modelo de estimación del costo eficiente desarrollado por la CREG, considerando el índice de pérdidas inicial de cada OR, el índice de pérdidas propuesto por el OR para el final del plan y los </w:t>
      </w:r>
      <w:r w:rsidRPr="004E6CFC">
        <w:lastRenderedPageBreak/>
        <w:t>costos de reducción de pérdidas no técnicas obtenidos a partir de la información entregada por los OR en respuesta a las circulares CREG 019 de 2010 y 027 de 2014.</w:t>
      </w:r>
    </w:p>
    <w:p w:rsidR="00285A2D" w:rsidRPr="004E6CFC" w:rsidRDefault="00285A2D" w:rsidP="00285A2D">
      <w:r w:rsidRPr="004E6CFC">
        <w:t xml:space="preserve">La Comisión pondrá a disposición de las empresas el aplicativo de estimación del costo eficiente de reducción de pérdidas, durante el plazo para la presentación de la solicitud de aprobación de cargos. </w:t>
      </w:r>
    </w:p>
    <w:p w:rsidR="00285A2D" w:rsidRPr="004E6CFC" w:rsidRDefault="00285A2D" w:rsidP="00285A2D">
      <w:r w:rsidRPr="004E6CFC">
        <w:t xml:space="preserve">Para tener acceso a este aplicativo, el representante legal de cada OR debe enviar a la Comisión una comunicación escrita solicitando el usuario y la clave de acceso y señalando una dirección de correo electrónico donde se enviará la información de acceso y los resultados de las simulaciones.   </w:t>
      </w:r>
    </w:p>
    <w:p w:rsidR="00285A2D" w:rsidRPr="004E6CFC" w:rsidRDefault="00285A2D" w:rsidP="00285A2D">
      <w:r w:rsidRPr="004E6CFC">
        <w:t xml:space="preserve">Para definir la variable CPCE se utilizará la siguiente información: </w:t>
      </w:r>
    </w:p>
    <w:p w:rsidR="00285A2D" w:rsidRPr="004E6CFC" w:rsidRDefault="00285A2D" w:rsidP="00285A2D">
      <w:pPr>
        <w:pStyle w:val="Prrafodelista"/>
        <w:numPr>
          <w:ilvl w:val="0"/>
          <w:numId w:val="17"/>
        </w:numPr>
      </w:pPr>
      <w:r w:rsidRPr="004E6CFC">
        <w:t>Crecimiento vegetativo de la demanda: crecimiento promedio de las ventas de energía registradas en el mercado de comercialización, durante los cinco años anteriores al de la presentación del plan.</w:t>
      </w:r>
    </w:p>
    <w:p w:rsidR="00285A2D" w:rsidRPr="004E6CFC" w:rsidRDefault="00285A2D" w:rsidP="00285A2D">
      <w:pPr>
        <w:pStyle w:val="Prrafodelista"/>
        <w:numPr>
          <w:ilvl w:val="0"/>
          <w:numId w:val="17"/>
        </w:numPr>
      </w:pPr>
      <w:r w:rsidRPr="004E6CFC">
        <w:t>Mínima inversión: mínimo costo en $/kWh, con el cual el modelo de estimación del costo eficiente obtiene una ruta factible para obtener el nivel de pérdidas propuesto por el OR al finalizar el plan.  Este valor debe ser mayor que cero (0).</w:t>
      </w:r>
    </w:p>
    <w:p w:rsidR="00285A2D" w:rsidRPr="004E6CFC" w:rsidRDefault="00285A2D" w:rsidP="00285A2D">
      <w:pPr>
        <w:pStyle w:val="Prrafodelista"/>
        <w:numPr>
          <w:ilvl w:val="0"/>
          <w:numId w:val="17"/>
        </w:numPr>
        <w:rPr>
          <w:lang w:val="es-ES"/>
        </w:rPr>
      </w:pPr>
      <w:r w:rsidRPr="004E6CFC">
        <w:t>Máxima inversión: máximo costo en $/kWh, con el cual el modelo de estimación del costo eficiente obtiene una ruta factible para obtener el nivel de pérdidas propuesto por el OR al finalizar el plan.  Este valor debe ser mayor que cero (0).</w:t>
      </w:r>
    </w:p>
    <w:p w:rsidR="00285A2D" w:rsidRPr="004E6CFC" w:rsidRDefault="00285A2D" w:rsidP="00285A2D">
      <w:pPr>
        <w:pStyle w:val="Prrafodelista"/>
        <w:numPr>
          <w:ilvl w:val="0"/>
          <w:numId w:val="17"/>
        </w:numPr>
      </w:pPr>
      <w:r w:rsidRPr="004E6CFC">
        <w:t>Opciones de inversión: corresponde al número de opciones para conformar el árbol de decisión, cuyo máximo valor es treinta (30).</w:t>
      </w:r>
    </w:p>
    <w:p w:rsidR="00285A2D" w:rsidRPr="004E6CFC" w:rsidRDefault="00285A2D" w:rsidP="00285A2D">
      <w:pPr>
        <w:pStyle w:val="Prrafodelista"/>
        <w:numPr>
          <w:ilvl w:val="0"/>
          <w:numId w:val="17"/>
        </w:numPr>
        <w:rPr>
          <w:lang w:val="es-ES"/>
        </w:rPr>
      </w:pPr>
      <w:r w:rsidRPr="004E6CFC">
        <w:t xml:space="preserve">Energía de entrada para los años t y t-1: cantidad de energía, en kWh, calculada con base en la metodología definida en el numeral </w:t>
      </w:r>
      <w:r w:rsidRPr="004E6CFC">
        <w:fldChar w:fldCharType="begin"/>
      </w:r>
      <w:r w:rsidRPr="004E6CFC">
        <w:instrText xml:space="preserve"> REF _Ref460823417 \r \h  \* MERGEFORMAT </w:instrText>
      </w:r>
      <w:r w:rsidRPr="004E6CFC">
        <w:fldChar w:fldCharType="separate"/>
      </w:r>
      <w:r w:rsidR="00737178">
        <w:t>7.3.7.1</w:t>
      </w:r>
      <w:r w:rsidRPr="004E6CFC">
        <w:fldChar w:fldCharType="end"/>
      </w:r>
      <w:r w:rsidRPr="004E6CFC">
        <w:t xml:space="preserve">, menos la energía de salida a otros OR, </w:t>
      </w:r>
      <w:r w:rsidRPr="004E6CFC">
        <w:rPr>
          <w:i/>
        </w:rPr>
        <w:t>Fs</w:t>
      </w:r>
      <w:r w:rsidR="00F13040">
        <w:rPr>
          <w:i/>
          <w:vertAlign w:val="subscript"/>
        </w:rPr>
        <w:t>ORj,n,m</w:t>
      </w:r>
      <w:r w:rsidRPr="004E6CFC">
        <w:t xml:space="preserve">, según lo definido en el numeral </w:t>
      </w:r>
      <w:r w:rsidRPr="004E6CFC">
        <w:fldChar w:fldCharType="begin"/>
      </w:r>
      <w:r w:rsidRPr="004E6CFC">
        <w:instrText xml:space="preserve"> REF _Ref445112856 \r \h  \* MERGEFORMAT </w:instrText>
      </w:r>
      <w:r w:rsidRPr="004E6CFC">
        <w:fldChar w:fldCharType="separate"/>
      </w:r>
      <w:r w:rsidR="00737178">
        <w:t>7.3.7.2</w:t>
      </w:r>
      <w:r w:rsidRPr="004E6CFC">
        <w:fldChar w:fldCharType="end"/>
      </w:r>
      <w:r w:rsidRPr="004E6CFC">
        <w:t xml:space="preserve">. </w:t>
      </w:r>
    </w:p>
    <w:p w:rsidR="00285A2D" w:rsidRPr="004E6CFC" w:rsidRDefault="00285A2D" w:rsidP="00285A2D">
      <w:pPr>
        <w:pStyle w:val="Prrafodelista"/>
        <w:numPr>
          <w:ilvl w:val="0"/>
          <w:numId w:val="17"/>
        </w:numPr>
      </w:pPr>
      <w:r w:rsidRPr="004E6CFC">
        <w:t xml:space="preserve">Energía de salida para los años t y t-1: cantidad de energía, en kWh,  calculada con base en la metodología definida en el numeral </w:t>
      </w:r>
      <w:r w:rsidRPr="004E6CFC">
        <w:fldChar w:fldCharType="begin"/>
      </w:r>
      <w:r w:rsidRPr="004E6CFC">
        <w:instrText xml:space="preserve"> REF _Ref445112856 \r \h  \* MERGEFORMAT </w:instrText>
      </w:r>
      <w:r w:rsidRPr="004E6CFC">
        <w:fldChar w:fldCharType="separate"/>
      </w:r>
      <w:r w:rsidR="00737178">
        <w:t>7.3.7.2</w:t>
      </w:r>
      <w:r w:rsidRPr="004E6CFC">
        <w:fldChar w:fldCharType="end"/>
      </w:r>
    </w:p>
    <w:p w:rsidR="00285A2D" w:rsidRPr="004E6CFC" w:rsidRDefault="00285A2D" w:rsidP="00285A2D">
      <w:pPr>
        <w:pStyle w:val="Prrafodelista"/>
        <w:numPr>
          <w:ilvl w:val="0"/>
          <w:numId w:val="17"/>
        </w:numPr>
      </w:pPr>
      <w:r w:rsidRPr="004E6CFC">
        <w:t xml:space="preserve">Nivel de pérdidas años t y t-1: porcentaje de pérdidas totales del sistema calculado con base en la metodología definida en el numeral </w:t>
      </w:r>
      <w:r w:rsidRPr="004E6CFC">
        <w:fldChar w:fldCharType="begin"/>
      </w:r>
      <w:r w:rsidRPr="004E6CFC">
        <w:instrText xml:space="preserve"> REF _Ref476780799 \r \h  \* MERGEFORMAT </w:instrText>
      </w:r>
      <w:r w:rsidRPr="004E6CFC">
        <w:fldChar w:fldCharType="separate"/>
      </w:r>
      <w:r w:rsidR="00737178">
        <w:t>7.1.4.1</w:t>
      </w:r>
      <w:r w:rsidRPr="004E6CFC">
        <w:fldChar w:fldCharType="end"/>
      </w:r>
      <w:r w:rsidRPr="004E6CFC">
        <w:t>.</w:t>
      </w:r>
    </w:p>
    <w:p w:rsidR="00285A2D" w:rsidRPr="004E6CFC" w:rsidRDefault="00285A2D" w:rsidP="00285A2D">
      <w:pPr>
        <w:pStyle w:val="Prrafodelista"/>
        <w:numPr>
          <w:ilvl w:val="0"/>
          <w:numId w:val="17"/>
        </w:numPr>
      </w:pPr>
      <w:r w:rsidRPr="004E6CFC">
        <w:t>Inversión años t y t-1: corresponde a la información entregada por el OR en la solicitud de aprobación del plan.</w:t>
      </w:r>
    </w:p>
    <w:p w:rsidR="00285A2D" w:rsidRPr="004E6CFC" w:rsidRDefault="00285A2D" w:rsidP="00285A2D">
      <w:pPr>
        <w:pStyle w:val="Prrafodelista"/>
        <w:numPr>
          <w:ilvl w:val="0"/>
          <w:numId w:val="17"/>
        </w:numPr>
        <w:rPr>
          <w:lang w:val="es-ES"/>
        </w:rPr>
      </w:pPr>
      <w:r w:rsidRPr="004E6CFC">
        <w:t>El año t corresponde al anterior al de la presentación de la solicitud de aprobación del plan.</w:t>
      </w:r>
    </w:p>
    <w:p w:rsidR="00285A2D" w:rsidRPr="004E6CFC" w:rsidRDefault="00285A2D" w:rsidP="00285A2D">
      <w:pPr>
        <w:pStyle w:val="Prrafodelista"/>
        <w:numPr>
          <w:ilvl w:val="0"/>
          <w:numId w:val="17"/>
        </w:numPr>
        <w:rPr>
          <w:lang w:val="es-ES"/>
        </w:rPr>
      </w:pPr>
      <w:r w:rsidRPr="004E6CFC">
        <w:t xml:space="preserve">Para efectos del cálculo de la variable </w:t>
      </w:r>
      <w:r w:rsidRPr="004E6CFC">
        <w:rPr>
          <w:i/>
        </w:rPr>
        <w:t>CPCE</w:t>
      </w:r>
      <w:r w:rsidRPr="004E6CFC">
        <w:rPr>
          <w:i/>
          <w:vertAlign w:val="subscript"/>
        </w:rPr>
        <w:t>j</w:t>
      </w:r>
      <w:r w:rsidRPr="004E6CFC">
        <w:t xml:space="preserve"> en el caso de los planes de mantenimiento de pérdidas, se tendrá en cuenta que el índice de pérdidas inicial es igual al eficiente y el índice de meta es inferior en un punto porcentual al primero. Las demás variables, como energía de entrada y salida de los años </w:t>
      </w:r>
      <w:r w:rsidRPr="004E6CFC">
        <w:rPr>
          <w:i/>
        </w:rPr>
        <w:t>t</w:t>
      </w:r>
      <w:r w:rsidRPr="004E6CFC">
        <w:t xml:space="preserve"> y </w:t>
      </w:r>
      <w:r w:rsidRPr="004E6CFC">
        <w:rPr>
          <w:i/>
        </w:rPr>
        <w:t>t-1</w:t>
      </w:r>
      <w:r w:rsidRPr="004E6CFC">
        <w:t xml:space="preserve">, deberán estar acorde con estos índices. </w:t>
      </w:r>
    </w:p>
    <w:p w:rsidR="00285A2D" w:rsidRPr="004E6CFC" w:rsidRDefault="00285A2D" w:rsidP="00285A2D">
      <w:pPr>
        <w:pStyle w:val="Prrafodelista"/>
        <w:numPr>
          <w:ilvl w:val="0"/>
          <w:numId w:val="17"/>
        </w:numPr>
        <w:rPr>
          <w:lang w:val="es-ES"/>
        </w:rPr>
      </w:pPr>
      <w:r w:rsidRPr="004E6CFC">
        <w:lastRenderedPageBreak/>
        <w:t>Los OR sujetos de planes de reducción de pérdidas podrán presentar solicitud de remuneración de plan de reducción de pérdidas y solicitud de remuneración de plan de mantenimiento de pérdidas. Este último aplicara cuando se haya finalizado la remuneración del plan de reducción de pérdidas.</w:t>
      </w:r>
    </w:p>
    <w:p w:rsidR="00285A2D" w:rsidRPr="004E6CFC" w:rsidRDefault="00285A2D" w:rsidP="00285A2D">
      <w:pPr>
        <w:pStyle w:val="Ttulo4"/>
      </w:pPr>
      <w:r w:rsidRPr="004E6CFC">
        <w:t>Cálculo de la variable CPORj</w:t>
      </w:r>
    </w:p>
    <w:p w:rsidR="00285A2D" w:rsidRPr="004E6CFC" w:rsidRDefault="00285A2D" w:rsidP="00285A2D">
      <w:r w:rsidRPr="004E6CFC">
        <w:rPr>
          <w:lang w:val="es-ES_tradnl"/>
        </w:rPr>
        <w:t xml:space="preserve">La variable </w:t>
      </w:r>
      <w:r w:rsidRPr="004E6CFC">
        <w:rPr>
          <w:i/>
          <w:lang w:val="es-ES_tradnl"/>
        </w:rPr>
        <w:t>CPOR</w:t>
      </w:r>
      <w:r w:rsidRPr="004E6CFC">
        <w:rPr>
          <w:i/>
          <w:vertAlign w:val="subscript"/>
          <w:lang w:val="es-ES_tradnl"/>
        </w:rPr>
        <w:t>j</w:t>
      </w:r>
      <w:r w:rsidRPr="004E6CFC">
        <w:rPr>
          <w:lang w:val="es-ES_tradnl"/>
        </w:rPr>
        <w:t xml:space="preserve"> está conformada por los gastos de AOM relacionados con pérdidas de energía y por la remuneración de las inversiones mencionadas en el numeral </w:t>
      </w:r>
      <w:r w:rsidRPr="004E6CFC">
        <w:rPr>
          <w:lang w:val="es-ES_tradnl"/>
        </w:rPr>
        <w:fldChar w:fldCharType="begin"/>
      </w:r>
      <w:r w:rsidRPr="004E6CFC">
        <w:rPr>
          <w:lang w:val="es-ES_tradnl"/>
        </w:rPr>
        <w:instrText xml:space="preserve"> REF _Ref476643369 \r \h  \* MERGEFORMAT </w:instrText>
      </w:r>
      <w:r w:rsidRPr="004E6CFC">
        <w:rPr>
          <w:lang w:val="es-ES_tradnl"/>
        </w:rPr>
      </w:r>
      <w:r w:rsidRPr="004E6CFC">
        <w:rPr>
          <w:lang w:val="es-ES_tradnl"/>
        </w:rPr>
        <w:fldChar w:fldCharType="separate"/>
      </w:r>
      <w:r w:rsidR="00737178">
        <w:rPr>
          <w:lang w:val="es-ES_tradnl"/>
        </w:rPr>
        <w:t>7.3.2.1</w:t>
      </w:r>
      <w:r w:rsidRPr="004E6CFC">
        <w:rPr>
          <w:lang w:val="es-ES_tradnl"/>
        </w:rPr>
        <w:fldChar w:fldCharType="end"/>
      </w:r>
      <w:r w:rsidRPr="004E6CFC">
        <w:rPr>
          <w:lang w:val="es-ES_tradnl"/>
        </w:rPr>
        <w:t>, según la siguiente expresión:</w:t>
      </w:r>
    </w:p>
    <w:p w:rsidR="00285A2D" w:rsidRPr="004E6CFC" w:rsidRDefault="00C9592F" w:rsidP="00285A2D">
      <m:oMathPara>
        <m:oMath>
          <m:sSub>
            <m:sSubPr>
              <m:ctrlPr>
                <w:rPr>
                  <w:rFonts w:ascii="Cambria Math" w:hAnsi="Cambria Math"/>
                  <w:i/>
                </w:rPr>
              </m:ctrlPr>
            </m:sSubPr>
            <m:e>
              <m:r>
                <w:rPr>
                  <w:rFonts w:ascii="Cambria Math" w:hAnsi="Cambria Math"/>
                </w:rPr>
                <m:t>CPOR</m:t>
              </m:r>
            </m:e>
            <m:sub>
              <m:r>
                <w:rPr>
                  <w:rFonts w:ascii="Cambria Math" w:hAnsi="Cambria Math"/>
                </w:rPr>
                <m:t>j</m:t>
              </m:r>
            </m:sub>
          </m:sSub>
          <m:r>
            <w:rPr>
              <w:rFonts w:ascii="Cambria Math" w:hAnsi="Cambria Math"/>
            </w:rPr>
            <m:t>=</m:t>
          </m:r>
          <m:f>
            <m:fPr>
              <m:ctrlPr>
                <w:rPr>
                  <w:rFonts w:ascii="Cambria Math" w:hAnsi="Cambria Math"/>
                  <w:i/>
                </w:rPr>
              </m:ctrlPr>
            </m:fPr>
            <m:num>
              <m:r>
                <w:rPr>
                  <w:rFonts w:ascii="Cambria Math" w:hAnsi="Cambria Math"/>
                </w:rPr>
                <m:t>5</m:t>
              </m:r>
            </m:num>
            <m:den>
              <m:r>
                <w:rPr>
                  <w:rFonts w:ascii="Cambria Math" w:hAnsi="Cambria Math"/>
                </w:rPr>
                <m:t>6</m:t>
              </m:r>
            </m:den>
          </m:f>
          <m:r>
            <w:rPr>
              <w:rFonts w:ascii="Cambria Math" w:hAnsi="Cambria Math"/>
            </w:rPr>
            <m:t>*</m:t>
          </m:r>
          <m:nary>
            <m:naryPr>
              <m:chr m:val="∑"/>
              <m:limLoc m:val="undOvr"/>
              <m:ctrlPr>
                <w:rPr>
                  <w:rFonts w:ascii="Cambria Math" w:hAnsi="Cambria Math"/>
                  <w:i/>
                </w:rPr>
              </m:ctrlPr>
            </m:naryPr>
            <m:sub>
              <m:r>
                <w:rPr>
                  <w:rFonts w:ascii="Cambria Math" w:hAnsi="Cambria Math"/>
                </w:rPr>
                <m:t>k=1</m:t>
              </m:r>
            </m:sub>
            <m:sup>
              <m:r>
                <w:rPr>
                  <w:rFonts w:ascii="Cambria Math" w:hAnsi="Cambria Math"/>
                </w:rPr>
                <m:t>6</m:t>
              </m:r>
            </m:sup>
            <m:e>
              <m:sSub>
                <m:sSubPr>
                  <m:ctrlPr>
                    <w:rPr>
                      <w:rFonts w:ascii="Cambria Math" w:hAnsi="Cambria Math"/>
                      <w:i/>
                    </w:rPr>
                  </m:ctrlPr>
                </m:sSubPr>
                <m:e>
                  <m:r>
                    <w:rPr>
                      <w:rFonts w:ascii="Cambria Math" w:hAnsi="Cambria Math"/>
                    </w:rPr>
                    <m:t>AOMP</m:t>
                  </m:r>
                </m:e>
                <m:sub>
                  <m:r>
                    <w:rPr>
                      <w:rFonts w:ascii="Cambria Math" w:hAnsi="Cambria Math"/>
                    </w:rPr>
                    <m:t>j,k</m:t>
                  </m:r>
                </m:sub>
              </m:sSub>
            </m:e>
          </m:nary>
          <m:r>
            <w:rPr>
              <w:rFonts w:ascii="Cambria Math" w:hAnsi="Cambria Math"/>
            </w:rPr>
            <m:t>+</m:t>
          </m:r>
          <m:sSub>
            <m:sSubPr>
              <m:ctrlPr>
                <w:rPr>
                  <w:rFonts w:ascii="Cambria Math" w:hAnsi="Cambria Math"/>
                  <w:i/>
                </w:rPr>
              </m:ctrlPr>
            </m:sSubPr>
            <m:e>
              <m:r>
                <w:rPr>
                  <w:rFonts w:ascii="Cambria Math" w:hAnsi="Cambria Math"/>
                </w:rPr>
                <m:t>INVNUC</m:t>
              </m:r>
            </m:e>
            <m:sub>
              <m:r>
                <w:rPr>
                  <w:rFonts w:ascii="Cambria Math" w:hAnsi="Cambria Math"/>
                </w:rPr>
                <m:t>j</m:t>
              </m:r>
            </m:sub>
          </m:sSub>
        </m:oMath>
      </m:oMathPara>
    </w:p>
    <w:p w:rsidR="00285A2D" w:rsidRPr="004E6CFC" w:rsidRDefault="00285A2D" w:rsidP="00285A2D">
      <w:r w:rsidRPr="004E6CFC">
        <w:rPr>
          <w:lang w:val="es-ES_tradnl"/>
        </w:rPr>
        <w:t xml:space="preserve"> Donde:</w:t>
      </w:r>
    </w:p>
    <w:p w:rsidR="00285A2D" w:rsidRPr="004E6CFC" w:rsidRDefault="00285A2D" w:rsidP="00285A2D">
      <w:pPr>
        <w:ind w:left="1418" w:hanging="1418"/>
      </w:pPr>
      <w:r w:rsidRPr="004E6CFC">
        <w:rPr>
          <w:i/>
        </w:rPr>
        <w:t>AOMP</w:t>
      </w:r>
      <w:r w:rsidRPr="004E6CFC">
        <w:rPr>
          <w:i/>
          <w:vertAlign w:val="subscript"/>
        </w:rPr>
        <w:t>j,k</w:t>
      </w:r>
      <w:r w:rsidRPr="004E6CFC">
        <w:t>:</w:t>
      </w:r>
      <w:r w:rsidRPr="004E6CFC">
        <w:tab/>
        <w:t xml:space="preserve">Gastos del OR </w:t>
      </w:r>
      <w:r w:rsidRPr="004E6CFC">
        <w:rPr>
          <w:i/>
        </w:rPr>
        <w:t>j</w:t>
      </w:r>
      <w:r w:rsidRPr="004E6CFC">
        <w:t xml:space="preserve"> en pérdidas de energía, durante los años </w:t>
      </w:r>
      <w:r w:rsidRPr="004E6CFC">
        <w:rPr>
          <w:i/>
        </w:rPr>
        <w:t>k</w:t>
      </w:r>
      <w:r w:rsidRPr="004E6CFC">
        <w:t xml:space="preserve"> (de 2009 al 2014), donde </w:t>
      </w:r>
      <w:r w:rsidRPr="004E6CFC">
        <w:rPr>
          <w:i/>
        </w:rPr>
        <w:t>k</w:t>
      </w:r>
      <w:r w:rsidRPr="004E6CFC">
        <w:t xml:space="preserve"> es el número de años con información reportada. Esta información corresponde a la entregada por los OR en respuesta a las circulares CREG 027 de 2014 y CREG NNN de 2017, en pesos de la fecha de corte.  </w:t>
      </w:r>
    </w:p>
    <w:p w:rsidR="00285A2D" w:rsidRPr="004E6CFC" w:rsidRDefault="00285A2D" w:rsidP="00285A2D">
      <w:pPr>
        <w:ind w:left="1418" w:hanging="2"/>
      </w:pPr>
      <w:r w:rsidRPr="004E6CFC">
        <w:t>En el caso de que un OR no haya reportado i</w:t>
      </w:r>
      <w:r w:rsidR="00F13040">
        <w:t>nformación en respuesta a esta c</w:t>
      </w:r>
      <w:r w:rsidRPr="004E6CFC">
        <w:t xml:space="preserve">ircular, esta variable tomará el valor de cero (0). </w:t>
      </w:r>
    </w:p>
    <w:p w:rsidR="00285A2D" w:rsidRPr="004E6CFC" w:rsidRDefault="00285A2D" w:rsidP="00285A2D">
      <w:pPr>
        <w:ind w:left="1350" w:hanging="1350"/>
      </w:pPr>
      <w:r w:rsidRPr="004E6CFC">
        <w:rPr>
          <w:i/>
        </w:rPr>
        <w:t>INVNUC</w:t>
      </w:r>
      <w:r w:rsidRPr="004E6CFC">
        <w:rPr>
          <w:i/>
          <w:vertAlign w:val="subscript"/>
        </w:rPr>
        <w:t>j</w:t>
      </w:r>
      <w:r w:rsidRPr="004E6CFC">
        <w:rPr>
          <w:i/>
        </w:rPr>
        <w:t xml:space="preserve">: </w:t>
      </w:r>
      <w:r w:rsidRPr="004E6CFC">
        <w:rPr>
          <w:i/>
        </w:rPr>
        <w:tab/>
      </w:r>
      <w:r w:rsidRPr="004E6CFC">
        <w:tab/>
        <w:t xml:space="preserve">Costo de las inversiones en activos que no son clasificables como UC del OR </w:t>
      </w:r>
      <w:r w:rsidRPr="004E6CFC">
        <w:rPr>
          <w:i/>
        </w:rPr>
        <w:t>j</w:t>
      </w:r>
      <w:r w:rsidRPr="004E6CFC">
        <w:t>, aplicable para los planes de reducción de pérdidas.</w:t>
      </w:r>
    </w:p>
    <w:p w:rsidR="00285A2D" w:rsidRPr="004E6CFC" w:rsidRDefault="00285A2D" w:rsidP="00285A2D">
      <w:r w:rsidRPr="004E6CFC">
        <w:rPr>
          <w:lang w:val="es-ES_tradnl"/>
        </w:rPr>
        <w:t>El OR debe especificar estas dos variables en su solicitud.</w:t>
      </w:r>
    </w:p>
    <w:p w:rsidR="00285A2D" w:rsidRPr="004E6CFC" w:rsidRDefault="00285A2D" w:rsidP="00285A2D">
      <w:pPr>
        <w:pStyle w:val="Ttulo3"/>
        <w:ind w:left="709"/>
      </w:pPr>
      <w:bookmarkStart w:id="846" w:name="_Toc406406216"/>
      <w:bookmarkStart w:id="847" w:name="_Toc408493211"/>
      <w:bookmarkStart w:id="848" w:name="_Toc443655744"/>
      <w:bookmarkStart w:id="849" w:name="_Toc445214134"/>
      <w:bookmarkStart w:id="850" w:name="_Toc466009914"/>
      <w:bookmarkStart w:id="851" w:name="_Toc476824941"/>
      <w:bookmarkStart w:id="852" w:name="_Toc505335992"/>
      <w:bookmarkStart w:id="853" w:name="_Ref297816084"/>
      <w:bookmarkStart w:id="854" w:name="_Ref256433147"/>
      <w:r w:rsidRPr="004E6CFC">
        <w:t>Inicio del plan de mantenimiento de pérdidas.</w:t>
      </w:r>
      <w:bookmarkEnd w:id="846"/>
      <w:bookmarkEnd w:id="847"/>
      <w:bookmarkEnd w:id="848"/>
      <w:bookmarkEnd w:id="849"/>
      <w:bookmarkEnd w:id="850"/>
      <w:bookmarkEnd w:id="851"/>
      <w:bookmarkEnd w:id="852"/>
    </w:p>
    <w:p w:rsidR="00285A2D" w:rsidRPr="004E6CFC" w:rsidRDefault="00285A2D" w:rsidP="00285A2D">
      <w:r w:rsidRPr="004E6CFC">
        <w:t>Un plan de mantenimiento de pérdidas iniciará cuando:</w:t>
      </w:r>
    </w:p>
    <w:p w:rsidR="00285A2D" w:rsidRPr="004E6CFC" w:rsidRDefault="00285A2D" w:rsidP="00285A2D">
      <w:pPr>
        <w:pStyle w:val="Prrafodelista"/>
        <w:numPr>
          <w:ilvl w:val="0"/>
          <w:numId w:val="81"/>
        </w:numPr>
      </w:pPr>
      <w:r w:rsidRPr="004E6CFC">
        <w:t xml:space="preserve">Un OR no solicite plan de reducción de pérdidas y se encuentren en firme los costos anuales aprobados a la empresa que corresponda. El cargo CPROG estará vigente hasta que los costos anuales aprobados con base en la presente metodología sean reemplazados.   </w:t>
      </w:r>
    </w:p>
    <w:p w:rsidR="00285A2D" w:rsidRPr="004E6CFC" w:rsidRDefault="00285A2D" w:rsidP="00285A2D">
      <w:pPr>
        <w:pStyle w:val="Prrafodelista"/>
        <w:numPr>
          <w:ilvl w:val="0"/>
          <w:numId w:val="81"/>
        </w:numPr>
      </w:pPr>
      <w:r w:rsidRPr="004E6CFC">
        <w:t>Un OR solicite plan de reducción de pérdidas, lo acepte según lo aprobado por la CREG y se encuentren en firme los costos anuales aprobados a la empresa que corresponda.</w:t>
      </w:r>
    </w:p>
    <w:p w:rsidR="00285A2D" w:rsidRPr="004E6CFC" w:rsidRDefault="00285A2D" w:rsidP="00285A2D">
      <w:pPr>
        <w:pStyle w:val="Ttulo3"/>
        <w:ind w:left="709"/>
        <w:rPr>
          <w:lang w:val="es-CO"/>
        </w:rPr>
      </w:pPr>
      <w:bookmarkStart w:id="855" w:name="_Toc466009915"/>
      <w:bookmarkStart w:id="856" w:name="_Toc476824942"/>
      <w:bookmarkStart w:id="857" w:name="_Toc505335993"/>
      <w:r w:rsidRPr="004E6CFC">
        <w:t>Inicio y seguimiento del plan de reducción de pérdidas</w:t>
      </w:r>
      <w:bookmarkEnd w:id="855"/>
      <w:bookmarkEnd w:id="856"/>
      <w:bookmarkEnd w:id="857"/>
    </w:p>
    <w:bookmarkEnd w:id="853"/>
    <w:p w:rsidR="00285A2D" w:rsidRPr="004E6CFC" w:rsidRDefault="00285A2D" w:rsidP="00285A2D">
      <w:r w:rsidRPr="004E6CFC">
        <w:t>Para dar inicio a la ejecución del plan de reducción de pérdidas el OR deberá cumplir con los siguientes requisitos:</w:t>
      </w:r>
    </w:p>
    <w:p w:rsidR="00285A2D" w:rsidRPr="004E6CFC" w:rsidRDefault="00285A2D" w:rsidP="00285A2D">
      <w:pPr>
        <w:pStyle w:val="Prrafodelista"/>
        <w:numPr>
          <w:ilvl w:val="0"/>
          <w:numId w:val="58"/>
        </w:numPr>
      </w:pPr>
      <w:r w:rsidRPr="004E6CFC">
        <w:t>Tener en firme la resolución particular de remuneración de su sistema con base en lo establecido en la presente resolución.</w:t>
      </w:r>
    </w:p>
    <w:p w:rsidR="00285A2D" w:rsidRPr="004E6CFC" w:rsidRDefault="00285A2D" w:rsidP="00285A2D">
      <w:pPr>
        <w:pStyle w:val="Prrafodelista"/>
        <w:numPr>
          <w:ilvl w:val="0"/>
          <w:numId w:val="58"/>
        </w:numPr>
      </w:pPr>
      <w:r w:rsidRPr="004E6CFC">
        <w:t xml:space="preserve">Enviar comunicación a la CREG en la que se ratifique su interés en dar inicio a la ejecución del plan y se envíe copia de la publicación del resumen del plan </w:t>
      </w:r>
      <w:r w:rsidRPr="004E6CFC">
        <w:lastRenderedPageBreak/>
        <w:t>realizada, lo anterior dentro de los siete (7) días hábiles siguientes a la fecha en la que quede en firme la resolución particular.</w:t>
      </w:r>
    </w:p>
    <w:p w:rsidR="00285A2D" w:rsidRPr="004E6CFC" w:rsidRDefault="00285A2D" w:rsidP="00285A2D">
      <w:r w:rsidRPr="004E6CFC">
        <w:t>En el mismo plazo, el OR deberá informar a la SSPD, el LAC y a los comercializadores presentes en su mercado el inicio de la ejecución del plan de reducción de pérdidas aprobado para su sistema.</w:t>
      </w:r>
    </w:p>
    <w:p w:rsidR="00285A2D" w:rsidRPr="004E6CFC" w:rsidRDefault="00285A2D" w:rsidP="00285A2D">
      <w:r w:rsidRPr="004E6CFC">
        <w:t xml:space="preserve">Una vez cumplidos los requisitos para dar inicio a la ejecución del plan, el LAC determinará el cargo </w:t>
      </w:r>
      <w:r w:rsidRPr="004E6CFC">
        <w:rPr>
          <w:i/>
        </w:rPr>
        <w:t>CPROG</w:t>
      </w:r>
      <w:r w:rsidRPr="004E6CFC">
        <w:rPr>
          <w:i/>
          <w:vertAlign w:val="subscript"/>
        </w:rPr>
        <w:t>j,m</w:t>
      </w:r>
      <w:r w:rsidRPr="004E6CFC">
        <w:t xml:space="preserve">, según lo establecido en el numeral </w:t>
      </w:r>
      <w:r w:rsidRPr="004E6CFC">
        <w:fldChar w:fldCharType="begin"/>
      </w:r>
      <w:r w:rsidRPr="004E6CFC">
        <w:instrText xml:space="preserve"> REF _Ref460838185 \r \h  \* MERGEFORMAT </w:instrText>
      </w:r>
      <w:r w:rsidRPr="004E6CFC">
        <w:fldChar w:fldCharType="separate"/>
      </w:r>
      <w:r w:rsidR="00737178">
        <w:t>7.3.5.1</w:t>
      </w:r>
      <w:r w:rsidRPr="004E6CFC">
        <w:fldChar w:fldCharType="end"/>
      </w:r>
      <w:r w:rsidRPr="004E6CFC">
        <w:t>, dentro del mes siguiente a la fecha de recibo de la notificación de inicio del plan.</w:t>
      </w:r>
    </w:p>
    <w:p w:rsidR="00285A2D" w:rsidRPr="004E6CFC" w:rsidRDefault="00285A2D" w:rsidP="00285A2D">
      <w:r w:rsidRPr="004E6CFC">
        <w:t xml:space="preserve">La fecha de inicio del plan es el primer día calendario del mes siguiente al de la publicación del </w:t>
      </w:r>
      <w:r w:rsidRPr="004E6CFC">
        <w:rPr>
          <w:i/>
        </w:rPr>
        <w:t>CPROG</w:t>
      </w:r>
      <w:r w:rsidRPr="004E6CFC">
        <w:rPr>
          <w:i/>
          <w:vertAlign w:val="subscript"/>
        </w:rPr>
        <w:t>j,m</w:t>
      </w:r>
      <w:r w:rsidRPr="004E6CFC">
        <w:t xml:space="preserve"> por parte del LAC en su página web.</w:t>
      </w:r>
    </w:p>
    <w:p w:rsidR="00285A2D" w:rsidRPr="004E6CFC" w:rsidRDefault="00285A2D" w:rsidP="00285A2D">
      <w:r w:rsidRPr="004E6CFC">
        <w:t xml:space="preserve">Los comercializadores minoristas deben publicar las tarifas que aplicarán a sus usuarios incluyendo el valor de la variable </w:t>
      </w:r>
      <w:r w:rsidRPr="004E6CFC">
        <w:rPr>
          <w:i/>
        </w:rPr>
        <w:t>CPROG</w:t>
      </w:r>
      <w:r w:rsidRPr="004E6CFC">
        <w:rPr>
          <w:i/>
          <w:vertAlign w:val="subscript"/>
        </w:rPr>
        <w:t>j,m</w:t>
      </w:r>
      <w:r w:rsidRPr="004E6CFC">
        <w:t xml:space="preserve"> calculada por el LAC para el respectivo mercado, dentro del mes de publicación del </w:t>
      </w:r>
      <w:r w:rsidRPr="004E6CFC">
        <w:rPr>
          <w:i/>
        </w:rPr>
        <w:t>CPROG</w:t>
      </w:r>
      <w:r w:rsidRPr="004E6CFC">
        <w:rPr>
          <w:i/>
          <w:vertAlign w:val="subscript"/>
        </w:rPr>
        <w:t>j,m</w:t>
      </w:r>
      <w:r w:rsidRPr="004E6CFC">
        <w:t xml:space="preserve"> por parte del LAC. </w:t>
      </w:r>
    </w:p>
    <w:p w:rsidR="00285A2D" w:rsidRPr="004E6CFC" w:rsidRDefault="00285A2D" w:rsidP="00285A2D">
      <w:r w:rsidRPr="004E6CFC">
        <w:t xml:space="preserve">A los consumos causados con anterioridad a la fecha de inicio del plan no se les puede incluir el cobro de la variable </w:t>
      </w:r>
      <w:r w:rsidRPr="004E6CFC">
        <w:rPr>
          <w:i/>
        </w:rPr>
        <w:t>CPROG</w:t>
      </w:r>
      <w:r w:rsidRPr="004E6CFC">
        <w:rPr>
          <w:i/>
          <w:vertAlign w:val="subscript"/>
        </w:rPr>
        <w:t>j,m</w:t>
      </w:r>
      <w:r w:rsidRPr="004E6CFC">
        <w:t>.</w:t>
      </w:r>
    </w:p>
    <w:p w:rsidR="00285A2D" w:rsidRPr="004E6CFC" w:rsidRDefault="00285A2D" w:rsidP="00285A2D">
      <w:r w:rsidRPr="004E6CFC">
        <w:t xml:space="preserve">Cuando en un mercado de comercialización se encuentre un plan en ejecución y se cambie el OR, el plan aprobado no se modificará por este hecho y el nuevo OR deberá continuar con la ejecución del mismo. El LAC debe calcular y liquidar la variable CPROG sin perjuicio de los balances o ajustes en las cuentas entre el OR entrante y el saliente. </w:t>
      </w:r>
    </w:p>
    <w:bookmarkEnd w:id="854"/>
    <w:p w:rsidR="00285A2D" w:rsidRPr="004E6CFC" w:rsidRDefault="00285A2D" w:rsidP="00285A2D">
      <w:r w:rsidRPr="004E6CFC">
        <w:t>Para la evaluación del cumplimiento de las metas aprobadas se debe realizar el procedimiento de evaluación definido a continuación:</w:t>
      </w:r>
    </w:p>
    <w:p w:rsidR="00285A2D" w:rsidRPr="004E6CFC" w:rsidRDefault="00285A2D" w:rsidP="00285A2D">
      <w:pPr>
        <w:pStyle w:val="Ttulo4"/>
        <w:ind w:left="0" w:firstLine="0"/>
      </w:pPr>
      <w:bookmarkStart w:id="858" w:name="_Ref402532700"/>
      <w:bookmarkStart w:id="859" w:name="_Toc310577399"/>
      <w:r w:rsidRPr="004E6CFC">
        <w:t>Evaluación del cumplimiento del plan.</w:t>
      </w:r>
      <w:bookmarkEnd w:id="858"/>
      <w:bookmarkEnd w:id="859"/>
    </w:p>
    <w:p w:rsidR="00285A2D" w:rsidRPr="004E6CFC" w:rsidRDefault="00285A2D" w:rsidP="00285A2D">
      <w:r w:rsidRPr="004E6CFC">
        <w:t>La evaluación de cumplimiento del plan de reducción consiste en el cálculo de los índices de pérdidas, su divulgación y la aplicación de la siguiente metodología:</w:t>
      </w:r>
      <w:r>
        <w:t xml:space="preserve"> </w:t>
      </w:r>
    </w:p>
    <w:p w:rsidR="00285A2D" w:rsidRPr="004E6CFC" w:rsidRDefault="00285A2D" w:rsidP="00285A2D">
      <w:pPr>
        <w:pStyle w:val="Prrafodelista"/>
        <w:numPr>
          <w:ilvl w:val="0"/>
          <w:numId w:val="82"/>
        </w:numPr>
      </w:pPr>
      <w:r w:rsidRPr="004E6CFC">
        <w:t xml:space="preserve">El LAC calculará, para cada OR, el índice de pérdidas totales, </w:t>
      </w:r>
      <w:r w:rsidRPr="004E6CFC">
        <w:rPr>
          <w:i/>
        </w:rPr>
        <w:t>IPT</w:t>
      </w:r>
      <w:r w:rsidRPr="004E6CFC">
        <w:rPr>
          <w:i/>
          <w:vertAlign w:val="subscript"/>
        </w:rPr>
        <w:t>j,t</w:t>
      </w:r>
      <w:r w:rsidRPr="004E6CFC">
        <w:rPr>
          <w:i/>
        </w:rPr>
        <w:t>,</w:t>
      </w:r>
      <w:r w:rsidRPr="004E6CFC">
        <w:t xml:space="preserve"> conforme a lo establecido en el numeral </w:t>
      </w:r>
      <w:r w:rsidRPr="004E6CFC">
        <w:fldChar w:fldCharType="begin"/>
      </w:r>
      <w:r w:rsidRPr="004E6CFC">
        <w:instrText xml:space="preserve"> REF _Ref476780799 \r \h  \* MERGEFORMAT </w:instrText>
      </w:r>
      <w:r w:rsidRPr="004E6CFC">
        <w:fldChar w:fldCharType="separate"/>
      </w:r>
      <w:r w:rsidR="00737178">
        <w:t>7.1.4.1</w:t>
      </w:r>
      <w:r w:rsidRPr="004E6CFC">
        <w:fldChar w:fldCharType="end"/>
      </w:r>
      <w:r w:rsidRPr="004E6CFC">
        <w:t xml:space="preserve">, dentro de los primeros cinco (5) días hábiles del </w:t>
      </w:r>
      <w:r>
        <w:t>cuarto</w:t>
      </w:r>
      <w:r w:rsidRPr="004E6CFC">
        <w:t xml:space="preserve"> mes posterior a la finalización de cada </w:t>
      </w:r>
      <w:r>
        <w:t>año</w:t>
      </w:r>
      <w:r w:rsidRPr="004E6CFC">
        <w:t>. Los resultados serán publicados por el LAC, junto con las metas aprobadas para cada OR, en su página web al siguiente día de su cálculo.</w:t>
      </w:r>
    </w:p>
    <w:p w:rsidR="00285A2D" w:rsidRPr="004E6CFC" w:rsidRDefault="00285A2D" w:rsidP="00285A2D">
      <w:pPr>
        <w:pStyle w:val="Prrafodelista"/>
        <w:numPr>
          <w:ilvl w:val="0"/>
          <w:numId w:val="82"/>
        </w:numPr>
      </w:pPr>
      <w:r w:rsidRPr="004E6CFC">
        <w:t xml:space="preserve">Los OR tendrán un plazo de cinco (5) días hábiles a partir de la publicación de los resultados para presentar sus observaciones sobre éstos. En este caso el OR deberá enviar al LAC y a la Superintendencia de Servicios Públicos Domiciliarios las pruebas que demuestren los posibles errores de cálculo o que la información utilizada no corresponda con la realidad. </w:t>
      </w:r>
    </w:p>
    <w:p w:rsidR="00285A2D" w:rsidRPr="004E6CFC" w:rsidRDefault="00285A2D" w:rsidP="00285A2D">
      <w:pPr>
        <w:pStyle w:val="Prrafodelista"/>
        <w:numPr>
          <w:ilvl w:val="0"/>
          <w:numId w:val="82"/>
        </w:numPr>
      </w:pPr>
      <w:r w:rsidRPr="004E6CFC">
        <w:t xml:space="preserve">Cuando un OR presente observaciones sobre el cálculo, el LAC resolverá la solicitud y el decimoquinto (15) día hábil del mismo mes publicará los resultados finales de cálculo teniendo en cuenta todas las aclaraciones que se presenten. </w:t>
      </w:r>
    </w:p>
    <w:p w:rsidR="00285A2D" w:rsidRPr="004E6CFC" w:rsidRDefault="00285A2D" w:rsidP="00285A2D">
      <w:pPr>
        <w:pStyle w:val="Prrafodelista"/>
        <w:numPr>
          <w:ilvl w:val="0"/>
          <w:numId w:val="82"/>
        </w:numPr>
      </w:pPr>
      <w:r w:rsidRPr="004E6CFC">
        <w:lastRenderedPageBreak/>
        <w:t xml:space="preserve">Si un OR cumple con las metas, se mantendrá la remuneración aprobada para el siguiente </w:t>
      </w:r>
      <w:r>
        <w:t>año</w:t>
      </w:r>
      <w:r w:rsidRPr="004E6CFC">
        <w:t xml:space="preserve">.  </w:t>
      </w:r>
    </w:p>
    <w:p w:rsidR="00285A2D" w:rsidRPr="004E6CFC" w:rsidRDefault="00285A2D" w:rsidP="00285A2D">
      <w:pPr>
        <w:pStyle w:val="Prrafodelista"/>
        <w:numPr>
          <w:ilvl w:val="0"/>
          <w:numId w:val="82"/>
        </w:numPr>
      </w:pPr>
      <w:bookmarkStart w:id="860" w:name="_Ref276128273"/>
      <w:r w:rsidRPr="004E6CFC">
        <w:t xml:space="preserve">Un OR incumple la ejecución del plan cuando la variable </w:t>
      </w:r>
      <w:r w:rsidRPr="004E6CFC">
        <w:rPr>
          <w:i/>
        </w:rPr>
        <w:t>IPT</w:t>
      </w:r>
      <w:r w:rsidRPr="004E6CFC">
        <w:rPr>
          <w:i/>
          <w:vertAlign w:val="subscript"/>
        </w:rPr>
        <w:t>j,t</w:t>
      </w:r>
      <w:r w:rsidRPr="004E6CFC">
        <w:t xml:space="preserve"> es superior al índice </w:t>
      </w:r>
      <w:r w:rsidRPr="004E6CFC">
        <w:rPr>
          <w:i/>
        </w:rPr>
        <w:t>IPTS</w:t>
      </w:r>
      <w:r w:rsidRPr="004E6CFC">
        <w:rPr>
          <w:i/>
          <w:vertAlign w:val="subscript"/>
        </w:rPr>
        <w:t>j,t</w:t>
      </w:r>
      <w:r w:rsidRPr="004E6CFC">
        <w:t xml:space="preserve"> aprobado</w:t>
      </w:r>
      <w:bookmarkEnd w:id="860"/>
      <w:r w:rsidRPr="004E6CFC">
        <w:t xml:space="preserve"> para el período correspondiente.</w:t>
      </w:r>
    </w:p>
    <w:p w:rsidR="00285A2D" w:rsidRPr="004E6CFC" w:rsidRDefault="00285A2D" w:rsidP="00285A2D">
      <w:pPr>
        <w:pStyle w:val="Prrafodelista"/>
        <w:numPr>
          <w:ilvl w:val="0"/>
          <w:numId w:val="82"/>
        </w:numPr>
      </w:pPr>
      <w:r w:rsidRPr="004E6CFC">
        <w:t>La suspensión de la remuneración del plan a un OR no implica la cancelación de la ejecución del plan y el LAC continuará calculando los índices que le correspondan.</w:t>
      </w:r>
    </w:p>
    <w:p w:rsidR="00285A2D" w:rsidRPr="004E6CFC" w:rsidRDefault="00285A2D" w:rsidP="00285A2D">
      <w:pPr>
        <w:pStyle w:val="Prrafodelista"/>
        <w:numPr>
          <w:ilvl w:val="0"/>
          <w:numId w:val="82"/>
        </w:numPr>
      </w:pPr>
      <w:r w:rsidRPr="004E6CFC">
        <w:t xml:space="preserve">Cuando un incumplimiento ocurra en el quinto </w:t>
      </w:r>
      <w:r>
        <w:t>año</w:t>
      </w:r>
      <w:r w:rsidRPr="004E6CFC">
        <w:t xml:space="preserve">, el LAC calculará el </w:t>
      </w:r>
      <w:r w:rsidRPr="004E6CFC">
        <w:rPr>
          <w:i/>
        </w:rPr>
        <w:t>IPT</w:t>
      </w:r>
      <w:r w:rsidRPr="004E6CFC">
        <w:rPr>
          <w:i/>
          <w:vertAlign w:val="subscript"/>
        </w:rPr>
        <w:t>j,t</w:t>
      </w:r>
      <w:r w:rsidRPr="004E6CFC">
        <w:t xml:space="preserve"> para el siguiente </w:t>
      </w:r>
      <w:r>
        <w:t>año</w:t>
      </w:r>
      <w:r w:rsidRPr="004E6CFC">
        <w:t xml:space="preserve">. Si el índice </w:t>
      </w:r>
      <w:r w:rsidRPr="004E6CFC">
        <w:rPr>
          <w:i/>
        </w:rPr>
        <w:t>IPT</w:t>
      </w:r>
      <w:r w:rsidRPr="004E6CFC">
        <w:rPr>
          <w:i/>
          <w:vertAlign w:val="subscript"/>
        </w:rPr>
        <w:t>j,t</w:t>
      </w:r>
      <w:r w:rsidRPr="004E6CFC">
        <w:t xml:space="preserve"> del sexto </w:t>
      </w:r>
      <w:r>
        <w:t>año</w:t>
      </w:r>
      <w:r w:rsidRPr="004E6CFC">
        <w:t xml:space="preserve"> no cumple con la meta establecida para el quinto </w:t>
      </w:r>
      <w:r>
        <w:t>año</w:t>
      </w:r>
      <w:r w:rsidRPr="004E6CFC">
        <w:t xml:space="preserve">, el OR devolverá los recursos recibidos durante el quinto </w:t>
      </w:r>
      <w:r>
        <w:t>año</w:t>
      </w:r>
      <w:r w:rsidRPr="004E6CFC">
        <w:t xml:space="preserve">, según lo establecido en el numeral </w:t>
      </w:r>
      <w:r w:rsidRPr="004E6CFC">
        <w:fldChar w:fldCharType="begin"/>
      </w:r>
      <w:r w:rsidRPr="004E6CFC">
        <w:instrText xml:space="preserve"> REF _Ref402724714 \r \h  \* MERGEFORMAT </w:instrText>
      </w:r>
      <w:r w:rsidRPr="004E6CFC">
        <w:fldChar w:fldCharType="separate"/>
      </w:r>
      <w:r w:rsidR="00737178">
        <w:t>7.3.6.4</w:t>
      </w:r>
      <w:r w:rsidRPr="004E6CFC">
        <w:fldChar w:fldCharType="end"/>
      </w:r>
      <w:r w:rsidRPr="004E6CFC">
        <w:t xml:space="preserve">.  </w:t>
      </w:r>
    </w:p>
    <w:p w:rsidR="00285A2D" w:rsidRPr="004E6CFC" w:rsidRDefault="00285A2D" w:rsidP="00285A2D">
      <w:pPr>
        <w:pStyle w:val="Prrafodelista"/>
        <w:numPr>
          <w:ilvl w:val="0"/>
          <w:numId w:val="82"/>
        </w:numPr>
      </w:pPr>
      <w:bookmarkStart w:id="861" w:name="_Ref296351746"/>
      <w:r w:rsidRPr="004E6CFC">
        <w:t xml:space="preserve">Si al finalizar el </w:t>
      </w:r>
      <w:r>
        <w:t>año</w:t>
      </w:r>
      <w:r w:rsidRPr="004E6CFC">
        <w:t xml:space="preserve"> siguiente al de la suspensión de la remuneración se encuentra que el OR cumple con la meta aprobada para ese período, se levantará la suspensión del plan y se re</w:t>
      </w:r>
      <w:r>
        <w:t>anudará</w:t>
      </w:r>
      <w:r w:rsidRPr="004E6CFC">
        <w:t xml:space="preserve"> la remuneración del plan al OR. </w:t>
      </w:r>
    </w:p>
    <w:p w:rsidR="00285A2D" w:rsidRPr="004E6CFC" w:rsidRDefault="00285A2D" w:rsidP="00285A2D">
      <w:pPr>
        <w:pStyle w:val="Prrafodelista"/>
        <w:numPr>
          <w:ilvl w:val="0"/>
          <w:numId w:val="82"/>
        </w:numPr>
      </w:pPr>
      <w:bookmarkStart w:id="862" w:name="_Ref305751799"/>
      <w:r w:rsidRPr="004E6CFC">
        <w:t xml:space="preserve">Si al finalizar el </w:t>
      </w:r>
      <w:r>
        <w:t>año</w:t>
      </w:r>
      <w:r w:rsidRPr="004E6CFC">
        <w:t xml:space="preserve"> siguiente al de la suspensión de la remuneración se encuentra que el OR no cumple con la meta aprobada para ese período, se cancelará la ejecución del plan y el OR debe devolver los ingresos recibidos, conforme a lo establecido en el numeral </w:t>
      </w:r>
      <w:r w:rsidRPr="004E6CFC">
        <w:fldChar w:fldCharType="begin"/>
      </w:r>
      <w:r w:rsidRPr="004E6CFC">
        <w:instrText xml:space="preserve"> REF _Ref402724714 \r \h  \* MERGEFORMAT </w:instrText>
      </w:r>
      <w:r w:rsidRPr="004E6CFC">
        <w:fldChar w:fldCharType="separate"/>
      </w:r>
      <w:r w:rsidR="00737178">
        <w:t>7.3.6.4</w:t>
      </w:r>
      <w:r w:rsidRPr="004E6CFC">
        <w:fldChar w:fldCharType="end"/>
      </w:r>
      <w:r w:rsidRPr="004E6CFC">
        <w:t xml:space="preserve"> según corresponda.</w:t>
      </w:r>
      <w:bookmarkEnd w:id="861"/>
      <w:bookmarkEnd w:id="862"/>
    </w:p>
    <w:p w:rsidR="00285A2D" w:rsidRPr="004E6CFC" w:rsidRDefault="00285A2D" w:rsidP="00285A2D">
      <w:pPr>
        <w:pStyle w:val="Prrafodelista"/>
        <w:numPr>
          <w:ilvl w:val="0"/>
          <w:numId w:val="82"/>
        </w:numPr>
      </w:pPr>
      <w:r w:rsidRPr="004E6CFC">
        <w:t xml:space="preserve">Cuando, durante la vigencia del plan y hasta un año posterior a su finalización, un Comercializador incumbente modifique los reportes de ventas de energía en el SUI, el LAC deberá recalcular los índices de pérdidas totales a partir de los periodos en que se cambiaron datos, </w:t>
      </w:r>
      <w:r w:rsidRPr="004E6CFC">
        <w:rPr>
          <w:i/>
        </w:rPr>
        <w:t>IPT</w:t>
      </w:r>
      <w:r w:rsidRPr="004E6CFC">
        <w:rPr>
          <w:i/>
          <w:vertAlign w:val="subscript"/>
        </w:rPr>
        <w:t>j,t</w:t>
      </w:r>
      <w:r w:rsidRPr="004E6CFC">
        <w:rPr>
          <w:i/>
        </w:rPr>
        <w:t>,</w:t>
      </w:r>
      <w:r w:rsidRPr="004E6CFC">
        <w:t xml:space="preserve"> conforme a lo establecido en el numeral </w:t>
      </w:r>
      <w:r w:rsidRPr="004E6CFC">
        <w:fldChar w:fldCharType="begin"/>
      </w:r>
      <w:r w:rsidRPr="004E6CFC">
        <w:instrText xml:space="preserve"> REF _Ref476780799 \r \h  \* MERGEFORMAT </w:instrText>
      </w:r>
      <w:r w:rsidRPr="004E6CFC">
        <w:fldChar w:fldCharType="separate"/>
      </w:r>
      <w:r w:rsidR="00737178">
        <w:t>7.1.4.1</w:t>
      </w:r>
      <w:r w:rsidRPr="004E6CFC">
        <w:fldChar w:fldCharType="end"/>
      </w:r>
      <w:r w:rsidRPr="004E6CFC">
        <w:t xml:space="preserve">, teniendo en cuenta la nueva información. </w:t>
      </w:r>
    </w:p>
    <w:p w:rsidR="00285A2D" w:rsidRPr="004E6CFC" w:rsidRDefault="00285A2D" w:rsidP="00285A2D">
      <w:pPr>
        <w:ind w:left="360"/>
      </w:pPr>
      <w:r w:rsidRPr="004E6CFC">
        <w:t xml:space="preserve">En este caso, si con los índices resultantes del cálculo con la nueva información del SUI de que trata el párrafo anterior un OR incumple con las metas de algún </w:t>
      </w:r>
      <w:r>
        <w:t>año</w:t>
      </w:r>
      <w:r w:rsidRPr="004E6CFC">
        <w:t xml:space="preserve">, el OR debe reintegrar los recursos recibidos durante los periodos de incumplimiento conforme a lo señalado en el numeral </w:t>
      </w:r>
      <w:r w:rsidRPr="004E6CFC">
        <w:fldChar w:fldCharType="begin"/>
      </w:r>
      <w:r w:rsidRPr="004E6CFC">
        <w:instrText xml:space="preserve"> REF _Ref402721170 \r \h  \* MERGEFORMAT </w:instrText>
      </w:r>
      <w:r w:rsidRPr="004E6CFC">
        <w:fldChar w:fldCharType="separate"/>
      </w:r>
      <w:r w:rsidR="00737178">
        <w:t>7.3.6</w:t>
      </w:r>
      <w:r w:rsidRPr="004E6CFC">
        <w:fldChar w:fldCharType="end"/>
      </w:r>
      <w:r w:rsidRPr="004E6CFC">
        <w:t>.</w:t>
      </w:r>
    </w:p>
    <w:p w:rsidR="00285A2D" w:rsidRPr="004E6CFC" w:rsidRDefault="00285A2D" w:rsidP="00285A2D">
      <w:pPr>
        <w:pStyle w:val="Ttulo4"/>
        <w:ind w:left="0" w:firstLine="0"/>
      </w:pPr>
      <w:bookmarkStart w:id="863" w:name="_Toc310577400"/>
      <w:r w:rsidRPr="004E6CFC">
        <w:t>Modificación de metas</w:t>
      </w:r>
      <w:bookmarkEnd w:id="863"/>
    </w:p>
    <w:p w:rsidR="00285A2D" w:rsidRPr="004E6CFC" w:rsidRDefault="00285A2D" w:rsidP="00285A2D">
      <w:r w:rsidRPr="004E6CFC">
        <w:t>El OR podrá solicitar el ajuste de las metas aprobadas, bajo las siguientes condiciones:</w:t>
      </w:r>
    </w:p>
    <w:p w:rsidR="00285A2D" w:rsidRPr="004E6CFC" w:rsidRDefault="00285A2D" w:rsidP="00285A2D">
      <w:pPr>
        <w:pStyle w:val="Prrafodelista"/>
        <w:numPr>
          <w:ilvl w:val="0"/>
          <w:numId w:val="9"/>
        </w:numPr>
        <w:ind w:left="360"/>
      </w:pPr>
      <w:r w:rsidRPr="004E6CFC">
        <w:t xml:space="preserve">Se puede solicitar el ajuste de la meta final una sola vez durante el periodo de ejecución del plan. Esta solicitud deberá presentarse a la CREG a más tardar (3) tres meses antes de la finalización del tercer periodo de evaluación. </w:t>
      </w:r>
    </w:p>
    <w:p w:rsidR="00285A2D" w:rsidRPr="004E6CFC" w:rsidRDefault="00285A2D" w:rsidP="00285A2D">
      <w:pPr>
        <w:pStyle w:val="Prrafodelista"/>
        <w:numPr>
          <w:ilvl w:val="0"/>
          <w:numId w:val="9"/>
        </w:numPr>
        <w:ind w:left="360"/>
      </w:pPr>
      <w:r w:rsidRPr="004E6CFC">
        <w:t xml:space="preserve">La modificación de la meta final conlleva a un ajuste en la remuneración del plan aprobada inicialmente al OR. </w:t>
      </w:r>
    </w:p>
    <w:p w:rsidR="00285A2D" w:rsidRPr="004E6CFC" w:rsidRDefault="00285A2D" w:rsidP="00285A2D">
      <w:pPr>
        <w:ind w:left="360"/>
      </w:pPr>
      <w:r w:rsidRPr="004E6CFC">
        <w:t xml:space="preserve">Cuando el índice final solicitado sea superior al aprobado, el plan será objeto de reliquidación y ajuste. En caso de ser aprobado el cambio, para el cálculo del nuevo </w:t>
      </w:r>
      <w:r w:rsidRPr="004E6CFC">
        <w:rPr>
          <w:i/>
        </w:rPr>
        <w:t>CAP</w:t>
      </w:r>
      <w:r w:rsidRPr="004E6CFC">
        <w:rPr>
          <w:i/>
          <w:vertAlign w:val="subscript"/>
        </w:rPr>
        <w:t>j</w:t>
      </w:r>
      <w:r w:rsidRPr="004E6CFC">
        <w:t xml:space="preserve">, la CREG restará los recursos recibidos hasta el momento de la solicitud y los proyectados a recibir durante los tres (3) meses siguientes a la solicitud de la variable </w:t>
      </w:r>
      <w:r w:rsidRPr="004E6CFC">
        <w:rPr>
          <w:i/>
        </w:rPr>
        <w:t>CTP</w:t>
      </w:r>
      <w:r w:rsidRPr="004E6CFC">
        <w:rPr>
          <w:i/>
          <w:vertAlign w:val="subscript"/>
        </w:rPr>
        <w:t xml:space="preserve">j  </w:t>
      </w:r>
      <w:r w:rsidRPr="004E6CFC">
        <w:t xml:space="preserve">inicialmente aprobada. El índice final solicitado no deberá ser superior o igual al último índice de pérdidas calculado. El nuevo </w:t>
      </w:r>
      <w:r w:rsidRPr="004E6CFC">
        <w:rPr>
          <w:i/>
        </w:rPr>
        <w:lastRenderedPageBreak/>
        <w:t>CAP</w:t>
      </w:r>
      <w:r w:rsidRPr="004E6CFC">
        <w:rPr>
          <w:i/>
          <w:vertAlign w:val="subscript"/>
        </w:rPr>
        <w:t>j</w:t>
      </w:r>
      <w:r w:rsidRPr="004E6CFC">
        <w:t xml:space="preserve"> estará vigente entre el momento de aprobación y el tiempo restante para el cumplimiento total de los cinco (5) años del plan.</w:t>
      </w:r>
    </w:p>
    <w:p w:rsidR="00285A2D" w:rsidRPr="004E6CFC" w:rsidRDefault="00285A2D" w:rsidP="00285A2D">
      <w:pPr>
        <w:ind w:left="360"/>
      </w:pPr>
      <w:r w:rsidRPr="004E6CFC">
        <w:t xml:space="preserve">Cuando el índice final solicitado sea inferior al aprobado, el plan será objeto de ajuste. El nuevo </w:t>
      </w:r>
      <w:r w:rsidRPr="004E6CFC">
        <w:rPr>
          <w:i/>
        </w:rPr>
        <w:t>CAP</w:t>
      </w:r>
      <w:r w:rsidRPr="004E6CFC">
        <w:rPr>
          <w:i/>
          <w:vertAlign w:val="subscript"/>
        </w:rPr>
        <w:t>j</w:t>
      </w:r>
      <w:r w:rsidRPr="004E6CFC">
        <w:t xml:space="preserve"> estará vigente entre el momento de aprobación y el tiempo restante </w:t>
      </w:r>
      <w:r w:rsidR="00D939A2" w:rsidRPr="004E6CFC">
        <w:t>para el</w:t>
      </w:r>
      <w:r w:rsidRPr="004E6CFC">
        <w:t xml:space="preserve"> cumplimiento total de los cinco (5) años del plan sin que se hagan reconocimientos retroactivos por causa de que el nuevo </w:t>
      </w:r>
      <w:r w:rsidRPr="004E6CFC">
        <w:rPr>
          <w:i/>
        </w:rPr>
        <w:t>CAP</w:t>
      </w:r>
      <w:r w:rsidRPr="004E6CFC">
        <w:rPr>
          <w:i/>
          <w:vertAlign w:val="subscript"/>
        </w:rPr>
        <w:t>j</w:t>
      </w:r>
      <w:r w:rsidRPr="004E6CFC">
        <w:t xml:space="preserve"> sea mayor que el aprobado inicialmente.</w:t>
      </w:r>
    </w:p>
    <w:p w:rsidR="00285A2D" w:rsidRPr="004E6CFC" w:rsidRDefault="00285A2D" w:rsidP="00285A2D">
      <w:pPr>
        <w:pStyle w:val="Prrafodelista"/>
        <w:numPr>
          <w:ilvl w:val="0"/>
          <w:numId w:val="9"/>
        </w:numPr>
        <w:ind w:left="360"/>
      </w:pPr>
      <w:r w:rsidRPr="004E6CFC">
        <w:t xml:space="preserve">Se puede solicitar el ajuste de las metas intermedias sólo una vez durante el periodo de ejecución del plan, siempre que se mantengan las condiciones vigentes aprobadas, valor final de pérdidas y periodo para alcanzarla. Las nuevas metas intermedias no deberán ser superiores o iguales al último índice de pérdidas calculado y deberán tener en cuenta la restricción definida en el numeral </w:t>
      </w:r>
      <w:r w:rsidRPr="004E6CFC">
        <w:fldChar w:fldCharType="begin"/>
      </w:r>
      <w:r w:rsidRPr="004E6CFC">
        <w:instrText xml:space="preserve"> REF _Ref461095126 \r \h  \* MERGEFORMAT </w:instrText>
      </w:r>
      <w:r w:rsidRPr="004E6CFC">
        <w:fldChar w:fldCharType="separate"/>
      </w:r>
      <w:r w:rsidR="00737178">
        <w:t>7.3.1.1</w:t>
      </w:r>
      <w:r w:rsidRPr="004E6CFC">
        <w:fldChar w:fldCharType="end"/>
      </w:r>
      <w:r w:rsidRPr="004E6CFC">
        <w:t xml:space="preserve">.  </w:t>
      </w:r>
    </w:p>
    <w:p w:rsidR="00285A2D" w:rsidRPr="004E6CFC" w:rsidRDefault="00285A2D" w:rsidP="00285A2D">
      <w:pPr>
        <w:pStyle w:val="Prrafodelista"/>
        <w:numPr>
          <w:ilvl w:val="0"/>
          <w:numId w:val="9"/>
        </w:numPr>
        <w:ind w:left="360"/>
      </w:pPr>
      <w:r w:rsidRPr="004E6CFC">
        <w:t>La modificación de las metas intermedias no conlleva a un ajuste del costo anual del plan aprobado.</w:t>
      </w:r>
    </w:p>
    <w:p w:rsidR="00285A2D" w:rsidRPr="004E6CFC" w:rsidRDefault="00285A2D" w:rsidP="00285A2D">
      <w:pPr>
        <w:pStyle w:val="Prrafodelista"/>
        <w:numPr>
          <w:ilvl w:val="0"/>
          <w:numId w:val="9"/>
        </w:numPr>
        <w:ind w:left="360"/>
      </w:pPr>
      <w:r w:rsidRPr="004E6CFC">
        <w:t>En cualquier caso, para solicitar el ajuste en las metas, intermedias o finales, el OR debe haber cumplido con la meta correspondiente al periodo de evaluación inmediatamente anterior al de la solicitud.</w:t>
      </w:r>
    </w:p>
    <w:p w:rsidR="00285A2D" w:rsidRPr="004E6CFC" w:rsidRDefault="00285A2D" w:rsidP="00285A2D">
      <w:pPr>
        <w:pStyle w:val="Prrafodelista"/>
        <w:numPr>
          <w:ilvl w:val="0"/>
          <w:numId w:val="9"/>
        </w:numPr>
        <w:ind w:left="360"/>
      </w:pPr>
      <w:r w:rsidRPr="004E6CFC">
        <w:t>El OR deberá sustentar en su solicitud los motivos de ajuste de las metas.</w:t>
      </w:r>
    </w:p>
    <w:p w:rsidR="00285A2D" w:rsidRPr="004E6CFC" w:rsidRDefault="00285A2D" w:rsidP="00285A2D">
      <w:pPr>
        <w:pStyle w:val="Prrafodelista"/>
        <w:numPr>
          <w:ilvl w:val="0"/>
          <w:numId w:val="9"/>
        </w:numPr>
        <w:ind w:left="360"/>
      </w:pPr>
      <w:r w:rsidRPr="004E6CFC">
        <w:t>La CREG revisará la sustentación de ajuste de las metas presentada por el OR y realizará el procedimiento de evaluación y aprobación de las nuevas metas.</w:t>
      </w:r>
    </w:p>
    <w:p w:rsidR="00285A2D" w:rsidRDefault="00285A2D" w:rsidP="00285A2D">
      <w:pPr>
        <w:pStyle w:val="Ttulo3"/>
        <w:ind w:left="709"/>
      </w:pPr>
      <w:bookmarkStart w:id="864" w:name="_Toc406406217"/>
      <w:bookmarkStart w:id="865" w:name="_Toc408493212"/>
      <w:bookmarkStart w:id="866" w:name="_Toc443655745"/>
      <w:bookmarkStart w:id="867" w:name="_Toc445214135"/>
      <w:bookmarkStart w:id="868" w:name="_Toc466009916"/>
      <w:bookmarkStart w:id="869" w:name="_Toc476824943"/>
      <w:bookmarkStart w:id="870" w:name="_Toc505335994"/>
      <w:r w:rsidRPr="004E6CFC">
        <w:t xml:space="preserve">Liquidación, Recaudo y Actualización del </w:t>
      </w:r>
      <w:r w:rsidRPr="00863432">
        <w:rPr>
          <w:i/>
        </w:rPr>
        <w:t>CPROG</w:t>
      </w:r>
      <w:r w:rsidRPr="00863432">
        <w:rPr>
          <w:i/>
          <w:vertAlign w:val="subscript"/>
        </w:rPr>
        <w:t>j,m</w:t>
      </w:r>
      <w:r w:rsidRPr="004E6CFC">
        <w:t>.</w:t>
      </w:r>
      <w:bookmarkEnd w:id="864"/>
      <w:bookmarkEnd w:id="865"/>
      <w:bookmarkEnd w:id="866"/>
      <w:bookmarkEnd w:id="867"/>
      <w:bookmarkEnd w:id="868"/>
      <w:bookmarkEnd w:id="869"/>
      <w:bookmarkEnd w:id="870"/>
      <w:r w:rsidRPr="004E6CFC">
        <w:t xml:space="preserve"> </w:t>
      </w:r>
    </w:p>
    <w:p w:rsidR="00285A2D" w:rsidRPr="00BD763E" w:rsidRDefault="00285A2D" w:rsidP="00285A2D">
      <w:pPr>
        <w:rPr>
          <w:lang w:val="es-ES_tradnl"/>
        </w:rPr>
      </w:pPr>
      <w:r w:rsidRPr="00BD763E">
        <w:rPr>
          <w:lang w:val="es-ES_tradnl"/>
        </w:rPr>
        <w:t>Los cargos por concepto de remuneración de los planes de pérdidas serán actualizados y liquidados por el LAC y facturados y recaudados por los OR a los comercializadores que atienden usuarios en su mercado de comercialización, siguiendo las siguientes disposiciones</w:t>
      </w:r>
    </w:p>
    <w:p w:rsidR="00285A2D" w:rsidRPr="004E6CFC" w:rsidRDefault="00285A2D" w:rsidP="00285A2D">
      <w:pPr>
        <w:pStyle w:val="Ttulo4"/>
        <w:ind w:left="0" w:firstLine="0"/>
      </w:pPr>
      <w:bookmarkStart w:id="871" w:name="_Toc310577372"/>
      <w:bookmarkStart w:id="872" w:name="_Ref296602349"/>
      <w:bookmarkStart w:id="873" w:name="_Ref445113777"/>
      <w:bookmarkStart w:id="874" w:name="_Ref460838185"/>
      <w:r w:rsidRPr="004E6CFC">
        <w:t>Determinación del cargo mensual</w:t>
      </w:r>
      <w:bookmarkEnd w:id="871"/>
      <w:bookmarkEnd w:id="872"/>
      <w:bookmarkEnd w:id="873"/>
      <w:bookmarkEnd w:id="874"/>
    </w:p>
    <w:p w:rsidR="00285A2D" w:rsidRPr="004E6CFC" w:rsidRDefault="00285A2D" w:rsidP="00285A2D">
      <w:r w:rsidRPr="004E6CFC">
        <w:t>El cargo que debe ser cobrado a los usuarios finales en cada mercado de comercialización será calculado y publicado por el LAC los primeros siete (7) días de cada mes, de la siguiente manera:</w:t>
      </w:r>
    </w:p>
    <w:p w:rsidR="00285A2D" w:rsidRPr="004E6CFC" w:rsidRDefault="00C9592F" w:rsidP="00285A2D">
      <w:pPr>
        <w:jc w:val="center"/>
      </w:pPr>
      <m:oMathPara>
        <m:oMath>
          <m:sSub>
            <m:sSubPr>
              <m:ctrlPr>
                <w:rPr>
                  <w:rFonts w:ascii="Cambria Math" w:hAnsi="Cambria Math"/>
                  <w:sz w:val="22"/>
                  <w:szCs w:val="22"/>
                </w:rPr>
              </m:ctrlPr>
            </m:sSubPr>
            <m:e>
              <m:r>
                <w:rPr>
                  <w:rFonts w:ascii="Cambria Math" w:hAnsi="Cambria Math"/>
                  <w:sz w:val="22"/>
                  <w:szCs w:val="22"/>
                </w:rPr>
                <m:t>CPROG</m:t>
              </m:r>
            </m:e>
            <m:sub>
              <m:r>
                <w:rPr>
                  <w:rFonts w:ascii="Cambria Math" w:hAnsi="Cambria Math"/>
                  <w:sz w:val="22"/>
                  <w:szCs w:val="22"/>
                </w:rPr>
                <m:t>j</m:t>
              </m:r>
              <m:r>
                <m:rPr>
                  <m:sty m:val="p"/>
                </m:rPr>
                <w:rPr>
                  <w:rFonts w:ascii="Cambria Math" w:hAnsi="Cambria Math"/>
                  <w:sz w:val="22"/>
                  <w:szCs w:val="22"/>
                </w:rPr>
                <m:t>,</m:t>
              </m:r>
              <m:r>
                <w:rPr>
                  <w:rFonts w:ascii="Cambria Math" w:hAnsi="Cambria Math"/>
                  <w:sz w:val="22"/>
                  <w:szCs w:val="22"/>
                </w:rPr>
                <m:t>m</m:t>
              </m:r>
            </m:sub>
          </m:sSub>
          <m:r>
            <m:rPr>
              <m:sty m:val="p"/>
            </m:rPr>
            <w:rPr>
              <w:rFonts w:ascii="Cambria Math" w:hAnsi="Cambria Math"/>
              <w:sz w:val="22"/>
              <w:szCs w:val="22"/>
            </w:rPr>
            <m:t>=</m:t>
          </m:r>
          <m:f>
            <m:fPr>
              <m:ctrlPr>
                <w:rPr>
                  <w:rFonts w:ascii="Cambria Math" w:hAnsi="Cambria Math"/>
                  <w:i/>
                  <w:sz w:val="22"/>
                  <w:szCs w:val="22"/>
                </w:rPr>
              </m:ctrlPr>
            </m:fPr>
            <m:num>
              <m:sSub>
                <m:sSubPr>
                  <m:ctrlPr>
                    <w:rPr>
                      <w:rFonts w:ascii="Cambria Math" w:hAnsi="Cambria Math"/>
                      <w:i/>
                      <w:sz w:val="22"/>
                      <w:szCs w:val="22"/>
                    </w:rPr>
                  </m:ctrlPr>
                </m:sSubPr>
                <m:e>
                  <m:r>
                    <w:rPr>
                      <w:rFonts w:ascii="Cambria Math" w:hAnsi="Cambria Math"/>
                      <w:sz w:val="22"/>
                      <w:szCs w:val="22"/>
                    </w:rPr>
                    <m:t>CAP</m:t>
                  </m:r>
                </m:e>
                <m:sub>
                  <m:r>
                    <w:rPr>
                      <w:rFonts w:ascii="Cambria Math" w:hAnsi="Cambria Math"/>
                      <w:sz w:val="22"/>
                      <w:szCs w:val="22"/>
                    </w:rPr>
                    <m:t>j</m:t>
                  </m:r>
                </m:sub>
              </m:sSub>
            </m:num>
            <m:den>
              <m:sSub>
                <m:sSubPr>
                  <m:ctrlPr>
                    <w:rPr>
                      <w:rFonts w:ascii="Cambria Math" w:hAnsi="Cambria Math"/>
                      <w:i/>
                      <w:sz w:val="22"/>
                      <w:szCs w:val="22"/>
                    </w:rPr>
                  </m:ctrlPr>
                </m:sSubPr>
                <m:e>
                  <m:nary>
                    <m:naryPr>
                      <m:chr m:val="∑"/>
                      <m:limLoc m:val="undOvr"/>
                      <m:ctrlPr>
                        <w:rPr>
                          <w:rFonts w:ascii="Cambria Math" w:hAnsi="Cambria Math"/>
                          <w:i/>
                          <w:sz w:val="22"/>
                          <w:szCs w:val="22"/>
                        </w:rPr>
                      </m:ctrlPr>
                    </m:naryPr>
                    <m:sub>
                      <m:r>
                        <w:rPr>
                          <w:rFonts w:ascii="Cambria Math" w:hAnsi="Cambria Math"/>
                          <w:sz w:val="22"/>
                          <w:szCs w:val="22"/>
                        </w:rPr>
                        <m:t>m=-14</m:t>
                      </m:r>
                    </m:sub>
                    <m:sup>
                      <m:r>
                        <w:rPr>
                          <w:rFonts w:ascii="Cambria Math" w:hAnsi="Cambria Math"/>
                          <w:sz w:val="22"/>
                          <w:szCs w:val="22"/>
                        </w:rPr>
                        <m:t>m-3</m:t>
                      </m:r>
                    </m:sup>
                    <m:e>
                      <m:r>
                        <w:rPr>
                          <w:rFonts w:ascii="Cambria Math" w:hAnsi="Cambria Math"/>
                          <w:sz w:val="22"/>
                          <w:szCs w:val="22"/>
                        </w:rPr>
                        <m:t>VSTN</m:t>
                      </m:r>
                    </m:e>
                  </m:nary>
                </m:e>
                <m:sub>
                  <m:r>
                    <w:rPr>
                      <w:rFonts w:ascii="Cambria Math" w:hAnsi="Cambria Math"/>
                      <w:sz w:val="22"/>
                      <w:szCs w:val="22"/>
                    </w:rPr>
                    <m:t>j,m</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VCP</m:t>
                  </m:r>
                </m:e>
                <m:sub>
                  <m:r>
                    <w:rPr>
                      <w:rFonts w:ascii="Cambria Math" w:hAnsi="Cambria Math"/>
                      <w:sz w:val="22"/>
                      <w:szCs w:val="22"/>
                    </w:rPr>
                    <m:t>j</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VCI</m:t>
                  </m:r>
                </m:e>
                <m:sub>
                  <m:r>
                    <w:rPr>
                      <w:rFonts w:ascii="Cambria Math" w:hAnsi="Cambria Math"/>
                      <w:sz w:val="22"/>
                      <w:szCs w:val="22"/>
                    </w:rPr>
                    <m:t>j</m:t>
                  </m:r>
                </m:sub>
              </m:sSub>
            </m:den>
          </m:f>
          <m:r>
            <m:rPr>
              <m:sty m:val="p"/>
            </m:rPr>
            <w:rPr>
              <w:rFonts w:ascii="Cambria Math" w:hAnsi="Cambria Math"/>
              <w:sz w:val="22"/>
              <w:szCs w:val="22"/>
            </w:rPr>
            <m:t>*</m:t>
          </m:r>
          <m:f>
            <m:fPr>
              <m:ctrlPr>
                <w:rPr>
                  <w:rFonts w:ascii="Cambria Math" w:hAnsi="Cambria Math"/>
                  <w:sz w:val="22"/>
                  <w:szCs w:val="22"/>
                </w:rPr>
              </m:ctrlPr>
            </m:fPr>
            <m:num>
              <m:sSub>
                <m:sSubPr>
                  <m:ctrlPr>
                    <w:rPr>
                      <w:rFonts w:ascii="Cambria Math" w:hAnsi="Cambria Math"/>
                      <w:sz w:val="22"/>
                      <w:szCs w:val="22"/>
                    </w:rPr>
                  </m:ctrlPr>
                </m:sSubPr>
                <m:e>
                  <m:r>
                    <w:rPr>
                      <w:rFonts w:ascii="Cambria Math" w:hAnsi="Cambria Math"/>
                      <w:sz w:val="22"/>
                      <w:szCs w:val="22"/>
                    </w:rPr>
                    <m:t>IPP</m:t>
                  </m:r>
                </m:e>
                <m:sub>
                  <m:r>
                    <w:rPr>
                      <w:rFonts w:ascii="Cambria Math" w:hAnsi="Cambria Math"/>
                      <w:sz w:val="22"/>
                      <w:szCs w:val="22"/>
                    </w:rPr>
                    <m:t>m</m:t>
                  </m:r>
                  <m:r>
                    <m:rPr>
                      <m:sty m:val="p"/>
                    </m:rPr>
                    <w:rPr>
                      <w:rFonts w:ascii="Cambria Math" w:hAnsi="Cambria Math"/>
                      <w:sz w:val="22"/>
                      <w:szCs w:val="22"/>
                    </w:rPr>
                    <m:t>-2</m:t>
                  </m:r>
                </m:sub>
              </m:sSub>
            </m:num>
            <m:den>
              <m:sSub>
                <m:sSubPr>
                  <m:ctrlPr>
                    <w:rPr>
                      <w:rFonts w:ascii="Cambria Math" w:hAnsi="Cambria Math"/>
                      <w:sz w:val="22"/>
                      <w:szCs w:val="22"/>
                    </w:rPr>
                  </m:ctrlPr>
                </m:sSubPr>
                <m:e>
                  <m:r>
                    <w:rPr>
                      <w:rFonts w:ascii="Cambria Math" w:hAnsi="Cambria Math"/>
                      <w:sz w:val="22"/>
                      <w:szCs w:val="22"/>
                    </w:rPr>
                    <m:t>IPP</m:t>
                  </m:r>
                </m:e>
                <m:sub>
                  <m:r>
                    <m:rPr>
                      <m:sty m:val="p"/>
                    </m:rPr>
                    <w:rPr>
                      <w:rFonts w:ascii="Cambria Math" w:hAnsi="Cambria Math"/>
                      <w:sz w:val="22"/>
                      <w:szCs w:val="22"/>
                    </w:rPr>
                    <m:t>0</m:t>
                  </m:r>
                </m:sub>
              </m:sSub>
            </m:den>
          </m:f>
          <m:r>
            <w:rPr>
              <w:rFonts w:ascii="Cambria Math" w:hAnsi="Cambria Math"/>
              <w:sz w:val="22"/>
              <w:szCs w:val="22"/>
            </w:rPr>
            <m:t xml:space="preserve"> </m:t>
          </m:r>
          <m:sSub>
            <m:sSubPr>
              <m:ctrlPr>
                <w:rPr>
                  <w:rFonts w:ascii="Cambria Math" w:hAnsi="Cambria Math"/>
                  <w:sz w:val="22"/>
                  <w:szCs w:val="22"/>
                </w:rPr>
              </m:ctrlPr>
            </m:sSubPr>
            <m:e>
              <m:r>
                <w:rPr>
                  <w:rFonts w:ascii="Cambria Math" w:hAnsi="Cambria Math"/>
                  <w:sz w:val="22"/>
                  <w:szCs w:val="22"/>
                </w:rPr>
                <m:t>- INVNUCD</m:t>
              </m:r>
            </m:e>
            <m:sub>
              <m:r>
                <w:rPr>
                  <w:rFonts w:ascii="Cambria Math" w:hAnsi="Cambria Math"/>
                  <w:sz w:val="22"/>
                  <w:szCs w:val="22"/>
                </w:rPr>
                <m:t>j</m:t>
              </m:r>
            </m:sub>
          </m:sSub>
        </m:oMath>
      </m:oMathPara>
    </w:p>
    <w:p w:rsidR="00285A2D" w:rsidRPr="004E6CFC" w:rsidRDefault="00285A2D" w:rsidP="00285A2D">
      <w:pPr>
        <w:spacing w:before="120"/>
        <w:ind w:left="1701" w:hanging="1701"/>
        <w:rPr>
          <w:iCs/>
        </w:rPr>
      </w:pPr>
      <w:r w:rsidRPr="004E6CFC">
        <w:rPr>
          <w:iCs/>
        </w:rPr>
        <w:t>Donde:</w:t>
      </w:r>
    </w:p>
    <w:p w:rsidR="00285A2D" w:rsidRPr="004E6CFC" w:rsidRDefault="00285A2D" w:rsidP="007C3393">
      <w:pPr>
        <w:pStyle w:val="articulo"/>
      </w:pPr>
      <w:r w:rsidRPr="004E6CFC">
        <w:rPr>
          <w:i/>
          <w:iCs/>
        </w:rPr>
        <w:t>CPROG</w:t>
      </w:r>
      <w:r w:rsidRPr="004E6CFC">
        <w:rPr>
          <w:i/>
          <w:iCs/>
          <w:vertAlign w:val="subscript"/>
        </w:rPr>
        <w:t>j,m</w:t>
      </w:r>
      <w:r w:rsidRPr="004E6CFC">
        <w:t>:</w:t>
      </w:r>
      <w:r w:rsidRPr="004E6CFC">
        <w:tab/>
        <w:t xml:space="preserve">Cargo en $/kWh por concepto del plan, del mercado de comercialización </w:t>
      </w:r>
      <w:r w:rsidRPr="004E6CFC">
        <w:rPr>
          <w:i/>
        </w:rPr>
        <w:t>j</w:t>
      </w:r>
      <w:r w:rsidRPr="004E6CFC">
        <w:t xml:space="preserve">, aplicable en el mes </w:t>
      </w:r>
      <w:r w:rsidRPr="004E6CFC">
        <w:rPr>
          <w:i/>
        </w:rPr>
        <w:t>m</w:t>
      </w:r>
      <w:r w:rsidRPr="004E6CFC">
        <w:t>. El cargo publicado por el LAC aplicará para el siguiente mes al de su publicación.</w:t>
      </w:r>
    </w:p>
    <w:p w:rsidR="00285A2D" w:rsidRPr="004E6CFC" w:rsidRDefault="00285A2D" w:rsidP="007C3393">
      <w:pPr>
        <w:pStyle w:val="articulo"/>
      </w:pPr>
      <w:r w:rsidRPr="004E6CFC">
        <w:rPr>
          <w:i/>
        </w:rPr>
        <w:t>CAP</w:t>
      </w:r>
      <w:r w:rsidRPr="004E6CFC">
        <w:rPr>
          <w:i/>
          <w:vertAlign w:val="subscript"/>
        </w:rPr>
        <w:t>j</w:t>
      </w:r>
      <w:r w:rsidRPr="004E6CFC">
        <w:t>:</w:t>
      </w:r>
      <w:r w:rsidRPr="004E6CFC">
        <w:tab/>
        <w:t xml:space="preserve">Costo anual del plan, en pesos de la fecha base, del mercado de comercialización </w:t>
      </w:r>
      <w:r w:rsidRPr="004E6CFC">
        <w:rPr>
          <w:i/>
        </w:rPr>
        <w:t>j</w:t>
      </w:r>
      <w:r w:rsidRPr="004E6CFC">
        <w:t xml:space="preserve">, aprobado al OR, calculado según lo expuesto en el numeral </w:t>
      </w:r>
      <w:r w:rsidRPr="004E6CFC">
        <w:fldChar w:fldCharType="begin"/>
      </w:r>
      <w:r w:rsidRPr="004E6CFC">
        <w:instrText xml:space="preserve"> REF _Ref476643369 \r \h  \* MERGEFORMAT </w:instrText>
      </w:r>
      <w:r w:rsidRPr="004E6CFC">
        <w:fldChar w:fldCharType="separate"/>
      </w:r>
      <w:r w:rsidR="00737178">
        <w:t>7.3.2.1</w:t>
      </w:r>
      <w:r w:rsidRPr="004E6CFC">
        <w:fldChar w:fldCharType="end"/>
      </w:r>
      <w:r w:rsidRPr="004E6CFC">
        <w:t>.</w:t>
      </w:r>
    </w:p>
    <w:p w:rsidR="00285A2D" w:rsidRPr="004E6CFC" w:rsidRDefault="00285A2D" w:rsidP="007C3393">
      <w:pPr>
        <w:pStyle w:val="articulo"/>
        <w:rPr>
          <w:i/>
        </w:rPr>
      </w:pPr>
      <w:r w:rsidRPr="004E6CFC">
        <w:rPr>
          <w:i/>
        </w:rPr>
        <w:lastRenderedPageBreak/>
        <w:t>VSTN</w:t>
      </w:r>
      <w:r w:rsidRPr="004E6CFC">
        <w:rPr>
          <w:i/>
          <w:vertAlign w:val="subscript"/>
        </w:rPr>
        <w:t>j,m</w:t>
      </w:r>
      <w:r w:rsidRPr="004E6CFC">
        <w:t xml:space="preserve">:  </w:t>
      </w:r>
      <w:r w:rsidRPr="004E6CFC">
        <w:tab/>
        <w:t xml:space="preserve">Ventas a usuarios conectados directamente al STN asociados al mercado de comercialización </w:t>
      </w:r>
      <w:r w:rsidRPr="004E6CFC">
        <w:rPr>
          <w:i/>
        </w:rPr>
        <w:t>j</w:t>
      </w:r>
      <w:r w:rsidRPr="004E6CFC">
        <w:t xml:space="preserve"> en el mes </w:t>
      </w:r>
      <w:r w:rsidRPr="004E6CFC">
        <w:rPr>
          <w:i/>
        </w:rPr>
        <w:t>m,</w:t>
      </w:r>
      <w:r w:rsidRPr="004E6CFC">
        <w:t xml:space="preserve"> en kWh.  </w:t>
      </w:r>
      <w:r w:rsidRPr="004E6CFC">
        <w:rPr>
          <w:i/>
        </w:rPr>
        <w:tab/>
      </w:r>
    </w:p>
    <w:p w:rsidR="00285A2D" w:rsidRPr="004E6CFC" w:rsidRDefault="00285A2D" w:rsidP="00285A2D">
      <w:pPr>
        <w:ind w:left="1276"/>
      </w:pPr>
      <w:r w:rsidRPr="004E6CFC">
        <w:t>Corresponde a las lecturas tomadas directamente de los medidores de los usuarios conectados directamente al STN, sin referir al STN, tomadas de los registros del LAC. Cuando el medidor no se encuentre en el lado del STN, la medida se debe referir con los factores aprobados para el respectivo sistema.</w:t>
      </w:r>
    </w:p>
    <w:p w:rsidR="00285A2D" w:rsidRPr="004E6CFC" w:rsidRDefault="00285A2D" w:rsidP="00285A2D">
      <w:pPr>
        <w:ind w:left="1276"/>
      </w:pPr>
      <w:r w:rsidRPr="004E6CFC">
        <w:t>Cuando para una frontera no se disponga de la información de un mes determinado se utilizará el promedio registrado para los últimos seis (6) meses de dicha frontera o la mejor información disponible en el LAC.</w:t>
      </w:r>
    </w:p>
    <w:p w:rsidR="00285A2D" w:rsidRPr="004E6CFC" w:rsidRDefault="00285A2D" w:rsidP="00285A2D">
      <w:pPr>
        <w:ind w:left="1276" w:hanging="1276"/>
      </w:pPr>
      <w:r w:rsidRPr="004E6CFC">
        <w:rPr>
          <w:i/>
        </w:rPr>
        <w:t>VCP</w:t>
      </w:r>
      <w:r w:rsidRPr="004E6CFC">
        <w:rPr>
          <w:i/>
          <w:vertAlign w:val="subscript"/>
        </w:rPr>
        <w:t>j,</w:t>
      </w:r>
      <w:r w:rsidRPr="004E6CFC">
        <w:t xml:space="preserve"> </w:t>
      </w:r>
      <w:r w:rsidRPr="004E6CFC">
        <w:tab/>
        <w:t xml:space="preserve">Ventas en el mercado de comercialización servido por el OR </w:t>
      </w:r>
      <w:r w:rsidR="00863432" w:rsidRPr="004E6CFC">
        <w:t>j, durante</w:t>
      </w:r>
      <w:r w:rsidRPr="004E6CFC">
        <w:t xml:space="preserve"> doce (12) meses, en kWh, realizadas por los comercializadores diferentes al incumbente. </w:t>
      </w:r>
    </w:p>
    <w:p w:rsidR="00285A2D" w:rsidRPr="004E6CFC" w:rsidRDefault="00285A2D" w:rsidP="00285A2D">
      <w:pPr>
        <w:ind w:left="1276" w:hanging="1276"/>
      </w:pPr>
      <w:r w:rsidRPr="004E6CFC">
        <w:rPr>
          <w:i/>
        </w:rPr>
        <w:t>VCI</w:t>
      </w:r>
      <w:r w:rsidRPr="004E6CFC">
        <w:rPr>
          <w:i/>
          <w:vertAlign w:val="subscript"/>
        </w:rPr>
        <w:t>j,</w:t>
      </w:r>
      <w:r w:rsidRPr="004E6CFC">
        <w:t xml:space="preserve">   </w:t>
      </w:r>
      <w:r w:rsidRPr="004E6CFC">
        <w:tab/>
        <w:t xml:space="preserve">Ventas en el mercado de comercialización servido por el OR </w:t>
      </w:r>
      <w:r w:rsidRPr="004E6CFC">
        <w:rPr>
          <w:i/>
        </w:rPr>
        <w:t>j,</w:t>
      </w:r>
      <w:r w:rsidRPr="004E6CFC">
        <w:t xml:space="preserve"> durante doce (12) meses, en kWh, realizadas por el comercializador incumbente.</w:t>
      </w:r>
    </w:p>
    <w:p w:rsidR="00285A2D" w:rsidRPr="004E6CFC" w:rsidRDefault="00285A2D" w:rsidP="007C3393">
      <w:pPr>
        <w:pStyle w:val="articulo"/>
      </w:pPr>
      <w:r w:rsidRPr="004E6CFC">
        <w:rPr>
          <w:i/>
        </w:rPr>
        <w:t>IPP</w:t>
      </w:r>
      <w:r w:rsidRPr="004E6CFC">
        <w:rPr>
          <w:i/>
          <w:vertAlign w:val="subscript"/>
        </w:rPr>
        <w:t>m</w:t>
      </w:r>
      <w:r w:rsidRPr="004E6CFC">
        <w:rPr>
          <w:i/>
          <w:vertAlign w:val="subscript"/>
        </w:rPr>
        <w:tab/>
      </w:r>
      <w:r w:rsidRPr="004E6CFC">
        <w:t>Índice de precios al productor total nacional correspondiente al mes m.</w:t>
      </w:r>
    </w:p>
    <w:p w:rsidR="00285A2D" w:rsidRPr="004E6CFC" w:rsidRDefault="00285A2D" w:rsidP="007C3393">
      <w:pPr>
        <w:pStyle w:val="articulo"/>
      </w:pPr>
      <w:r w:rsidRPr="004E6CFC">
        <w:rPr>
          <w:i/>
        </w:rPr>
        <w:t>IPP</w:t>
      </w:r>
      <w:r w:rsidRPr="004E6CFC">
        <w:rPr>
          <w:i/>
          <w:vertAlign w:val="subscript"/>
        </w:rPr>
        <w:t>o</w:t>
      </w:r>
      <w:r w:rsidRPr="004E6CFC">
        <w:tab/>
        <w:t>Índice de precios al productor total nacional correspondiente al mes de la fecha de corte.</w:t>
      </w:r>
    </w:p>
    <w:p w:rsidR="00285A2D" w:rsidRPr="004E6CFC" w:rsidRDefault="00285A2D" w:rsidP="00285A2D">
      <w:pPr>
        <w:ind w:left="1276" w:hanging="1276"/>
      </w:pPr>
      <w:r w:rsidRPr="004E6CFC">
        <w:t xml:space="preserve">La variable </w:t>
      </w:r>
      <w:r w:rsidRPr="004E6CFC">
        <w:rPr>
          <w:i/>
        </w:rPr>
        <w:t>VCP</w:t>
      </w:r>
      <w:r w:rsidRPr="004E6CFC">
        <w:rPr>
          <w:i/>
          <w:vertAlign w:val="subscript"/>
        </w:rPr>
        <w:t>j</w:t>
      </w:r>
      <w:r w:rsidRPr="004E6CFC">
        <w:t xml:space="preserve"> se calcula de la siguiente manera: </w:t>
      </w:r>
    </w:p>
    <w:p w:rsidR="00285A2D" w:rsidRPr="004E6CFC" w:rsidRDefault="00C9592F" w:rsidP="00285A2D">
      <w:pPr>
        <w:jc w:val="center"/>
      </w:pPr>
      <m:oMathPara>
        <m:oMath>
          <m:sSub>
            <m:sSubPr>
              <m:ctrlPr>
                <w:rPr>
                  <w:rFonts w:ascii="Cambria Math" w:hAnsi="Cambria Math"/>
                  <w:sz w:val="22"/>
                  <w:szCs w:val="22"/>
                </w:rPr>
              </m:ctrlPr>
            </m:sSubPr>
            <m:e>
              <m:r>
                <w:rPr>
                  <w:rFonts w:ascii="Cambria Math" w:hAnsi="Cambria Math"/>
                  <w:sz w:val="22"/>
                  <w:szCs w:val="22"/>
                </w:rPr>
                <m:t>VCP</m:t>
              </m:r>
            </m:e>
            <m:sub>
              <m:r>
                <w:rPr>
                  <w:rFonts w:ascii="Cambria Math" w:hAnsi="Cambria Math"/>
                  <w:sz w:val="22"/>
                  <w:szCs w:val="22"/>
                </w:rPr>
                <m:t>j</m:t>
              </m:r>
            </m:sub>
          </m:sSub>
          <m:r>
            <m:rPr>
              <m:sty m:val="p"/>
            </m:rPr>
            <w:rPr>
              <w:rFonts w:ascii="Cambria Math" w:hAnsi="Cambria Math"/>
              <w:sz w:val="22"/>
              <w:szCs w:val="22"/>
            </w:rPr>
            <m:t>=</m:t>
          </m:r>
          <m:nary>
            <m:naryPr>
              <m:chr m:val="∑"/>
              <m:limLoc m:val="undOvr"/>
              <m:ctrlPr>
                <w:rPr>
                  <w:rFonts w:ascii="Cambria Math" w:hAnsi="Cambria Math"/>
                  <w:sz w:val="22"/>
                  <w:szCs w:val="22"/>
                </w:rPr>
              </m:ctrlPr>
            </m:naryPr>
            <m:sub>
              <m:r>
                <w:rPr>
                  <w:rFonts w:ascii="Cambria Math" w:hAnsi="Cambria Math"/>
                  <w:sz w:val="22"/>
                  <w:szCs w:val="22"/>
                </w:rPr>
                <m:t>m=-14</m:t>
              </m:r>
            </m:sub>
            <m:sup>
              <m:r>
                <w:rPr>
                  <w:rFonts w:ascii="Cambria Math" w:hAnsi="Cambria Math"/>
                  <w:sz w:val="22"/>
                  <w:szCs w:val="22"/>
                </w:rPr>
                <m:t>-3</m:t>
              </m:r>
            </m:sup>
            <m:e>
              <m:nary>
                <m:naryPr>
                  <m:chr m:val="∑"/>
                  <m:limLoc m:val="undOvr"/>
                  <m:ctrlPr>
                    <w:rPr>
                      <w:rFonts w:ascii="Cambria Math" w:hAnsi="Cambria Math"/>
                      <w:i/>
                      <w:sz w:val="22"/>
                      <w:szCs w:val="22"/>
                    </w:rPr>
                  </m:ctrlPr>
                </m:naryPr>
                <m:sub>
                  <m:r>
                    <w:rPr>
                      <w:rFonts w:ascii="Cambria Math" w:hAnsi="Cambria Math"/>
                      <w:sz w:val="22"/>
                      <w:szCs w:val="22"/>
                    </w:rPr>
                    <m:t>n=1</m:t>
                  </m:r>
                </m:sub>
                <m:sup>
                  <m:r>
                    <w:rPr>
                      <w:rFonts w:ascii="Cambria Math" w:hAnsi="Cambria Math"/>
                      <w:sz w:val="22"/>
                      <w:szCs w:val="22"/>
                    </w:rPr>
                    <m:t>4</m:t>
                  </m:r>
                </m:sup>
                <m:e>
                  <m:nary>
                    <m:naryPr>
                      <m:chr m:val="∑"/>
                      <m:limLoc m:val="undOvr"/>
                      <m:ctrlPr>
                        <w:rPr>
                          <w:rFonts w:ascii="Cambria Math" w:hAnsi="Cambria Math"/>
                          <w:i/>
                          <w:sz w:val="22"/>
                          <w:szCs w:val="22"/>
                        </w:rPr>
                      </m:ctrlPr>
                    </m:naryPr>
                    <m:sub>
                      <m:r>
                        <w:rPr>
                          <w:rFonts w:ascii="Cambria Math" w:hAnsi="Cambria Math"/>
                          <w:sz w:val="22"/>
                          <w:szCs w:val="22"/>
                        </w:rPr>
                        <m:t>i=1</m:t>
                      </m:r>
                    </m:sub>
                    <m:sup>
                      <m:r>
                        <w:rPr>
                          <w:rFonts w:ascii="Cambria Math" w:hAnsi="Cambria Math"/>
                          <w:sz w:val="22"/>
                          <w:szCs w:val="22"/>
                        </w:rPr>
                        <m:t>Ip</m:t>
                      </m:r>
                    </m:sup>
                    <m:e>
                      <m:sSub>
                        <m:sSubPr>
                          <m:ctrlPr>
                            <w:rPr>
                              <w:rFonts w:ascii="Cambria Math" w:hAnsi="Cambria Math"/>
                              <w:i/>
                              <w:sz w:val="22"/>
                              <w:szCs w:val="22"/>
                            </w:rPr>
                          </m:ctrlPr>
                        </m:sSubPr>
                        <m:e>
                          <m:r>
                            <w:rPr>
                              <w:rFonts w:ascii="Cambria Math" w:hAnsi="Cambria Math"/>
                              <w:sz w:val="22"/>
                              <w:szCs w:val="22"/>
                            </w:rPr>
                            <m:t>vcp</m:t>
                          </m:r>
                        </m:e>
                        <m:sub>
                          <m:r>
                            <w:rPr>
                              <w:rFonts w:ascii="Cambria Math" w:hAnsi="Cambria Math"/>
                              <w:sz w:val="22"/>
                              <w:szCs w:val="22"/>
                            </w:rPr>
                            <m:t>m,n,i</m:t>
                          </m:r>
                        </m:sub>
                      </m:sSub>
                    </m:e>
                  </m:nary>
                </m:e>
              </m:nary>
            </m:e>
          </m:nary>
        </m:oMath>
      </m:oMathPara>
    </w:p>
    <w:p w:rsidR="00285A2D" w:rsidRPr="004E6CFC" w:rsidRDefault="00285A2D" w:rsidP="00285A2D">
      <w:pPr>
        <w:ind w:left="992" w:hanging="992"/>
        <w:rPr>
          <w:lang w:val="es-CO"/>
        </w:rPr>
      </w:pPr>
      <w:r w:rsidRPr="004E6CFC">
        <w:rPr>
          <w:lang w:val="es-CO"/>
        </w:rPr>
        <w:t>Donde:</w:t>
      </w:r>
    </w:p>
    <w:p w:rsidR="00285A2D" w:rsidRPr="004E6CFC" w:rsidRDefault="00285A2D" w:rsidP="00285A2D">
      <w:pPr>
        <w:ind w:left="1276" w:hanging="1276"/>
        <w:rPr>
          <w:i/>
        </w:rPr>
      </w:pPr>
      <w:r w:rsidRPr="004E6CFC">
        <w:rPr>
          <w:i/>
        </w:rPr>
        <w:t>VCP</w:t>
      </w:r>
      <w:r w:rsidRPr="004E6CFC">
        <w:rPr>
          <w:i/>
          <w:vertAlign w:val="subscript"/>
        </w:rPr>
        <w:t>j,</w:t>
      </w:r>
      <w:r w:rsidRPr="004E6CFC">
        <w:t xml:space="preserve"> </w:t>
      </w:r>
      <w:r w:rsidRPr="004E6CFC">
        <w:tab/>
        <w:t xml:space="preserve">Ventas en el mercado de comercialización servido por el OR </w:t>
      </w:r>
      <w:r w:rsidR="00863432" w:rsidRPr="004E6CFC">
        <w:t>j, durante</w:t>
      </w:r>
      <w:r w:rsidRPr="004E6CFC">
        <w:t xml:space="preserve"> doce (12) meses, en kWh, realizadas por los comercializadores diferentes al incumbente.</w:t>
      </w:r>
    </w:p>
    <w:p w:rsidR="00285A2D" w:rsidRPr="004E6CFC" w:rsidRDefault="00285A2D" w:rsidP="00285A2D">
      <w:pPr>
        <w:ind w:left="1276" w:hanging="1276"/>
      </w:pPr>
      <w:r w:rsidRPr="004E6CFC">
        <w:rPr>
          <w:i/>
        </w:rPr>
        <w:t>vcp</w:t>
      </w:r>
      <w:r w:rsidRPr="004E6CFC">
        <w:rPr>
          <w:i/>
          <w:vertAlign w:val="subscript"/>
        </w:rPr>
        <w:t>m,n,i</w:t>
      </w:r>
      <w:r w:rsidRPr="004E6CFC">
        <w:tab/>
        <w:t xml:space="preserve">Energía registrada en el SIC para las fronteras comerciales de responsabilidad del comercializador i diferente al comercializador incumbente, durante el mes </w:t>
      </w:r>
      <w:r w:rsidRPr="004E6CFC">
        <w:rPr>
          <w:i/>
        </w:rPr>
        <w:t>m</w:t>
      </w:r>
      <w:r w:rsidRPr="004E6CFC">
        <w:t xml:space="preserve">, en el nivel de tensión </w:t>
      </w:r>
      <w:r w:rsidRPr="004E6CFC">
        <w:rPr>
          <w:i/>
        </w:rPr>
        <w:t>n</w:t>
      </w:r>
      <w:r w:rsidRPr="004E6CFC">
        <w:t xml:space="preserve">, en el mercado de comercialización atendido por el OR j, en kWh. </w:t>
      </w:r>
    </w:p>
    <w:p w:rsidR="00285A2D" w:rsidRPr="004E6CFC" w:rsidRDefault="00285A2D" w:rsidP="00285A2D">
      <w:pPr>
        <w:ind w:left="1276"/>
      </w:pPr>
      <w:r w:rsidRPr="004E6CFC">
        <w:t>Cuando no se disponga de la información para un mes determinado, se utilizará el promedio de los valores registrados para los últimos seis (6) meses o la mejor información disponible.</w:t>
      </w:r>
    </w:p>
    <w:p w:rsidR="00285A2D" w:rsidRPr="004E6CFC" w:rsidRDefault="00285A2D" w:rsidP="00285A2D">
      <w:pPr>
        <w:ind w:left="1276" w:hanging="1276"/>
        <w:rPr>
          <w:iCs/>
        </w:rPr>
      </w:pPr>
      <w:r w:rsidRPr="004E6CFC">
        <w:rPr>
          <w:i/>
          <w:iCs/>
        </w:rPr>
        <w:t>Ip:</w:t>
      </w:r>
      <w:r w:rsidRPr="004E6CFC">
        <w:rPr>
          <w:i/>
          <w:iCs/>
        </w:rPr>
        <w:tab/>
      </w:r>
      <w:r w:rsidRPr="004E6CFC">
        <w:rPr>
          <w:iCs/>
        </w:rPr>
        <w:t xml:space="preserve">Número total de comercializadores distintos al incumbente en el mercado de comercialización del OR </w:t>
      </w:r>
      <w:r w:rsidRPr="004E6CFC">
        <w:rPr>
          <w:i/>
          <w:iCs/>
        </w:rPr>
        <w:t>j</w:t>
      </w:r>
      <w:r w:rsidRPr="004E6CFC">
        <w:rPr>
          <w:iCs/>
        </w:rPr>
        <w:t>.</w:t>
      </w:r>
    </w:p>
    <w:p w:rsidR="00285A2D" w:rsidRPr="004E6CFC" w:rsidRDefault="00285A2D" w:rsidP="00285A2D">
      <w:pPr>
        <w:ind w:left="1276" w:hanging="1276"/>
        <w:rPr>
          <w:iCs/>
        </w:rPr>
      </w:pPr>
      <w:r w:rsidRPr="004E6CFC">
        <w:rPr>
          <w:iCs/>
        </w:rPr>
        <w:t xml:space="preserve">La variable </w:t>
      </w:r>
      <w:r w:rsidRPr="004E6CFC">
        <w:rPr>
          <w:i/>
          <w:iCs/>
        </w:rPr>
        <w:t>VCI</w:t>
      </w:r>
      <w:r w:rsidRPr="004E6CFC">
        <w:rPr>
          <w:i/>
          <w:iCs/>
          <w:vertAlign w:val="subscript"/>
        </w:rPr>
        <w:t>j</w:t>
      </w:r>
      <w:r w:rsidRPr="004E6CFC">
        <w:rPr>
          <w:iCs/>
        </w:rPr>
        <w:t xml:space="preserve"> se calcula de la siguiente manera:  </w:t>
      </w:r>
    </w:p>
    <w:p w:rsidR="00285A2D" w:rsidRPr="004E6CFC" w:rsidRDefault="00C9592F" w:rsidP="00285A2D">
      <w:pPr>
        <w:jc w:val="center"/>
      </w:pPr>
      <m:oMathPara>
        <m:oMath>
          <m:sSub>
            <m:sSubPr>
              <m:ctrlPr>
                <w:rPr>
                  <w:rFonts w:ascii="Cambria Math" w:hAnsi="Cambria Math"/>
                  <w:sz w:val="22"/>
                  <w:szCs w:val="22"/>
                </w:rPr>
              </m:ctrlPr>
            </m:sSubPr>
            <m:e>
              <m:r>
                <w:rPr>
                  <w:rFonts w:ascii="Cambria Math" w:hAnsi="Cambria Math"/>
                  <w:sz w:val="22"/>
                  <w:szCs w:val="22"/>
                </w:rPr>
                <m:t>VCI</m:t>
              </m:r>
            </m:e>
            <m:sub>
              <m:r>
                <w:rPr>
                  <w:rFonts w:ascii="Cambria Math" w:hAnsi="Cambria Math"/>
                  <w:sz w:val="22"/>
                  <w:szCs w:val="22"/>
                </w:rPr>
                <m:t>j</m:t>
              </m:r>
            </m:sub>
          </m:sSub>
          <m:r>
            <m:rPr>
              <m:sty m:val="p"/>
            </m:rPr>
            <w:rPr>
              <w:rFonts w:ascii="Cambria Math" w:hAnsi="Cambria Math"/>
              <w:sz w:val="22"/>
              <w:szCs w:val="22"/>
            </w:rPr>
            <m:t>=</m:t>
          </m:r>
          <m:nary>
            <m:naryPr>
              <m:chr m:val="∑"/>
              <m:limLoc m:val="undOvr"/>
              <m:ctrlPr>
                <w:rPr>
                  <w:rFonts w:ascii="Cambria Math" w:hAnsi="Cambria Math"/>
                  <w:sz w:val="22"/>
                  <w:szCs w:val="22"/>
                </w:rPr>
              </m:ctrlPr>
            </m:naryPr>
            <m:sub>
              <m:r>
                <w:rPr>
                  <w:rFonts w:ascii="Cambria Math" w:hAnsi="Cambria Math"/>
                  <w:sz w:val="22"/>
                  <w:szCs w:val="22"/>
                </w:rPr>
                <m:t>m=-14</m:t>
              </m:r>
            </m:sub>
            <m:sup>
              <m:r>
                <w:rPr>
                  <w:rFonts w:ascii="Cambria Math" w:hAnsi="Cambria Math"/>
                  <w:sz w:val="22"/>
                  <w:szCs w:val="22"/>
                </w:rPr>
                <m:t>-3</m:t>
              </m:r>
            </m:sup>
            <m:e>
              <m:nary>
                <m:naryPr>
                  <m:chr m:val="∑"/>
                  <m:limLoc m:val="undOvr"/>
                  <m:ctrlPr>
                    <w:rPr>
                      <w:rFonts w:ascii="Cambria Math" w:hAnsi="Cambria Math"/>
                      <w:i/>
                      <w:sz w:val="22"/>
                      <w:szCs w:val="22"/>
                    </w:rPr>
                  </m:ctrlPr>
                </m:naryPr>
                <m:sub>
                  <m:r>
                    <w:rPr>
                      <w:rFonts w:ascii="Cambria Math" w:hAnsi="Cambria Math"/>
                      <w:sz w:val="22"/>
                      <w:szCs w:val="22"/>
                    </w:rPr>
                    <m:t>n=1</m:t>
                  </m:r>
                </m:sub>
                <m:sup>
                  <m:r>
                    <w:rPr>
                      <w:rFonts w:ascii="Cambria Math" w:hAnsi="Cambria Math"/>
                      <w:sz w:val="22"/>
                      <w:szCs w:val="22"/>
                    </w:rPr>
                    <m:t>4</m:t>
                  </m:r>
                </m:sup>
                <m:e>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vciR</m:t>
                      </m:r>
                    </m:e>
                    <m:sub>
                      <m:r>
                        <w:rPr>
                          <w:rFonts w:ascii="Cambria Math" w:hAnsi="Cambria Math"/>
                          <w:sz w:val="22"/>
                          <w:szCs w:val="22"/>
                        </w:rPr>
                        <m:t>m,n</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vciNR</m:t>
                      </m:r>
                    </m:e>
                    <m:sub>
                      <m:r>
                        <w:rPr>
                          <w:rFonts w:ascii="Cambria Math" w:hAnsi="Cambria Math"/>
                          <w:sz w:val="22"/>
                          <w:szCs w:val="22"/>
                        </w:rPr>
                        <m:t>m,n</m:t>
                      </m:r>
                    </m:sub>
                  </m:sSub>
                  <m:r>
                    <w:rPr>
                      <w:rFonts w:ascii="Cambria Math" w:hAnsi="Cambria Math"/>
                      <w:sz w:val="22"/>
                      <w:szCs w:val="22"/>
                    </w:rPr>
                    <m:t>)</m:t>
                  </m:r>
                </m:e>
              </m:nary>
            </m:e>
          </m:nary>
        </m:oMath>
      </m:oMathPara>
    </w:p>
    <w:p w:rsidR="00285A2D" w:rsidRPr="004E6CFC" w:rsidRDefault="00285A2D" w:rsidP="00285A2D">
      <w:pPr>
        <w:ind w:left="1275" w:hanging="1275"/>
      </w:pPr>
      <w:r w:rsidRPr="004E6CFC">
        <w:t>Donde:</w:t>
      </w:r>
    </w:p>
    <w:p w:rsidR="00285A2D" w:rsidRPr="004E6CFC" w:rsidRDefault="00285A2D" w:rsidP="00285A2D">
      <w:pPr>
        <w:ind w:left="1276" w:hanging="1276"/>
      </w:pPr>
      <w:r w:rsidRPr="004E6CFC">
        <w:rPr>
          <w:i/>
        </w:rPr>
        <w:t>VCI</w:t>
      </w:r>
      <w:r w:rsidRPr="004E6CFC">
        <w:rPr>
          <w:i/>
          <w:vertAlign w:val="subscript"/>
        </w:rPr>
        <w:t>j,</w:t>
      </w:r>
      <w:r w:rsidRPr="004E6CFC">
        <w:t xml:space="preserve">   </w:t>
      </w:r>
      <w:r w:rsidRPr="004E6CFC">
        <w:tab/>
        <w:t xml:space="preserve">Ventas en el mercado de comercialización servido por el OR </w:t>
      </w:r>
      <w:r w:rsidRPr="004E6CFC">
        <w:rPr>
          <w:i/>
        </w:rPr>
        <w:t>j,</w:t>
      </w:r>
      <w:r w:rsidRPr="004E6CFC">
        <w:t xml:space="preserve"> durante doce (12) meses, en kWh, realizadas por el comercializador incumbente.</w:t>
      </w:r>
    </w:p>
    <w:p w:rsidR="00285A2D" w:rsidRPr="004E6CFC" w:rsidRDefault="00285A2D" w:rsidP="00285A2D">
      <w:pPr>
        <w:ind w:left="1275" w:hanging="1275"/>
      </w:pPr>
      <w:r w:rsidRPr="004E6CFC">
        <w:rPr>
          <w:i/>
        </w:rPr>
        <w:t>vciR</w:t>
      </w:r>
      <w:r w:rsidRPr="004E6CFC">
        <w:rPr>
          <w:i/>
          <w:vertAlign w:val="subscript"/>
        </w:rPr>
        <w:t>m,n</w:t>
      </w:r>
      <w:r w:rsidRPr="004E6CFC">
        <w:tab/>
        <w:t xml:space="preserve">Ventas durante el mes </w:t>
      </w:r>
      <w:r w:rsidRPr="004E6CFC">
        <w:rPr>
          <w:i/>
        </w:rPr>
        <w:t>m</w:t>
      </w:r>
      <w:r w:rsidRPr="004E6CFC">
        <w:t xml:space="preserve">, en el nivel de tensión </w:t>
      </w:r>
      <w:r w:rsidRPr="004E6CFC">
        <w:rPr>
          <w:i/>
        </w:rPr>
        <w:t>n</w:t>
      </w:r>
      <w:r w:rsidRPr="004E6CFC">
        <w:t>, del comercializador incumbente, para usuarios regulados.</w:t>
      </w:r>
    </w:p>
    <w:p w:rsidR="00285A2D" w:rsidRPr="004E6CFC" w:rsidRDefault="00285A2D" w:rsidP="00285A2D">
      <w:pPr>
        <w:ind w:left="1275" w:hanging="3"/>
      </w:pPr>
      <w:r w:rsidRPr="004E6CFC">
        <w:t>Corresponde al consumo de energía eléctrica en kWh que es facturado y reportado al SUI para el respectivo periodo. Cuando no se disponga de la información para un mes determinado, se utilizará el promedio registrado en el SUI para los últimos seis (6) meses o la mejor información disponible.</w:t>
      </w:r>
    </w:p>
    <w:p w:rsidR="00285A2D" w:rsidRPr="004E6CFC" w:rsidRDefault="00285A2D" w:rsidP="00285A2D">
      <w:pPr>
        <w:ind w:left="1275" w:hanging="1275"/>
      </w:pPr>
      <w:r w:rsidRPr="004E6CFC">
        <w:rPr>
          <w:i/>
        </w:rPr>
        <w:t>vciNR</w:t>
      </w:r>
      <w:r w:rsidRPr="004E6CFC">
        <w:rPr>
          <w:i/>
          <w:vertAlign w:val="subscript"/>
        </w:rPr>
        <w:t>m,n</w:t>
      </w:r>
      <w:r w:rsidRPr="004E6CFC">
        <w:tab/>
        <w:t xml:space="preserve">Ventas durante el mes </w:t>
      </w:r>
      <w:r w:rsidRPr="004E6CFC">
        <w:rPr>
          <w:i/>
        </w:rPr>
        <w:t>m</w:t>
      </w:r>
      <w:r w:rsidRPr="004E6CFC">
        <w:t xml:space="preserve">, en el nivel de tensión </w:t>
      </w:r>
      <w:r w:rsidRPr="004E6CFC">
        <w:rPr>
          <w:i/>
        </w:rPr>
        <w:t>n</w:t>
      </w:r>
      <w:r w:rsidRPr="004E6CFC">
        <w:t>, del comercializador incumbente, para usuarios no regulados.</w:t>
      </w:r>
    </w:p>
    <w:p w:rsidR="00285A2D" w:rsidRPr="004E6CFC" w:rsidRDefault="00285A2D" w:rsidP="00285A2D">
      <w:pPr>
        <w:ind w:left="1275" w:hanging="3"/>
      </w:pPr>
      <w:r w:rsidRPr="004E6CFC">
        <w:t xml:space="preserve">Corresponde a la energía registrada en el SIC para las fronteras comerciales de usuarios no regulados responsabilidad del comercializador incumbente, durante el mes </w:t>
      </w:r>
      <w:r w:rsidRPr="004E6CFC">
        <w:rPr>
          <w:i/>
        </w:rPr>
        <w:t>m</w:t>
      </w:r>
      <w:r w:rsidRPr="004E6CFC">
        <w:t xml:space="preserve">, en el nivel de tensión </w:t>
      </w:r>
      <w:r w:rsidRPr="004E6CFC">
        <w:rPr>
          <w:i/>
        </w:rPr>
        <w:t>n</w:t>
      </w:r>
      <w:r w:rsidRPr="004E6CFC">
        <w:t xml:space="preserve">, en el mercado de comercialización atendido por el OR </w:t>
      </w:r>
      <w:r w:rsidRPr="004E6CFC">
        <w:rPr>
          <w:i/>
        </w:rPr>
        <w:t>j</w:t>
      </w:r>
      <w:r w:rsidRPr="004E6CFC">
        <w:t>, en kWh.</w:t>
      </w:r>
    </w:p>
    <w:p w:rsidR="00285A2D" w:rsidRPr="004E6CFC" w:rsidRDefault="00285A2D" w:rsidP="00285A2D">
      <w:pPr>
        <w:ind w:left="1275" w:hanging="3"/>
      </w:pPr>
      <w:r w:rsidRPr="004E6CFC">
        <w:t>Cuando no se disponga de la información para un mes determinado, se utilizará el promedio de los valores registrados para los últimos seis (6) meses o la mejor información disponible.</w:t>
      </w:r>
    </w:p>
    <w:p w:rsidR="00285A2D" w:rsidRPr="004E6CFC" w:rsidRDefault="00285A2D" w:rsidP="00285A2D">
      <w:pPr>
        <w:ind w:left="1275" w:hanging="1275"/>
      </w:pPr>
      <w:r w:rsidRPr="004E6CFC">
        <w:rPr>
          <w:i/>
        </w:rPr>
        <w:t>INVNUCD</w:t>
      </w:r>
      <w:r w:rsidRPr="004E6CFC">
        <w:rPr>
          <w:i/>
          <w:vertAlign w:val="subscript"/>
        </w:rPr>
        <w:t>j</w:t>
      </w:r>
      <w:r w:rsidRPr="004E6CFC">
        <w:tab/>
        <w:t>Valor de inversiones</w:t>
      </w:r>
      <w:r>
        <w:t>,</w:t>
      </w:r>
      <w:r w:rsidRPr="004E6CFC">
        <w:t xml:space="preserve"> </w:t>
      </w:r>
      <w:r>
        <w:t xml:space="preserve">por kilovatio hora, </w:t>
      </w:r>
      <w:r w:rsidRPr="004E6CFC">
        <w:t>no clasificadas en UC a devolver por el OR</w:t>
      </w:r>
      <w:r w:rsidRPr="004E6CFC">
        <w:rPr>
          <w:i/>
        </w:rPr>
        <w:t xml:space="preserve">j, </w:t>
      </w:r>
      <w:r w:rsidRPr="004E6CFC">
        <w:t xml:space="preserve">calculada según lo expresado en el numeral </w:t>
      </w:r>
      <w:r w:rsidRPr="004E6CFC">
        <w:fldChar w:fldCharType="begin"/>
      </w:r>
      <w:r w:rsidRPr="004E6CFC">
        <w:instrText xml:space="preserve"> REF _Ref461012983 \r \h  \* MERGEFORMAT </w:instrText>
      </w:r>
      <w:r w:rsidRPr="004E6CFC">
        <w:fldChar w:fldCharType="separate"/>
      </w:r>
      <w:r w:rsidR="00737178">
        <w:t>7.3.6.4.1</w:t>
      </w:r>
      <w:r w:rsidRPr="004E6CFC">
        <w:fldChar w:fldCharType="end"/>
      </w:r>
      <w:r w:rsidRPr="004E6CFC">
        <w:t>.</w:t>
      </w:r>
    </w:p>
    <w:p w:rsidR="00285A2D" w:rsidRPr="004E6CFC" w:rsidRDefault="00285A2D" w:rsidP="00285A2D">
      <w:r w:rsidRPr="004E6CFC">
        <w:t>Los OR podrán advertir sobre posibles diferencias de cálculo durante los dos (2) días corrientes siguientes al de publicación por parte del LAC para que sean considerados dentro del cálculo de los cargos definitivos que deberá efectuarse entre los primeros 11 días de cada mes.</w:t>
      </w:r>
    </w:p>
    <w:p w:rsidR="00285A2D" w:rsidRPr="004E6CFC" w:rsidRDefault="00A62992" w:rsidP="00285A2D">
      <w:pPr>
        <w:pStyle w:val="Ttulo4"/>
        <w:ind w:left="0" w:firstLine="0"/>
      </w:pPr>
      <w:bookmarkStart w:id="875" w:name="_Toc310577373"/>
      <w:bookmarkStart w:id="876" w:name="_Ref269375580"/>
      <w:bookmarkStart w:id="877" w:name="_Ref445100218"/>
      <w:bookmarkStart w:id="878" w:name="_Ref445132933"/>
      <w:bookmarkStart w:id="879" w:name="_Ref461013107"/>
      <w:r>
        <w:t xml:space="preserve"> </w:t>
      </w:r>
      <w:r w:rsidR="00285A2D" w:rsidRPr="004E6CFC">
        <w:t>Liquidación y recaudo</w:t>
      </w:r>
      <w:bookmarkEnd w:id="875"/>
      <w:bookmarkEnd w:id="876"/>
      <w:bookmarkEnd w:id="877"/>
      <w:bookmarkEnd w:id="878"/>
      <w:bookmarkEnd w:id="879"/>
    </w:p>
    <w:p w:rsidR="00285A2D" w:rsidRPr="004E6CFC" w:rsidRDefault="00285A2D" w:rsidP="00285A2D">
      <w:r w:rsidRPr="004E6CFC">
        <w:t>Dentro de los primeros quince (15) días calendario del segundo mes siguiente al de aplicación del cargo respectivo, el LAC determinará y publicará el valor que cada comercializador debe trasladar al OR, de acuerdo con la siguiente expresión:</w:t>
      </w:r>
    </w:p>
    <w:p w:rsidR="00285A2D" w:rsidRPr="004E6CFC" w:rsidRDefault="00C9592F" w:rsidP="00285A2D">
      <w:pPr>
        <w:jc w:val="center"/>
        <w:rPr>
          <w:i/>
        </w:rPr>
      </w:pPr>
      <m:oMathPara>
        <m:oMath>
          <m:sSub>
            <m:sSubPr>
              <m:ctrlPr>
                <w:rPr>
                  <w:rFonts w:ascii="Cambria Math" w:hAnsi="Cambria Math"/>
                  <w:sz w:val="22"/>
                  <w:szCs w:val="22"/>
                </w:rPr>
              </m:ctrlPr>
            </m:sSubPr>
            <m:e>
              <m:r>
                <w:rPr>
                  <w:rFonts w:ascii="Cambria Math" w:hAnsi="Cambria Math"/>
                  <w:sz w:val="22"/>
                  <w:szCs w:val="22"/>
                </w:rPr>
                <m:t>LCPROG</m:t>
              </m:r>
            </m:e>
            <m:sub>
              <m:r>
                <w:rPr>
                  <w:rFonts w:ascii="Cambria Math" w:hAnsi="Cambria Math"/>
                  <w:sz w:val="22"/>
                  <w:szCs w:val="22"/>
                </w:rPr>
                <m:t>i,j</m:t>
              </m:r>
              <m:r>
                <m:rPr>
                  <m:sty m:val="p"/>
                </m:rPr>
                <w:rPr>
                  <w:rFonts w:ascii="Cambria Math" w:hAnsi="Cambria Math"/>
                  <w:sz w:val="22"/>
                  <w:szCs w:val="22"/>
                </w:rPr>
                <m:t>,</m:t>
              </m:r>
              <m:r>
                <w:rPr>
                  <w:rFonts w:ascii="Cambria Math" w:hAnsi="Cambria Math"/>
                  <w:sz w:val="22"/>
                  <w:szCs w:val="22"/>
                </w:rPr>
                <m:t>m,t</m:t>
              </m:r>
            </m:sub>
          </m:sSub>
          <m:r>
            <m:rPr>
              <m:sty m:val="p"/>
            </m:rPr>
            <w:rPr>
              <w:rFonts w:ascii="Cambria Math" w:hAnsi="Cambria Math"/>
              <w:sz w:val="22"/>
              <w:szCs w:val="22"/>
            </w:rPr>
            <m:t>=</m:t>
          </m:r>
          <m:d>
            <m:dPr>
              <m:ctrlPr>
                <w:rPr>
                  <w:rFonts w:ascii="Cambria Math" w:hAnsi="Cambria Math"/>
                  <w:sz w:val="22"/>
                  <w:szCs w:val="22"/>
                </w:rPr>
              </m:ctrlPr>
            </m:dPr>
            <m:e>
              <m:sSub>
                <m:sSubPr>
                  <m:ctrlPr>
                    <w:rPr>
                      <w:rFonts w:ascii="Cambria Math" w:hAnsi="Cambria Math"/>
                      <w:sz w:val="22"/>
                      <w:szCs w:val="22"/>
                    </w:rPr>
                  </m:ctrlPr>
                </m:sSubPr>
                <m:e>
                  <m:r>
                    <w:rPr>
                      <w:rFonts w:ascii="Cambria Math" w:hAnsi="Cambria Math"/>
                      <w:sz w:val="22"/>
                      <w:szCs w:val="22"/>
                    </w:rPr>
                    <m:t>CPROG</m:t>
                  </m:r>
                </m:e>
                <m:sub>
                  <m:r>
                    <w:rPr>
                      <w:rFonts w:ascii="Cambria Math" w:hAnsi="Cambria Math"/>
                      <w:sz w:val="22"/>
                      <w:szCs w:val="22"/>
                    </w:rPr>
                    <m:t>j,m,t</m:t>
                  </m:r>
                </m:sub>
              </m:sSub>
              <m:r>
                <m:rPr>
                  <m:sty m:val="p"/>
                </m:rP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VC</m:t>
                  </m:r>
                </m:e>
                <m:sub>
                  <m:r>
                    <w:rPr>
                      <w:rFonts w:ascii="Cambria Math" w:hAnsi="Cambria Math"/>
                      <w:sz w:val="22"/>
                      <w:szCs w:val="22"/>
                    </w:rPr>
                    <m:t>i,j,m</m:t>
                  </m:r>
                </m:sub>
              </m:sSub>
            </m:e>
          </m:d>
          <m:r>
            <w:rPr>
              <w:rFonts w:ascii="Cambria Math" w:hAnsi="Cambria Math"/>
              <w:sz w:val="22"/>
              <w:szCs w:val="22"/>
            </w:rPr>
            <m:t>+</m:t>
          </m:r>
          <m:sSub>
            <m:sSubPr>
              <m:ctrlPr>
                <w:rPr>
                  <w:rFonts w:ascii="Cambria Math" w:hAnsi="Cambria Math"/>
                  <w:sz w:val="22"/>
                  <w:szCs w:val="22"/>
                </w:rPr>
              </m:ctrlPr>
            </m:sSubPr>
            <m:e>
              <m:r>
                <w:rPr>
                  <w:rFonts w:ascii="Cambria Math" w:hAnsi="Cambria Math"/>
                  <w:sz w:val="22"/>
                  <w:szCs w:val="22"/>
                </w:rPr>
                <m:t>AL</m:t>
              </m:r>
            </m:e>
            <m:sub>
              <m:r>
                <w:rPr>
                  <w:rFonts w:ascii="Cambria Math" w:hAnsi="Cambria Math"/>
                  <w:sz w:val="22"/>
                  <w:szCs w:val="22"/>
                </w:rPr>
                <m:t>i,j,m</m:t>
              </m:r>
            </m:sub>
          </m:sSub>
        </m:oMath>
      </m:oMathPara>
    </w:p>
    <w:p w:rsidR="00285A2D" w:rsidRPr="004E6CFC" w:rsidRDefault="00285A2D" w:rsidP="00285A2D">
      <w:r w:rsidRPr="004E6CFC">
        <w:t>Donde:</w:t>
      </w:r>
    </w:p>
    <w:p w:rsidR="00285A2D" w:rsidRPr="004E6CFC" w:rsidRDefault="00285A2D" w:rsidP="00285A2D">
      <w:pPr>
        <w:spacing w:before="120"/>
        <w:ind w:left="1560" w:hanging="1560"/>
      </w:pPr>
      <w:r w:rsidRPr="004E6CFC">
        <w:rPr>
          <w:i/>
          <w:iCs/>
        </w:rPr>
        <w:t>LCPROG</w:t>
      </w:r>
      <w:r w:rsidRPr="004E6CFC">
        <w:rPr>
          <w:i/>
          <w:iCs/>
          <w:vertAlign w:val="subscript"/>
        </w:rPr>
        <w:t>i,j,m,t</w:t>
      </w:r>
      <w:r w:rsidRPr="004E6CFC">
        <w:t>:</w:t>
      </w:r>
      <w:r w:rsidRPr="004E6CFC">
        <w:tab/>
        <w:t xml:space="preserve">Liquidación por concepto de CPROG, en </w:t>
      </w:r>
      <w:r w:rsidR="00863432" w:rsidRPr="004E6CFC">
        <w:t>pesos, en</w:t>
      </w:r>
      <w:r w:rsidRPr="004E6CFC">
        <w:t xml:space="preserve"> el mercado de comercialización </w:t>
      </w:r>
      <w:r w:rsidRPr="004E6CFC">
        <w:rPr>
          <w:i/>
        </w:rPr>
        <w:t>j</w:t>
      </w:r>
      <w:r w:rsidRPr="004E6CFC">
        <w:t xml:space="preserve">, por las ventas realizadas durante el mes </w:t>
      </w:r>
      <w:r w:rsidRPr="004E6CFC">
        <w:rPr>
          <w:i/>
        </w:rPr>
        <w:t xml:space="preserve">m </w:t>
      </w:r>
      <w:r w:rsidRPr="004E6CFC">
        <w:t>del año</w:t>
      </w:r>
      <w:r w:rsidRPr="004E6CFC">
        <w:rPr>
          <w:i/>
        </w:rPr>
        <w:t xml:space="preserve"> t</w:t>
      </w:r>
      <w:r w:rsidRPr="004E6CFC">
        <w:rPr>
          <w:iCs/>
        </w:rPr>
        <w:t>, que facturará el OR</w:t>
      </w:r>
      <w:r w:rsidRPr="004E6CFC">
        <w:rPr>
          <w:i/>
          <w:iCs/>
        </w:rPr>
        <w:t xml:space="preserve"> j </w:t>
      </w:r>
      <w:r w:rsidRPr="004E6CFC">
        <w:t xml:space="preserve">al comercializador </w:t>
      </w:r>
      <w:r w:rsidRPr="004E6CFC">
        <w:rPr>
          <w:i/>
          <w:iCs/>
        </w:rPr>
        <w:t>i</w:t>
      </w:r>
      <w:r w:rsidRPr="004E6CFC">
        <w:t xml:space="preserve">.  </w:t>
      </w:r>
    </w:p>
    <w:p w:rsidR="00285A2D" w:rsidRPr="004E6CFC" w:rsidRDefault="00285A2D" w:rsidP="00285A2D">
      <w:pPr>
        <w:ind w:left="1560" w:hanging="1560"/>
      </w:pPr>
      <w:r w:rsidRPr="004E6CFC">
        <w:rPr>
          <w:i/>
          <w:iCs/>
        </w:rPr>
        <w:lastRenderedPageBreak/>
        <w:t>VC</w:t>
      </w:r>
      <w:r w:rsidRPr="004E6CFC">
        <w:rPr>
          <w:i/>
          <w:iCs/>
          <w:vertAlign w:val="subscript"/>
        </w:rPr>
        <w:t>i,j,m</w:t>
      </w:r>
      <w:r w:rsidRPr="004E6CFC">
        <w:t>:</w:t>
      </w:r>
      <w:r w:rsidRPr="004E6CFC">
        <w:tab/>
        <w:t xml:space="preserve">Ventas de energía del comercializador </w:t>
      </w:r>
      <w:r w:rsidRPr="004E6CFC">
        <w:rPr>
          <w:i/>
          <w:iCs/>
        </w:rPr>
        <w:t>i</w:t>
      </w:r>
      <w:r w:rsidRPr="004E6CFC">
        <w:t xml:space="preserve">, en el mercado de comercialización </w:t>
      </w:r>
      <w:r w:rsidRPr="004E6CFC">
        <w:rPr>
          <w:i/>
        </w:rPr>
        <w:t>j</w:t>
      </w:r>
      <w:r w:rsidRPr="004E6CFC">
        <w:t xml:space="preserve">, durante el mes </w:t>
      </w:r>
      <w:r w:rsidRPr="004E6CFC">
        <w:rPr>
          <w:i/>
        </w:rPr>
        <w:t>m</w:t>
      </w:r>
      <w:r w:rsidRPr="004E6CFC">
        <w:t xml:space="preserve">, considerando las ventas a usuarios conectados directamente al STN que hacen parte del mercado de comercialización </w:t>
      </w:r>
      <w:r w:rsidRPr="004E6CFC">
        <w:rPr>
          <w:i/>
        </w:rPr>
        <w:t>j</w:t>
      </w:r>
      <w:r w:rsidRPr="004E6CFC">
        <w:t xml:space="preserve">. </w:t>
      </w:r>
    </w:p>
    <w:p w:rsidR="00285A2D" w:rsidRPr="004E6CFC" w:rsidRDefault="00285A2D" w:rsidP="00285A2D">
      <w:pPr>
        <w:ind w:left="1560"/>
      </w:pPr>
      <w:r w:rsidRPr="004E6CFC">
        <w:t xml:space="preserve">La determinación de las ventas a usuarios no regulados y para el caso en que un comercializador </w:t>
      </w:r>
      <w:r w:rsidRPr="004E6CFC">
        <w:rPr>
          <w:i/>
        </w:rPr>
        <w:t>i</w:t>
      </w:r>
      <w:r w:rsidRPr="004E6CFC">
        <w:t xml:space="preserve"> diferente al integrado al OR haya registrado una frontera comercial para la atención de un solo usuario regulado, se hará a través del consumo registrado en el SIC para la frontera específica. </w:t>
      </w:r>
    </w:p>
    <w:p w:rsidR="00285A2D" w:rsidRPr="004E6CFC" w:rsidRDefault="00285A2D" w:rsidP="00285A2D">
      <w:pPr>
        <w:ind w:left="1560"/>
      </w:pPr>
      <w:r w:rsidRPr="004E6CFC">
        <w:t>La determinación de las ventas a usuarios regulados atendidos por el comercializador incumbente se hará a través del consumo de energía eléctrica en kWh que es facturado y reportado para el respectivo periodo al SUI.</w:t>
      </w:r>
    </w:p>
    <w:p w:rsidR="00285A2D" w:rsidRPr="004E6CFC" w:rsidRDefault="00285A2D" w:rsidP="00285A2D">
      <w:pPr>
        <w:ind w:left="1560"/>
      </w:pPr>
      <w:r w:rsidRPr="004E6CFC">
        <w:t xml:space="preserve">En las fronteras comerciales que agrupen usuarios regulados atendidos por un comercializador </w:t>
      </w:r>
      <w:r w:rsidRPr="004E6CFC">
        <w:rPr>
          <w:i/>
        </w:rPr>
        <w:t>i</w:t>
      </w:r>
      <w:r w:rsidRPr="004E6CFC">
        <w:t xml:space="preserve"> diferente al incumbente, este valor corresponde a la medida registrada en la frontera comercial </w:t>
      </w:r>
      <w:r w:rsidRPr="004E6CFC">
        <w:rPr>
          <w:i/>
        </w:rPr>
        <w:t>f</w:t>
      </w:r>
      <w:r w:rsidRPr="004E6CFC">
        <w:t xml:space="preserve"> de dicho comercializador multiplicada por el factor (1- </w:t>
      </w:r>
      <w:r w:rsidRPr="004E6CFC">
        <w:rPr>
          <w:i/>
        </w:rPr>
        <w:t>Ps</w:t>
      </w:r>
      <w:r w:rsidRPr="004E6CFC">
        <w:rPr>
          <w:i/>
          <w:vertAlign w:val="subscript"/>
        </w:rPr>
        <w:t>f</w:t>
      </w:r>
      <w:r w:rsidRPr="004E6CFC">
        <w:t xml:space="preserve">). La variable </w:t>
      </w:r>
      <w:r w:rsidRPr="004E6CFC">
        <w:rPr>
          <w:i/>
        </w:rPr>
        <w:t>Ps</w:t>
      </w:r>
      <w:r w:rsidRPr="004E6CFC">
        <w:rPr>
          <w:i/>
          <w:vertAlign w:val="subscript"/>
        </w:rPr>
        <w:t>f</w:t>
      </w:r>
      <w:r w:rsidRPr="004E6CFC">
        <w:t xml:space="preserve"> es igual a 0,019.  En caso que el comercializador y el OR acuerden otro valor de </w:t>
      </w:r>
      <w:r w:rsidRPr="004E6CFC">
        <w:rPr>
          <w:i/>
        </w:rPr>
        <w:t>Ps</w:t>
      </w:r>
      <w:r w:rsidRPr="004E6CFC">
        <w:rPr>
          <w:i/>
          <w:vertAlign w:val="subscript"/>
        </w:rPr>
        <w:t>f</w:t>
      </w:r>
      <w:r w:rsidRPr="004E6CFC">
        <w:t>, deberá ser informado al LAC para que sea utilizado en la liquidación.</w:t>
      </w:r>
    </w:p>
    <w:p w:rsidR="00285A2D" w:rsidRPr="004E6CFC" w:rsidRDefault="00285A2D" w:rsidP="00285A2D">
      <w:pPr>
        <w:ind w:left="1560" w:hanging="1560"/>
      </w:pPr>
      <w:r w:rsidRPr="004E6CFC">
        <w:rPr>
          <w:i/>
          <w:iCs/>
        </w:rPr>
        <w:t>AL</w:t>
      </w:r>
      <w:r w:rsidRPr="004E6CFC">
        <w:rPr>
          <w:i/>
          <w:iCs/>
          <w:vertAlign w:val="subscript"/>
        </w:rPr>
        <w:t>i,j,m</w:t>
      </w:r>
      <w:r w:rsidRPr="004E6CFC">
        <w:t>:</w:t>
      </w:r>
      <w:r w:rsidRPr="004E6CFC">
        <w:tab/>
        <w:t xml:space="preserve">Ajuste de la liquidación en el mes </w:t>
      </w:r>
      <w:r w:rsidRPr="004E6CFC">
        <w:rPr>
          <w:i/>
        </w:rPr>
        <w:t>m</w:t>
      </w:r>
      <w:r w:rsidRPr="004E6CFC">
        <w:t xml:space="preserve">, en pesos, causada por modificaciones en los reportes de información de consumos facturados o refacturaciones, realizadas por el comercializador </w:t>
      </w:r>
      <w:r w:rsidRPr="004E6CFC">
        <w:rPr>
          <w:i/>
        </w:rPr>
        <w:t xml:space="preserve">i </w:t>
      </w:r>
      <w:r w:rsidRPr="004E6CFC">
        <w:t xml:space="preserve">en el mercado de comercialización </w:t>
      </w:r>
      <w:r w:rsidRPr="004E6CFC">
        <w:rPr>
          <w:i/>
        </w:rPr>
        <w:t>j</w:t>
      </w:r>
      <w:r w:rsidRPr="004E6CFC">
        <w:t xml:space="preserve">.  </w:t>
      </w:r>
    </w:p>
    <w:p w:rsidR="00285A2D" w:rsidRDefault="00285A2D" w:rsidP="00285A2D">
      <w:pPr>
        <w:spacing w:before="120"/>
        <w:ind w:left="1560"/>
        <w:rPr>
          <w:iCs/>
        </w:rPr>
      </w:pPr>
      <w:r w:rsidRPr="004E6CFC">
        <w:rPr>
          <w:iCs/>
        </w:rPr>
        <w:t>Este valor es igual a cero (0) en la primera liquidación</w:t>
      </w:r>
    </w:p>
    <w:p w:rsidR="00285A2D" w:rsidRDefault="00285A2D" w:rsidP="00285A2D">
      <w:pPr>
        <w:spacing w:before="120"/>
        <w:ind w:left="1560"/>
        <w:rPr>
          <w:iCs/>
        </w:rPr>
      </w:pPr>
      <w:r>
        <w:rPr>
          <w:iCs/>
        </w:rPr>
        <w:t>Acorde con lo establecido en la Resolución CREG 084 de 2007, estos ajustes se podrán efectuar para liquidaciones hasta de cinco meses anteriores al de cálculo.</w:t>
      </w:r>
    </w:p>
    <w:p w:rsidR="00285A2D" w:rsidRPr="004E6CFC" w:rsidRDefault="00C9592F" w:rsidP="00285A2D">
      <w:pPr>
        <w:jc w:val="center"/>
        <w:rPr>
          <w:i/>
        </w:rPr>
      </w:pPr>
      <m:oMathPara>
        <m:oMath>
          <m:sSub>
            <m:sSubPr>
              <m:ctrlPr>
                <w:rPr>
                  <w:rFonts w:ascii="Cambria Math" w:hAnsi="Cambria Math"/>
                  <w:sz w:val="22"/>
                  <w:szCs w:val="22"/>
                </w:rPr>
              </m:ctrlPr>
            </m:sSubPr>
            <m:e>
              <m:r>
                <w:rPr>
                  <w:rFonts w:ascii="Cambria Math" w:hAnsi="Cambria Math"/>
                  <w:sz w:val="22"/>
                  <w:szCs w:val="22"/>
                </w:rPr>
                <m:t>AL</m:t>
              </m:r>
            </m:e>
            <m:sub>
              <m:r>
                <w:rPr>
                  <w:rFonts w:ascii="Cambria Math" w:hAnsi="Cambria Math"/>
                  <w:sz w:val="22"/>
                  <w:szCs w:val="22"/>
                </w:rPr>
                <m:t>i,j,m</m:t>
              </m:r>
            </m:sub>
          </m:sSub>
          <m:r>
            <m:rPr>
              <m:sty m:val="p"/>
            </m:rPr>
            <w:rPr>
              <w:rFonts w:ascii="Cambria Math" w:hAnsi="Cambria Math"/>
              <w:sz w:val="22"/>
              <w:szCs w:val="22"/>
            </w:rPr>
            <m:t>=</m:t>
          </m:r>
          <m:nary>
            <m:naryPr>
              <m:chr m:val="∑"/>
              <m:limLoc m:val="undOvr"/>
              <m:ctrlPr>
                <w:rPr>
                  <w:rFonts w:ascii="Cambria Math" w:hAnsi="Cambria Math"/>
                  <w:sz w:val="22"/>
                  <w:szCs w:val="22"/>
                </w:rPr>
              </m:ctrlPr>
            </m:naryPr>
            <m:sub>
              <m:r>
                <w:rPr>
                  <w:rFonts w:ascii="Cambria Math" w:hAnsi="Cambria Math"/>
                  <w:sz w:val="22"/>
                  <w:szCs w:val="22"/>
                </w:rPr>
                <m:t>maj=1</m:t>
              </m:r>
            </m:sub>
            <m:sup>
              <m:r>
                <w:rPr>
                  <w:rFonts w:ascii="Cambria Math" w:hAnsi="Cambria Math"/>
                  <w:sz w:val="22"/>
                  <w:szCs w:val="22"/>
                </w:rPr>
                <m:t>n</m:t>
              </m:r>
            </m:sup>
            <m:e>
              <m:d>
                <m:dPr>
                  <m:ctrlPr>
                    <w:rPr>
                      <w:rFonts w:ascii="Cambria Math" w:hAnsi="Cambria Math"/>
                      <w:i/>
                      <w:sz w:val="22"/>
                      <w:szCs w:val="22"/>
                    </w:rPr>
                  </m:ctrlPr>
                </m:dPr>
                <m:e>
                  <m:sSub>
                    <m:sSubPr>
                      <m:ctrlPr>
                        <w:rPr>
                          <w:rFonts w:ascii="Cambria Math" w:hAnsi="Cambria Math"/>
                          <w:sz w:val="22"/>
                          <w:szCs w:val="22"/>
                        </w:rPr>
                      </m:ctrlPr>
                    </m:sSubPr>
                    <m:e>
                      <m:r>
                        <w:rPr>
                          <w:rFonts w:ascii="Cambria Math" w:hAnsi="Cambria Math"/>
                          <w:sz w:val="22"/>
                          <w:szCs w:val="22"/>
                        </w:rPr>
                        <m:t>CPROG</m:t>
                      </m:r>
                    </m:e>
                    <m:sub>
                      <m:r>
                        <w:rPr>
                          <w:rFonts w:ascii="Cambria Math" w:hAnsi="Cambria Math"/>
                          <w:sz w:val="22"/>
                          <w:szCs w:val="22"/>
                        </w:rPr>
                        <m:t>j,maj</m:t>
                      </m:r>
                    </m:sub>
                  </m:sSub>
                  <m:r>
                    <w:rPr>
                      <w:rFonts w:ascii="Cambria Math" w:hAnsi="Cambria Math"/>
                      <w:sz w:val="22"/>
                      <w:szCs w:val="22"/>
                    </w:rPr>
                    <m:t>*</m:t>
                  </m:r>
                  <m:d>
                    <m:dPr>
                      <m:ctrlPr>
                        <w:rPr>
                          <w:rFonts w:ascii="Cambria Math" w:hAnsi="Cambria Math"/>
                          <w:i/>
                          <w:sz w:val="22"/>
                          <w:szCs w:val="22"/>
                        </w:rPr>
                      </m:ctrlPr>
                    </m:dPr>
                    <m:e>
                      <m:sSub>
                        <m:sSubPr>
                          <m:ctrlPr>
                            <w:rPr>
                              <w:rFonts w:ascii="Cambria Math" w:hAnsi="Cambria Math"/>
                              <w:i/>
                              <w:sz w:val="22"/>
                              <w:szCs w:val="22"/>
                            </w:rPr>
                          </m:ctrlPr>
                        </m:sSubPr>
                        <m:e>
                          <m:r>
                            <w:rPr>
                              <w:rFonts w:ascii="Cambria Math" w:hAnsi="Cambria Math"/>
                              <w:sz w:val="22"/>
                              <w:szCs w:val="22"/>
                            </w:rPr>
                            <m:t>VCA</m:t>
                          </m:r>
                        </m:e>
                        <m:sub>
                          <m:r>
                            <w:rPr>
                              <w:rFonts w:ascii="Cambria Math" w:hAnsi="Cambria Math"/>
                              <w:sz w:val="22"/>
                              <w:szCs w:val="22"/>
                            </w:rPr>
                            <m:t>i,j,maj</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VC</m:t>
                          </m:r>
                        </m:e>
                        <m:sub>
                          <m:r>
                            <w:rPr>
                              <w:rFonts w:ascii="Cambria Math" w:hAnsi="Cambria Math"/>
                              <w:sz w:val="22"/>
                              <w:szCs w:val="22"/>
                            </w:rPr>
                            <m:t>i,j,maj</m:t>
                          </m:r>
                        </m:sub>
                      </m:sSub>
                    </m:e>
                  </m:d>
                </m:e>
              </m:d>
            </m:e>
          </m:nary>
          <m:r>
            <w:rPr>
              <w:rFonts w:ascii="Cambria Math" w:hAnsi="Cambria Math"/>
              <w:sz w:val="22"/>
              <w:szCs w:val="22"/>
            </w:rPr>
            <m:t>+</m:t>
          </m:r>
          <m:d>
            <m:dPr>
              <m:ctrlPr>
                <w:rPr>
                  <w:rFonts w:ascii="Cambria Math" w:hAnsi="Cambria Math"/>
                  <w:i/>
                  <w:sz w:val="22"/>
                  <w:szCs w:val="22"/>
                </w:rPr>
              </m:ctrlPr>
            </m:dPr>
            <m:e>
              <m:sSub>
                <m:sSubPr>
                  <m:ctrlPr>
                    <w:rPr>
                      <w:rFonts w:ascii="Cambria Math" w:hAnsi="Cambria Math"/>
                      <w:i/>
                      <w:sz w:val="22"/>
                      <w:szCs w:val="22"/>
                    </w:rPr>
                  </m:ctrlPr>
                </m:sSubPr>
                <m:e>
                  <m:sSub>
                    <m:sSubPr>
                      <m:ctrlPr>
                        <w:rPr>
                          <w:rFonts w:ascii="Cambria Math" w:hAnsi="Cambria Math"/>
                          <w:sz w:val="22"/>
                          <w:szCs w:val="22"/>
                        </w:rPr>
                      </m:ctrlPr>
                    </m:sSubPr>
                    <m:e>
                      <m:r>
                        <w:rPr>
                          <w:rFonts w:ascii="Cambria Math" w:hAnsi="Cambria Math"/>
                          <w:sz w:val="22"/>
                          <w:szCs w:val="22"/>
                        </w:rPr>
                        <m:t>CPROG</m:t>
                      </m:r>
                    </m:e>
                    <m:sub>
                      <m:r>
                        <w:rPr>
                          <w:rFonts w:ascii="Cambria Math" w:hAnsi="Cambria Math"/>
                          <w:sz w:val="22"/>
                          <w:szCs w:val="22"/>
                        </w:rPr>
                        <m:t>j,m</m:t>
                      </m:r>
                    </m:sub>
                  </m:sSub>
                  <m:r>
                    <w:rPr>
                      <w:rFonts w:ascii="Cambria Math" w:hAnsi="Cambria Math"/>
                      <w:sz w:val="22"/>
                      <w:szCs w:val="22"/>
                    </w:rPr>
                    <m:t>*VCR</m:t>
                  </m:r>
                </m:e>
                <m:sub>
                  <m:r>
                    <w:rPr>
                      <w:rFonts w:ascii="Cambria Math" w:hAnsi="Cambria Math"/>
                      <w:sz w:val="22"/>
                      <w:szCs w:val="22"/>
                    </w:rPr>
                    <m:t>i,j,m</m:t>
                  </m:r>
                </m:sub>
              </m:sSub>
            </m:e>
          </m:d>
        </m:oMath>
      </m:oMathPara>
    </w:p>
    <w:p w:rsidR="00285A2D" w:rsidRPr="004E6CFC" w:rsidRDefault="00285A2D" w:rsidP="00285A2D">
      <w:pPr>
        <w:ind w:left="1275" w:hanging="1275"/>
      </w:pPr>
      <w:r w:rsidRPr="004E6CFC">
        <w:t>Donde:</w:t>
      </w:r>
    </w:p>
    <w:p w:rsidR="00285A2D" w:rsidRPr="004E6CFC" w:rsidRDefault="00285A2D" w:rsidP="00285A2D">
      <w:pPr>
        <w:spacing w:before="120"/>
        <w:ind w:left="1275" w:hanging="1275"/>
      </w:pPr>
      <w:r w:rsidRPr="004E6CFC">
        <w:rPr>
          <w:i/>
          <w:iCs/>
        </w:rPr>
        <w:t>VCA</w:t>
      </w:r>
      <w:r w:rsidRPr="004E6CFC">
        <w:rPr>
          <w:i/>
          <w:iCs/>
          <w:vertAlign w:val="subscript"/>
        </w:rPr>
        <w:t>i,j,maj</w:t>
      </w:r>
      <w:r w:rsidRPr="004E6CFC">
        <w:t>:</w:t>
      </w:r>
      <w:r w:rsidRPr="004E6CFC">
        <w:tab/>
        <w:t xml:space="preserve">Ventas de energía del comercializador </w:t>
      </w:r>
      <w:r w:rsidRPr="004E6CFC">
        <w:rPr>
          <w:i/>
        </w:rPr>
        <w:t>i</w:t>
      </w:r>
      <w:r w:rsidRPr="004E6CFC">
        <w:t xml:space="preserve"> ajustadas, en el mercado de comercialización </w:t>
      </w:r>
      <w:r w:rsidRPr="004E6CFC">
        <w:rPr>
          <w:i/>
        </w:rPr>
        <w:t>j</w:t>
      </w:r>
      <w:r w:rsidRPr="004E6CFC">
        <w:t xml:space="preserve">, en el mes de ajuste </w:t>
      </w:r>
      <w:r w:rsidRPr="004E6CFC">
        <w:rPr>
          <w:i/>
        </w:rPr>
        <w:t>maj</w:t>
      </w:r>
      <w:r w:rsidRPr="004E6CFC">
        <w:t xml:space="preserve"> para el cual se modificó el reporte de información, considerando las ventas a usuarios conectados directamente al STN que hacen parte del mercado de comercialización </w:t>
      </w:r>
      <w:r w:rsidRPr="004E6CFC">
        <w:rPr>
          <w:i/>
        </w:rPr>
        <w:t>j</w:t>
      </w:r>
      <w:r w:rsidRPr="004E6CFC">
        <w:t xml:space="preserve">. </w:t>
      </w:r>
    </w:p>
    <w:p w:rsidR="00285A2D" w:rsidRPr="004E6CFC" w:rsidRDefault="00285A2D" w:rsidP="00285A2D">
      <w:pPr>
        <w:ind w:left="1275" w:hanging="3"/>
      </w:pPr>
      <w:r w:rsidRPr="004E6CFC">
        <w:t>Es el reporte de energía eléctrica, en kWh y que ha modificado un reporte anterior con base en el cual ya se realizó alguna liquidación del costo del plan.</w:t>
      </w:r>
    </w:p>
    <w:p w:rsidR="00285A2D" w:rsidRPr="004E6CFC" w:rsidRDefault="00285A2D" w:rsidP="00285A2D">
      <w:pPr>
        <w:ind w:left="1275" w:hanging="3"/>
      </w:pPr>
      <w:r w:rsidRPr="004E6CFC">
        <w:t xml:space="preserve">Si el comercializador no realiza modificaciones en el consumo facturado, la variable </w:t>
      </w:r>
      <w:r w:rsidRPr="004E6CFC">
        <w:rPr>
          <w:i/>
        </w:rPr>
        <w:t>VCA</w:t>
      </w:r>
      <w:r w:rsidRPr="004E6CFC">
        <w:rPr>
          <w:i/>
          <w:vertAlign w:val="subscript"/>
        </w:rPr>
        <w:t>i,j,maj</w:t>
      </w:r>
      <w:r w:rsidRPr="004E6CFC">
        <w:t xml:space="preserve"> es igual a </w:t>
      </w:r>
      <w:r w:rsidRPr="004E6CFC">
        <w:rPr>
          <w:i/>
        </w:rPr>
        <w:t>VC</w:t>
      </w:r>
      <w:r w:rsidRPr="004E6CFC">
        <w:rPr>
          <w:i/>
          <w:vertAlign w:val="subscript"/>
        </w:rPr>
        <w:t>i,j,maj</w:t>
      </w:r>
      <w:r w:rsidRPr="004E6CFC">
        <w:t xml:space="preserve">. </w:t>
      </w:r>
    </w:p>
    <w:p w:rsidR="00285A2D" w:rsidRPr="004E6CFC" w:rsidRDefault="00285A2D" w:rsidP="00285A2D">
      <w:pPr>
        <w:ind w:left="1275" w:hanging="1275"/>
      </w:pPr>
      <w:r w:rsidRPr="004E6CFC">
        <w:rPr>
          <w:i/>
          <w:iCs/>
        </w:rPr>
        <w:lastRenderedPageBreak/>
        <w:t>VC</w:t>
      </w:r>
      <w:r w:rsidRPr="004E6CFC">
        <w:rPr>
          <w:i/>
          <w:iCs/>
          <w:vertAlign w:val="subscript"/>
        </w:rPr>
        <w:t>i,j,maj</w:t>
      </w:r>
      <w:r w:rsidRPr="004E6CFC">
        <w:t>:</w:t>
      </w:r>
      <w:r w:rsidRPr="004E6CFC">
        <w:tab/>
        <w:t xml:space="preserve">Ventas de energía del comercializador </w:t>
      </w:r>
      <w:r w:rsidRPr="004E6CFC">
        <w:rPr>
          <w:i/>
          <w:iCs/>
        </w:rPr>
        <w:t>i</w:t>
      </w:r>
      <w:r w:rsidRPr="004E6CFC">
        <w:t xml:space="preserve">, en el mercado de comercialización </w:t>
      </w:r>
      <w:r w:rsidRPr="004E6CFC">
        <w:rPr>
          <w:i/>
        </w:rPr>
        <w:t>j</w:t>
      </w:r>
      <w:r w:rsidRPr="004E6CFC">
        <w:t xml:space="preserve">, considerando las ventas a usuarios conectados directamente al STN que hacen parte del mercado de comercialización </w:t>
      </w:r>
      <w:r w:rsidRPr="004E6CFC">
        <w:rPr>
          <w:i/>
        </w:rPr>
        <w:t>j</w:t>
      </w:r>
      <w:r w:rsidRPr="004E6CFC">
        <w:t>, (</w:t>
      </w:r>
      <w:r w:rsidRPr="004E6CFC">
        <w:rPr>
          <w:i/>
          <w:iCs/>
        </w:rPr>
        <w:t>VC</w:t>
      </w:r>
      <w:r w:rsidRPr="004E6CFC">
        <w:rPr>
          <w:i/>
          <w:iCs/>
          <w:vertAlign w:val="subscript"/>
        </w:rPr>
        <w:t>i,j,m</w:t>
      </w:r>
      <w:r w:rsidRPr="004E6CFC">
        <w:t xml:space="preserve"> ) que ha sido objeto de modificación posteriormente al momento de su utilización en el cálculo de un LCPROG.  </w:t>
      </w:r>
    </w:p>
    <w:p w:rsidR="00285A2D" w:rsidRPr="004E6CFC" w:rsidRDefault="00285A2D" w:rsidP="00285A2D">
      <w:pPr>
        <w:ind w:left="1275" w:hanging="1275"/>
      </w:pPr>
      <w:r w:rsidRPr="004E6CFC">
        <w:rPr>
          <w:i/>
          <w:iCs/>
        </w:rPr>
        <w:t>VCR</w:t>
      </w:r>
      <w:r w:rsidRPr="004E6CFC">
        <w:rPr>
          <w:i/>
          <w:iCs/>
          <w:vertAlign w:val="subscript"/>
        </w:rPr>
        <w:t>i,j,m</w:t>
      </w:r>
      <w:r w:rsidRPr="004E6CFC">
        <w:t>:</w:t>
      </w:r>
      <w:r w:rsidRPr="004E6CFC">
        <w:tab/>
        <w:t xml:space="preserve">Consumo refacturado por el comercializador </w:t>
      </w:r>
      <w:r w:rsidRPr="004E6CFC">
        <w:rPr>
          <w:i/>
        </w:rPr>
        <w:t>i</w:t>
      </w:r>
      <w:r w:rsidRPr="004E6CFC">
        <w:t xml:space="preserve">, en el mercado de comercialización </w:t>
      </w:r>
      <w:r w:rsidRPr="004E6CFC">
        <w:rPr>
          <w:i/>
        </w:rPr>
        <w:t>j</w:t>
      </w:r>
      <w:r w:rsidRPr="004E6CFC">
        <w:t xml:space="preserve">, para el mes </w:t>
      </w:r>
      <w:r w:rsidRPr="004E6CFC">
        <w:rPr>
          <w:i/>
        </w:rPr>
        <w:t>m</w:t>
      </w:r>
      <w:r w:rsidRPr="004E6CFC">
        <w:t xml:space="preserve">, considerando las ventas a usuarios conectados directamente al STN que hacen parte del mercado de comercialización </w:t>
      </w:r>
      <w:r w:rsidRPr="004E6CFC">
        <w:rPr>
          <w:i/>
        </w:rPr>
        <w:t>j</w:t>
      </w:r>
      <w:r w:rsidRPr="004E6CFC">
        <w:t xml:space="preserve">. Corresponde a los consumos de energía eléctrica, en kWh, realizados durante períodos anteriores que se facturaron de más o se dejaron de facturar. </w:t>
      </w:r>
    </w:p>
    <w:p w:rsidR="00285A2D" w:rsidRPr="004E6CFC" w:rsidRDefault="00285A2D" w:rsidP="00285A2D">
      <w:r w:rsidRPr="004E6CFC">
        <w:t xml:space="preserve">Cuando un comercializador modifique la información de ventas en el SUI o el reporte de energía en el LAC para un mes que ya ha sido objeto de liquidación de </w:t>
      </w:r>
      <w:r w:rsidRPr="004E6CFC">
        <w:rPr>
          <w:i/>
        </w:rPr>
        <w:t>CPROG</w:t>
      </w:r>
      <w:r w:rsidRPr="004E6CFC">
        <w:rPr>
          <w:i/>
          <w:vertAlign w:val="subscript"/>
        </w:rPr>
        <w:t>j,m</w:t>
      </w:r>
      <w:r w:rsidRPr="004E6CFC">
        <w:t>, el LAC deberá efectuar una reliquidación por este concepto</w:t>
      </w:r>
      <w:r>
        <w:t>. En el caso de un comercializador incumbente para el mercado regulado con la información que para tal efecto le debe enviar el comercializador respectivo durante los dos (2) días siguientes al de certificación de la misma información en la base de datos del SUI</w:t>
      </w:r>
      <w:r w:rsidRPr="004E6CFC">
        <w:t xml:space="preserve">. </w:t>
      </w:r>
    </w:p>
    <w:p w:rsidR="00285A2D" w:rsidRPr="004E6CFC" w:rsidRDefault="00285A2D" w:rsidP="00285A2D">
      <w:r w:rsidRPr="004E6CFC">
        <w:t>La facturación y recaudo a los agentes comercializadores le corresponderá a los OR, utilizando la liquidación elaborada por el LAC.</w:t>
      </w:r>
    </w:p>
    <w:p w:rsidR="00285A2D" w:rsidRDefault="00285A2D" w:rsidP="00285A2D">
      <w:r w:rsidRPr="004E6CFC">
        <w:t xml:space="preserve">La liquidación del </w:t>
      </w:r>
      <w:r w:rsidRPr="004E6CFC">
        <w:rPr>
          <w:i/>
        </w:rPr>
        <w:t>CPROG</w:t>
      </w:r>
      <w:r w:rsidRPr="004E6CFC">
        <w:rPr>
          <w:i/>
          <w:vertAlign w:val="subscript"/>
        </w:rPr>
        <w:t>j,m</w:t>
      </w:r>
      <w:r w:rsidRPr="004E6CFC">
        <w:t xml:space="preserve"> deberá ser trasladada por los comercializadores a los respectivos OR de acuerdo con los plazos establecidos en la regulación vigente.</w:t>
      </w:r>
    </w:p>
    <w:p w:rsidR="00285A2D" w:rsidRPr="004E6CFC" w:rsidRDefault="00285A2D" w:rsidP="00285A2D">
      <w:pPr>
        <w:pStyle w:val="Ttulo3"/>
        <w:ind w:left="709"/>
      </w:pPr>
      <w:bookmarkStart w:id="880" w:name="_Ref402721170"/>
      <w:bookmarkStart w:id="881" w:name="_Toc406406218"/>
      <w:bookmarkStart w:id="882" w:name="_Toc408493213"/>
      <w:bookmarkStart w:id="883" w:name="_Toc443655746"/>
      <w:bookmarkStart w:id="884" w:name="_Toc445214136"/>
      <w:bookmarkStart w:id="885" w:name="_Toc466009917"/>
      <w:bookmarkStart w:id="886" w:name="_Toc476824944"/>
      <w:bookmarkStart w:id="887" w:name="_Toc505335995"/>
      <w:r w:rsidRPr="004E6CFC">
        <w:t>Suspensión, cancelación del plan de reducción y devolución de ingresos.</w:t>
      </w:r>
      <w:bookmarkEnd w:id="880"/>
      <w:bookmarkEnd w:id="881"/>
      <w:bookmarkEnd w:id="882"/>
      <w:bookmarkEnd w:id="883"/>
      <w:bookmarkEnd w:id="884"/>
      <w:bookmarkEnd w:id="885"/>
      <w:bookmarkEnd w:id="886"/>
      <w:bookmarkEnd w:id="887"/>
      <w:r w:rsidRPr="004E6CFC">
        <w:t xml:space="preserve"> </w:t>
      </w:r>
    </w:p>
    <w:p w:rsidR="00285A2D" w:rsidRPr="004E6CFC" w:rsidRDefault="00285A2D" w:rsidP="00285A2D">
      <w:pPr>
        <w:rPr>
          <w:lang w:val="es-CO"/>
        </w:rPr>
      </w:pPr>
      <w:r w:rsidRPr="004E6CFC">
        <w:rPr>
          <w:lang w:val="es-CO"/>
        </w:rPr>
        <w:t xml:space="preserve">El plan de reducción de pérdidas puede ser suspendido o cancelado por encontrarse incurso en alguna de las causales en cada caso. </w:t>
      </w:r>
    </w:p>
    <w:p w:rsidR="00285A2D" w:rsidRPr="004E6CFC" w:rsidRDefault="00285A2D" w:rsidP="00285A2D">
      <w:r w:rsidRPr="004E6CFC">
        <w:rPr>
          <w:lang w:val="es-CO"/>
        </w:rPr>
        <w:t xml:space="preserve">En cualquier caso, de suspensión o cancelación, el LAC </w:t>
      </w:r>
      <w:r w:rsidRPr="004E6CFC">
        <w:t xml:space="preserve">determinará y publicará el valor del CPROG eliminando la variable </w:t>
      </w:r>
      <w:r w:rsidRPr="004E6CFC">
        <w:rPr>
          <w:i/>
          <w:lang w:val="es-CO"/>
        </w:rPr>
        <w:t>INVNUC</w:t>
      </w:r>
      <w:r w:rsidRPr="004E6CFC">
        <w:rPr>
          <w:i/>
          <w:vertAlign w:val="subscript"/>
          <w:lang w:val="es-CO"/>
        </w:rPr>
        <w:t>j</w:t>
      </w:r>
      <w:r w:rsidRPr="004E6CFC">
        <w:t xml:space="preserve"> que corresponda, </w:t>
      </w:r>
    </w:p>
    <w:p w:rsidR="00285A2D" w:rsidRPr="004E6CFC" w:rsidRDefault="00285A2D" w:rsidP="00285A2D">
      <w:pPr>
        <w:rPr>
          <w:lang w:val="es-CO"/>
        </w:rPr>
      </w:pPr>
      <w:r w:rsidRPr="004E6CFC">
        <w:rPr>
          <w:lang w:val="es-CO"/>
        </w:rPr>
        <w:t xml:space="preserve">En caso de suspensión, el cobro del CPROG </w:t>
      </w:r>
      <w:r w:rsidRPr="004E6CFC">
        <w:rPr>
          <w:lang w:val="es-CO"/>
        </w:rPr>
        <w:tab/>
        <w:t xml:space="preserve">considerando la variable </w:t>
      </w:r>
      <w:r w:rsidRPr="004E6CFC">
        <w:rPr>
          <w:i/>
          <w:lang w:val="es-CO"/>
        </w:rPr>
        <w:t>INVNUC</w:t>
      </w:r>
      <w:r w:rsidRPr="004E6CFC">
        <w:rPr>
          <w:i/>
          <w:vertAlign w:val="subscript"/>
          <w:lang w:val="es-CO"/>
        </w:rPr>
        <w:t>j</w:t>
      </w:r>
      <w:r w:rsidRPr="004E6CFC">
        <w:rPr>
          <w:lang w:val="es-CO"/>
        </w:rPr>
        <w:t xml:space="preserve"> puede ser reanudado cuando desaparezcan las causales de suspensión. En caso de cancelación el cobro de dicha variable no podrá reanudarse y, por el contrario, se deberán devolver los recursos.</w:t>
      </w:r>
    </w:p>
    <w:p w:rsidR="00285A2D" w:rsidRPr="004E6CFC" w:rsidRDefault="00285A2D" w:rsidP="00285A2D">
      <w:pPr>
        <w:pStyle w:val="Ttulo4"/>
        <w:ind w:left="1416" w:hanging="1416"/>
        <w:rPr>
          <w:lang w:val="es-CO"/>
        </w:rPr>
      </w:pPr>
      <w:r w:rsidRPr="004E6CFC">
        <w:t xml:space="preserve">Causales para la suspensión del reconocimiento de los costos asociados con los planes </w:t>
      </w:r>
    </w:p>
    <w:p w:rsidR="00285A2D" w:rsidRPr="004E6CFC" w:rsidRDefault="00285A2D" w:rsidP="00285A2D">
      <w:bookmarkStart w:id="888" w:name="_Ref259799612"/>
      <w:r w:rsidRPr="004E6CFC">
        <w:t>Las causales de suspensión del reconocimiento de los costos asociados con los planes son:</w:t>
      </w:r>
      <w:bookmarkEnd w:id="888"/>
    </w:p>
    <w:p w:rsidR="00285A2D" w:rsidRPr="004E6CFC" w:rsidRDefault="00285A2D" w:rsidP="00285A2D">
      <w:pPr>
        <w:pStyle w:val="Prrafodelista"/>
        <w:numPr>
          <w:ilvl w:val="0"/>
          <w:numId w:val="10"/>
        </w:numPr>
        <w:ind w:left="360"/>
      </w:pPr>
      <w:r w:rsidRPr="004E6CFC">
        <w:t xml:space="preserve">Incumplimiento en la meta de reducción de pérdidas en un </w:t>
      </w:r>
      <w:r>
        <w:t>año</w:t>
      </w:r>
      <w:r w:rsidRPr="004E6CFC">
        <w:t xml:space="preserve">. Un OR incumple una meta cuando el resultado final de su índice es superior a la meta aprobada para el respectivo </w:t>
      </w:r>
      <w:r>
        <w:t>año</w:t>
      </w:r>
      <w:r w:rsidRPr="004E6CFC">
        <w:t>.</w:t>
      </w:r>
    </w:p>
    <w:p w:rsidR="00285A2D" w:rsidRPr="004E6CFC" w:rsidRDefault="00285A2D" w:rsidP="00285A2D">
      <w:pPr>
        <w:pStyle w:val="Prrafodelista"/>
        <w:numPr>
          <w:ilvl w:val="0"/>
          <w:numId w:val="10"/>
        </w:numPr>
        <w:ind w:left="360"/>
      </w:pPr>
      <w:bookmarkStart w:id="889" w:name="_Ref293393072"/>
      <w:r w:rsidRPr="004E6CFC">
        <w:lastRenderedPageBreak/>
        <w:t>Cuando el LAC sea informado que la vinculación de usuarios a la red está incompleta o desactualizada en el SUI, como resultado de la verificación de información que pueden adelantar la SSPD o la CREG</w:t>
      </w:r>
      <w:bookmarkEnd w:id="889"/>
      <w:r w:rsidRPr="004E6CFC">
        <w:t xml:space="preserve">. </w:t>
      </w:r>
    </w:p>
    <w:p w:rsidR="00285A2D" w:rsidRPr="004E6CFC" w:rsidRDefault="00285A2D" w:rsidP="00285A2D">
      <w:pPr>
        <w:pStyle w:val="Prrafodelista"/>
        <w:numPr>
          <w:ilvl w:val="0"/>
          <w:numId w:val="10"/>
        </w:numPr>
        <w:ind w:left="360"/>
      </w:pPr>
      <w:r w:rsidRPr="004E6CFC">
        <w:t xml:space="preserve">Cuando el LAC sea informado por la autoridad competente que en un periodo de evaluación se encuentren fronteras comerciales entre agentes de responsabilidad del comercializador integrado con el OR </w:t>
      </w:r>
      <w:r w:rsidRPr="004E6CFC">
        <w:rPr>
          <w:i/>
        </w:rPr>
        <w:t>j</w:t>
      </w:r>
      <w:r w:rsidRPr="004E6CFC">
        <w:t xml:space="preserve"> cuya información de las características de la misma (nivel de tensión, precisión, tipo de frontera) difiera de la registrada en el SIC.  </w:t>
      </w:r>
    </w:p>
    <w:p w:rsidR="00285A2D" w:rsidRPr="004E6CFC" w:rsidRDefault="00285A2D" w:rsidP="00285A2D">
      <w:pPr>
        <w:pStyle w:val="Prrafodelista"/>
        <w:numPr>
          <w:ilvl w:val="0"/>
          <w:numId w:val="10"/>
        </w:numPr>
        <w:ind w:left="360"/>
      </w:pPr>
      <w:r w:rsidRPr="004E6CFC">
        <w:t xml:space="preserve">Cuando, a partir del decimotercer (13) mes de inicio del plan, el OR no informe al LAC, durante dos meses consecutivos, el registro de las medidas entre niveles de tensión para determinar el factor </w:t>
      </w:r>
      <w:r w:rsidRPr="004E6CFC">
        <w:rPr>
          <w:i/>
        </w:rPr>
        <w:t>FDF</w:t>
      </w:r>
      <w:r w:rsidRPr="004E6CFC">
        <w:rPr>
          <w:i/>
          <w:vertAlign w:val="subscript"/>
        </w:rPr>
        <w:t>j,k</w:t>
      </w:r>
      <w:r w:rsidRPr="004E6CFC">
        <w:rPr>
          <w:i/>
          <w:vertAlign w:val="subscript"/>
        </w:rPr>
        <w:sym w:font="Symbol" w:char="F0AE"/>
      </w:r>
      <w:r w:rsidRPr="004E6CFC">
        <w:rPr>
          <w:i/>
          <w:vertAlign w:val="subscript"/>
        </w:rPr>
        <w:t>n,m</w:t>
      </w:r>
      <w:r w:rsidRPr="004E6CFC">
        <w:t xml:space="preserve"> de que trata el numeral </w:t>
      </w:r>
      <w:r w:rsidRPr="004E6CFC">
        <w:fldChar w:fldCharType="begin"/>
      </w:r>
      <w:r w:rsidRPr="004E6CFC">
        <w:instrText xml:space="preserve"> REF _Ref460840580 \r \h  \* MERGEFORMAT </w:instrText>
      </w:r>
      <w:r w:rsidRPr="004E6CFC">
        <w:fldChar w:fldCharType="separate"/>
      </w:r>
      <w:r w:rsidR="00737178">
        <w:t>7.3.7.3</w:t>
      </w:r>
      <w:r w:rsidRPr="004E6CFC">
        <w:fldChar w:fldCharType="end"/>
      </w:r>
      <w:r w:rsidRPr="004E6CFC">
        <w:t xml:space="preserve">.  </w:t>
      </w:r>
    </w:p>
    <w:p w:rsidR="00285A2D" w:rsidRPr="004E6CFC" w:rsidRDefault="00285A2D" w:rsidP="00285A2D">
      <w:r w:rsidRPr="004E6CFC">
        <w:t>La remuneración será suspendida a partir del conocimiento del hecho y hasta el inicio del próximo periodo de evaluación,</w:t>
      </w:r>
      <w:r>
        <w:t xml:space="preserve"> momento en el cual se podrá retirar la </w:t>
      </w:r>
      <w:r w:rsidR="00863432">
        <w:t>medida</w:t>
      </w:r>
      <w:r>
        <w:t xml:space="preserve"> de suspensión siempre y cuando se haya subsanado la causal que la motivó.</w:t>
      </w:r>
    </w:p>
    <w:p w:rsidR="00285A2D" w:rsidRPr="004E6CFC" w:rsidRDefault="00A62992" w:rsidP="00285A2D">
      <w:pPr>
        <w:pStyle w:val="Ttulo4"/>
        <w:ind w:left="0" w:firstLine="0"/>
      </w:pPr>
      <w:bookmarkStart w:id="890" w:name="_Ref280706592"/>
      <w:r>
        <w:t xml:space="preserve"> </w:t>
      </w:r>
      <w:r w:rsidR="00285A2D" w:rsidRPr="004E6CFC">
        <w:t xml:space="preserve">Causales para la cancelación automática del plan </w:t>
      </w:r>
    </w:p>
    <w:p w:rsidR="00285A2D" w:rsidRPr="004E6CFC" w:rsidRDefault="00285A2D" w:rsidP="00285A2D">
      <w:r w:rsidRPr="004E6CFC">
        <w:t>Las causales de cancelación automática del plan, sin que se requiera declaración de ninguna autoridad, son:</w:t>
      </w:r>
      <w:bookmarkEnd w:id="890"/>
    </w:p>
    <w:p w:rsidR="00285A2D" w:rsidRPr="004E6CFC" w:rsidRDefault="00285A2D" w:rsidP="00285A2D">
      <w:pPr>
        <w:pStyle w:val="Prrafodelista"/>
        <w:numPr>
          <w:ilvl w:val="0"/>
          <w:numId w:val="11"/>
        </w:numPr>
        <w:ind w:left="360"/>
      </w:pPr>
      <w:r w:rsidRPr="004E6CFC">
        <w:t>Incumplimiento de las metas del plan durante dos períodos de evaluación consecutivos.</w:t>
      </w:r>
    </w:p>
    <w:p w:rsidR="00285A2D" w:rsidRPr="004E6CFC" w:rsidRDefault="00285A2D" w:rsidP="00285A2D">
      <w:pPr>
        <w:pStyle w:val="Prrafodelista"/>
        <w:numPr>
          <w:ilvl w:val="0"/>
          <w:numId w:val="11"/>
        </w:numPr>
        <w:ind w:left="360"/>
      </w:pPr>
      <w:r w:rsidRPr="004E6CFC">
        <w:t>Reincidencia en alguna de las causales de suspensión del plan.</w:t>
      </w:r>
    </w:p>
    <w:p w:rsidR="00285A2D" w:rsidRPr="004E6CFC" w:rsidRDefault="00285A2D" w:rsidP="00285A2D">
      <w:pPr>
        <w:pStyle w:val="Prrafodelista"/>
        <w:numPr>
          <w:ilvl w:val="0"/>
          <w:numId w:val="11"/>
        </w:numPr>
        <w:ind w:left="360"/>
      </w:pPr>
      <w:r w:rsidRPr="004E6CFC">
        <w:t>Cuando hayan transcurrido doce (12) meses posteriores a la detección y notificación de inconsistencias en la información del vínculo cliente red y el OR no haya corregido la situación. El OR debe informar al LAC la desaparición de tal inconsistencia.</w:t>
      </w:r>
    </w:p>
    <w:p w:rsidR="00285A2D" w:rsidRPr="004E6CFC" w:rsidRDefault="00285A2D" w:rsidP="00285A2D">
      <w:pPr>
        <w:pStyle w:val="Prrafodelista"/>
        <w:numPr>
          <w:ilvl w:val="0"/>
          <w:numId w:val="11"/>
        </w:numPr>
        <w:ind w:left="360"/>
      </w:pPr>
      <w:r w:rsidRPr="004E6CFC">
        <w:t xml:space="preserve">Cuando un OR decida finalizar el plan, conforme a lo establecido en el numeral </w:t>
      </w:r>
      <w:r w:rsidRPr="004E6CFC">
        <w:fldChar w:fldCharType="begin"/>
      </w:r>
      <w:r w:rsidRPr="004E6CFC">
        <w:instrText xml:space="preserve"> REF _Ref402532835 \r \h  \* MERGEFORMAT </w:instrText>
      </w:r>
      <w:r w:rsidRPr="004E6CFC">
        <w:fldChar w:fldCharType="separate"/>
      </w:r>
      <w:r w:rsidR="00737178">
        <w:t>7.3.6.3</w:t>
      </w:r>
      <w:r w:rsidRPr="004E6CFC">
        <w:fldChar w:fldCharType="end"/>
      </w:r>
      <w:r w:rsidRPr="004E6CFC">
        <w:t>.</w:t>
      </w:r>
    </w:p>
    <w:p w:rsidR="00285A2D" w:rsidRPr="004E6CFC" w:rsidRDefault="00285A2D" w:rsidP="00285A2D">
      <w:pPr>
        <w:pStyle w:val="Prrafodelista"/>
        <w:numPr>
          <w:ilvl w:val="0"/>
          <w:numId w:val="11"/>
        </w:numPr>
        <w:ind w:left="360"/>
      </w:pPr>
      <w:r w:rsidRPr="004E6CFC">
        <w:t xml:space="preserve">Cuando la información de ventas de energía reportada al SUI por un comercializador incumbente, utilizada para el seguimiento del plan, sea modificada en el SUI con posterioridad a la fecha del cálculo del índice respectivo y con la nueva información el OR no cumpla con la senda aprobada para el respectivo </w:t>
      </w:r>
      <w:r>
        <w:t>año</w:t>
      </w:r>
      <w:r w:rsidRPr="004E6CFC">
        <w:t>.</w:t>
      </w:r>
    </w:p>
    <w:p w:rsidR="00285A2D" w:rsidRPr="004E6CFC" w:rsidRDefault="00A62992" w:rsidP="00285A2D">
      <w:pPr>
        <w:pStyle w:val="Ttulo4"/>
        <w:ind w:left="0" w:firstLine="0"/>
      </w:pPr>
      <w:bookmarkStart w:id="891" w:name="_Ref402532835"/>
      <w:bookmarkStart w:id="892" w:name="_Ref296348276"/>
      <w:bookmarkStart w:id="893" w:name="_Ref296430249"/>
      <w:r>
        <w:t xml:space="preserve"> </w:t>
      </w:r>
      <w:r w:rsidR="00285A2D" w:rsidRPr="004E6CFC">
        <w:t>Cancelación de la ejecución del plan por petición del OR</w:t>
      </w:r>
      <w:bookmarkEnd w:id="891"/>
      <w:r w:rsidR="00285A2D" w:rsidRPr="004E6CFC">
        <w:t xml:space="preserve"> </w:t>
      </w:r>
    </w:p>
    <w:p w:rsidR="00285A2D" w:rsidRPr="004E6CFC" w:rsidRDefault="00285A2D" w:rsidP="00285A2D">
      <w:r w:rsidRPr="004E6CFC">
        <w:t>El</w:t>
      </w:r>
      <w:bookmarkEnd w:id="892"/>
      <w:r w:rsidRPr="004E6CFC">
        <w:t xml:space="preserve"> OR podrá solicitar la cancelación del plan</w:t>
      </w:r>
      <w:r>
        <w:t>,</w:t>
      </w:r>
      <w:r w:rsidRPr="004E6CFC">
        <w:t xml:space="preserve"> </w:t>
      </w:r>
      <w:r>
        <w:t xml:space="preserve">hasta dos meses posteriores del inicio de un periodo de evaluación o al final del mismo, </w:t>
      </w:r>
      <w:r w:rsidRPr="004E6CFC">
        <w:t>sujeto a las siguientes condiciones:</w:t>
      </w:r>
      <w:bookmarkEnd w:id="893"/>
    </w:p>
    <w:p w:rsidR="00285A2D" w:rsidRPr="004E6CFC" w:rsidRDefault="00285A2D" w:rsidP="00285A2D">
      <w:pPr>
        <w:pStyle w:val="Prrafodelista"/>
        <w:numPr>
          <w:ilvl w:val="0"/>
          <w:numId w:val="12"/>
        </w:numPr>
        <w:ind w:left="360"/>
      </w:pPr>
      <w:bookmarkStart w:id="894" w:name="_Ref296517405"/>
      <w:r w:rsidRPr="004E6CFC">
        <w:t>Si el OR cumplió la meta aprobada para el periodo de evaluación anterior al de la fecha de solicitud de cancelación del plan, no debe devolver ingresos por concepto del plan.</w:t>
      </w:r>
      <w:bookmarkEnd w:id="894"/>
      <w:r w:rsidRPr="004E6CFC">
        <w:t xml:space="preserve"> </w:t>
      </w:r>
    </w:p>
    <w:p w:rsidR="00285A2D" w:rsidRPr="004E6CFC" w:rsidRDefault="00285A2D" w:rsidP="00285A2D">
      <w:pPr>
        <w:pStyle w:val="Prrafodelista"/>
        <w:numPr>
          <w:ilvl w:val="0"/>
          <w:numId w:val="12"/>
        </w:numPr>
        <w:ind w:left="360"/>
      </w:pPr>
      <w:r w:rsidRPr="004E6CFC">
        <w:lastRenderedPageBreak/>
        <w:t xml:space="preserve">Si el OR incumplió la meta aprobada para el periodo de evaluación anterior al de la fecha de solicitud de cancelación del plan, debe devolver los ingresos recibidos durante el periodo de incumplimiento, de acuerdo con lo señalado en el numeral </w:t>
      </w:r>
      <w:r w:rsidRPr="004E6CFC">
        <w:fldChar w:fldCharType="begin"/>
      </w:r>
      <w:r w:rsidRPr="004E6CFC">
        <w:instrText xml:space="preserve"> REF _Ref402724714 \r \h  \* MERGEFORMAT </w:instrText>
      </w:r>
      <w:r w:rsidRPr="004E6CFC">
        <w:fldChar w:fldCharType="separate"/>
      </w:r>
      <w:r w:rsidR="00737178">
        <w:t>7.3.6.4</w:t>
      </w:r>
      <w:r w:rsidRPr="004E6CFC">
        <w:fldChar w:fldCharType="end"/>
      </w:r>
      <w:r w:rsidRPr="004E6CFC">
        <w:t>.</w:t>
      </w:r>
    </w:p>
    <w:p w:rsidR="00285A2D" w:rsidRDefault="00285A2D" w:rsidP="00285A2D">
      <w:pPr>
        <w:pStyle w:val="Prrafodelista"/>
        <w:numPr>
          <w:ilvl w:val="0"/>
          <w:numId w:val="12"/>
        </w:numPr>
        <w:ind w:left="360"/>
      </w:pPr>
      <w:bookmarkStart w:id="895" w:name="_Ref310607483"/>
      <w:bookmarkStart w:id="896" w:name="_Ref296517408"/>
      <w:r w:rsidRPr="004E6CFC">
        <w:t xml:space="preserve">Si el OR se encuentra en causal de suspensión del plan debe devolver los ingresos recibidos durante los periodos de incumplimiento, de acuerdo con lo señalado </w:t>
      </w:r>
      <w:bookmarkEnd w:id="895"/>
      <w:bookmarkEnd w:id="896"/>
      <w:r w:rsidRPr="004E6CFC">
        <w:t xml:space="preserve">en el numeral </w:t>
      </w:r>
      <w:r w:rsidRPr="004E6CFC">
        <w:fldChar w:fldCharType="begin"/>
      </w:r>
      <w:r w:rsidRPr="004E6CFC">
        <w:instrText xml:space="preserve"> REF _Ref402724714 \r \h  \* MERGEFORMAT </w:instrText>
      </w:r>
      <w:r w:rsidRPr="004E6CFC">
        <w:fldChar w:fldCharType="separate"/>
      </w:r>
      <w:r w:rsidR="00737178">
        <w:t>7.3.6.4</w:t>
      </w:r>
      <w:r w:rsidRPr="004E6CFC">
        <w:fldChar w:fldCharType="end"/>
      </w:r>
      <w:r w:rsidRPr="004E6CFC">
        <w:t>.</w:t>
      </w:r>
    </w:p>
    <w:p w:rsidR="00285A2D" w:rsidRPr="004E6CFC" w:rsidRDefault="00285A2D" w:rsidP="00285A2D">
      <w:r w:rsidRPr="004E6CFC">
        <w:t>Cuando el OR solicite la cancelación de la ejecución del plan se suspenderá inmediatamente el cobro de</w:t>
      </w:r>
      <w:r w:rsidRPr="004E6CFC">
        <w:rPr>
          <w:lang w:val="es-CO"/>
        </w:rPr>
        <w:t xml:space="preserve"> la variable </w:t>
      </w:r>
      <w:r w:rsidRPr="004E6CFC">
        <w:rPr>
          <w:i/>
          <w:lang w:val="es-CO"/>
        </w:rPr>
        <w:t>INVNUC</w:t>
      </w:r>
      <w:r w:rsidRPr="004E6CFC">
        <w:rPr>
          <w:i/>
          <w:vertAlign w:val="subscript"/>
          <w:lang w:val="es-CO"/>
        </w:rPr>
        <w:t>j</w:t>
      </w:r>
      <w:r w:rsidRPr="004E6CFC">
        <w:t>.</w:t>
      </w:r>
    </w:p>
    <w:p w:rsidR="00285A2D" w:rsidRPr="004E6CFC" w:rsidRDefault="00A62992" w:rsidP="00285A2D">
      <w:pPr>
        <w:pStyle w:val="Ttulo4"/>
        <w:ind w:left="0" w:firstLine="0"/>
      </w:pPr>
      <w:bookmarkStart w:id="897" w:name="_Ref402724714"/>
      <w:r>
        <w:t xml:space="preserve"> </w:t>
      </w:r>
      <w:r w:rsidR="00285A2D" w:rsidRPr="004E6CFC">
        <w:t>Devolución de ingresos por parte del OR</w:t>
      </w:r>
      <w:bookmarkEnd w:id="897"/>
      <w:r w:rsidR="00285A2D" w:rsidRPr="004E6CFC">
        <w:t xml:space="preserve"> </w:t>
      </w:r>
    </w:p>
    <w:p w:rsidR="00285A2D" w:rsidRPr="004E6CFC" w:rsidRDefault="00285A2D" w:rsidP="00285A2D">
      <w:bookmarkStart w:id="898" w:name="_Ref310577242"/>
      <w:r w:rsidRPr="004E6CFC">
        <w:t xml:space="preserve">Cuando se presente incumplimiento en la ejecución del plan por parte de un OR o en caso de que un OR decida finalizar unilateralmente la ejecución del plan y deba devolver recursos, el OR deberá retornar los ingresos recibidos por concepto de </w:t>
      </w:r>
      <w:r w:rsidRPr="004E6CFC">
        <w:rPr>
          <w:lang w:val="es-CO"/>
        </w:rPr>
        <w:t xml:space="preserve">la variable </w:t>
      </w:r>
      <w:r w:rsidRPr="004E6CFC">
        <w:rPr>
          <w:i/>
          <w:lang w:val="es-CO"/>
        </w:rPr>
        <w:t>INVNUC</w:t>
      </w:r>
      <w:r w:rsidRPr="004E6CFC">
        <w:rPr>
          <w:i/>
          <w:vertAlign w:val="subscript"/>
          <w:lang w:val="es-CO"/>
        </w:rPr>
        <w:t>j</w:t>
      </w:r>
      <w:r w:rsidRPr="004E6CFC">
        <w:rPr>
          <w:lang w:val="es-CO"/>
        </w:rPr>
        <w:t xml:space="preserve"> </w:t>
      </w:r>
      <w:r w:rsidRPr="004E6CFC">
        <w:t xml:space="preserve"> a los usuarios del mercado de comercialización, durante los doce (12) meses posteriores a la cancelación del plan, a través de un valor negativo de la variable </w:t>
      </w:r>
      <w:r w:rsidRPr="004E6CFC">
        <w:rPr>
          <w:i/>
        </w:rPr>
        <w:t>CPROG</w:t>
      </w:r>
      <w:r w:rsidRPr="004E6CFC">
        <w:rPr>
          <w:i/>
          <w:vertAlign w:val="subscript"/>
        </w:rPr>
        <w:t xml:space="preserve">j,m </w:t>
      </w:r>
      <w:r w:rsidRPr="004E6CFC">
        <w:t>, de acuerdo con la metodología</w:t>
      </w:r>
      <w:bookmarkEnd w:id="898"/>
      <w:r w:rsidRPr="004E6CFC">
        <w:t xml:space="preserve"> del presente numeral.</w:t>
      </w:r>
    </w:p>
    <w:p w:rsidR="00285A2D" w:rsidRPr="004E6CFC" w:rsidRDefault="00285A2D" w:rsidP="00285A2D">
      <w:bookmarkStart w:id="899" w:name="_Toc310577406"/>
      <w:bookmarkStart w:id="900" w:name="_Ref280344187"/>
      <w:bookmarkStart w:id="901" w:name="_Ref280343582"/>
      <w:r w:rsidRPr="004E6CFC">
        <w:t xml:space="preserve">En caso de cancelación de la ejecución del plan el LAC calculará los ingresos recibidos por concepto de </w:t>
      </w:r>
      <w:r w:rsidRPr="004E6CFC">
        <w:rPr>
          <w:lang w:val="es-CO"/>
        </w:rPr>
        <w:t xml:space="preserve">la variable </w:t>
      </w:r>
      <w:r w:rsidRPr="004E6CFC">
        <w:rPr>
          <w:i/>
          <w:lang w:val="es-CO"/>
        </w:rPr>
        <w:t>INVNUC</w:t>
      </w:r>
      <w:r w:rsidRPr="004E6CFC">
        <w:rPr>
          <w:i/>
          <w:vertAlign w:val="subscript"/>
          <w:lang w:val="es-CO"/>
        </w:rPr>
        <w:t>j</w:t>
      </w:r>
      <w:r w:rsidRPr="004E6CFC">
        <w:t xml:space="preserve"> durante los períodos de incumplimiento previos a la suspensión de la remuneración del plan, para que sean tenidos en cuenta como un menor valor en el costo de prestación del servicio a los usuarios del mercado de comercialización respectivo Para el caso de devolución a los usuarios conectados directamente al STN, el LAC deberá descontar los dineros a devolver de la siguiente liquidación de ingresos del OR y asignarle esos recursos al comercializador que corresponda para que este, a su vez, reintegre los valores al usuario específico.</w:t>
      </w:r>
    </w:p>
    <w:p w:rsidR="00285A2D" w:rsidRPr="004E6CFC" w:rsidRDefault="00285A2D" w:rsidP="00285A2D">
      <w:r w:rsidRPr="004E6CFC">
        <w:t xml:space="preserve">En caso de finalización unilateral del plan el LAC debe calcular los ingresos recibidos por concepto de </w:t>
      </w:r>
      <w:r w:rsidRPr="004E6CFC">
        <w:rPr>
          <w:lang w:val="es-CO"/>
        </w:rPr>
        <w:t xml:space="preserve">la variable </w:t>
      </w:r>
      <w:r w:rsidRPr="004E6CFC">
        <w:rPr>
          <w:i/>
          <w:lang w:val="es-CO"/>
        </w:rPr>
        <w:t>INVNUC</w:t>
      </w:r>
      <w:r w:rsidRPr="004E6CFC">
        <w:rPr>
          <w:i/>
          <w:vertAlign w:val="subscript"/>
          <w:lang w:val="es-CO"/>
        </w:rPr>
        <w:t>j</w:t>
      </w:r>
      <w:r w:rsidRPr="004E6CFC">
        <w:rPr>
          <w:lang w:val="es-CO"/>
        </w:rPr>
        <w:t xml:space="preserve"> </w:t>
      </w:r>
      <w:r w:rsidRPr="004E6CFC">
        <w:t>durante los periodos de incumplimiento previos a la solicitud de cancelación del plan, para que sean tenidos en cuenta como un menor valor en el costo de prestación del servicio a los usuarios del mercado de comercialización respectivo.</w:t>
      </w:r>
    </w:p>
    <w:p w:rsidR="00285A2D" w:rsidRPr="004E6CFC" w:rsidRDefault="00285A2D" w:rsidP="00285A2D">
      <w:pPr>
        <w:pStyle w:val="Ttulo5"/>
        <w:ind w:left="1416" w:hanging="1416"/>
      </w:pPr>
      <w:bookmarkStart w:id="902" w:name="_Ref461012983"/>
      <w:r w:rsidRPr="004E6CFC">
        <w:t xml:space="preserve">Determinación del cargo mensual </w:t>
      </w:r>
      <w:r w:rsidRPr="00BD763E">
        <w:rPr>
          <w:i/>
        </w:rPr>
        <w:t>CPROG</w:t>
      </w:r>
      <w:r w:rsidRPr="00BD763E">
        <w:rPr>
          <w:i/>
          <w:vertAlign w:val="subscript"/>
        </w:rPr>
        <w:t>j,m</w:t>
      </w:r>
      <w:r w:rsidRPr="004E6CFC">
        <w:t xml:space="preserve"> cuando se cancela la ejecución del plan.</w:t>
      </w:r>
      <w:bookmarkEnd w:id="902"/>
    </w:p>
    <w:bookmarkEnd w:id="899"/>
    <w:bookmarkEnd w:id="900"/>
    <w:bookmarkEnd w:id="901"/>
    <w:p w:rsidR="00285A2D" w:rsidRPr="004E6CFC" w:rsidRDefault="00285A2D" w:rsidP="00285A2D">
      <w:r w:rsidRPr="004E6CFC">
        <w:t xml:space="preserve">Al siguiente mes de la cancelación del plan en un mercado de comercialización, la variable </w:t>
      </w:r>
      <w:r w:rsidRPr="004E6CFC">
        <w:rPr>
          <w:i/>
        </w:rPr>
        <w:t>CPROG</w:t>
      </w:r>
      <w:r w:rsidRPr="004E6CFC">
        <w:rPr>
          <w:i/>
          <w:vertAlign w:val="subscript"/>
        </w:rPr>
        <w:t>j,m</w:t>
      </w:r>
      <w:r w:rsidRPr="004E6CFC">
        <w:t xml:space="preserve"> incluirá la variable</w:t>
      </w:r>
      <w:r>
        <w:t xml:space="preserve"> </w:t>
      </w:r>
      <w:r w:rsidRPr="004E6CFC">
        <w:rPr>
          <w:i/>
          <w:lang w:val="es-CO"/>
        </w:rPr>
        <w:t>INVNUCD</w:t>
      </w:r>
      <w:r w:rsidRPr="004E6CFC">
        <w:rPr>
          <w:i/>
          <w:vertAlign w:val="subscript"/>
          <w:lang w:val="es-CO"/>
        </w:rPr>
        <w:t>j</w:t>
      </w:r>
      <w:r w:rsidRPr="004E6CFC">
        <w:t xml:space="preserve"> para el cálculo del costo de prestación del servicio a la totalidad de usuarios del mercado de comercialización </w:t>
      </w:r>
    </w:p>
    <w:p w:rsidR="00285A2D" w:rsidRPr="004E6CFC" w:rsidRDefault="00285A2D" w:rsidP="00285A2D">
      <w:r w:rsidRPr="004E6CFC">
        <w:t>Este valor será calculado y publicado por el LAC los primeros siete (7) días del mes siguiente al de cancelación del plan, de la siguiente manera:</w:t>
      </w:r>
    </w:p>
    <w:p w:rsidR="00285A2D" w:rsidRPr="004E6CFC" w:rsidRDefault="00C9592F" w:rsidP="00285A2D">
      <w:pPr>
        <w:jc w:val="center"/>
      </w:pPr>
      <m:oMathPara>
        <m:oMath>
          <m:sSub>
            <m:sSubPr>
              <m:ctrlPr>
                <w:rPr>
                  <w:rFonts w:ascii="Cambria Math" w:hAnsi="Cambria Math"/>
                  <w:sz w:val="22"/>
                  <w:szCs w:val="22"/>
                </w:rPr>
              </m:ctrlPr>
            </m:sSubPr>
            <m:e>
              <m:r>
                <w:rPr>
                  <w:rFonts w:ascii="Cambria Math" w:hAnsi="Cambria Math"/>
                  <w:sz w:val="22"/>
                  <w:szCs w:val="22"/>
                </w:rPr>
                <m:t>INVNUCD</m:t>
              </m:r>
            </m:e>
            <m:sub>
              <m:r>
                <w:rPr>
                  <w:rFonts w:ascii="Cambria Math" w:hAnsi="Cambria Math"/>
                  <w:sz w:val="22"/>
                  <w:szCs w:val="22"/>
                </w:rPr>
                <m:t>j</m:t>
              </m:r>
            </m:sub>
          </m:sSub>
          <m:r>
            <m:rPr>
              <m:sty m:val="p"/>
            </m:rPr>
            <w:rPr>
              <w:rFonts w:ascii="Cambria Math" w:hAnsi="Cambria Math"/>
              <w:sz w:val="22"/>
              <w:szCs w:val="22"/>
            </w:rPr>
            <m:t>=</m:t>
          </m:r>
          <m:f>
            <m:fPr>
              <m:ctrlPr>
                <w:rPr>
                  <w:rFonts w:ascii="Cambria Math" w:hAnsi="Cambria Math"/>
                  <w:sz w:val="22"/>
                  <w:szCs w:val="22"/>
                </w:rPr>
              </m:ctrlPr>
            </m:fPr>
            <m:num>
              <m:sSub>
                <m:sSubPr>
                  <m:ctrlPr>
                    <w:rPr>
                      <w:rFonts w:ascii="Cambria Math" w:hAnsi="Cambria Math"/>
                      <w:sz w:val="22"/>
                      <w:szCs w:val="22"/>
                    </w:rPr>
                  </m:ctrlPr>
                </m:sSubPr>
                <m:e>
                  <m:r>
                    <w:rPr>
                      <w:rFonts w:ascii="Cambria Math" w:hAnsi="Cambria Math"/>
                      <w:sz w:val="22"/>
                      <w:szCs w:val="22"/>
                    </w:rPr>
                    <m:t>ITD</m:t>
                  </m:r>
                </m:e>
                <m:sub>
                  <m:r>
                    <w:rPr>
                      <w:rFonts w:ascii="Cambria Math" w:hAnsi="Cambria Math"/>
                      <w:sz w:val="22"/>
                      <w:szCs w:val="22"/>
                    </w:rPr>
                    <m:t>j</m:t>
                  </m:r>
                </m:sub>
              </m:sSub>
            </m:num>
            <m:den>
              <m:sSub>
                <m:sSubPr>
                  <m:ctrlPr>
                    <w:rPr>
                      <w:rFonts w:ascii="Cambria Math" w:hAnsi="Cambria Math"/>
                      <w:i/>
                      <w:sz w:val="22"/>
                      <w:szCs w:val="22"/>
                    </w:rPr>
                  </m:ctrlPr>
                </m:sSubPr>
                <m:e>
                  <m:nary>
                    <m:naryPr>
                      <m:chr m:val="∑"/>
                      <m:limLoc m:val="undOvr"/>
                      <m:ctrlPr>
                        <w:rPr>
                          <w:rFonts w:ascii="Cambria Math" w:hAnsi="Cambria Math"/>
                          <w:i/>
                          <w:sz w:val="22"/>
                          <w:szCs w:val="22"/>
                        </w:rPr>
                      </m:ctrlPr>
                    </m:naryPr>
                    <m:sub>
                      <m:r>
                        <w:rPr>
                          <w:rFonts w:ascii="Cambria Math" w:hAnsi="Cambria Math"/>
                          <w:sz w:val="22"/>
                          <w:szCs w:val="22"/>
                        </w:rPr>
                        <m:t>m=-14</m:t>
                      </m:r>
                    </m:sub>
                    <m:sup>
                      <m:r>
                        <w:rPr>
                          <w:rFonts w:ascii="Cambria Math" w:hAnsi="Cambria Math"/>
                          <w:sz w:val="22"/>
                          <w:szCs w:val="22"/>
                        </w:rPr>
                        <m:t>m-3</m:t>
                      </m:r>
                    </m:sup>
                    <m:e>
                      <m:r>
                        <w:rPr>
                          <w:rFonts w:ascii="Cambria Math" w:hAnsi="Cambria Math"/>
                          <w:sz w:val="22"/>
                          <w:szCs w:val="22"/>
                        </w:rPr>
                        <m:t>VSTN</m:t>
                      </m:r>
                    </m:e>
                  </m:nary>
                </m:e>
                <m:sub>
                  <m:r>
                    <w:rPr>
                      <w:rFonts w:ascii="Cambria Math" w:hAnsi="Cambria Math"/>
                      <w:sz w:val="22"/>
                      <w:szCs w:val="22"/>
                    </w:rPr>
                    <m:t>j,m</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VCP</m:t>
                  </m:r>
                </m:e>
                <m:sub>
                  <m:r>
                    <w:rPr>
                      <w:rFonts w:ascii="Cambria Math" w:hAnsi="Cambria Math"/>
                      <w:sz w:val="22"/>
                      <w:szCs w:val="22"/>
                    </w:rPr>
                    <m:t>j</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VCI</m:t>
                  </m:r>
                </m:e>
                <m:sub>
                  <m:r>
                    <w:rPr>
                      <w:rFonts w:ascii="Cambria Math" w:hAnsi="Cambria Math"/>
                      <w:sz w:val="22"/>
                      <w:szCs w:val="22"/>
                    </w:rPr>
                    <m:t>j</m:t>
                  </m:r>
                </m:sub>
              </m:sSub>
            </m:den>
          </m:f>
        </m:oMath>
      </m:oMathPara>
    </w:p>
    <w:p w:rsidR="00285A2D" w:rsidRPr="004E6CFC" w:rsidRDefault="00285A2D" w:rsidP="000C43B5">
      <w:pPr>
        <w:keepNext/>
        <w:spacing w:before="120"/>
        <w:ind w:left="1701" w:hanging="1701"/>
        <w:rPr>
          <w:iCs/>
        </w:rPr>
      </w:pPr>
      <w:r w:rsidRPr="004E6CFC">
        <w:rPr>
          <w:iCs/>
        </w:rPr>
        <w:lastRenderedPageBreak/>
        <w:t>Donde:</w:t>
      </w:r>
    </w:p>
    <w:p w:rsidR="00285A2D" w:rsidRPr="004E6CFC" w:rsidRDefault="00285A2D" w:rsidP="00285A2D">
      <w:pPr>
        <w:ind w:left="1560" w:hanging="1560"/>
      </w:pPr>
      <w:r w:rsidRPr="004E6CFC">
        <w:rPr>
          <w:i/>
        </w:rPr>
        <w:t>ITD</w:t>
      </w:r>
      <w:r w:rsidRPr="004E6CFC">
        <w:rPr>
          <w:i/>
          <w:vertAlign w:val="subscript"/>
        </w:rPr>
        <w:t>j</w:t>
      </w:r>
      <w:r w:rsidRPr="004E6CFC">
        <w:rPr>
          <w:i/>
        </w:rPr>
        <w:t>:</w:t>
      </w:r>
      <w:r w:rsidRPr="004E6CFC">
        <w:t xml:space="preserve"> </w:t>
      </w:r>
      <w:r w:rsidRPr="004E6CFC">
        <w:tab/>
        <w:t xml:space="preserve">Ingreso total a devolver por el OR </w:t>
      </w:r>
      <w:r w:rsidRPr="004E6CFC">
        <w:rPr>
          <w:i/>
        </w:rPr>
        <w:t>j</w:t>
      </w:r>
      <w:r w:rsidRPr="004E6CFC">
        <w:t xml:space="preserve">, en pesos a la fecha de cálculo de acuerdo con lo establecido en el numeral </w:t>
      </w:r>
      <w:r w:rsidRPr="004E6CFC">
        <w:fldChar w:fldCharType="begin"/>
      </w:r>
      <w:r w:rsidRPr="004E6CFC">
        <w:instrText xml:space="preserve"> REF _Ref402534891 \r \h  \* MERGEFORMAT </w:instrText>
      </w:r>
      <w:r w:rsidRPr="004E6CFC">
        <w:fldChar w:fldCharType="separate"/>
      </w:r>
      <w:r w:rsidR="00737178">
        <w:t>7.3.6.4.2</w:t>
      </w:r>
      <w:r w:rsidRPr="004E6CFC">
        <w:fldChar w:fldCharType="end"/>
      </w:r>
      <w:r w:rsidRPr="004E6CFC">
        <w:t>.</w:t>
      </w:r>
    </w:p>
    <w:p w:rsidR="00285A2D" w:rsidRPr="004E6CFC" w:rsidRDefault="00285A2D" w:rsidP="00285A2D">
      <w:pPr>
        <w:ind w:left="1560" w:hanging="1560"/>
      </w:pPr>
      <w:r w:rsidRPr="004E6CFC">
        <w:rPr>
          <w:i/>
        </w:rPr>
        <w:t>VSTN</w:t>
      </w:r>
      <w:r w:rsidRPr="004E6CFC">
        <w:rPr>
          <w:i/>
          <w:vertAlign w:val="subscript"/>
        </w:rPr>
        <w:t>j,m</w:t>
      </w:r>
      <w:r w:rsidRPr="004E6CFC">
        <w:t xml:space="preserve">:  </w:t>
      </w:r>
      <w:r w:rsidRPr="004E6CFC">
        <w:tab/>
        <w:t xml:space="preserve">Ventas a usuarios conectados directamente al STN asociados al mercado de comercialización </w:t>
      </w:r>
      <w:r w:rsidRPr="004E6CFC">
        <w:rPr>
          <w:i/>
        </w:rPr>
        <w:t>j</w:t>
      </w:r>
      <w:r w:rsidRPr="004E6CFC">
        <w:t xml:space="preserve"> en el mes </w:t>
      </w:r>
      <w:r w:rsidRPr="004E6CFC">
        <w:rPr>
          <w:i/>
        </w:rPr>
        <w:t>m</w:t>
      </w:r>
      <w:r w:rsidRPr="004E6CFC">
        <w:t xml:space="preserve">, en kWh.  </w:t>
      </w:r>
    </w:p>
    <w:p w:rsidR="00285A2D" w:rsidRPr="004E6CFC" w:rsidRDefault="00285A2D" w:rsidP="00285A2D">
      <w:pPr>
        <w:ind w:left="1560"/>
      </w:pPr>
      <w:r w:rsidRPr="004E6CFC">
        <w:t xml:space="preserve">Corresponde a las lecturas tomadas directamente de los medidores de los usuarios conectados directamente al STN, sin referir al STN, tomadas de los registros del SIC. Cuando el medidor no se encuentre en el lado del STN, la medida se debe referir con los factores aprobados para el respectivo sistema. </w:t>
      </w:r>
    </w:p>
    <w:p w:rsidR="00285A2D" w:rsidRPr="004E6CFC" w:rsidRDefault="00285A2D" w:rsidP="00285A2D">
      <w:pPr>
        <w:ind w:left="1560"/>
      </w:pPr>
      <w:r w:rsidRPr="004E6CFC">
        <w:t>Cuando para una frontera no se disponga de la información del mes respectivo se utilizará el promedio registrado para los últimos seis (6) meses de dicha frontera o la mejor información disponible en el LAC.</w:t>
      </w:r>
    </w:p>
    <w:p w:rsidR="00285A2D" w:rsidRPr="004E6CFC" w:rsidRDefault="00285A2D" w:rsidP="00285A2D">
      <w:pPr>
        <w:ind w:left="1560" w:hanging="1560"/>
      </w:pPr>
      <w:r w:rsidRPr="004E6CFC">
        <w:rPr>
          <w:i/>
        </w:rPr>
        <w:t>VCP</w:t>
      </w:r>
      <w:r w:rsidRPr="004E6CFC">
        <w:rPr>
          <w:i/>
          <w:vertAlign w:val="subscript"/>
        </w:rPr>
        <w:t>j,</w:t>
      </w:r>
      <w:r w:rsidRPr="004E6CFC">
        <w:t xml:space="preserve">   </w:t>
      </w:r>
      <w:r w:rsidRPr="004E6CFC">
        <w:tab/>
        <w:t xml:space="preserve">Ventas en el mercado de comercialización servido por el OR </w:t>
      </w:r>
      <w:r w:rsidR="00863432" w:rsidRPr="004E6CFC">
        <w:rPr>
          <w:i/>
        </w:rPr>
        <w:t>j,</w:t>
      </w:r>
      <w:r w:rsidR="00863432" w:rsidRPr="004E6CFC">
        <w:t xml:space="preserve"> durante</w:t>
      </w:r>
      <w:r w:rsidRPr="004E6CFC">
        <w:t xml:space="preserve"> doce (12) meses, en kWh, realizadas por los comercializadores diferentes al incumbente, calculado de la siguiente manera: </w:t>
      </w:r>
    </w:p>
    <w:p w:rsidR="00285A2D" w:rsidRPr="004E6CFC" w:rsidRDefault="00C9592F" w:rsidP="00285A2D">
      <w:pPr>
        <w:jc w:val="center"/>
      </w:pPr>
      <m:oMathPara>
        <m:oMath>
          <m:sSub>
            <m:sSubPr>
              <m:ctrlPr>
                <w:rPr>
                  <w:rFonts w:ascii="Cambria Math" w:hAnsi="Cambria Math"/>
                  <w:sz w:val="22"/>
                  <w:szCs w:val="22"/>
                </w:rPr>
              </m:ctrlPr>
            </m:sSubPr>
            <m:e>
              <m:r>
                <w:rPr>
                  <w:rFonts w:ascii="Cambria Math" w:hAnsi="Cambria Math"/>
                  <w:sz w:val="22"/>
                  <w:szCs w:val="22"/>
                </w:rPr>
                <m:t>VCP</m:t>
              </m:r>
            </m:e>
            <m:sub>
              <m:r>
                <w:rPr>
                  <w:rFonts w:ascii="Cambria Math" w:hAnsi="Cambria Math"/>
                  <w:sz w:val="22"/>
                  <w:szCs w:val="22"/>
                </w:rPr>
                <m:t>j</m:t>
              </m:r>
            </m:sub>
          </m:sSub>
          <m:r>
            <m:rPr>
              <m:sty m:val="p"/>
            </m:rPr>
            <w:rPr>
              <w:rFonts w:ascii="Cambria Math" w:hAnsi="Cambria Math"/>
              <w:sz w:val="22"/>
              <w:szCs w:val="22"/>
            </w:rPr>
            <m:t>=</m:t>
          </m:r>
          <m:nary>
            <m:naryPr>
              <m:chr m:val="∑"/>
              <m:limLoc m:val="undOvr"/>
              <m:ctrlPr>
                <w:rPr>
                  <w:rFonts w:ascii="Cambria Math" w:hAnsi="Cambria Math"/>
                  <w:sz w:val="22"/>
                  <w:szCs w:val="22"/>
                </w:rPr>
              </m:ctrlPr>
            </m:naryPr>
            <m:sub>
              <m:r>
                <w:rPr>
                  <w:rFonts w:ascii="Cambria Math" w:hAnsi="Cambria Math"/>
                  <w:sz w:val="22"/>
                  <w:szCs w:val="22"/>
                </w:rPr>
                <m:t>m=-14</m:t>
              </m:r>
            </m:sub>
            <m:sup>
              <m:r>
                <w:rPr>
                  <w:rFonts w:ascii="Cambria Math" w:hAnsi="Cambria Math"/>
                  <w:sz w:val="22"/>
                  <w:szCs w:val="22"/>
                </w:rPr>
                <m:t>-3</m:t>
              </m:r>
            </m:sup>
            <m:e>
              <m:nary>
                <m:naryPr>
                  <m:chr m:val="∑"/>
                  <m:limLoc m:val="undOvr"/>
                  <m:ctrlPr>
                    <w:rPr>
                      <w:rFonts w:ascii="Cambria Math" w:hAnsi="Cambria Math"/>
                      <w:i/>
                      <w:sz w:val="22"/>
                      <w:szCs w:val="22"/>
                    </w:rPr>
                  </m:ctrlPr>
                </m:naryPr>
                <m:sub>
                  <m:r>
                    <w:rPr>
                      <w:rFonts w:ascii="Cambria Math" w:hAnsi="Cambria Math"/>
                      <w:sz w:val="22"/>
                      <w:szCs w:val="22"/>
                    </w:rPr>
                    <m:t>n=1</m:t>
                  </m:r>
                </m:sub>
                <m:sup>
                  <m:r>
                    <w:rPr>
                      <w:rFonts w:ascii="Cambria Math" w:hAnsi="Cambria Math"/>
                      <w:sz w:val="22"/>
                      <w:szCs w:val="22"/>
                    </w:rPr>
                    <m:t>4</m:t>
                  </m:r>
                </m:sup>
                <m:e>
                  <m:nary>
                    <m:naryPr>
                      <m:chr m:val="∑"/>
                      <m:limLoc m:val="undOvr"/>
                      <m:ctrlPr>
                        <w:rPr>
                          <w:rFonts w:ascii="Cambria Math" w:hAnsi="Cambria Math"/>
                          <w:i/>
                          <w:sz w:val="22"/>
                          <w:szCs w:val="22"/>
                        </w:rPr>
                      </m:ctrlPr>
                    </m:naryPr>
                    <m:sub>
                      <m:r>
                        <w:rPr>
                          <w:rFonts w:ascii="Cambria Math" w:hAnsi="Cambria Math"/>
                          <w:sz w:val="22"/>
                          <w:szCs w:val="22"/>
                        </w:rPr>
                        <m:t>i=1</m:t>
                      </m:r>
                    </m:sub>
                    <m:sup>
                      <m:r>
                        <w:rPr>
                          <w:rFonts w:ascii="Cambria Math" w:hAnsi="Cambria Math"/>
                          <w:sz w:val="22"/>
                          <w:szCs w:val="22"/>
                        </w:rPr>
                        <m:t>Ip</m:t>
                      </m:r>
                    </m:sup>
                    <m:e>
                      <m:sSub>
                        <m:sSubPr>
                          <m:ctrlPr>
                            <w:rPr>
                              <w:rFonts w:ascii="Cambria Math" w:hAnsi="Cambria Math"/>
                              <w:i/>
                              <w:sz w:val="22"/>
                              <w:szCs w:val="22"/>
                            </w:rPr>
                          </m:ctrlPr>
                        </m:sSubPr>
                        <m:e>
                          <m:r>
                            <w:rPr>
                              <w:rFonts w:ascii="Cambria Math" w:hAnsi="Cambria Math"/>
                              <w:sz w:val="22"/>
                              <w:szCs w:val="22"/>
                            </w:rPr>
                            <m:t>vcp</m:t>
                          </m:r>
                        </m:e>
                        <m:sub>
                          <m:r>
                            <w:rPr>
                              <w:rFonts w:ascii="Cambria Math" w:hAnsi="Cambria Math"/>
                              <w:sz w:val="22"/>
                              <w:szCs w:val="22"/>
                            </w:rPr>
                            <m:t>m,n,i</m:t>
                          </m:r>
                        </m:sub>
                      </m:sSub>
                    </m:e>
                  </m:nary>
                </m:e>
              </m:nary>
            </m:e>
          </m:nary>
        </m:oMath>
      </m:oMathPara>
    </w:p>
    <w:p w:rsidR="00285A2D" w:rsidRPr="004E6CFC" w:rsidRDefault="00285A2D" w:rsidP="00285A2D">
      <w:pPr>
        <w:ind w:left="1560" w:hanging="1560"/>
        <w:rPr>
          <w:i/>
        </w:rPr>
      </w:pPr>
      <w:r w:rsidRPr="004E6CFC">
        <w:rPr>
          <w:lang w:val="es-CO"/>
        </w:rPr>
        <w:t>Donde:</w:t>
      </w:r>
    </w:p>
    <w:p w:rsidR="00285A2D" w:rsidRPr="004E6CFC" w:rsidRDefault="00285A2D" w:rsidP="00285A2D">
      <w:pPr>
        <w:ind w:left="1560" w:hanging="1560"/>
      </w:pPr>
      <w:r w:rsidRPr="004E6CFC">
        <w:rPr>
          <w:i/>
        </w:rPr>
        <w:t>vcp</w:t>
      </w:r>
      <w:r w:rsidRPr="004E6CFC">
        <w:rPr>
          <w:i/>
          <w:vertAlign w:val="subscript"/>
        </w:rPr>
        <w:t>m,n,i</w:t>
      </w:r>
      <w:r w:rsidRPr="004E6CFC">
        <w:tab/>
        <w:t xml:space="preserve">Energía registrada en el SIC para las fronteras comerciales de responsabilidad del comercializador </w:t>
      </w:r>
      <w:r w:rsidRPr="004E6CFC">
        <w:rPr>
          <w:i/>
        </w:rPr>
        <w:t>i</w:t>
      </w:r>
      <w:r w:rsidRPr="004E6CFC">
        <w:t xml:space="preserve"> diferente al comercializador incumbente, durante el mes </w:t>
      </w:r>
      <w:r w:rsidRPr="004E6CFC">
        <w:rPr>
          <w:i/>
        </w:rPr>
        <w:t>m</w:t>
      </w:r>
      <w:r w:rsidRPr="004E6CFC">
        <w:t xml:space="preserve">, en el nivel de tensión </w:t>
      </w:r>
      <w:r w:rsidRPr="004E6CFC">
        <w:rPr>
          <w:i/>
        </w:rPr>
        <w:t>n</w:t>
      </w:r>
      <w:r w:rsidRPr="004E6CFC">
        <w:t xml:space="preserve">, en el mercado de comercialización atendido por el OR </w:t>
      </w:r>
      <w:r w:rsidRPr="004E6CFC">
        <w:rPr>
          <w:i/>
        </w:rPr>
        <w:t>j</w:t>
      </w:r>
      <w:r w:rsidRPr="004E6CFC">
        <w:t xml:space="preserve">, en kWh. </w:t>
      </w:r>
    </w:p>
    <w:p w:rsidR="00285A2D" w:rsidRPr="004E6CFC" w:rsidRDefault="00285A2D" w:rsidP="00285A2D">
      <w:pPr>
        <w:ind w:left="1560"/>
      </w:pPr>
      <w:r w:rsidRPr="004E6CFC">
        <w:t>Cuando no se disponga de la información para un mes determinado, se utilizará el promedio de los valores registrados para los últimos seis (6) meses o la mejor información disponible.</w:t>
      </w:r>
    </w:p>
    <w:p w:rsidR="00285A2D" w:rsidRPr="004E6CFC" w:rsidRDefault="00285A2D" w:rsidP="00285A2D">
      <w:pPr>
        <w:ind w:left="1560" w:hanging="1560"/>
        <w:rPr>
          <w:iCs/>
        </w:rPr>
      </w:pPr>
      <w:r w:rsidRPr="004E6CFC">
        <w:rPr>
          <w:i/>
          <w:iCs/>
        </w:rPr>
        <w:t>Ip:</w:t>
      </w:r>
      <w:r w:rsidRPr="004E6CFC">
        <w:rPr>
          <w:i/>
          <w:iCs/>
        </w:rPr>
        <w:tab/>
      </w:r>
      <w:r w:rsidRPr="004E6CFC">
        <w:rPr>
          <w:iCs/>
        </w:rPr>
        <w:t xml:space="preserve">Número total de comercializadores distintos al incumbente en el mercado de comercialización del OR </w:t>
      </w:r>
      <w:r w:rsidRPr="004E6CFC">
        <w:rPr>
          <w:i/>
          <w:iCs/>
        </w:rPr>
        <w:t>j</w:t>
      </w:r>
      <w:r w:rsidRPr="004E6CFC">
        <w:rPr>
          <w:iCs/>
        </w:rPr>
        <w:t>.</w:t>
      </w:r>
    </w:p>
    <w:p w:rsidR="00285A2D" w:rsidRPr="004E6CFC" w:rsidRDefault="00285A2D" w:rsidP="00285A2D">
      <w:pPr>
        <w:ind w:left="1560" w:hanging="1560"/>
      </w:pPr>
      <w:r w:rsidRPr="004E6CFC">
        <w:rPr>
          <w:i/>
        </w:rPr>
        <w:t>VCI</w:t>
      </w:r>
      <w:r w:rsidRPr="004E6CFC">
        <w:rPr>
          <w:i/>
          <w:vertAlign w:val="subscript"/>
        </w:rPr>
        <w:t>j,</w:t>
      </w:r>
      <w:r w:rsidRPr="004E6CFC">
        <w:t xml:space="preserve">   </w:t>
      </w:r>
      <w:r w:rsidRPr="004E6CFC">
        <w:tab/>
        <w:t xml:space="preserve">Ventas en el mercado de comercialización servido por el OR </w:t>
      </w:r>
      <w:r w:rsidRPr="004E6CFC">
        <w:rPr>
          <w:i/>
        </w:rPr>
        <w:t>j,</w:t>
      </w:r>
      <w:r w:rsidRPr="004E6CFC">
        <w:t xml:space="preserve"> durante doce (12) meses, en kWh, realizadas por el comercializador incumbente, calculado de la siguiente manera: </w:t>
      </w:r>
    </w:p>
    <w:p w:rsidR="00285A2D" w:rsidRPr="004E6CFC" w:rsidRDefault="00C9592F" w:rsidP="00285A2D">
      <w:pPr>
        <w:jc w:val="center"/>
      </w:pPr>
      <m:oMathPara>
        <m:oMath>
          <m:sSub>
            <m:sSubPr>
              <m:ctrlPr>
                <w:rPr>
                  <w:rFonts w:ascii="Cambria Math" w:hAnsi="Cambria Math"/>
                  <w:sz w:val="22"/>
                  <w:szCs w:val="22"/>
                </w:rPr>
              </m:ctrlPr>
            </m:sSubPr>
            <m:e>
              <m:r>
                <w:rPr>
                  <w:rFonts w:ascii="Cambria Math" w:hAnsi="Cambria Math"/>
                  <w:sz w:val="22"/>
                  <w:szCs w:val="22"/>
                </w:rPr>
                <m:t>VCI</m:t>
              </m:r>
            </m:e>
            <m:sub>
              <m:r>
                <w:rPr>
                  <w:rFonts w:ascii="Cambria Math" w:hAnsi="Cambria Math"/>
                  <w:sz w:val="22"/>
                  <w:szCs w:val="22"/>
                </w:rPr>
                <m:t>j</m:t>
              </m:r>
            </m:sub>
          </m:sSub>
          <m:r>
            <m:rPr>
              <m:sty m:val="p"/>
            </m:rPr>
            <w:rPr>
              <w:rFonts w:ascii="Cambria Math" w:hAnsi="Cambria Math"/>
              <w:sz w:val="22"/>
              <w:szCs w:val="22"/>
            </w:rPr>
            <m:t>=</m:t>
          </m:r>
          <m:nary>
            <m:naryPr>
              <m:chr m:val="∑"/>
              <m:limLoc m:val="undOvr"/>
              <m:ctrlPr>
                <w:rPr>
                  <w:rFonts w:ascii="Cambria Math" w:hAnsi="Cambria Math"/>
                  <w:sz w:val="22"/>
                  <w:szCs w:val="22"/>
                </w:rPr>
              </m:ctrlPr>
            </m:naryPr>
            <m:sub>
              <m:r>
                <w:rPr>
                  <w:rFonts w:ascii="Cambria Math" w:hAnsi="Cambria Math"/>
                  <w:sz w:val="22"/>
                  <w:szCs w:val="22"/>
                </w:rPr>
                <m:t>m=-14</m:t>
              </m:r>
            </m:sub>
            <m:sup>
              <m:r>
                <w:rPr>
                  <w:rFonts w:ascii="Cambria Math" w:hAnsi="Cambria Math"/>
                  <w:sz w:val="22"/>
                  <w:szCs w:val="22"/>
                </w:rPr>
                <m:t>-3</m:t>
              </m:r>
            </m:sup>
            <m:e>
              <m:nary>
                <m:naryPr>
                  <m:chr m:val="∑"/>
                  <m:limLoc m:val="undOvr"/>
                  <m:ctrlPr>
                    <w:rPr>
                      <w:rFonts w:ascii="Cambria Math" w:hAnsi="Cambria Math"/>
                      <w:i/>
                      <w:sz w:val="22"/>
                      <w:szCs w:val="22"/>
                    </w:rPr>
                  </m:ctrlPr>
                </m:naryPr>
                <m:sub>
                  <m:r>
                    <w:rPr>
                      <w:rFonts w:ascii="Cambria Math" w:hAnsi="Cambria Math"/>
                      <w:sz w:val="22"/>
                      <w:szCs w:val="22"/>
                    </w:rPr>
                    <m:t>n=1</m:t>
                  </m:r>
                </m:sub>
                <m:sup>
                  <m:r>
                    <w:rPr>
                      <w:rFonts w:ascii="Cambria Math" w:hAnsi="Cambria Math"/>
                      <w:sz w:val="22"/>
                      <w:szCs w:val="22"/>
                    </w:rPr>
                    <m:t>4</m:t>
                  </m:r>
                </m:sup>
                <m:e>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vciR</m:t>
                      </m:r>
                    </m:e>
                    <m:sub>
                      <m:r>
                        <w:rPr>
                          <w:rFonts w:ascii="Cambria Math" w:hAnsi="Cambria Math"/>
                          <w:sz w:val="22"/>
                          <w:szCs w:val="22"/>
                        </w:rPr>
                        <m:t>m,n</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vciNR</m:t>
                      </m:r>
                    </m:e>
                    <m:sub>
                      <m:r>
                        <w:rPr>
                          <w:rFonts w:ascii="Cambria Math" w:hAnsi="Cambria Math"/>
                          <w:sz w:val="22"/>
                          <w:szCs w:val="22"/>
                        </w:rPr>
                        <m:t>m,n</m:t>
                      </m:r>
                    </m:sub>
                  </m:sSub>
                  <m:r>
                    <w:rPr>
                      <w:rFonts w:ascii="Cambria Math" w:hAnsi="Cambria Math"/>
                      <w:sz w:val="22"/>
                      <w:szCs w:val="22"/>
                    </w:rPr>
                    <m:t>)</m:t>
                  </m:r>
                </m:e>
              </m:nary>
            </m:e>
          </m:nary>
        </m:oMath>
      </m:oMathPara>
    </w:p>
    <w:p w:rsidR="00285A2D" w:rsidRPr="004E6CFC" w:rsidRDefault="00285A2D" w:rsidP="00285A2D">
      <w:pPr>
        <w:ind w:left="1560" w:hanging="1560"/>
        <w:rPr>
          <w:i/>
        </w:rPr>
      </w:pPr>
      <w:r w:rsidRPr="004E6CFC">
        <w:rPr>
          <w:lang w:val="es-CO"/>
        </w:rPr>
        <w:t>Donde:</w:t>
      </w:r>
    </w:p>
    <w:p w:rsidR="00285A2D" w:rsidRPr="004E6CFC" w:rsidRDefault="00285A2D" w:rsidP="00285A2D">
      <w:pPr>
        <w:ind w:left="1560" w:hanging="1560"/>
      </w:pPr>
      <w:r w:rsidRPr="004E6CFC">
        <w:rPr>
          <w:i/>
        </w:rPr>
        <w:t>vciR</w:t>
      </w:r>
      <w:r w:rsidRPr="004E6CFC">
        <w:rPr>
          <w:i/>
          <w:vertAlign w:val="subscript"/>
        </w:rPr>
        <w:t>m,n</w:t>
      </w:r>
      <w:r w:rsidRPr="004E6CFC">
        <w:tab/>
        <w:t xml:space="preserve">Ventas durante el mes </w:t>
      </w:r>
      <w:r w:rsidRPr="004E6CFC">
        <w:rPr>
          <w:i/>
        </w:rPr>
        <w:t>m</w:t>
      </w:r>
      <w:r w:rsidRPr="004E6CFC">
        <w:t xml:space="preserve">, en el nivel de tensión </w:t>
      </w:r>
      <w:r w:rsidRPr="004E6CFC">
        <w:rPr>
          <w:i/>
        </w:rPr>
        <w:t>n</w:t>
      </w:r>
      <w:r w:rsidRPr="004E6CFC">
        <w:t>, del comercializador incumbente, para usuarios regulados.</w:t>
      </w:r>
    </w:p>
    <w:p w:rsidR="00285A2D" w:rsidRPr="004E6CFC" w:rsidRDefault="00285A2D" w:rsidP="00285A2D">
      <w:pPr>
        <w:ind w:left="1560"/>
      </w:pPr>
      <w:r w:rsidRPr="004E6CFC">
        <w:lastRenderedPageBreak/>
        <w:t>Corresponde al consumo de energía eléctrica en kWh que es facturado y reportado al SUI para el respectivo periodo. Cuando no se disponga de la información para un mes determinado, se utilizará el promedio registrado en el SUI para los últimos seis (6) meses o la mejor información disponible.</w:t>
      </w:r>
    </w:p>
    <w:p w:rsidR="00285A2D" w:rsidRPr="004E6CFC" w:rsidRDefault="00285A2D" w:rsidP="00285A2D">
      <w:pPr>
        <w:ind w:left="1560" w:hanging="1560"/>
      </w:pPr>
      <w:r w:rsidRPr="004E6CFC">
        <w:rPr>
          <w:i/>
        </w:rPr>
        <w:t>vciNR</w:t>
      </w:r>
      <w:r w:rsidRPr="004E6CFC">
        <w:rPr>
          <w:i/>
          <w:vertAlign w:val="subscript"/>
        </w:rPr>
        <w:t>m,n</w:t>
      </w:r>
      <w:r w:rsidRPr="004E6CFC">
        <w:tab/>
        <w:t xml:space="preserve">Ventas durante el mes </w:t>
      </w:r>
      <w:r w:rsidRPr="004E6CFC">
        <w:rPr>
          <w:i/>
        </w:rPr>
        <w:t>m</w:t>
      </w:r>
      <w:r w:rsidRPr="004E6CFC">
        <w:t xml:space="preserve">, en el nivel de tensión </w:t>
      </w:r>
      <w:r w:rsidRPr="004E6CFC">
        <w:rPr>
          <w:i/>
        </w:rPr>
        <w:t>n</w:t>
      </w:r>
      <w:r w:rsidRPr="004E6CFC">
        <w:t>, del comercializador incumbente, para usuarios no regulados.</w:t>
      </w:r>
    </w:p>
    <w:p w:rsidR="00285A2D" w:rsidRPr="004E6CFC" w:rsidRDefault="00285A2D" w:rsidP="00285A2D">
      <w:pPr>
        <w:ind w:left="1560"/>
      </w:pPr>
      <w:r w:rsidRPr="004E6CFC">
        <w:t xml:space="preserve">Corresponde a la energía registrada en el SIC para las fronteras comerciales de usuarios no regulados responsabilidad del comercializador incumbente, durante el mes </w:t>
      </w:r>
      <w:r w:rsidRPr="004E6CFC">
        <w:rPr>
          <w:i/>
        </w:rPr>
        <w:t>m</w:t>
      </w:r>
      <w:r w:rsidRPr="004E6CFC">
        <w:t xml:space="preserve">, en el nivel de tensión </w:t>
      </w:r>
      <w:r w:rsidRPr="004E6CFC">
        <w:rPr>
          <w:i/>
        </w:rPr>
        <w:t>n</w:t>
      </w:r>
      <w:r w:rsidRPr="004E6CFC">
        <w:t xml:space="preserve">, en el mercado de comercialización atendido por el OR </w:t>
      </w:r>
      <w:r w:rsidRPr="004E6CFC">
        <w:rPr>
          <w:i/>
        </w:rPr>
        <w:t>j</w:t>
      </w:r>
      <w:r w:rsidRPr="004E6CFC">
        <w:t>, en kWh.</w:t>
      </w:r>
    </w:p>
    <w:p w:rsidR="00285A2D" w:rsidRPr="004E6CFC" w:rsidRDefault="00285A2D" w:rsidP="00285A2D">
      <w:pPr>
        <w:ind w:left="1560"/>
      </w:pPr>
      <w:r w:rsidRPr="004E6CFC">
        <w:t>Cuando no se disponga de la información para un mes determinado, se utilizará el promedio de los valores registrados para los últimos seis (6) meses o la mejor información disponible.</w:t>
      </w:r>
    </w:p>
    <w:p w:rsidR="00285A2D" w:rsidRPr="004E6CFC" w:rsidRDefault="00285A2D" w:rsidP="00285A2D">
      <w:pPr>
        <w:pStyle w:val="Ttulo5"/>
      </w:pPr>
      <w:bookmarkStart w:id="903" w:name="_Ref300217222"/>
      <w:bookmarkStart w:id="904" w:name="_Toc310577407"/>
      <w:r w:rsidRPr="004E6CFC">
        <w:t xml:space="preserve"> </w:t>
      </w:r>
      <w:bookmarkStart w:id="905" w:name="_Ref402534891"/>
      <w:r w:rsidRPr="004E6CFC">
        <w:t>Cálculo de los ingresos a devolver por parte del OR</w:t>
      </w:r>
      <w:bookmarkEnd w:id="903"/>
      <w:bookmarkEnd w:id="904"/>
      <w:bookmarkEnd w:id="905"/>
      <w:r w:rsidRPr="004E6CFC">
        <w:t xml:space="preserve"> </w:t>
      </w:r>
    </w:p>
    <w:p w:rsidR="00285A2D" w:rsidRPr="004E6CFC" w:rsidRDefault="00285A2D" w:rsidP="00285A2D">
      <w:r w:rsidRPr="004E6CFC">
        <w:t>Los ingresos a devolver se calcularán de la siguiente manera:</w:t>
      </w:r>
    </w:p>
    <w:p w:rsidR="00285A2D" w:rsidRPr="004E6CFC" w:rsidRDefault="00C9592F" w:rsidP="00285A2D">
      <w:pPr>
        <w:jc w:val="center"/>
      </w:pPr>
      <m:oMathPara>
        <m:oMath>
          <m:sSub>
            <m:sSubPr>
              <m:ctrlPr>
                <w:rPr>
                  <w:rFonts w:ascii="Cambria Math" w:hAnsi="Cambria Math"/>
                  <w:i/>
                </w:rPr>
              </m:ctrlPr>
            </m:sSubPr>
            <m:e>
              <m:r>
                <w:rPr>
                  <w:rFonts w:ascii="Cambria Math" w:hAnsi="Cambria Math"/>
                </w:rPr>
                <m:t>ITD</m:t>
              </m:r>
            </m:e>
            <m:sub>
              <m:r>
                <w:rPr>
                  <w:rFonts w:ascii="Cambria Math" w:hAnsi="Cambria Math"/>
                </w:rPr>
                <m:t>j</m:t>
              </m:r>
            </m:sub>
          </m:sSub>
          <m:r>
            <w:rPr>
              <w:rFonts w:ascii="Cambria Math" w:hAnsi="Cambria Math"/>
            </w:rPr>
            <m:t>=</m:t>
          </m:r>
          <m:d>
            <m:dPr>
              <m:begChr m:val="["/>
              <m:endChr m:val="]"/>
              <m:ctrlPr>
                <w:rPr>
                  <w:rFonts w:ascii="Cambria Math" w:hAnsi="Cambria Math"/>
                  <w:i/>
                </w:rPr>
              </m:ctrlPr>
            </m:dPr>
            <m:e>
              <m:nary>
                <m:naryPr>
                  <m:chr m:val="∑"/>
                  <m:limLoc m:val="undOvr"/>
                  <m:ctrlPr>
                    <w:rPr>
                      <w:rFonts w:ascii="Cambria Math" w:hAnsi="Cambria Math"/>
                      <w:i/>
                    </w:rPr>
                  </m:ctrlPr>
                </m:naryPr>
                <m:sub>
                  <m:r>
                    <w:rPr>
                      <w:rFonts w:ascii="Cambria Math" w:hAnsi="Cambria Math"/>
                    </w:rPr>
                    <m:t>m=1</m:t>
                  </m:r>
                </m:sub>
                <m:sup>
                  <m:r>
                    <w:rPr>
                      <w:rFonts w:ascii="Cambria Math" w:hAnsi="Cambria Math"/>
                    </w:rPr>
                    <m:t>T</m:t>
                  </m:r>
                </m:sup>
                <m:e>
                  <m:nary>
                    <m:naryPr>
                      <m:chr m:val="∑"/>
                      <m:limLoc m:val="undOvr"/>
                      <m:ctrlPr>
                        <w:rPr>
                          <w:rFonts w:ascii="Cambria Math" w:hAnsi="Cambria Math"/>
                          <w:i/>
                          <w:iCs/>
                        </w:rPr>
                      </m:ctrlPr>
                    </m:naryPr>
                    <m:sub>
                      <m:r>
                        <w:rPr>
                          <w:rFonts w:ascii="Cambria Math" w:hAnsi="Cambria Math"/>
                        </w:rPr>
                        <m:t>i=1</m:t>
                      </m:r>
                    </m:sub>
                    <m:sup>
                      <m:r>
                        <w:rPr>
                          <w:rFonts w:ascii="Cambria Math" w:hAnsi="Cambria Math"/>
                        </w:rPr>
                        <m:t>It</m:t>
                      </m:r>
                    </m:sup>
                    <m:e>
                      <m:sSub>
                        <m:sSubPr>
                          <m:ctrlPr>
                            <w:rPr>
                              <w:rFonts w:ascii="Cambria Math" w:hAnsi="Cambria Math"/>
                              <w:i/>
                              <w:iCs/>
                            </w:rPr>
                          </m:ctrlPr>
                        </m:sSubPr>
                        <m:e>
                          <m:r>
                            <w:rPr>
                              <w:rFonts w:ascii="Cambria Math" w:hAnsi="Cambria Math"/>
                            </w:rPr>
                            <m:t>INVNUC</m:t>
                          </m:r>
                        </m:e>
                        <m:sub>
                          <m:r>
                            <w:rPr>
                              <w:rFonts w:ascii="Cambria Math" w:hAnsi="Cambria Math"/>
                              <w:vertAlign w:val="subscript"/>
                            </w:rPr>
                            <m:t>i,j,m</m:t>
                          </m:r>
                        </m:sub>
                      </m:sSub>
                    </m:e>
                  </m:nary>
                </m:e>
              </m:nary>
            </m:e>
          </m:d>
          <m:r>
            <w:rPr>
              <w:rFonts w:ascii="Cambria Math" w:hAnsi="Cambria Math"/>
            </w:rPr>
            <m:t>*</m:t>
          </m:r>
          <m:sSup>
            <m:sSupPr>
              <m:ctrlPr>
                <w:rPr>
                  <w:rFonts w:ascii="Cambria Math" w:hAnsi="Cambria Math"/>
                  <w:i/>
                </w:rPr>
              </m:ctrlPr>
            </m:sSupPr>
            <m:e>
              <m:d>
                <m:dPr>
                  <m:ctrlPr>
                    <w:rPr>
                      <w:rFonts w:ascii="Cambria Math" w:hAnsi="Cambria Math"/>
                      <w:i/>
                    </w:rPr>
                  </m:ctrlPr>
                </m:dPr>
                <m:e>
                  <m:r>
                    <w:rPr>
                      <w:rFonts w:ascii="Cambria Math" w:hAnsi="Cambria Math"/>
                    </w:rPr>
                    <m:t>1+r</m:t>
                  </m:r>
                </m:e>
              </m:d>
            </m:e>
            <m:sup>
              <m:r>
                <w:rPr>
                  <w:rFonts w:ascii="Cambria Math" w:hAnsi="Cambria Math"/>
                </w:rPr>
                <m:t>n/12</m:t>
              </m:r>
            </m:sup>
          </m:sSup>
        </m:oMath>
      </m:oMathPara>
    </w:p>
    <w:p w:rsidR="00285A2D" w:rsidRPr="004E6CFC" w:rsidRDefault="00285A2D" w:rsidP="00285A2D">
      <w:pPr>
        <w:ind w:left="1701" w:hanging="1701"/>
        <w:rPr>
          <w:i/>
        </w:rPr>
      </w:pPr>
      <w:r w:rsidRPr="004E6CFC">
        <w:rPr>
          <w:lang w:val="es-CO"/>
        </w:rPr>
        <w:t>Donde:</w:t>
      </w:r>
    </w:p>
    <w:p w:rsidR="00285A2D" w:rsidRPr="004E6CFC" w:rsidRDefault="00285A2D" w:rsidP="00285A2D">
      <w:pPr>
        <w:ind w:left="1701" w:hanging="1701"/>
      </w:pPr>
      <w:r w:rsidRPr="004E6CFC">
        <w:rPr>
          <w:i/>
        </w:rPr>
        <w:t>ITD</w:t>
      </w:r>
      <w:r w:rsidRPr="004E6CFC">
        <w:rPr>
          <w:i/>
          <w:vertAlign w:val="subscript"/>
        </w:rPr>
        <w:t>j</w:t>
      </w:r>
      <w:r w:rsidRPr="004E6CFC">
        <w:t xml:space="preserve">: </w:t>
      </w:r>
      <w:r w:rsidRPr="004E6CFC">
        <w:tab/>
        <w:t xml:space="preserve">Ingreso total a devolver por el OR </w:t>
      </w:r>
      <w:r w:rsidRPr="004E6CFC">
        <w:rPr>
          <w:i/>
        </w:rPr>
        <w:t>j</w:t>
      </w:r>
      <w:r w:rsidRPr="004E6CFC">
        <w:t>, en pesos colombianos a la fecha de cálculo.</w:t>
      </w:r>
    </w:p>
    <w:p w:rsidR="00285A2D" w:rsidRPr="004E6CFC" w:rsidRDefault="00285A2D" w:rsidP="00285A2D">
      <w:pPr>
        <w:ind w:left="1701" w:hanging="1701"/>
      </w:pPr>
      <w:r>
        <w:rPr>
          <w:i/>
        </w:rPr>
        <w:t>T</w:t>
      </w:r>
      <w:r w:rsidRPr="004E6CFC">
        <w:t xml:space="preserve">: </w:t>
      </w:r>
      <w:r w:rsidRPr="004E6CFC">
        <w:tab/>
      </w:r>
      <w:r>
        <w:t>Período que inicia a partir del primer mes del período de incumplimiento y finaliza el mes para el cual el LAC alcanzó a publicar el último LCPROG antes de la cancelación del plan.</w:t>
      </w:r>
      <w:r w:rsidRPr="004E6CFC">
        <w:t xml:space="preserve"> </w:t>
      </w:r>
    </w:p>
    <w:p w:rsidR="00285A2D" w:rsidRPr="004E6CFC" w:rsidRDefault="00285A2D" w:rsidP="00285A2D">
      <w:pPr>
        <w:ind w:left="1701" w:hanging="1701"/>
        <w:rPr>
          <w:iCs/>
        </w:rPr>
      </w:pPr>
      <w:r w:rsidRPr="004E6CFC">
        <w:rPr>
          <w:i/>
          <w:iCs/>
        </w:rPr>
        <w:t>It:</w:t>
      </w:r>
      <w:r w:rsidRPr="004E6CFC">
        <w:rPr>
          <w:i/>
          <w:iCs/>
        </w:rPr>
        <w:tab/>
      </w:r>
      <w:r w:rsidRPr="004E6CFC">
        <w:rPr>
          <w:iCs/>
        </w:rPr>
        <w:t xml:space="preserve">Número total de comercializadores en el mercado de comercialización del OR </w:t>
      </w:r>
      <w:r w:rsidRPr="004E6CFC">
        <w:rPr>
          <w:i/>
          <w:iCs/>
        </w:rPr>
        <w:t>j</w:t>
      </w:r>
      <w:r w:rsidRPr="004E6CFC">
        <w:rPr>
          <w:iCs/>
        </w:rPr>
        <w:t xml:space="preserve"> durante </w:t>
      </w:r>
      <w:r w:rsidRPr="004E6CFC">
        <w:t>los períodos de incumplimiento del plan previos a la suspensión del mismo</w:t>
      </w:r>
      <w:r w:rsidRPr="004E6CFC">
        <w:rPr>
          <w:iCs/>
        </w:rPr>
        <w:t>.</w:t>
      </w:r>
    </w:p>
    <w:p w:rsidR="00285A2D" w:rsidRPr="004E6CFC" w:rsidRDefault="00285A2D" w:rsidP="00285A2D">
      <w:pPr>
        <w:ind w:left="1695" w:hanging="1620"/>
      </w:pPr>
      <w:r w:rsidRPr="004E6CFC">
        <w:rPr>
          <w:i/>
        </w:rPr>
        <w:t>INVNUC</w:t>
      </w:r>
      <w:r w:rsidRPr="004E6CFC">
        <w:rPr>
          <w:i/>
          <w:vertAlign w:val="subscript"/>
        </w:rPr>
        <w:t>j</w:t>
      </w:r>
      <w:r w:rsidRPr="004E6CFC">
        <w:rPr>
          <w:i/>
        </w:rPr>
        <w:t xml:space="preserve">: </w:t>
      </w:r>
      <w:r w:rsidRPr="004E6CFC">
        <w:rPr>
          <w:i/>
        </w:rPr>
        <w:tab/>
      </w:r>
      <w:r w:rsidRPr="004E6CFC">
        <w:t xml:space="preserve">Costo de las inversiones en activos que no son clasificables como UC del OR </w:t>
      </w:r>
      <w:r w:rsidRPr="004E6CFC">
        <w:rPr>
          <w:i/>
        </w:rPr>
        <w:t>j</w:t>
      </w:r>
      <w:r w:rsidRPr="004E6CFC">
        <w:t>, aplicable para los planes de reducción de pérdidas.</w:t>
      </w:r>
    </w:p>
    <w:p w:rsidR="00285A2D" w:rsidRPr="004E6CFC" w:rsidRDefault="00285A2D" w:rsidP="00285A2D">
      <w:pPr>
        <w:ind w:left="1701" w:hanging="1701"/>
      </w:pPr>
      <w:r w:rsidRPr="004E6CFC">
        <w:rPr>
          <w:i/>
        </w:rPr>
        <w:t>r</w:t>
      </w:r>
      <w:r w:rsidRPr="004E6CFC">
        <w:t xml:space="preserve">: </w:t>
      </w:r>
      <w:r w:rsidRPr="004E6CFC">
        <w:tab/>
        <w:t>Corresponde a 1,5 veces el interés bancario corriente anual para la modalidad de crédito de consumo y ordinario, certificado por la Superintendencia Financiera, vigente en la fecha de cancelación del plan. En caso que este valor supere la tasa máxima permitida, la variable será igual a esta última.</w:t>
      </w:r>
    </w:p>
    <w:p w:rsidR="00285A2D" w:rsidRPr="004E6CFC" w:rsidRDefault="00285A2D" w:rsidP="00285A2D">
      <w:pPr>
        <w:ind w:left="1701" w:hanging="1701"/>
      </w:pPr>
      <w:r w:rsidRPr="004E6CFC">
        <w:rPr>
          <w:i/>
        </w:rPr>
        <w:t>n</w:t>
      </w:r>
      <w:r w:rsidRPr="004E6CFC">
        <w:t xml:space="preserve">: </w:t>
      </w:r>
      <w:r w:rsidRPr="004E6CFC">
        <w:tab/>
        <w:t>Exponente que se calcula de la siguiente manera:</w:t>
      </w:r>
    </w:p>
    <w:p w:rsidR="00285A2D" w:rsidRPr="004E6CFC" w:rsidRDefault="00285A2D" w:rsidP="00285A2D">
      <w:pPr>
        <w:ind w:left="1701" w:hanging="1701"/>
        <w:jc w:val="center"/>
      </w:pPr>
      <m:oMathPara>
        <m:oMath>
          <m:r>
            <w:rPr>
              <w:rFonts w:ascii="Cambria Math" w:hAnsi="Cambria Math"/>
            </w:rPr>
            <m:t>n=</m:t>
          </m:r>
          <m:f>
            <m:fPr>
              <m:ctrlPr>
                <w:rPr>
                  <w:rFonts w:ascii="Cambria Math" w:hAnsi="Cambria Math"/>
                  <w:i/>
                </w:rPr>
              </m:ctrlPr>
            </m:fPr>
            <m:num>
              <m:r>
                <w:rPr>
                  <w:rFonts w:ascii="Cambria Math" w:hAnsi="Cambria Math"/>
                </w:rPr>
                <m:t>t</m:t>
              </m:r>
            </m:num>
            <m:den>
              <m:r>
                <w:rPr>
                  <w:rFonts w:ascii="Cambria Math" w:hAnsi="Cambria Math"/>
                </w:rPr>
                <m:t>2</m:t>
              </m:r>
            </m:den>
          </m:f>
          <m:r>
            <w:rPr>
              <w:rFonts w:ascii="Cambria Math" w:hAnsi="Cambria Math"/>
            </w:rPr>
            <m:t>+</m:t>
          </m:r>
          <m:sSub>
            <m:sSubPr>
              <m:ctrlPr>
                <w:rPr>
                  <w:rFonts w:ascii="Cambria Math" w:hAnsi="Cambria Math"/>
                  <w:i/>
                </w:rPr>
              </m:ctrlPr>
            </m:sSubPr>
            <m:e>
              <m:r>
                <w:rPr>
                  <w:rFonts w:ascii="Cambria Math" w:hAnsi="Cambria Math"/>
                </w:rPr>
                <m:t>P</m:t>
              </m:r>
            </m:e>
            <m:sub>
              <m:r>
                <w:rPr>
                  <w:rFonts w:ascii="Cambria Math" w:hAnsi="Cambria Math"/>
                </w:rPr>
                <m:t>s</m:t>
              </m:r>
            </m:sub>
          </m:sSub>
          <m:r>
            <w:rPr>
              <w:rFonts w:ascii="Cambria Math" w:hAnsi="Cambria Math"/>
            </w:rPr>
            <m:t>+</m:t>
          </m:r>
          <m:f>
            <m:fPr>
              <m:ctrlPr>
                <w:rPr>
                  <w:rFonts w:ascii="Cambria Math" w:hAnsi="Cambria Math"/>
                  <w:i/>
                </w:rPr>
              </m:ctrlPr>
            </m:fPr>
            <m:num>
              <m:sSub>
                <m:sSubPr>
                  <m:ctrlPr>
                    <w:rPr>
                      <w:rFonts w:ascii="Cambria Math" w:hAnsi="Cambria Math"/>
                      <w:i/>
                    </w:rPr>
                  </m:ctrlPr>
                </m:sSubPr>
                <m:e>
                  <m:r>
                    <w:rPr>
                      <w:rFonts w:ascii="Cambria Math" w:hAnsi="Cambria Math"/>
                    </w:rPr>
                    <m:t>P</m:t>
                  </m:r>
                </m:e>
                <m:sub>
                  <m:r>
                    <w:rPr>
                      <w:rFonts w:ascii="Cambria Math" w:hAnsi="Cambria Math"/>
                    </w:rPr>
                    <m:t>d</m:t>
                  </m:r>
                </m:sub>
              </m:sSub>
            </m:num>
            <m:den>
              <m:r>
                <w:rPr>
                  <w:rFonts w:ascii="Cambria Math" w:hAnsi="Cambria Math"/>
                </w:rPr>
                <m:t>2</m:t>
              </m:r>
            </m:den>
          </m:f>
        </m:oMath>
      </m:oMathPara>
    </w:p>
    <w:p w:rsidR="00285A2D" w:rsidRPr="004E6CFC" w:rsidRDefault="00285A2D" w:rsidP="00285A2D">
      <w:pPr>
        <w:ind w:left="1701" w:hanging="1701"/>
        <w:rPr>
          <w:i/>
        </w:rPr>
      </w:pPr>
      <w:r w:rsidRPr="004E6CFC">
        <w:rPr>
          <w:lang w:val="es-CO"/>
        </w:rPr>
        <w:lastRenderedPageBreak/>
        <w:t>Donde:</w:t>
      </w:r>
    </w:p>
    <w:p w:rsidR="00285A2D" w:rsidRPr="004E6CFC" w:rsidRDefault="00285A2D" w:rsidP="00285A2D">
      <w:pPr>
        <w:ind w:left="1701" w:hanging="1701"/>
      </w:pPr>
      <w:r w:rsidRPr="004E6CFC">
        <w:rPr>
          <w:i/>
        </w:rPr>
        <w:t>P</w:t>
      </w:r>
      <w:r w:rsidRPr="004E6CFC">
        <w:rPr>
          <w:i/>
          <w:vertAlign w:val="subscript"/>
        </w:rPr>
        <w:t>s</w:t>
      </w:r>
      <w:r w:rsidRPr="004E6CFC">
        <w:t xml:space="preserve">: </w:t>
      </w:r>
      <w:r w:rsidRPr="004E6CFC">
        <w:tab/>
        <w:t>Número de meses entre la suspensión de la remuneración del plan y la cancelación del plan. Esta variable es igual a cero (0) cuando el OR cancele unilateralmente el plan.</w:t>
      </w:r>
    </w:p>
    <w:p w:rsidR="00285A2D" w:rsidRPr="004E6CFC" w:rsidRDefault="00285A2D" w:rsidP="00285A2D">
      <w:pPr>
        <w:ind w:left="1701" w:hanging="1701"/>
      </w:pPr>
      <w:r w:rsidRPr="004E6CFC">
        <w:rPr>
          <w:i/>
        </w:rPr>
        <w:t>P</w:t>
      </w:r>
      <w:r w:rsidRPr="004E6CFC">
        <w:rPr>
          <w:i/>
          <w:vertAlign w:val="subscript"/>
        </w:rPr>
        <w:t>d</w:t>
      </w:r>
      <w:r w:rsidRPr="004E6CFC">
        <w:t xml:space="preserve">: </w:t>
      </w:r>
      <w:r w:rsidRPr="004E6CFC">
        <w:tab/>
        <w:t>Número de meses durante los cuales el OR debe devolver los recursos recibidos. Esta variable es igual a doce (12).</w:t>
      </w:r>
    </w:p>
    <w:p w:rsidR="00285A2D" w:rsidRPr="004E6CFC" w:rsidRDefault="00285A2D" w:rsidP="00285A2D">
      <w:pPr>
        <w:pStyle w:val="Ttulo5"/>
      </w:pPr>
      <w:bookmarkStart w:id="906" w:name="_Ref402726201"/>
      <w:bookmarkStart w:id="907" w:name="_Toc310577409"/>
      <w:r w:rsidRPr="004E6CFC">
        <w:t>Liquidación y recaudo</w:t>
      </w:r>
      <w:bookmarkEnd w:id="906"/>
      <w:bookmarkEnd w:id="907"/>
    </w:p>
    <w:p w:rsidR="00285A2D" w:rsidRDefault="00285A2D" w:rsidP="00285A2D">
      <w:r w:rsidRPr="004E6CFC">
        <w:t xml:space="preserve">En caso de devolución de ingresos a los usuarios finales durante la etapa descrita en el numeral </w:t>
      </w:r>
      <w:r w:rsidRPr="004E6CFC">
        <w:fldChar w:fldCharType="begin"/>
      </w:r>
      <w:r w:rsidRPr="004E6CFC">
        <w:instrText xml:space="preserve"> REF _Ref402534891 \r \h  \* MERGEFORMAT </w:instrText>
      </w:r>
      <w:r w:rsidRPr="004E6CFC">
        <w:fldChar w:fldCharType="separate"/>
      </w:r>
      <w:r w:rsidR="00737178">
        <w:t>7.3.6.4.2</w:t>
      </w:r>
      <w:r w:rsidRPr="004E6CFC">
        <w:fldChar w:fldCharType="end"/>
      </w:r>
      <w:r w:rsidRPr="004E6CFC">
        <w:t>, los valores INVNUCD serán parte del cálculo de la fórmu</w:t>
      </w:r>
      <w:r>
        <w:t xml:space="preserve">la de CPROG durante doce meses, iniciando el segundo mes posterior al de la finalización del plan, </w:t>
      </w:r>
      <w:r w:rsidRPr="004E6CFC">
        <w:t>según la siguiente expresión:</w:t>
      </w:r>
    </w:p>
    <w:p w:rsidR="00285A2D" w:rsidRPr="004E6CFC" w:rsidRDefault="00C9592F" w:rsidP="00285A2D">
      <w:pPr>
        <w:jc w:val="center"/>
        <w:rPr>
          <w:i/>
        </w:rPr>
      </w:pPr>
      <m:oMathPara>
        <m:oMath>
          <m:sSub>
            <m:sSubPr>
              <m:ctrlPr>
                <w:rPr>
                  <w:rFonts w:ascii="Cambria Math" w:hAnsi="Cambria Math"/>
                  <w:sz w:val="22"/>
                  <w:szCs w:val="22"/>
                </w:rPr>
              </m:ctrlPr>
            </m:sSubPr>
            <m:e>
              <m:r>
                <w:rPr>
                  <w:rFonts w:ascii="Cambria Math" w:hAnsi="Cambria Math"/>
                  <w:sz w:val="22"/>
                  <w:szCs w:val="22"/>
                </w:rPr>
                <m:t>LINVNUC</m:t>
              </m:r>
            </m:e>
            <m:sub>
              <m:r>
                <w:rPr>
                  <w:rFonts w:ascii="Cambria Math" w:hAnsi="Cambria Math"/>
                  <w:sz w:val="22"/>
                  <w:szCs w:val="22"/>
                </w:rPr>
                <m:t>i,j</m:t>
              </m:r>
            </m:sub>
          </m:sSub>
          <m:r>
            <m:rPr>
              <m:sty m:val="p"/>
            </m:rPr>
            <w:rPr>
              <w:rFonts w:ascii="Cambria Math" w:hAnsi="Cambria Math"/>
              <w:sz w:val="22"/>
              <w:szCs w:val="22"/>
            </w:rPr>
            <m:t>=</m:t>
          </m:r>
          <m:sSub>
            <m:sSubPr>
              <m:ctrlPr>
                <w:rPr>
                  <w:rFonts w:ascii="Cambria Math" w:hAnsi="Cambria Math"/>
                  <w:sz w:val="22"/>
                  <w:szCs w:val="22"/>
                </w:rPr>
              </m:ctrlPr>
            </m:sSubPr>
            <m:e>
              <m:r>
                <w:rPr>
                  <w:rFonts w:ascii="Cambria Math" w:hAnsi="Cambria Math"/>
                  <w:sz w:val="22"/>
                  <w:szCs w:val="22"/>
                </w:rPr>
                <m:t>INVNUCD</m:t>
              </m:r>
            </m:e>
            <m:sub>
              <m:r>
                <w:rPr>
                  <w:rFonts w:ascii="Cambria Math" w:hAnsi="Cambria Math"/>
                  <w:sz w:val="22"/>
                  <w:szCs w:val="22"/>
                </w:rPr>
                <m:t>j</m:t>
              </m:r>
            </m:sub>
          </m:sSub>
          <m:r>
            <m:rPr>
              <m:sty m:val="p"/>
            </m:rPr>
            <w:rPr>
              <w:rFonts w:ascii="Cambria Math" w:hAnsi="Cambria Math"/>
              <w:sz w:val="22"/>
              <w:szCs w:val="22"/>
            </w:rPr>
            <m:t>*</m:t>
          </m:r>
          <m:sSub>
            <m:sSubPr>
              <m:ctrlPr>
                <w:rPr>
                  <w:rFonts w:ascii="Cambria Math" w:hAnsi="Cambria Math"/>
                  <w:i/>
                  <w:sz w:val="22"/>
                  <w:szCs w:val="22"/>
                </w:rPr>
              </m:ctrlPr>
            </m:sSubPr>
            <m:e>
              <m:nary>
                <m:naryPr>
                  <m:chr m:val="∑"/>
                  <m:limLoc m:val="undOvr"/>
                  <m:ctrlPr>
                    <w:rPr>
                      <w:rFonts w:ascii="Cambria Math" w:hAnsi="Cambria Math"/>
                      <w:i/>
                      <w:sz w:val="22"/>
                      <w:szCs w:val="22"/>
                    </w:rPr>
                  </m:ctrlPr>
                </m:naryPr>
                <m:sub>
                  <m:r>
                    <w:rPr>
                      <w:rFonts w:ascii="Cambria Math" w:hAnsi="Cambria Math"/>
                      <w:sz w:val="22"/>
                      <w:szCs w:val="22"/>
                    </w:rPr>
                    <m:t>i=1</m:t>
                  </m:r>
                </m:sub>
                <m:sup>
                  <m:r>
                    <w:rPr>
                      <w:rFonts w:ascii="Cambria Math" w:hAnsi="Cambria Math"/>
                      <w:sz w:val="22"/>
                      <w:szCs w:val="22"/>
                    </w:rPr>
                    <m:t>T</m:t>
                  </m:r>
                </m:sup>
                <m:e>
                  <m:sSub>
                    <m:sSubPr>
                      <m:ctrlPr>
                        <w:rPr>
                          <w:rFonts w:ascii="Cambria Math" w:hAnsi="Cambria Math"/>
                          <w:i/>
                          <w:sz w:val="22"/>
                          <w:szCs w:val="22"/>
                        </w:rPr>
                      </m:ctrlPr>
                    </m:sSubPr>
                    <m:e>
                      <m:r>
                        <w:rPr>
                          <w:rFonts w:ascii="Cambria Math" w:hAnsi="Cambria Math"/>
                          <w:sz w:val="22"/>
                          <w:szCs w:val="22"/>
                        </w:rPr>
                        <m:t>VC</m:t>
                      </m:r>
                    </m:e>
                    <m:sub>
                      <m:r>
                        <w:rPr>
                          <w:rFonts w:ascii="Cambria Math" w:hAnsi="Cambria Math"/>
                          <w:sz w:val="22"/>
                          <w:szCs w:val="22"/>
                        </w:rPr>
                        <m:t>i,j,m</m:t>
                      </m:r>
                    </m:sub>
                  </m:sSub>
                </m:e>
              </m:nary>
            </m:e>
            <m:sub/>
          </m:sSub>
        </m:oMath>
      </m:oMathPara>
    </w:p>
    <w:p w:rsidR="00285A2D" w:rsidRPr="004E6CFC" w:rsidRDefault="00285A2D" w:rsidP="00285A2D">
      <w:r w:rsidRPr="004E6CFC">
        <w:t>Donde:</w:t>
      </w:r>
    </w:p>
    <w:p w:rsidR="00285A2D" w:rsidRPr="004E6CFC" w:rsidRDefault="00285A2D" w:rsidP="00285A2D">
      <w:pPr>
        <w:ind w:left="1701" w:hanging="1701"/>
      </w:pPr>
      <w:r w:rsidRPr="004E6CFC">
        <w:rPr>
          <w:i/>
          <w:iCs/>
        </w:rPr>
        <w:t>LINVNUC</w:t>
      </w:r>
      <w:r w:rsidRPr="004E6CFC">
        <w:rPr>
          <w:i/>
          <w:iCs/>
          <w:vertAlign w:val="subscript"/>
        </w:rPr>
        <w:t>i,j,</w:t>
      </w:r>
      <w:r w:rsidRPr="004E6CFC">
        <w:t>:</w:t>
      </w:r>
      <w:r w:rsidRPr="004E6CFC">
        <w:tab/>
        <w:t xml:space="preserve">Liquidación por concepto de INVNUC, en el mercado de comercialización </w:t>
      </w:r>
      <w:r w:rsidRPr="004E6CFC">
        <w:rPr>
          <w:i/>
        </w:rPr>
        <w:t>j</w:t>
      </w:r>
      <w:r w:rsidRPr="004E6CFC">
        <w:t xml:space="preserve">, por las ventas en los meses de incumplimiento </w:t>
      </w:r>
      <w:r w:rsidRPr="004E6CFC">
        <w:rPr>
          <w:iCs/>
        </w:rPr>
        <w:t>que facturará el OR</w:t>
      </w:r>
      <w:r w:rsidRPr="004E6CFC">
        <w:rPr>
          <w:i/>
          <w:iCs/>
        </w:rPr>
        <w:t xml:space="preserve"> j </w:t>
      </w:r>
      <w:r w:rsidRPr="004E6CFC">
        <w:t xml:space="preserve">al comercializador </w:t>
      </w:r>
      <w:r w:rsidRPr="004E6CFC">
        <w:rPr>
          <w:i/>
          <w:iCs/>
        </w:rPr>
        <w:t>i</w:t>
      </w:r>
      <w:r w:rsidRPr="004E6CFC">
        <w:t>.</w:t>
      </w:r>
    </w:p>
    <w:p w:rsidR="00285A2D" w:rsidRPr="004E6CFC" w:rsidRDefault="00285A2D" w:rsidP="00285A2D">
      <w:pPr>
        <w:ind w:left="1695" w:hanging="1695"/>
      </w:pPr>
      <w:r w:rsidRPr="004E6CFC">
        <w:rPr>
          <w:i/>
        </w:rPr>
        <w:t>INVNUCD</w:t>
      </w:r>
      <w:r w:rsidRPr="004E6CFC">
        <w:rPr>
          <w:i/>
          <w:vertAlign w:val="subscript"/>
        </w:rPr>
        <w:t>j</w:t>
      </w:r>
      <w:r w:rsidRPr="004E6CFC">
        <w:rPr>
          <w:i/>
        </w:rPr>
        <w:t xml:space="preserve">: </w:t>
      </w:r>
      <w:r w:rsidRPr="004E6CFC">
        <w:rPr>
          <w:i/>
        </w:rPr>
        <w:tab/>
      </w:r>
      <w:r w:rsidRPr="004E6CFC">
        <w:t xml:space="preserve">Costo de las inversiones en activos que no son clasificables como UC del OR </w:t>
      </w:r>
      <w:r w:rsidRPr="004E6CFC">
        <w:rPr>
          <w:i/>
        </w:rPr>
        <w:t>j</w:t>
      </w:r>
      <w:r w:rsidRPr="004E6CFC">
        <w:t xml:space="preserve"> a devolver, calculado según lo establecido en el numeral  </w:t>
      </w:r>
      <w:r w:rsidRPr="004E6CFC">
        <w:fldChar w:fldCharType="begin"/>
      </w:r>
      <w:r w:rsidRPr="004E6CFC">
        <w:instrText xml:space="preserve"> REF _Ref461012983 \r \h  \* MERGEFORMAT </w:instrText>
      </w:r>
      <w:r w:rsidRPr="004E6CFC">
        <w:fldChar w:fldCharType="separate"/>
      </w:r>
      <w:r w:rsidR="00737178">
        <w:t>7.3.6.4.1</w:t>
      </w:r>
      <w:r w:rsidRPr="004E6CFC">
        <w:fldChar w:fldCharType="end"/>
      </w:r>
      <w:r w:rsidRPr="004E6CFC">
        <w:t>.</w:t>
      </w:r>
    </w:p>
    <w:p w:rsidR="00285A2D" w:rsidRPr="004E6CFC" w:rsidRDefault="00285A2D" w:rsidP="00285A2D">
      <w:pPr>
        <w:ind w:left="1701" w:hanging="1701"/>
      </w:pPr>
      <w:r w:rsidRPr="004E6CFC">
        <w:rPr>
          <w:i/>
          <w:iCs/>
        </w:rPr>
        <w:t>VC</w:t>
      </w:r>
      <w:r w:rsidRPr="004E6CFC">
        <w:rPr>
          <w:i/>
          <w:iCs/>
          <w:vertAlign w:val="subscript"/>
        </w:rPr>
        <w:t>i,j,m</w:t>
      </w:r>
      <w:r w:rsidRPr="004E6CFC">
        <w:t>:</w:t>
      </w:r>
      <w:r w:rsidRPr="004E6CFC">
        <w:tab/>
        <w:t xml:space="preserve">Ventas de energía del comercializador </w:t>
      </w:r>
      <w:r w:rsidRPr="004E6CFC">
        <w:rPr>
          <w:i/>
        </w:rPr>
        <w:t>i</w:t>
      </w:r>
      <w:r w:rsidRPr="004E6CFC">
        <w:t xml:space="preserve">, en el mercado de comercialización </w:t>
      </w:r>
      <w:r w:rsidRPr="004E6CFC">
        <w:rPr>
          <w:i/>
        </w:rPr>
        <w:t>j</w:t>
      </w:r>
      <w:r w:rsidRPr="004E6CFC">
        <w:t xml:space="preserve">, durante el mes m, considerando las ventas a usuarios conectados directamente al STN que hacen parte del mercado de comercialización </w:t>
      </w:r>
      <w:r w:rsidRPr="004E6CFC">
        <w:rPr>
          <w:i/>
        </w:rPr>
        <w:t>j</w:t>
      </w:r>
      <w:r w:rsidRPr="004E6CFC">
        <w:t xml:space="preserve">. </w:t>
      </w:r>
    </w:p>
    <w:p w:rsidR="00285A2D" w:rsidRPr="004E6CFC" w:rsidRDefault="00285A2D" w:rsidP="00285A2D">
      <w:pPr>
        <w:ind w:left="1701"/>
      </w:pPr>
      <w:r w:rsidRPr="004E6CFC">
        <w:t xml:space="preserve">La determinación de las ventas a usuarios no regulados y para el caso en que un comercializador </w:t>
      </w:r>
      <w:r w:rsidRPr="004E6CFC">
        <w:rPr>
          <w:i/>
        </w:rPr>
        <w:t>i</w:t>
      </w:r>
      <w:r w:rsidRPr="004E6CFC">
        <w:t xml:space="preserve"> diferente al integrado al OR haya registrado una frontera comercial para la atención de un solo usuario regulado, se hará a través del consumo registrado en el SIC para la frontera específica. </w:t>
      </w:r>
    </w:p>
    <w:p w:rsidR="00285A2D" w:rsidRPr="004E6CFC" w:rsidRDefault="00285A2D" w:rsidP="00285A2D">
      <w:pPr>
        <w:ind w:left="1701"/>
      </w:pPr>
      <w:r w:rsidRPr="004E6CFC">
        <w:t>La determinación de las ventas a usuarios regulados atendidos por el comercializador incumbente se hará a través del consumo de energía eléctrica en kWh que es facturado y reportado para el respectivo periodo al SUI.</w:t>
      </w:r>
    </w:p>
    <w:p w:rsidR="00285A2D" w:rsidRPr="004E6CFC" w:rsidRDefault="00285A2D" w:rsidP="00285A2D">
      <w:pPr>
        <w:ind w:left="1701"/>
      </w:pPr>
      <w:r w:rsidRPr="004E6CFC">
        <w:t xml:space="preserve">En las fronteras comerciales que agrupen usuarios regulados atendidos por un comercializador </w:t>
      </w:r>
      <w:r w:rsidRPr="004E6CFC">
        <w:rPr>
          <w:i/>
        </w:rPr>
        <w:t>i</w:t>
      </w:r>
      <w:r w:rsidRPr="004E6CFC">
        <w:t xml:space="preserve"> diferente al incumbente, este valor corresponde a la medida registrada en la frontera comercial </w:t>
      </w:r>
      <w:r w:rsidRPr="004E6CFC">
        <w:rPr>
          <w:i/>
        </w:rPr>
        <w:t>f</w:t>
      </w:r>
      <w:r w:rsidRPr="004E6CFC">
        <w:t xml:space="preserve"> de dicho comercializador multiplicada por el factor (1- Psf). La variable Psf es igual a 0,019.  En caso que el comercializador y el OR acuerden otro valor de Psf, deberá ser informado al LAC para que sea utilizado en la liquidación.</w:t>
      </w:r>
    </w:p>
    <w:p w:rsidR="00285A2D" w:rsidRPr="004E6CFC" w:rsidRDefault="00285A2D" w:rsidP="00285A2D">
      <w:pPr>
        <w:ind w:left="1701" w:hanging="1701"/>
      </w:pPr>
      <w:r>
        <w:rPr>
          <w:i/>
        </w:rPr>
        <w:lastRenderedPageBreak/>
        <w:t>T</w:t>
      </w:r>
      <w:r w:rsidRPr="004E6CFC">
        <w:t xml:space="preserve">: </w:t>
      </w:r>
      <w:r w:rsidRPr="004E6CFC">
        <w:tab/>
      </w:r>
      <w:r>
        <w:t>Período que inicia a partir del primer mes del período de incumplimiento y finaliza el mes para el cual el LAC alcanzó a publicar el último LCPROG antes de la cancelación del plan.</w:t>
      </w:r>
      <w:r w:rsidRPr="004E6CFC">
        <w:t xml:space="preserve"> </w:t>
      </w:r>
    </w:p>
    <w:p w:rsidR="00285A2D" w:rsidRPr="004E6CFC" w:rsidRDefault="00285A2D" w:rsidP="00285A2D">
      <w:r w:rsidRPr="004E6CFC">
        <w:t>La facturación y recaudo a los agentes comercializadores le corresponderá a los OR, utilizando la liquidación elaborada por el LAC.</w:t>
      </w:r>
    </w:p>
    <w:p w:rsidR="00285A2D" w:rsidRPr="004E6CFC" w:rsidRDefault="00285A2D" w:rsidP="00285A2D">
      <w:pPr>
        <w:pStyle w:val="Ttulo3"/>
        <w:ind w:left="1418" w:hanging="1418"/>
      </w:pPr>
      <w:bookmarkStart w:id="908" w:name="_Toc406406220"/>
      <w:bookmarkStart w:id="909" w:name="_Ref406419791"/>
      <w:bookmarkStart w:id="910" w:name="_Toc408493215"/>
      <w:bookmarkStart w:id="911" w:name="_Toc443655748"/>
      <w:bookmarkStart w:id="912" w:name="_Toc445214138"/>
      <w:bookmarkStart w:id="913" w:name="_Toc466009919"/>
      <w:bookmarkStart w:id="914" w:name="_Toc476824945"/>
      <w:bookmarkStart w:id="915" w:name="_Toc505335996"/>
      <w:r w:rsidRPr="004E6CFC">
        <w:t>Cálculo de flujos de energía</w:t>
      </w:r>
      <w:bookmarkEnd w:id="908"/>
      <w:bookmarkEnd w:id="909"/>
      <w:bookmarkEnd w:id="910"/>
      <w:bookmarkEnd w:id="911"/>
      <w:bookmarkEnd w:id="912"/>
      <w:bookmarkEnd w:id="913"/>
      <w:bookmarkEnd w:id="914"/>
      <w:bookmarkEnd w:id="915"/>
      <w:r w:rsidRPr="004E6CFC">
        <w:t xml:space="preserve"> </w:t>
      </w:r>
    </w:p>
    <w:p w:rsidR="00285A2D" w:rsidRPr="004E6CFC" w:rsidRDefault="00285A2D" w:rsidP="00285A2D">
      <w:pPr>
        <w:pStyle w:val="Ttulo4"/>
        <w:ind w:left="0" w:firstLine="0"/>
        <w:rPr>
          <w:szCs w:val="24"/>
        </w:rPr>
      </w:pPr>
      <w:bookmarkStart w:id="916" w:name="_Toc310577387"/>
      <w:bookmarkStart w:id="917" w:name="_Ref277706453"/>
      <w:bookmarkStart w:id="918" w:name="_Ref406164364"/>
      <w:bookmarkStart w:id="919" w:name="_Ref406164536"/>
      <w:bookmarkStart w:id="920" w:name="_Ref406164973"/>
      <w:bookmarkStart w:id="921" w:name="_Ref406166063"/>
      <w:bookmarkStart w:id="922" w:name="_Ref406166748"/>
      <w:bookmarkStart w:id="923" w:name="_Ref406167478"/>
      <w:bookmarkStart w:id="924" w:name="_Ref406403352"/>
      <w:bookmarkStart w:id="925" w:name="_Ref406406773"/>
      <w:bookmarkStart w:id="926" w:name="_Ref406419761"/>
      <w:bookmarkStart w:id="927" w:name="_Ref406420667"/>
      <w:bookmarkStart w:id="928" w:name="_Ref439842502"/>
      <w:bookmarkStart w:id="929" w:name="_Ref439843693"/>
      <w:bookmarkStart w:id="930" w:name="_Ref439921506"/>
      <w:bookmarkStart w:id="931" w:name="_Ref445058485"/>
      <w:bookmarkStart w:id="932" w:name="_Ref445112240"/>
      <w:bookmarkStart w:id="933" w:name="_Ref445112853"/>
      <w:bookmarkStart w:id="934" w:name="_Ref445138281"/>
      <w:bookmarkStart w:id="935" w:name="_Ref460592332"/>
      <w:bookmarkStart w:id="936" w:name="_Ref460594310"/>
      <w:bookmarkStart w:id="937" w:name="_Ref460823417"/>
      <w:bookmarkStart w:id="938" w:name="_Ref461013230"/>
      <w:r w:rsidRPr="004E6CFC">
        <w:t>Energía de entrada para cada nivel de tensión</w:t>
      </w:r>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r w:rsidRPr="004E6CFC">
        <w:rPr>
          <w:szCs w:val="24"/>
        </w:rPr>
        <w:t xml:space="preserve"> </w:t>
      </w:r>
    </w:p>
    <w:p w:rsidR="00285A2D" w:rsidRPr="004E6CFC" w:rsidRDefault="00285A2D" w:rsidP="00285A2D">
      <w:r w:rsidRPr="004E6CFC">
        <w:t xml:space="preserve">La energía de entrada en cada uno de los niveles de tensión del sistema del OR </w:t>
      </w:r>
      <w:r w:rsidRPr="004E6CFC">
        <w:rPr>
          <w:i/>
        </w:rPr>
        <w:t>j,</w:t>
      </w:r>
      <w:r w:rsidRPr="004E6CFC">
        <w:t xml:space="preserve"> se calcula como sigue:</w:t>
      </w:r>
    </w:p>
    <w:p w:rsidR="00285A2D" w:rsidRPr="004E6CFC" w:rsidRDefault="00C9592F" w:rsidP="00285A2D">
      <w:pPr>
        <w:pStyle w:val="Continuarlista"/>
        <w:jc w:val="center"/>
        <w:rPr>
          <w:i/>
        </w:rPr>
      </w:pPr>
      <m:oMathPara>
        <m:oMath>
          <m:sSub>
            <m:sSubPr>
              <m:ctrlPr>
                <w:rPr>
                  <w:rFonts w:ascii="Cambria Math" w:hAnsi="Cambria Math"/>
                  <w:i/>
                  <w:sz w:val="22"/>
                  <w:szCs w:val="22"/>
                </w:rPr>
              </m:ctrlPr>
            </m:sSubPr>
            <m:e>
              <m:r>
                <w:rPr>
                  <w:rFonts w:ascii="Cambria Math" w:hAnsi="Cambria Math"/>
                  <w:sz w:val="22"/>
                  <w:szCs w:val="22"/>
                </w:rPr>
                <m:t>Ee</m:t>
              </m:r>
            </m:e>
            <m:sub>
              <m:r>
                <w:rPr>
                  <w:rFonts w:ascii="Cambria Math" w:hAnsi="Cambria Math"/>
                  <w:sz w:val="22"/>
                  <w:szCs w:val="22"/>
                </w:rPr>
                <m:t>j,n,m</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EeG</m:t>
              </m:r>
            </m:e>
            <m:sub>
              <m:r>
                <w:rPr>
                  <w:rFonts w:ascii="Cambria Math" w:hAnsi="Cambria Math"/>
                  <w:sz w:val="22"/>
                  <w:szCs w:val="22"/>
                </w:rPr>
                <m:t>j,n,m</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FeSTN</m:t>
              </m:r>
            </m:e>
            <m:sub>
              <m:r>
                <w:rPr>
                  <w:rFonts w:ascii="Cambria Math" w:hAnsi="Cambria Math"/>
                  <w:sz w:val="22"/>
                  <w:szCs w:val="22"/>
                </w:rPr>
                <m:t>j,n,m</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FeOR</m:t>
              </m:r>
            </m:e>
            <m:sub>
              <m:r>
                <w:rPr>
                  <w:rFonts w:ascii="Cambria Math" w:hAnsi="Cambria Math"/>
                  <w:sz w:val="22"/>
                  <w:szCs w:val="22"/>
                </w:rPr>
                <m:t>j,n,m</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FeNS</m:t>
              </m:r>
            </m:e>
            <m:sub>
              <m:r>
                <w:rPr>
                  <w:rFonts w:ascii="Cambria Math" w:hAnsi="Cambria Math"/>
                  <w:sz w:val="22"/>
                  <w:szCs w:val="22"/>
                </w:rPr>
                <m:t>j,n,m</m:t>
              </m:r>
            </m:sub>
          </m:sSub>
        </m:oMath>
      </m:oMathPara>
    </w:p>
    <w:p w:rsidR="00285A2D" w:rsidRPr="004E6CFC" w:rsidRDefault="00285A2D" w:rsidP="00285A2D">
      <w:pPr>
        <w:tabs>
          <w:tab w:val="left" w:pos="8504"/>
        </w:tabs>
      </w:pPr>
      <w:r w:rsidRPr="004E6CFC">
        <w:t>Donde:</w:t>
      </w:r>
      <w:r w:rsidRPr="004E6CFC">
        <w:tab/>
      </w:r>
    </w:p>
    <w:p w:rsidR="00285A2D" w:rsidRPr="004E6CFC" w:rsidRDefault="00285A2D" w:rsidP="00285A2D">
      <w:pPr>
        <w:ind w:left="1410" w:hanging="1410"/>
      </w:pPr>
      <w:r w:rsidRPr="004E6CFC">
        <w:rPr>
          <w:i/>
        </w:rPr>
        <w:t>Ee</w:t>
      </w:r>
      <w:r w:rsidRPr="004E6CFC">
        <w:rPr>
          <w:i/>
          <w:vertAlign w:val="subscript"/>
        </w:rPr>
        <w:t>j,n,m</w:t>
      </w:r>
      <w:r w:rsidRPr="004E6CFC">
        <w:tab/>
        <w:t xml:space="preserve">Energía de entrada al sistema del OR </w:t>
      </w:r>
      <w:r w:rsidRPr="004E6CFC">
        <w:rPr>
          <w:i/>
        </w:rPr>
        <w:t>j</w:t>
      </w:r>
      <w:r w:rsidRPr="004E6CFC">
        <w:t xml:space="preserve"> en el nivel de tensión </w:t>
      </w:r>
      <w:r w:rsidRPr="004E6CFC">
        <w:rPr>
          <w:i/>
        </w:rPr>
        <w:t>n</w:t>
      </w:r>
      <w:r w:rsidRPr="004E6CFC">
        <w:t xml:space="preserve"> durante el mes </w:t>
      </w:r>
      <w:r w:rsidRPr="004E6CFC">
        <w:rPr>
          <w:i/>
        </w:rPr>
        <w:t>m</w:t>
      </w:r>
      <w:r w:rsidRPr="004E6CFC">
        <w:t>, expresada en kWh.</w:t>
      </w:r>
    </w:p>
    <w:p w:rsidR="00285A2D" w:rsidRPr="004E6CFC" w:rsidRDefault="00285A2D" w:rsidP="00285A2D">
      <w:pPr>
        <w:ind w:left="1410" w:hanging="1410"/>
      </w:pPr>
      <w:r w:rsidRPr="004E6CFC">
        <w:rPr>
          <w:i/>
          <w:lang w:val="es-CO"/>
        </w:rPr>
        <w:t>EeG</w:t>
      </w:r>
      <w:r w:rsidRPr="004E6CFC">
        <w:rPr>
          <w:i/>
          <w:vertAlign w:val="subscript"/>
          <w:lang w:val="es-CO"/>
        </w:rPr>
        <w:t>j,n,m</w:t>
      </w:r>
      <w:r w:rsidRPr="004E6CFC">
        <w:rPr>
          <w:lang w:val="es-CO"/>
        </w:rPr>
        <w:t xml:space="preserve">  </w:t>
      </w:r>
      <w:r w:rsidRPr="004E6CFC">
        <w:rPr>
          <w:lang w:val="es-CO"/>
        </w:rPr>
        <w:tab/>
      </w:r>
      <w:r w:rsidRPr="004E6CFC">
        <w:t xml:space="preserve">Energía entregada por los generadores, incluyendo plantas menores y cogeneradores conectados directamente al sistema del OR </w:t>
      </w:r>
      <w:r w:rsidRPr="004E6CFC">
        <w:rPr>
          <w:i/>
        </w:rPr>
        <w:t>j</w:t>
      </w:r>
      <w:r w:rsidRPr="004E6CFC">
        <w:t xml:space="preserve">, en el nivel de tensión </w:t>
      </w:r>
      <w:r w:rsidRPr="004E6CFC">
        <w:rPr>
          <w:i/>
        </w:rPr>
        <w:t>n</w:t>
      </w:r>
      <w:r w:rsidRPr="004E6CFC">
        <w:t xml:space="preserve">, durante el mes </w:t>
      </w:r>
      <w:r w:rsidRPr="004E6CFC">
        <w:rPr>
          <w:i/>
        </w:rPr>
        <w:t>m</w:t>
      </w:r>
      <w:r w:rsidRPr="004E6CFC">
        <w:t xml:space="preserve">, expresada </w:t>
      </w:r>
      <w:r w:rsidR="00863432" w:rsidRPr="004E6CFC">
        <w:t>en kWh</w:t>
      </w:r>
      <w:r w:rsidRPr="004E6CFC">
        <w:t>. Corresponde a la suma de las energías medidas en las fronteras comerciales, sin referir al STN, registrada en el SIC para estos agentes.</w:t>
      </w:r>
    </w:p>
    <w:p w:rsidR="00285A2D" w:rsidRPr="004E6CFC" w:rsidRDefault="00285A2D" w:rsidP="00285A2D">
      <w:pPr>
        <w:ind w:left="1410" w:hanging="1410"/>
      </w:pPr>
      <w:r w:rsidRPr="004E6CFC">
        <w:rPr>
          <w:i/>
        </w:rPr>
        <w:t>FeSTN</w:t>
      </w:r>
      <w:r w:rsidRPr="004E6CFC">
        <w:rPr>
          <w:i/>
          <w:vertAlign w:val="subscript"/>
        </w:rPr>
        <w:t>j,n,m</w:t>
      </w:r>
      <w:r w:rsidRPr="004E6CFC">
        <w:tab/>
        <w:t xml:space="preserve">Flujo de energía del STN al sistema del OR </w:t>
      </w:r>
      <w:r w:rsidRPr="004E6CFC">
        <w:rPr>
          <w:i/>
        </w:rPr>
        <w:t>j</w:t>
      </w:r>
      <w:r w:rsidRPr="004E6CFC">
        <w:t xml:space="preserve"> en el nivel de tensión </w:t>
      </w:r>
      <w:r w:rsidRPr="004E6CFC">
        <w:rPr>
          <w:i/>
        </w:rPr>
        <w:t>n</w:t>
      </w:r>
      <w:r w:rsidRPr="004E6CFC">
        <w:t xml:space="preserve">, durante el mes </w:t>
      </w:r>
      <w:r w:rsidRPr="004E6CFC">
        <w:rPr>
          <w:i/>
        </w:rPr>
        <w:t>m,</w:t>
      </w:r>
      <w:r w:rsidRPr="004E6CFC">
        <w:t xml:space="preserve"> expresado en kWh. Corresponde a la suma de las energías medidas en las fronteras comerciales, sin referir al STN, registradas en el </w:t>
      </w:r>
      <w:r w:rsidR="00863432" w:rsidRPr="004E6CFC">
        <w:t>SIC para</w:t>
      </w:r>
      <w:r w:rsidRPr="004E6CFC">
        <w:t xml:space="preserve"> los puntos de conexión del OR </w:t>
      </w:r>
      <w:r w:rsidRPr="004E6CFC">
        <w:rPr>
          <w:i/>
        </w:rPr>
        <w:t>j</w:t>
      </w:r>
      <w:r w:rsidRPr="004E6CFC">
        <w:t xml:space="preserve"> al STN.</w:t>
      </w:r>
    </w:p>
    <w:p w:rsidR="00285A2D" w:rsidRPr="004E6CFC" w:rsidRDefault="00285A2D" w:rsidP="00285A2D">
      <w:pPr>
        <w:ind w:left="1410" w:firstLine="6"/>
      </w:pPr>
      <w:r w:rsidRPr="004E6CFC">
        <w:t>Para los puntos de conexión en los cuales exista un transformador tridevanado y en el caso que no exista medida en cada uno de los devanados, el OR deberá reportar mensualmente al ASIC los valores de energía de entrada al transformador y los de energía de salida por cada uno de los devanados para que el ASIC efectúe la asignación al nivel de tensión que corresponda.</w:t>
      </w:r>
    </w:p>
    <w:p w:rsidR="00285A2D" w:rsidRPr="004E6CFC" w:rsidRDefault="00285A2D" w:rsidP="00285A2D">
      <w:pPr>
        <w:ind w:left="1410" w:hanging="1410"/>
      </w:pPr>
      <w:r w:rsidRPr="004E6CFC">
        <w:rPr>
          <w:i/>
        </w:rPr>
        <w:t>FeOR</w:t>
      </w:r>
      <w:r w:rsidRPr="004E6CFC">
        <w:rPr>
          <w:i/>
          <w:vertAlign w:val="subscript"/>
        </w:rPr>
        <w:t>j,n,m</w:t>
      </w:r>
      <w:r w:rsidRPr="004E6CFC">
        <w:t xml:space="preserve">  </w:t>
      </w:r>
      <w:r w:rsidRPr="004E6CFC">
        <w:tab/>
        <w:t xml:space="preserve">Flujo de energía desde el sistema de otro OR al sistema del OR </w:t>
      </w:r>
      <w:r w:rsidRPr="004E6CFC">
        <w:rPr>
          <w:i/>
        </w:rPr>
        <w:t>j,</w:t>
      </w:r>
      <w:r w:rsidRPr="004E6CFC">
        <w:t xml:space="preserve"> en el nivel de tensión </w:t>
      </w:r>
      <w:r w:rsidRPr="004E6CFC">
        <w:rPr>
          <w:i/>
        </w:rPr>
        <w:t>n</w:t>
      </w:r>
      <w:r w:rsidRPr="004E6CFC">
        <w:t xml:space="preserve">, durante el mes </w:t>
      </w:r>
      <w:r w:rsidRPr="004E6CFC">
        <w:rPr>
          <w:i/>
        </w:rPr>
        <w:t>m,</w:t>
      </w:r>
      <w:r w:rsidRPr="004E6CFC">
        <w:t xml:space="preserve"> expresado en kWh. Corresponde a la suma de las energías medidas en cada frontera comercial entre OR, sin referir al STN, registrada en el SIC.</w:t>
      </w:r>
    </w:p>
    <w:p w:rsidR="00285A2D" w:rsidRPr="004E6CFC" w:rsidRDefault="00285A2D" w:rsidP="00285A2D">
      <w:pPr>
        <w:ind w:left="1410" w:hanging="1410"/>
      </w:pPr>
      <w:r w:rsidRPr="004E6CFC">
        <w:rPr>
          <w:i/>
        </w:rPr>
        <w:t>FeNS</w:t>
      </w:r>
      <w:r w:rsidRPr="004E6CFC">
        <w:rPr>
          <w:i/>
          <w:vertAlign w:val="subscript"/>
        </w:rPr>
        <w:t>j,n,m</w:t>
      </w:r>
      <w:r w:rsidRPr="004E6CFC">
        <w:t xml:space="preserve"> </w:t>
      </w:r>
      <w:r w:rsidRPr="004E6CFC">
        <w:tab/>
        <w:t xml:space="preserve">Flujo de energía desde niveles de tensión superiores en el sistema del OR </w:t>
      </w:r>
      <w:r w:rsidRPr="004E6CFC">
        <w:rPr>
          <w:i/>
        </w:rPr>
        <w:t>j</w:t>
      </w:r>
      <w:r w:rsidRPr="004E6CFC">
        <w:t xml:space="preserve">, al nivel de tensión </w:t>
      </w:r>
      <w:r w:rsidRPr="004E6CFC">
        <w:rPr>
          <w:i/>
        </w:rPr>
        <w:t xml:space="preserve">n, </w:t>
      </w:r>
      <w:r w:rsidRPr="004E6CFC">
        <w:t xml:space="preserve">durante el mes </w:t>
      </w:r>
      <w:r w:rsidR="00863432" w:rsidRPr="004E6CFC">
        <w:rPr>
          <w:i/>
        </w:rPr>
        <w:t>m,</w:t>
      </w:r>
      <w:r w:rsidR="00863432" w:rsidRPr="004E6CFC">
        <w:t xml:space="preserve"> expresada</w:t>
      </w:r>
      <w:r w:rsidRPr="004E6CFC">
        <w:t xml:space="preserve"> en kWh. Calculada como se establece en el numeral </w:t>
      </w:r>
      <w:r w:rsidRPr="004E6CFC">
        <w:fldChar w:fldCharType="begin"/>
      </w:r>
      <w:r w:rsidRPr="004E6CFC">
        <w:instrText xml:space="preserve"> REF _Ref460913554 \r \h  \* MERGEFORMAT </w:instrText>
      </w:r>
      <w:r w:rsidRPr="004E6CFC">
        <w:fldChar w:fldCharType="separate"/>
      </w:r>
      <w:r w:rsidR="00737178">
        <w:t>7.3.7.3</w:t>
      </w:r>
      <w:r w:rsidRPr="004E6CFC">
        <w:fldChar w:fldCharType="end"/>
      </w:r>
      <w:r w:rsidRPr="004E6CFC">
        <w:t xml:space="preserve">. </w:t>
      </w:r>
    </w:p>
    <w:p w:rsidR="00285A2D" w:rsidRPr="004E6CFC" w:rsidRDefault="00285A2D" w:rsidP="00285A2D">
      <w:pPr>
        <w:ind w:left="1410" w:hanging="1410"/>
      </w:pPr>
      <w:r w:rsidRPr="004E6CFC">
        <w:rPr>
          <w:i/>
        </w:rPr>
        <w:t>n</w:t>
      </w:r>
      <w:r w:rsidRPr="004E6CFC">
        <w:t xml:space="preserve"> </w:t>
      </w:r>
      <w:r w:rsidRPr="004E6CFC">
        <w:tab/>
      </w:r>
      <w:r w:rsidRPr="004E6CFC">
        <w:tab/>
        <w:t xml:space="preserve">Corresponde al nivel de tensión para el cual se determina la energía de entrada. Toma los valores de 1, 2, 3 </w:t>
      </w:r>
      <w:r w:rsidR="00863432" w:rsidRPr="004E6CFC">
        <w:t>o</w:t>
      </w:r>
      <w:r w:rsidRPr="004E6CFC">
        <w:t xml:space="preserve"> 4.</w:t>
      </w:r>
    </w:p>
    <w:p w:rsidR="00285A2D" w:rsidRPr="004E6CFC" w:rsidRDefault="00285A2D" w:rsidP="00285A2D">
      <w:pPr>
        <w:pStyle w:val="Ttulo4"/>
        <w:ind w:left="0" w:firstLine="0"/>
      </w:pPr>
      <w:bookmarkStart w:id="939" w:name="_Toc310577388"/>
      <w:bookmarkStart w:id="940" w:name="_Ref277706484"/>
      <w:bookmarkStart w:id="941" w:name="_Ref406164379"/>
      <w:bookmarkStart w:id="942" w:name="_Ref406164554"/>
      <w:bookmarkStart w:id="943" w:name="_Ref406165091"/>
      <w:bookmarkStart w:id="944" w:name="_Ref406166116"/>
      <w:bookmarkStart w:id="945" w:name="_Ref406421117"/>
      <w:bookmarkStart w:id="946" w:name="_Ref445112856"/>
      <w:r w:rsidRPr="004E6CFC">
        <w:lastRenderedPageBreak/>
        <w:t xml:space="preserve">Energía de salida para cada nivel de </w:t>
      </w:r>
      <w:bookmarkEnd w:id="939"/>
      <w:bookmarkEnd w:id="940"/>
      <w:bookmarkEnd w:id="941"/>
      <w:bookmarkEnd w:id="942"/>
      <w:bookmarkEnd w:id="943"/>
      <w:bookmarkEnd w:id="944"/>
      <w:bookmarkEnd w:id="945"/>
      <w:r w:rsidRPr="004E6CFC">
        <w:t>tensión</w:t>
      </w:r>
      <w:bookmarkEnd w:id="946"/>
      <w:r w:rsidRPr="004E6CFC">
        <w:t xml:space="preserve"> </w:t>
      </w:r>
    </w:p>
    <w:p w:rsidR="00285A2D" w:rsidRPr="004E6CFC" w:rsidRDefault="00285A2D" w:rsidP="00285A2D">
      <w:r w:rsidRPr="004E6CFC">
        <w:t xml:space="preserve">La energía de salida en cada uno de los niveles de tensión del sistema del OR </w:t>
      </w:r>
      <w:r w:rsidRPr="004E6CFC">
        <w:rPr>
          <w:i/>
        </w:rPr>
        <w:t>j,</w:t>
      </w:r>
      <w:r w:rsidRPr="004E6CFC">
        <w:t xml:space="preserve"> se calcula como:</w:t>
      </w:r>
    </w:p>
    <w:p w:rsidR="00285A2D" w:rsidRPr="004E6CFC" w:rsidRDefault="00C9592F" w:rsidP="00285A2D">
      <w:pPr>
        <w:pStyle w:val="Continuarlista"/>
        <w:jc w:val="center"/>
        <w:rPr>
          <w:i/>
        </w:rPr>
      </w:pPr>
      <m:oMathPara>
        <m:oMath>
          <m:sSub>
            <m:sSubPr>
              <m:ctrlPr>
                <w:rPr>
                  <w:rFonts w:ascii="Cambria Math" w:hAnsi="Cambria Math"/>
                  <w:i/>
                  <w:sz w:val="22"/>
                  <w:szCs w:val="22"/>
                </w:rPr>
              </m:ctrlPr>
            </m:sSubPr>
            <m:e>
              <m:r>
                <w:rPr>
                  <w:rFonts w:ascii="Cambria Math" w:hAnsi="Cambria Math"/>
                  <w:sz w:val="22"/>
                  <w:szCs w:val="22"/>
                </w:rPr>
                <m:t>Es</m:t>
              </m:r>
            </m:e>
            <m:sub>
              <m:r>
                <w:rPr>
                  <w:rFonts w:ascii="Cambria Math" w:hAnsi="Cambria Math"/>
                  <w:sz w:val="22"/>
                  <w:szCs w:val="22"/>
                </w:rPr>
                <m:t>j,n,m</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EsVFC</m:t>
              </m:r>
            </m:e>
            <m:sub>
              <m:r>
                <w:rPr>
                  <w:rFonts w:ascii="Cambria Math" w:hAnsi="Cambria Math"/>
                  <w:sz w:val="22"/>
                  <w:szCs w:val="22"/>
                </w:rPr>
                <m:t>j,n,m</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EsVSFC</m:t>
              </m:r>
            </m:e>
            <m:sub>
              <m:r>
                <w:rPr>
                  <w:rFonts w:ascii="Cambria Math" w:hAnsi="Cambria Math"/>
                  <w:sz w:val="22"/>
                  <w:szCs w:val="22"/>
                </w:rPr>
                <m:t>j,n,m</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FsSTN</m:t>
              </m:r>
            </m:e>
            <m:sub>
              <m:r>
                <w:rPr>
                  <w:rFonts w:ascii="Cambria Math" w:hAnsi="Cambria Math"/>
                  <w:sz w:val="22"/>
                  <w:szCs w:val="22"/>
                </w:rPr>
                <m:t>j,n,m</m:t>
              </m:r>
            </m:sub>
          </m:sSub>
          <m:r>
            <w:rPr>
              <w:rFonts w:ascii="Cambria Math" w:hAnsi="Cambria Math"/>
              <w:sz w:val="22"/>
              <w:szCs w:val="22"/>
            </w:rPr>
            <m:t>+</m:t>
          </m:r>
          <m:sSub>
            <m:sSubPr>
              <m:ctrlPr>
                <w:rPr>
                  <w:rFonts w:ascii="Cambria Math" w:hAnsi="Cambria Math"/>
                  <w:i/>
                  <w:sz w:val="22"/>
                  <w:szCs w:val="22"/>
                </w:rPr>
              </m:ctrlPr>
            </m:sSubPr>
            <m:e>
              <m:r>
                <w:rPr>
                  <w:rFonts w:ascii="Cambria Math" w:hAnsi="Cambria Math"/>
                  <w:sz w:val="22"/>
                  <w:szCs w:val="22"/>
                </w:rPr>
                <m:t>FsOR</m:t>
              </m:r>
            </m:e>
            <m:sub>
              <m:r>
                <w:rPr>
                  <w:rFonts w:ascii="Cambria Math" w:hAnsi="Cambria Math"/>
                  <w:sz w:val="22"/>
                  <w:szCs w:val="22"/>
                </w:rPr>
                <m:t>j,n,m</m:t>
              </m:r>
            </m:sub>
          </m:sSub>
        </m:oMath>
      </m:oMathPara>
    </w:p>
    <w:p w:rsidR="00285A2D" w:rsidRPr="004E6CFC" w:rsidRDefault="00285A2D" w:rsidP="00285A2D">
      <w:pPr>
        <w:pStyle w:val="Continuarlista"/>
        <w:ind w:left="0"/>
      </w:pPr>
      <w:r w:rsidRPr="004E6CFC">
        <w:t>Donde:</w:t>
      </w:r>
    </w:p>
    <w:p w:rsidR="00285A2D" w:rsidRPr="004E6CFC" w:rsidRDefault="00285A2D" w:rsidP="00285A2D">
      <w:pPr>
        <w:ind w:left="1410" w:hanging="1410"/>
      </w:pPr>
      <w:r w:rsidRPr="004E6CFC">
        <w:rPr>
          <w:i/>
        </w:rPr>
        <w:t>Es</w:t>
      </w:r>
      <w:r w:rsidRPr="004E6CFC">
        <w:rPr>
          <w:i/>
          <w:vertAlign w:val="subscript"/>
        </w:rPr>
        <w:t>j,n,m</w:t>
      </w:r>
      <w:r w:rsidRPr="004E6CFC">
        <w:t xml:space="preserve"> </w:t>
      </w:r>
      <w:r w:rsidRPr="004E6CFC">
        <w:tab/>
        <w:t xml:space="preserve">Energía de salida del sistema del OR </w:t>
      </w:r>
      <w:r w:rsidRPr="004E6CFC">
        <w:rPr>
          <w:i/>
        </w:rPr>
        <w:t>j</w:t>
      </w:r>
      <w:r w:rsidRPr="004E6CFC">
        <w:t xml:space="preserve"> en el nivel de tensión </w:t>
      </w:r>
      <w:r w:rsidRPr="004E6CFC">
        <w:rPr>
          <w:i/>
        </w:rPr>
        <w:t xml:space="preserve">n, </w:t>
      </w:r>
      <w:r w:rsidRPr="004E6CFC">
        <w:t xml:space="preserve">durante el mes </w:t>
      </w:r>
      <w:r w:rsidRPr="004E6CFC">
        <w:rPr>
          <w:i/>
        </w:rPr>
        <w:t xml:space="preserve">m, </w:t>
      </w:r>
      <w:r w:rsidRPr="004E6CFC">
        <w:t>expresada en kWh.</w:t>
      </w:r>
    </w:p>
    <w:p w:rsidR="00285A2D" w:rsidRPr="004E6CFC" w:rsidRDefault="00285A2D" w:rsidP="00285A2D">
      <w:pPr>
        <w:ind w:left="1410" w:hanging="1410"/>
        <w:rPr>
          <w:lang w:val="es-CO"/>
        </w:rPr>
      </w:pPr>
      <w:r w:rsidRPr="004E6CFC">
        <w:rPr>
          <w:i/>
        </w:rPr>
        <w:t>EsVFC</w:t>
      </w:r>
      <w:r w:rsidRPr="004E6CFC">
        <w:rPr>
          <w:i/>
          <w:vertAlign w:val="subscript"/>
        </w:rPr>
        <w:t>j,n,m</w:t>
      </w:r>
      <w:r w:rsidRPr="004E6CFC">
        <w:t xml:space="preserve">   </w:t>
      </w:r>
      <w:r w:rsidRPr="004E6CFC">
        <w:tab/>
        <w:t>Ventas de energía en las fronteras comerciales del nivel de tensión </w:t>
      </w:r>
      <w:r w:rsidRPr="004E6CFC">
        <w:rPr>
          <w:i/>
        </w:rPr>
        <w:t>n,</w:t>
      </w:r>
      <w:r w:rsidRPr="004E6CFC">
        <w:t xml:space="preserve"> del mercado de comercialización servido por el OR </w:t>
      </w:r>
      <w:r w:rsidRPr="004E6CFC">
        <w:rPr>
          <w:i/>
        </w:rPr>
        <w:t>j,</w:t>
      </w:r>
      <w:r w:rsidRPr="004E6CFC">
        <w:t xml:space="preserve"> para el mes </w:t>
      </w:r>
      <w:r w:rsidRPr="004E6CFC">
        <w:rPr>
          <w:i/>
        </w:rPr>
        <w:t xml:space="preserve">m. </w:t>
      </w:r>
      <w:r w:rsidRPr="004E6CFC">
        <w:t xml:space="preserve">Corresponde a la suma de las medidas en las fronteras comerciales registradas en el SIC para el mercado de comercialización servido por el OR </w:t>
      </w:r>
      <w:r w:rsidRPr="004E6CFC">
        <w:rPr>
          <w:i/>
        </w:rPr>
        <w:t>j,</w:t>
      </w:r>
      <w:r w:rsidRPr="004E6CFC">
        <w:t xml:space="preserve"> sin referir al STN, para la venta de energía a usuarios no regulados de todos los comercializadores del mercado y de las de usuarios regulados de los comercializadores distintos al incumbente. Incluye la energía entregada a los auxiliares de las subestaciones.</w:t>
      </w:r>
    </w:p>
    <w:p w:rsidR="00285A2D" w:rsidRPr="004E6CFC" w:rsidRDefault="00285A2D" w:rsidP="00285A2D">
      <w:pPr>
        <w:ind w:left="1410" w:hanging="1410"/>
      </w:pPr>
      <w:r w:rsidRPr="004E6CFC">
        <w:rPr>
          <w:i/>
        </w:rPr>
        <w:t>EsVSFC</w:t>
      </w:r>
      <w:r w:rsidRPr="004E6CFC">
        <w:rPr>
          <w:i/>
          <w:vertAlign w:val="subscript"/>
        </w:rPr>
        <w:t>j,n,m</w:t>
      </w:r>
      <w:r w:rsidRPr="004E6CFC">
        <w:t xml:space="preserve"> Ventas de energía en el sistema del OR </w:t>
      </w:r>
      <w:r w:rsidRPr="004E6CFC">
        <w:rPr>
          <w:i/>
        </w:rPr>
        <w:t>j,</w:t>
      </w:r>
      <w:r w:rsidRPr="004E6CFC">
        <w:t xml:space="preserve"> en el nivel de tensión </w:t>
      </w:r>
      <w:r w:rsidRPr="004E6CFC">
        <w:rPr>
          <w:i/>
        </w:rPr>
        <w:t>n,</w:t>
      </w:r>
      <w:r w:rsidRPr="004E6CFC">
        <w:t xml:space="preserve"> durante el mes </w:t>
      </w:r>
      <w:r w:rsidRPr="004E6CFC">
        <w:rPr>
          <w:i/>
        </w:rPr>
        <w:t xml:space="preserve">m. </w:t>
      </w:r>
      <w:r w:rsidRPr="004E6CFC">
        <w:t xml:space="preserve">Corresponde a las ventas de energía eléctrica, en kWh, de usuarios regulados del comercializador incumbente, que es facturado y reportado al SUI. Este valor incluye la energía </w:t>
      </w:r>
      <w:r>
        <w:t xml:space="preserve">puesta al cobro de facturación individual, cuando existe la medición individual en áreas especiales, y la energía puesta al cobro medida en el </w:t>
      </w:r>
      <w:r w:rsidR="00863432">
        <w:t>macromedidor</w:t>
      </w:r>
      <w:r>
        <w:t xml:space="preserve"> cuando hay facturación comunitaria. También incluye la </w:t>
      </w:r>
      <w:r w:rsidR="00863432">
        <w:t>energía</w:t>
      </w:r>
      <w:r w:rsidR="00863432" w:rsidRPr="004E6CFC">
        <w:t xml:space="preserve"> entregada</w:t>
      </w:r>
      <w:r w:rsidRPr="004E6CFC">
        <w:t xml:space="preserve"> a los auxiliares de las subestaciones.</w:t>
      </w:r>
      <w:r>
        <w:t xml:space="preserve"> </w:t>
      </w:r>
    </w:p>
    <w:p w:rsidR="00285A2D" w:rsidRPr="004E6CFC" w:rsidRDefault="00285A2D" w:rsidP="00285A2D">
      <w:pPr>
        <w:ind w:left="1410" w:hanging="1410"/>
      </w:pPr>
      <w:r w:rsidRPr="004E6CFC">
        <w:rPr>
          <w:i/>
        </w:rPr>
        <w:t>FsSTN</w:t>
      </w:r>
      <w:r w:rsidRPr="004E6CFC">
        <w:rPr>
          <w:i/>
          <w:vertAlign w:val="subscript"/>
        </w:rPr>
        <w:t>j,n,m</w:t>
      </w:r>
      <w:r w:rsidRPr="004E6CFC">
        <w:t xml:space="preserve">  </w:t>
      </w:r>
      <w:r w:rsidRPr="004E6CFC">
        <w:tab/>
        <w:t xml:space="preserve">Flujo de energía de salida en el nivel de tensión </w:t>
      </w:r>
      <w:r w:rsidRPr="004E6CFC">
        <w:rPr>
          <w:i/>
        </w:rPr>
        <w:t>n</w:t>
      </w:r>
      <w:r w:rsidRPr="004E6CFC">
        <w:t xml:space="preserve"> desde los puntos de conexión del OR </w:t>
      </w:r>
      <w:r w:rsidRPr="004E6CFC">
        <w:rPr>
          <w:i/>
        </w:rPr>
        <w:t>j</w:t>
      </w:r>
      <w:r w:rsidRPr="004E6CFC">
        <w:t xml:space="preserve"> al STN, durante el mes </w:t>
      </w:r>
      <w:r w:rsidRPr="004E6CFC">
        <w:rPr>
          <w:i/>
        </w:rPr>
        <w:t>m</w:t>
      </w:r>
      <w:r w:rsidRPr="004E6CFC">
        <w:t xml:space="preserve">, expresada </w:t>
      </w:r>
      <w:r w:rsidR="00863432" w:rsidRPr="004E6CFC">
        <w:t>en kWh</w:t>
      </w:r>
      <w:r w:rsidRPr="004E6CFC">
        <w:t xml:space="preserve">. Corresponde a la suma de las energías medidas en las fronteras comerciales, sin referir al STN, registradas en el SIC para los puntos de conexión del OR </w:t>
      </w:r>
      <w:r w:rsidRPr="004E6CFC">
        <w:rPr>
          <w:i/>
        </w:rPr>
        <w:t>j</w:t>
      </w:r>
      <w:r w:rsidRPr="004E6CFC">
        <w:t xml:space="preserve"> al STN.</w:t>
      </w:r>
    </w:p>
    <w:p w:rsidR="00285A2D" w:rsidRPr="004E6CFC" w:rsidRDefault="00285A2D" w:rsidP="00285A2D">
      <w:pPr>
        <w:ind w:left="1410" w:hanging="1410"/>
      </w:pPr>
      <w:r w:rsidRPr="004E6CFC">
        <w:rPr>
          <w:i/>
        </w:rPr>
        <w:t>FsOR</w:t>
      </w:r>
      <w:r w:rsidRPr="004E6CFC">
        <w:rPr>
          <w:i/>
          <w:vertAlign w:val="subscript"/>
        </w:rPr>
        <w:t>j,n,m</w:t>
      </w:r>
      <w:r w:rsidRPr="004E6CFC">
        <w:t xml:space="preserve">  </w:t>
      </w:r>
      <w:r w:rsidRPr="004E6CFC">
        <w:tab/>
        <w:t xml:space="preserve">Flujo de energía de salida desde el sistema del OR </w:t>
      </w:r>
      <w:r w:rsidRPr="004E6CFC">
        <w:rPr>
          <w:i/>
        </w:rPr>
        <w:t>j</w:t>
      </w:r>
      <w:r w:rsidRPr="004E6CFC">
        <w:t xml:space="preserve"> en el nivel de tensión </w:t>
      </w:r>
      <w:r w:rsidRPr="004E6CFC">
        <w:rPr>
          <w:i/>
        </w:rPr>
        <w:t>n</w:t>
      </w:r>
      <w:r w:rsidRPr="004E6CFC">
        <w:t xml:space="preserve">, a otros STR y/o SDL, durante el mes </w:t>
      </w:r>
      <w:r w:rsidRPr="004E6CFC">
        <w:rPr>
          <w:i/>
        </w:rPr>
        <w:t>m,</w:t>
      </w:r>
      <w:r w:rsidRPr="004E6CFC">
        <w:t xml:space="preserve"> expresada en kWh. Corresponde a la suma de las energías medidas en las fronteras comerciales entre OR, sin referir al STN, registradas en el SIC.</w:t>
      </w:r>
    </w:p>
    <w:p w:rsidR="00285A2D" w:rsidRPr="004E6CFC" w:rsidRDefault="00285A2D" w:rsidP="00285A2D">
      <w:pPr>
        <w:ind w:left="1410" w:hanging="1410"/>
      </w:pPr>
      <w:r w:rsidRPr="004E6CFC">
        <w:rPr>
          <w:i/>
        </w:rPr>
        <w:t>n</w:t>
      </w:r>
      <w:r w:rsidRPr="004E6CFC">
        <w:t xml:space="preserve">  </w:t>
      </w:r>
      <w:r w:rsidRPr="004E6CFC">
        <w:tab/>
      </w:r>
      <w:r w:rsidRPr="004E6CFC">
        <w:tab/>
        <w:t xml:space="preserve">Corresponde al nivel de tensión para el cual se determina la energía de salida. Toma los valores de 1, 2, 3 </w:t>
      </w:r>
      <w:r w:rsidR="00863432" w:rsidRPr="004E6CFC">
        <w:t>o</w:t>
      </w:r>
      <w:r w:rsidRPr="004E6CFC">
        <w:t xml:space="preserve"> 4.</w:t>
      </w:r>
    </w:p>
    <w:p w:rsidR="00285A2D" w:rsidRPr="004E6CFC" w:rsidRDefault="00285A2D" w:rsidP="00285A2D">
      <w:r w:rsidRPr="004E6CFC">
        <w:t xml:space="preserve">En el cálculo de la variable </w:t>
      </w:r>
      <m:oMath>
        <m:sSub>
          <m:sSubPr>
            <m:ctrlPr>
              <w:rPr>
                <w:rFonts w:ascii="Cambria Math" w:hAnsi="Cambria Math"/>
                <w:i/>
                <w:sz w:val="22"/>
                <w:szCs w:val="22"/>
              </w:rPr>
            </m:ctrlPr>
          </m:sSubPr>
          <m:e>
            <m:r>
              <w:rPr>
                <w:rFonts w:ascii="Cambria Math" w:hAnsi="Cambria Math"/>
                <w:sz w:val="22"/>
                <w:szCs w:val="22"/>
              </w:rPr>
              <m:t>Es</m:t>
            </m:r>
          </m:e>
          <m:sub>
            <m:r>
              <w:rPr>
                <w:rFonts w:ascii="Cambria Math" w:hAnsi="Cambria Math"/>
                <w:sz w:val="22"/>
                <w:szCs w:val="22"/>
              </w:rPr>
              <m:t>j,n,m</m:t>
            </m:r>
          </m:sub>
        </m:sSub>
      </m:oMath>
      <w:r w:rsidRPr="004E6CFC">
        <w:t xml:space="preserve"> no se debe tener en cuenta la energía recuperada.</w:t>
      </w:r>
    </w:p>
    <w:p w:rsidR="00285A2D" w:rsidRPr="004E6CFC" w:rsidRDefault="00285A2D" w:rsidP="00285A2D">
      <w:pPr>
        <w:pStyle w:val="Ttulo4"/>
        <w:ind w:left="0" w:firstLine="0"/>
      </w:pPr>
      <w:bookmarkStart w:id="947" w:name="_Toc310577390"/>
      <w:bookmarkStart w:id="948" w:name="_Ref277707634"/>
      <w:bookmarkStart w:id="949" w:name="_Ref406164414"/>
      <w:bookmarkStart w:id="950" w:name="_Ref406165142"/>
      <w:bookmarkStart w:id="951" w:name="_Ref406420680"/>
      <w:bookmarkStart w:id="952" w:name="_Ref406421838"/>
      <w:bookmarkStart w:id="953" w:name="_Ref445138087"/>
      <w:bookmarkStart w:id="954" w:name="_Ref445138301"/>
      <w:bookmarkStart w:id="955" w:name="_Ref460840580"/>
      <w:bookmarkStart w:id="956" w:name="_Ref460913554"/>
      <w:r w:rsidRPr="004E6CFC">
        <w:t>Energía de entrada desde niveles de tensión superiores</w:t>
      </w:r>
      <w:bookmarkEnd w:id="947"/>
      <w:bookmarkEnd w:id="948"/>
      <w:bookmarkEnd w:id="949"/>
      <w:bookmarkEnd w:id="950"/>
      <w:bookmarkEnd w:id="951"/>
      <w:bookmarkEnd w:id="952"/>
      <w:bookmarkEnd w:id="953"/>
      <w:bookmarkEnd w:id="954"/>
      <w:bookmarkEnd w:id="955"/>
      <w:bookmarkEnd w:id="956"/>
    </w:p>
    <w:p w:rsidR="00285A2D" w:rsidRPr="004E6CFC" w:rsidRDefault="00285A2D" w:rsidP="00285A2D">
      <w:r w:rsidRPr="004E6CFC">
        <w:t xml:space="preserve">La energía de entrada desde niveles de tensión superiores hacia cada uno de los niveles de tensión en el sistema del OR </w:t>
      </w:r>
      <w:r w:rsidRPr="004E6CFC">
        <w:rPr>
          <w:i/>
        </w:rPr>
        <w:t>j</w:t>
      </w:r>
      <w:r w:rsidRPr="004E6CFC">
        <w:t>, corresponde a:</w:t>
      </w:r>
    </w:p>
    <w:p w:rsidR="00285A2D" w:rsidRPr="004E6CFC" w:rsidRDefault="00C9592F" w:rsidP="00285A2D">
      <w:pPr>
        <w:jc w:val="center"/>
        <w:rPr>
          <w:i/>
        </w:rPr>
      </w:pPr>
      <m:oMathPara>
        <m:oMath>
          <m:sSub>
            <m:sSubPr>
              <m:ctrlPr>
                <w:rPr>
                  <w:rFonts w:ascii="Cambria Math" w:hAnsi="Cambria Math"/>
                  <w:i/>
                </w:rPr>
              </m:ctrlPr>
            </m:sSubPr>
            <m:e>
              <m:r>
                <w:rPr>
                  <w:rFonts w:ascii="Cambria Math" w:hAnsi="Cambria Math"/>
                </w:rPr>
                <m:t>FeNS</m:t>
              </m:r>
            </m:e>
            <m:sub>
              <m:r>
                <w:rPr>
                  <w:rFonts w:ascii="Cambria Math" w:hAnsi="Cambria Math"/>
                </w:rPr>
                <m:t>j,n,m</m:t>
              </m:r>
            </m:sub>
          </m:sSub>
          <m:r>
            <w:rPr>
              <w:rFonts w:ascii="Cambria Math" w:hAnsi="Cambria Math"/>
            </w:rPr>
            <m:t>=</m:t>
          </m:r>
          <m:nary>
            <m:naryPr>
              <m:chr m:val="∑"/>
              <m:limLoc m:val="undOvr"/>
              <m:ctrlPr>
                <w:rPr>
                  <w:rFonts w:ascii="Cambria Math" w:hAnsi="Cambria Math"/>
                  <w:i/>
                </w:rPr>
              </m:ctrlPr>
            </m:naryPr>
            <m:sub>
              <m:r>
                <w:rPr>
                  <w:rFonts w:ascii="Cambria Math" w:hAnsi="Cambria Math"/>
                </w:rPr>
                <m:t>k=n+1</m:t>
              </m:r>
            </m:sub>
            <m:sup>
              <m:r>
                <w:rPr>
                  <w:rFonts w:ascii="Cambria Math" w:hAnsi="Cambria Math"/>
                </w:rPr>
                <m:t>4</m:t>
              </m:r>
            </m:sup>
            <m:e>
              <m:d>
                <m:dPr>
                  <m:ctrlPr>
                    <w:rPr>
                      <w:rFonts w:ascii="Cambria Math" w:hAnsi="Cambria Math"/>
                      <w:i/>
                    </w:rPr>
                  </m:ctrlPr>
                </m:dPr>
                <m:e>
                  <m:d>
                    <m:dPr>
                      <m:ctrlPr>
                        <w:rPr>
                          <w:rFonts w:ascii="Cambria Math" w:hAnsi="Cambria Math"/>
                          <w:i/>
                        </w:rPr>
                      </m:ctrlPr>
                    </m:dPr>
                    <m:e>
                      <m:sSub>
                        <m:sSubPr>
                          <m:ctrlPr>
                            <w:rPr>
                              <w:rFonts w:ascii="Cambria Math" w:hAnsi="Cambria Math"/>
                              <w:i/>
                            </w:rPr>
                          </m:ctrlPr>
                        </m:sSubPr>
                        <m:e>
                          <m:r>
                            <w:rPr>
                              <w:rFonts w:ascii="Cambria Math" w:hAnsi="Cambria Math"/>
                            </w:rPr>
                            <m:t>Ee</m:t>
                          </m:r>
                        </m:e>
                        <m:sub>
                          <m:r>
                            <w:rPr>
                              <w:rFonts w:ascii="Cambria Math" w:hAnsi="Cambria Math"/>
                            </w:rPr>
                            <m:t>j,k,m</m:t>
                          </m:r>
                        </m:sub>
                      </m:sSub>
                      <m:r>
                        <w:rPr>
                          <w:rFonts w:ascii="Cambria Math" w:hAnsi="Cambria Math"/>
                        </w:rPr>
                        <m:t>-</m:t>
                      </m:r>
                      <m:sSub>
                        <m:sSubPr>
                          <m:ctrlPr>
                            <w:rPr>
                              <w:rFonts w:ascii="Cambria Math" w:hAnsi="Cambria Math"/>
                              <w:i/>
                            </w:rPr>
                          </m:ctrlPr>
                        </m:sSubPr>
                        <m:e>
                          <m:r>
                            <w:rPr>
                              <w:rFonts w:ascii="Cambria Math" w:hAnsi="Cambria Math"/>
                            </w:rPr>
                            <m:t>Es</m:t>
                          </m:r>
                        </m:e>
                        <m:sub>
                          <m:r>
                            <w:rPr>
                              <w:rFonts w:ascii="Cambria Math" w:hAnsi="Cambria Math"/>
                            </w:rPr>
                            <m:t>j,k,m</m:t>
                          </m:r>
                        </m:sub>
                      </m:sSub>
                      <m:r>
                        <w:rPr>
                          <w:rFonts w:ascii="Cambria Math" w:hAnsi="Cambria Math"/>
                        </w:rPr>
                        <m:t>-</m:t>
                      </m:r>
                      <m:sSub>
                        <m:sSubPr>
                          <m:ctrlPr>
                            <w:rPr>
                              <w:rFonts w:ascii="Cambria Math" w:hAnsi="Cambria Math"/>
                              <w:i/>
                            </w:rPr>
                          </m:ctrlPr>
                        </m:sSubPr>
                        <m:e>
                          <m:r>
                            <w:rPr>
                              <w:rFonts w:ascii="Cambria Math" w:hAnsi="Cambria Math"/>
                            </w:rPr>
                            <m:t>EPR</m:t>
                          </m:r>
                        </m:e>
                        <m:sub>
                          <m:r>
                            <w:rPr>
                              <w:rFonts w:ascii="Cambria Math" w:hAnsi="Cambria Math"/>
                            </w:rPr>
                            <m:t>j,k,m</m:t>
                          </m:r>
                        </m:sub>
                      </m:sSub>
                    </m:e>
                  </m:d>
                  <m:r>
                    <w:rPr>
                      <w:rFonts w:ascii="Cambria Math" w:hAnsi="Cambria Math"/>
                    </w:rPr>
                    <m:t>*</m:t>
                  </m:r>
                  <m:sSub>
                    <m:sSubPr>
                      <m:ctrlPr>
                        <w:rPr>
                          <w:rFonts w:ascii="Cambria Math" w:hAnsi="Cambria Math"/>
                          <w:i/>
                        </w:rPr>
                      </m:ctrlPr>
                    </m:sSubPr>
                    <m:e>
                      <m:r>
                        <w:rPr>
                          <w:rFonts w:ascii="Cambria Math" w:hAnsi="Cambria Math"/>
                        </w:rPr>
                        <m:t>FDF</m:t>
                      </m:r>
                    </m:e>
                    <m:sub>
                      <m:r>
                        <w:rPr>
                          <w:rFonts w:ascii="Cambria Math" w:hAnsi="Cambria Math"/>
                        </w:rPr>
                        <m:t>j,k→n,m</m:t>
                      </m:r>
                    </m:sub>
                  </m:sSub>
                </m:e>
              </m:d>
            </m:e>
          </m:nary>
        </m:oMath>
      </m:oMathPara>
    </w:p>
    <w:p w:rsidR="00285A2D" w:rsidRPr="004E6CFC" w:rsidRDefault="00285A2D" w:rsidP="00285A2D">
      <w:r w:rsidRPr="004E6CFC">
        <w:t>Donde:</w:t>
      </w:r>
    </w:p>
    <w:p w:rsidR="00285A2D" w:rsidRPr="004E6CFC" w:rsidRDefault="00285A2D" w:rsidP="00285A2D">
      <w:pPr>
        <w:spacing w:line="216" w:lineRule="auto"/>
        <w:ind w:left="1410" w:hanging="1410"/>
      </w:pPr>
      <w:r w:rsidRPr="004E6CFC">
        <w:rPr>
          <w:i/>
        </w:rPr>
        <w:t>FeNS</w:t>
      </w:r>
      <w:r w:rsidRPr="004E6CFC">
        <w:rPr>
          <w:i/>
          <w:vertAlign w:val="subscript"/>
        </w:rPr>
        <w:t>j,n,m</w:t>
      </w:r>
      <w:r w:rsidRPr="004E6CFC">
        <w:t xml:space="preserve">  </w:t>
      </w:r>
      <w:r w:rsidRPr="004E6CFC">
        <w:tab/>
        <w:t xml:space="preserve">Energía de entrada desde niveles de tensión superiores al nivel de tensión </w:t>
      </w:r>
      <w:r w:rsidRPr="004E6CFC">
        <w:rPr>
          <w:i/>
        </w:rPr>
        <w:t>n</w:t>
      </w:r>
      <w:r w:rsidRPr="004E6CFC">
        <w:t xml:space="preserve">, en el sistema del OR </w:t>
      </w:r>
      <w:r w:rsidRPr="004E6CFC">
        <w:rPr>
          <w:i/>
        </w:rPr>
        <w:t>j</w:t>
      </w:r>
      <w:r w:rsidRPr="004E6CFC">
        <w:t xml:space="preserve">, durante el mes </w:t>
      </w:r>
      <w:r w:rsidR="00863432" w:rsidRPr="004E6CFC">
        <w:rPr>
          <w:i/>
        </w:rPr>
        <w:t>m</w:t>
      </w:r>
      <w:r w:rsidR="00863432" w:rsidRPr="004E6CFC">
        <w:t>, expresada</w:t>
      </w:r>
      <w:r w:rsidRPr="004E6CFC">
        <w:t xml:space="preserve"> en kWh. Para el nivel de tensión 4 el valor de </w:t>
      </w:r>
      <w:r w:rsidRPr="004E6CFC">
        <w:rPr>
          <w:i/>
        </w:rPr>
        <w:t>Fe</w:t>
      </w:r>
      <w:r w:rsidRPr="004E6CFC">
        <w:rPr>
          <w:i/>
          <w:vertAlign w:val="subscript"/>
        </w:rPr>
        <w:t>NS,j,4,m</w:t>
      </w:r>
      <w:r w:rsidRPr="004E6CFC">
        <w:t xml:space="preserve">  es cero.</w:t>
      </w:r>
    </w:p>
    <w:p w:rsidR="00285A2D" w:rsidRPr="004E6CFC" w:rsidRDefault="00285A2D" w:rsidP="00285A2D">
      <w:pPr>
        <w:spacing w:line="216" w:lineRule="auto"/>
        <w:ind w:left="1410" w:hanging="1410"/>
      </w:pPr>
      <w:r w:rsidRPr="004E6CFC">
        <w:rPr>
          <w:i/>
        </w:rPr>
        <w:t>Ee</w:t>
      </w:r>
      <w:r w:rsidRPr="004E6CFC">
        <w:rPr>
          <w:i/>
          <w:vertAlign w:val="subscript"/>
        </w:rPr>
        <w:t>j,k,m</w:t>
      </w:r>
      <w:r w:rsidRPr="004E6CFC">
        <w:tab/>
        <w:t xml:space="preserve">Energía de entrada en el nivel de tensión superior </w:t>
      </w:r>
      <w:r w:rsidRPr="004E6CFC">
        <w:rPr>
          <w:i/>
        </w:rPr>
        <w:t>k</w:t>
      </w:r>
      <w:r w:rsidRPr="004E6CFC">
        <w:t xml:space="preserve"> del sistema del OR </w:t>
      </w:r>
      <w:r w:rsidRPr="004E6CFC">
        <w:rPr>
          <w:i/>
        </w:rPr>
        <w:t>j</w:t>
      </w:r>
      <w:r w:rsidRPr="004E6CFC">
        <w:t xml:space="preserve">, durante el mes </w:t>
      </w:r>
      <w:r w:rsidRPr="004E6CFC">
        <w:rPr>
          <w:i/>
        </w:rPr>
        <w:t>m</w:t>
      </w:r>
      <w:r w:rsidRPr="004E6CFC">
        <w:t>, expresada en kWh.</w:t>
      </w:r>
    </w:p>
    <w:p w:rsidR="00285A2D" w:rsidRPr="004E6CFC" w:rsidRDefault="00285A2D" w:rsidP="00285A2D">
      <w:pPr>
        <w:spacing w:line="216" w:lineRule="auto"/>
        <w:ind w:left="1410" w:hanging="1410"/>
      </w:pPr>
      <w:r w:rsidRPr="004E6CFC">
        <w:rPr>
          <w:i/>
        </w:rPr>
        <w:t>Es</w:t>
      </w:r>
      <w:r w:rsidRPr="004E6CFC">
        <w:rPr>
          <w:i/>
          <w:vertAlign w:val="subscript"/>
        </w:rPr>
        <w:t>j,k,m</w:t>
      </w:r>
      <w:r w:rsidRPr="004E6CFC">
        <w:tab/>
      </w:r>
      <w:r w:rsidRPr="004E6CFC">
        <w:tab/>
        <w:t xml:space="preserve">Energía de salida del sistema del OR </w:t>
      </w:r>
      <w:r w:rsidRPr="004E6CFC">
        <w:rPr>
          <w:i/>
        </w:rPr>
        <w:t>j</w:t>
      </w:r>
      <w:r w:rsidRPr="004E6CFC">
        <w:t xml:space="preserve">, en el nivel de tensión superior </w:t>
      </w:r>
      <w:r w:rsidRPr="004E6CFC">
        <w:rPr>
          <w:i/>
        </w:rPr>
        <w:t>k</w:t>
      </w:r>
      <w:r w:rsidRPr="004E6CFC">
        <w:t xml:space="preserve">, durante el mes </w:t>
      </w:r>
      <w:r w:rsidRPr="004E6CFC">
        <w:rPr>
          <w:i/>
        </w:rPr>
        <w:t>m</w:t>
      </w:r>
      <w:r w:rsidRPr="004E6CFC">
        <w:t>, expresada en kWh.</w:t>
      </w:r>
    </w:p>
    <w:p w:rsidR="00285A2D" w:rsidRPr="004E6CFC" w:rsidRDefault="00285A2D" w:rsidP="00285A2D">
      <w:pPr>
        <w:ind w:left="1410" w:hanging="1410"/>
      </w:pPr>
      <w:r w:rsidRPr="004E6CFC">
        <w:rPr>
          <w:i/>
        </w:rPr>
        <w:t>EPR</w:t>
      </w:r>
      <w:r w:rsidRPr="004E6CFC">
        <w:rPr>
          <w:i/>
          <w:vertAlign w:val="subscript"/>
        </w:rPr>
        <w:t>j,k,m</w:t>
      </w:r>
      <w:r w:rsidRPr="004E6CFC">
        <w:tab/>
        <w:t xml:space="preserve">Energía de pérdidas de energía reconocidas en el nivel de tensión superior </w:t>
      </w:r>
      <w:r w:rsidRPr="004E6CFC">
        <w:rPr>
          <w:i/>
        </w:rPr>
        <w:t>k</w:t>
      </w:r>
      <w:r w:rsidRPr="004E6CFC">
        <w:t xml:space="preserve">, en el sistema del OR </w:t>
      </w:r>
      <w:r w:rsidRPr="004E6CFC">
        <w:rPr>
          <w:i/>
        </w:rPr>
        <w:t>j</w:t>
      </w:r>
      <w:r w:rsidRPr="004E6CFC">
        <w:t xml:space="preserve">, durante el mes </w:t>
      </w:r>
      <w:r w:rsidRPr="004E6CFC">
        <w:rPr>
          <w:i/>
        </w:rPr>
        <w:t>m</w:t>
      </w:r>
      <w:r w:rsidRPr="004E6CFC">
        <w:t xml:space="preserve">, expresadas en kWh. Es el resultado de multiplicar el índice de pérdidas </w:t>
      </w:r>
      <w:r>
        <w:t xml:space="preserve">reconocidas </w:t>
      </w:r>
      <w:r w:rsidRPr="004E6CFC">
        <w:t xml:space="preserve">del nivel de tensión respectivo por la energía de entrada en el mismo nivel.  </w:t>
      </w:r>
    </w:p>
    <w:p w:rsidR="00285A2D" w:rsidRPr="004E6CFC" w:rsidRDefault="00285A2D" w:rsidP="00285A2D">
      <w:pPr>
        <w:ind w:left="1410" w:hanging="1410"/>
      </w:pPr>
      <w:r w:rsidRPr="004E6CFC">
        <w:rPr>
          <w:i/>
        </w:rPr>
        <w:t>FDF</w:t>
      </w:r>
      <w:r w:rsidRPr="004E6CFC">
        <w:rPr>
          <w:i/>
          <w:vertAlign w:val="subscript"/>
        </w:rPr>
        <w:t>j,k</w:t>
      </w:r>
      <w:r w:rsidRPr="004E6CFC">
        <w:rPr>
          <w:i/>
          <w:vertAlign w:val="subscript"/>
        </w:rPr>
        <w:sym w:font="Symbol" w:char="F0AE"/>
      </w:r>
      <w:r w:rsidRPr="004E6CFC">
        <w:rPr>
          <w:i/>
          <w:vertAlign w:val="subscript"/>
        </w:rPr>
        <w:t>n,m</w:t>
      </w:r>
      <w:r w:rsidRPr="004E6CFC">
        <w:t xml:space="preserve">  </w:t>
      </w:r>
      <w:r w:rsidRPr="004E6CFC">
        <w:tab/>
        <w:t xml:space="preserve">Factor de distribución del flujo de energía en el sistema del OR j, desde el nivel de tensión superior </w:t>
      </w:r>
      <w:r w:rsidRPr="004E6CFC">
        <w:rPr>
          <w:i/>
        </w:rPr>
        <w:t>k</w:t>
      </w:r>
      <w:r w:rsidRPr="004E6CFC">
        <w:t xml:space="preserve"> hacia el nivel de tensión </w:t>
      </w:r>
      <w:r w:rsidRPr="004E6CFC">
        <w:rPr>
          <w:i/>
        </w:rPr>
        <w:t>n</w:t>
      </w:r>
      <w:r w:rsidRPr="004E6CFC">
        <w:t xml:space="preserve">, durante el mes </w:t>
      </w:r>
      <w:r w:rsidRPr="004E6CFC">
        <w:rPr>
          <w:i/>
        </w:rPr>
        <w:t>m</w:t>
      </w:r>
      <w:r w:rsidRPr="004E6CFC">
        <w:t xml:space="preserve">. </w:t>
      </w:r>
    </w:p>
    <w:p w:rsidR="00285A2D" w:rsidRPr="004E6CFC" w:rsidRDefault="00285A2D" w:rsidP="00285A2D">
      <w:pPr>
        <w:ind w:left="1410"/>
      </w:pPr>
      <w:r w:rsidRPr="004E6CFC">
        <w:t>Mientras el OR implemente la medida entre niveles de tensión, se utilizará el factor tenido en cuenta en la resolución de aprobación de costos de cada OR. A más tardar a partir del decimotercer mes de inicio del plan este factor deberá ser informado por el OR al LAC con base en las medidas entre niveles efectuadas. Cuando el OR no envíe la información correspondiente, el LAC utilizará la mejor información disponible.</w:t>
      </w:r>
    </w:p>
    <w:p w:rsidR="00285A2D" w:rsidRPr="004E6CFC" w:rsidRDefault="00285A2D" w:rsidP="00285A2D">
      <w:pPr>
        <w:ind w:left="1410" w:hanging="1410"/>
      </w:pPr>
      <w:r w:rsidRPr="004E6CFC">
        <w:rPr>
          <w:i/>
        </w:rPr>
        <w:t>n</w:t>
      </w:r>
      <w:r w:rsidRPr="004E6CFC">
        <w:tab/>
      </w:r>
      <w:r w:rsidRPr="004E6CFC">
        <w:tab/>
        <w:t>Corresponde al nivel de tensión para el cual se determina energía de entrada. Toma los valores de 1, 2, 3 o 4.</w:t>
      </w:r>
    </w:p>
    <w:p w:rsidR="00193054" w:rsidRPr="004E6CFC" w:rsidRDefault="00285A2D" w:rsidP="00A62992">
      <w:pPr>
        <w:ind w:left="1469" w:hanging="1469"/>
      </w:pPr>
      <w:r w:rsidRPr="004E6CFC">
        <w:rPr>
          <w:i/>
        </w:rPr>
        <w:t>k</w:t>
      </w:r>
      <w:r w:rsidRPr="004E6CFC">
        <w:t xml:space="preserve"> </w:t>
      </w:r>
      <w:r w:rsidRPr="004E6CFC">
        <w:tab/>
        <w:t>Corresponde al nivel de tensión superior. Toma los valores de 2, 3 o 4.</w:t>
      </w:r>
      <w:r w:rsidR="00193054" w:rsidRPr="004E6CFC">
        <w:br w:type="page"/>
      </w:r>
    </w:p>
    <w:p w:rsidR="00193054" w:rsidRPr="004E77B3" w:rsidRDefault="00193054" w:rsidP="00193054">
      <w:pPr>
        <w:pStyle w:val="Ttulo1"/>
      </w:pPr>
      <w:bookmarkStart w:id="957" w:name="_Toc408493216"/>
      <w:bookmarkStart w:id="958" w:name="_Ref445131405"/>
      <w:bookmarkStart w:id="959" w:name="_Toc505335997"/>
      <w:bookmarkStart w:id="960" w:name="_Ref403641617"/>
      <w:bookmarkStart w:id="961" w:name="_Toc210616144"/>
      <w:bookmarkStart w:id="962" w:name="_Ref208742195"/>
      <w:bookmarkStart w:id="963" w:name="_Ref403038050"/>
      <w:r w:rsidRPr="004E77B3">
        <w:lastRenderedPageBreak/>
        <w:t>CONFORMACIÓN DE STR</w:t>
      </w:r>
      <w:bookmarkEnd w:id="957"/>
      <w:bookmarkEnd w:id="958"/>
      <w:bookmarkEnd w:id="959"/>
      <w:r w:rsidRPr="004E77B3">
        <w:t xml:space="preserve"> </w:t>
      </w:r>
      <w:bookmarkEnd w:id="960"/>
    </w:p>
    <w:p w:rsidR="001D16C9" w:rsidRPr="004E6CFC" w:rsidRDefault="001D16C9" w:rsidP="001D16C9">
      <w:r w:rsidRPr="004E6CFC">
        <w:t>Se conforman dos (2) STR con los activos del nivel de tensión 4 de los OR enumerados en cada uno de ellos.</w:t>
      </w:r>
    </w:p>
    <w:p w:rsidR="001D16C9" w:rsidRPr="004E6CFC" w:rsidRDefault="001D16C9" w:rsidP="001D16C9">
      <w:pPr>
        <w:pStyle w:val="Ttulo2"/>
      </w:pPr>
      <w:bookmarkStart w:id="964" w:name="_Toc210616026"/>
      <w:bookmarkStart w:id="965" w:name="_Toc408493217"/>
      <w:bookmarkStart w:id="966" w:name="_Toc476824947"/>
      <w:bookmarkStart w:id="967" w:name="_Toc505335998"/>
      <w:r w:rsidRPr="004E6CFC">
        <w:t>STR NORTE</w:t>
      </w:r>
      <w:bookmarkEnd w:id="964"/>
      <w:bookmarkEnd w:id="965"/>
      <w:bookmarkEnd w:id="966"/>
      <w:bookmarkEnd w:id="967"/>
    </w:p>
    <w:p w:rsidR="001D16C9" w:rsidRPr="004E6CFC" w:rsidRDefault="001D16C9" w:rsidP="001D16C9">
      <w:pPr>
        <w:pStyle w:val="Prrafodelista"/>
        <w:numPr>
          <w:ilvl w:val="0"/>
          <w:numId w:val="15"/>
        </w:numPr>
        <w:spacing w:before="0" w:after="0"/>
        <w:ind w:left="709" w:hanging="709"/>
      </w:pPr>
      <w:r w:rsidRPr="004E6CFC">
        <w:t>Electrificadora del Caribe S.A. E.S.P.</w:t>
      </w:r>
    </w:p>
    <w:p w:rsidR="001D16C9" w:rsidRPr="004E6CFC" w:rsidRDefault="001D16C9" w:rsidP="001D16C9">
      <w:pPr>
        <w:pStyle w:val="Ttulo2"/>
      </w:pPr>
      <w:bookmarkStart w:id="968" w:name="_Toc210616027"/>
      <w:bookmarkStart w:id="969" w:name="_Toc408493218"/>
      <w:bookmarkStart w:id="970" w:name="_Toc476824948"/>
      <w:bookmarkStart w:id="971" w:name="_Toc505335999"/>
      <w:r w:rsidRPr="004E6CFC">
        <w:t>STR CENTRO-SUR</w:t>
      </w:r>
      <w:bookmarkEnd w:id="968"/>
      <w:bookmarkEnd w:id="969"/>
      <w:bookmarkEnd w:id="970"/>
      <w:bookmarkEnd w:id="971"/>
    </w:p>
    <w:p w:rsidR="001D16C9" w:rsidRPr="004E6CFC" w:rsidRDefault="001D16C9" w:rsidP="001D16C9">
      <w:pPr>
        <w:pStyle w:val="Prrafodelista"/>
        <w:numPr>
          <w:ilvl w:val="0"/>
          <w:numId w:val="16"/>
        </w:numPr>
        <w:spacing w:before="0" w:after="0"/>
        <w:ind w:left="709" w:hanging="709"/>
      </w:pPr>
      <w:r w:rsidRPr="004E6CFC">
        <w:t>Central Hidroeléctrica de Caldas S.A. E.S.P.</w:t>
      </w:r>
    </w:p>
    <w:p w:rsidR="001D16C9" w:rsidRPr="004E6CFC" w:rsidRDefault="001D16C9" w:rsidP="001D16C9">
      <w:pPr>
        <w:pStyle w:val="Prrafodelista"/>
        <w:numPr>
          <w:ilvl w:val="0"/>
          <w:numId w:val="16"/>
        </w:numPr>
        <w:spacing w:before="0" w:after="0"/>
        <w:ind w:left="709" w:hanging="709"/>
      </w:pPr>
      <w:r w:rsidRPr="004E6CFC">
        <w:t>Centrales Eléctricas de Nariño S.A. E.S.P.</w:t>
      </w:r>
    </w:p>
    <w:p w:rsidR="001D16C9" w:rsidRPr="004E6CFC" w:rsidRDefault="001D16C9" w:rsidP="001D16C9">
      <w:pPr>
        <w:pStyle w:val="Prrafodelista"/>
        <w:numPr>
          <w:ilvl w:val="0"/>
          <w:numId w:val="16"/>
        </w:numPr>
        <w:spacing w:before="0" w:after="0"/>
        <w:ind w:left="709" w:hanging="709"/>
      </w:pPr>
      <w:r w:rsidRPr="004E6CFC">
        <w:t>Centrales Eléctricas del Norte de Santander S.A. E.S.P.</w:t>
      </w:r>
    </w:p>
    <w:p w:rsidR="001D16C9" w:rsidRPr="004E6CFC" w:rsidRDefault="001D16C9" w:rsidP="001D16C9">
      <w:pPr>
        <w:pStyle w:val="Prrafodelista"/>
        <w:numPr>
          <w:ilvl w:val="0"/>
          <w:numId w:val="16"/>
        </w:numPr>
        <w:spacing w:before="0" w:after="0"/>
        <w:ind w:left="709" w:hanging="709"/>
      </w:pPr>
      <w:r w:rsidRPr="004E6CFC">
        <w:t>Codensa S.A. E.S.P.</w:t>
      </w:r>
    </w:p>
    <w:p w:rsidR="001D16C9" w:rsidRPr="004E6CFC" w:rsidRDefault="001D16C9" w:rsidP="001D16C9">
      <w:pPr>
        <w:pStyle w:val="Prrafodelista"/>
        <w:numPr>
          <w:ilvl w:val="0"/>
          <w:numId w:val="16"/>
        </w:numPr>
        <w:spacing w:before="0" w:after="0"/>
        <w:ind w:left="709" w:hanging="709"/>
      </w:pPr>
      <w:r w:rsidRPr="004E6CFC">
        <w:t>Compañía de Electricidad de Tuluá S.A. E.S.P.</w:t>
      </w:r>
    </w:p>
    <w:p w:rsidR="001D16C9" w:rsidRPr="004E6CFC" w:rsidRDefault="001D16C9" w:rsidP="001D16C9">
      <w:pPr>
        <w:pStyle w:val="Prrafodelista"/>
        <w:numPr>
          <w:ilvl w:val="0"/>
          <w:numId w:val="16"/>
        </w:numPr>
        <w:spacing w:before="0" w:after="0"/>
        <w:ind w:left="709" w:hanging="709"/>
      </w:pPr>
      <w:r w:rsidRPr="004E6CFC">
        <w:t>Compañía Energética del Tolima S.A. E.S.P.</w:t>
      </w:r>
    </w:p>
    <w:p w:rsidR="001D16C9" w:rsidRPr="004E6CFC" w:rsidRDefault="001D16C9" w:rsidP="001D16C9">
      <w:pPr>
        <w:pStyle w:val="Prrafodelista"/>
        <w:numPr>
          <w:ilvl w:val="0"/>
          <w:numId w:val="16"/>
        </w:numPr>
        <w:spacing w:before="0" w:after="0"/>
        <w:ind w:left="709" w:hanging="709"/>
      </w:pPr>
      <w:r w:rsidRPr="004E6CFC">
        <w:t>Compañía Energética de Occidente S.A. E.S.P.</w:t>
      </w:r>
    </w:p>
    <w:p w:rsidR="001D16C9" w:rsidRPr="004E6CFC" w:rsidRDefault="001D16C9" w:rsidP="001D16C9">
      <w:pPr>
        <w:pStyle w:val="Prrafodelista"/>
        <w:numPr>
          <w:ilvl w:val="0"/>
          <w:numId w:val="16"/>
        </w:numPr>
        <w:spacing w:before="0" w:after="0"/>
        <w:ind w:left="709" w:hanging="709"/>
      </w:pPr>
      <w:r w:rsidRPr="004E6CFC">
        <w:t>Distribuidora del Pacífico S.A. E.S.P.</w:t>
      </w:r>
    </w:p>
    <w:p w:rsidR="001D16C9" w:rsidRPr="004E6CFC" w:rsidRDefault="001D16C9" w:rsidP="001D16C9">
      <w:pPr>
        <w:pStyle w:val="Prrafodelista"/>
        <w:numPr>
          <w:ilvl w:val="0"/>
          <w:numId w:val="16"/>
        </w:numPr>
        <w:spacing w:before="0" w:after="0"/>
        <w:ind w:left="709" w:hanging="709"/>
      </w:pPr>
      <w:r w:rsidRPr="004E6CFC">
        <w:t>Electrificadora de Santander S.A. E.S.P.</w:t>
      </w:r>
    </w:p>
    <w:p w:rsidR="001D16C9" w:rsidRPr="004E6CFC" w:rsidRDefault="001D16C9" w:rsidP="001D16C9">
      <w:pPr>
        <w:pStyle w:val="Prrafodelista"/>
        <w:numPr>
          <w:ilvl w:val="0"/>
          <w:numId w:val="16"/>
        </w:numPr>
        <w:spacing w:before="0" w:after="0"/>
        <w:ind w:left="709" w:hanging="709"/>
      </w:pPr>
      <w:r w:rsidRPr="004E6CFC">
        <w:t>Electrificadora del Caquetá. S.A. E.S.P.</w:t>
      </w:r>
    </w:p>
    <w:p w:rsidR="001D16C9" w:rsidRPr="004E6CFC" w:rsidRDefault="001D16C9" w:rsidP="001D16C9">
      <w:pPr>
        <w:pStyle w:val="Prrafodelista"/>
        <w:numPr>
          <w:ilvl w:val="0"/>
          <w:numId w:val="16"/>
        </w:numPr>
        <w:spacing w:before="0" w:after="0"/>
        <w:ind w:left="709" w:hanging="709"/>
      </w:pPr>
      <w:r w:rsidRPr="004E6CFC">
        <w:t>Electrificadora del Huila S.A. E.S.P.</w:t>
      </w:r>
    </w:p>
    <w:p w:rsidR="001D16C9" w:rsidRPr="004E6CFC" w:rsidRDefault="001D16C9" w:rsidP="001D16C9">
      <w:pPr>
        <w:pStyle w:val="Prrafodelista"/>
        <w:numPr>
          <w:ilvl w:val="0"/>
          <w:numId w:val="16"/>
        </w:numPr>
        <w:spacing w:before="0" w:after="0"/>
        <w:ind w:left="709" w:hanging="709"/>
      </w:pPr>
      <w:r w:rsidRPr="004E6CFC">
        <w:t>Electrificadora del Meta S.A. E.S.P.</w:t>
      </w:r>
    </w:p>
    <w:p w:rsidR="001D16C9" w:rsidRPr="004E6CFC" w:rsidRDefault="001D16C9" w:rsidP="001D16C9">
      <w:pPr>
        <w:pStyle w:val="Prrafodelista"/>
        <w:numPr>
          <w:ilvl w:val="0"/>
          <w:numId w:val="16"/>
        </w:numPr>
        <w:spacing w:before="0" w:after="0"/>
        <w:ind w:left="709" w:hanging="709"/>
      </w:pPr>
      <w:r w:rsidRPr="004E6CFC">
        <w:t>Empresa de Energía de Arauca S.A. E.S.P.</w:t>
      </w:r>
    </w:p>
    <w:p w:rsidR="001D16C9" w:rsidRPr="004E6CFC" w:rsidRDefault="001D16C9" w:rsidP="001D16C9">
      <w:pPr>
        <w:pStyle w:val="Prrafodelista"/>
        <w:numPr>
          <w:ilvl w:val="0"/>
          <w:numId w:val="16"/>
        </w:numPr>
        <w:spacing w:before="0" w:after="0"/>
        <w:ind w:left="709" w:hanging="709"/>
      </w:pPr>
      <w:r w:rsidRPr="004E6CFC">
        <w:t>Empresa de Energía de Boyacá S.A. E.S.P.</w:t>
      </w:r>
    </w:p>
    <w:p w:rsidR="001D16C9" w:rsidRPr="004E6CFC" w:rsidRDefault="001D16C9" w:rsidP="001D16C9">
      <w:pPr>
        <w:pStyle w:val="Prrafodelista"/>
        <w:numPr>
          <w:ilvl w:val="0"/>
          <w:numId w:val="16"/>
        </w:numPr>
        <w:spacing w:before="0" w:after="0"/>
        <w:ind w:left="709" w:hanging="709"/>
      </w:pPr>
      <w:r w:rsidRPr="004E6CFC">
        <w:t>Empresa de Energía de Pereira S.A. E.S.P.</w:t>
      </w:r>
    </w:p>
    <w:p w:rsidR="001D16C9" w:rsidRPr="004E6CFC" w:rsidRDefault="001D16C9" w:rsidP="001D16C9">
      <w:pPr>
        <w:pStyle w:val="Prrafodelista"/>
        <w:numPr>
          <w:ilvl w:val="0"/>
          <w:numId w:val="16"/>
        </w:numPr>
        <w:spacing w:before="0" w:after="0"/>
        <w:ind w:left="709" w:hanging="709"/>
      </w:pPr>
      <w:r w:rsidRPr="004E6CFC">
        <w:t>Empresa de Energía del Bajo Putumayo S.A. E.S.P.</w:t>
      </w:r>
    </w:p>
    <w:p w:rsidR="001D16C9" w:rsidRPr="004E6CFC" w:rsidRDefault="001D16C9" w:rsidP="001D16C9">
      <w:pPr>
        <w:pStyle w:val="Prrafodelista"/>
        <w:numPr>
          <w:ilvl w:val="0"/>
          <w:numId w:val="16"/>
        </w:numPr>
        <w:spacing w:before="0" w:after="0"/>
        <w:ind w:left="709" w:hanging="709"/>
      </w:pPr>
      <w:r w:rsidRPr="004E6CFC">
        <w:t>Empresa de Energía del Casanare S.A. E.S.P.</w:t>
      </w:r>
    </w:p>
    <w:p w:rsidR="001D16C9" w:rsidRPr="004E6CFC" w:rsidRDefault="001D16C9" w:rsidP="001D16C9">
      <w:pPr>
        <w:pStyle w:val="Prrafodelista"/>
        <w:numPr>
          <w:ilvl w:val="0"/>
          <w:numId w:val="16"/>
        </w:numPr>
        <w:spacing w:before="0" w:after="0"/>
        <w:ind w:left="709" w:hanging="709"/>
      </w:pPr>
      <w:r w:rsidRPr="004E6CFC">
        <w:t>Empresa de Energía del Pacífico S.A. E.S.P.</w:t>
      </w:r>
    </w:p>
    <w:p w:rsidR="001D16C9" w:rsidRPr="004E6CFC" w:rsidRDefault="001D16C9" w:rsidP="001D16C9">
      <w:pPr>
        <w:pStyle w:val="Prrafodelista"/>
        <w:numPr>
          <w:ilvl w:val="0"/>
          <w:numId w:val="16"/>
        </w:numPr>
        <w:spacing w:before="0" w:after="0"/>
        <w:ind w:left="709" w:hanging="709"/>
      </w:pPr>
      <w:r w:rsidRPr="004E6CFC">
        <w:t>Empresa de Energía del Putumayo S.A. E.S.P.</w:t>
      </w:r>
    </w:p>
    <w:p w:rsidR="001D16C9" w:rsidRPr="004E6CFC" w:rsidRDefault="001D16C9" w:rsidP="001D16C9">
      <w:pPr>
        <w:pStyle w:val="Prrafodelista"/>
        <w:numPr>
          <w:ilvl w:val="0"/>
          <w:numId w:val="16"/>
        </w:numPr>
        <w:spacing w:before="0" w:after="0"/>
        <w:ind w:left="709" w:hanging="709"/>
      </w:pPr>
      <w:r w:rsidRPr="004E6CFC">
        <w:t>Empresa de Energía del Quindío S.A. E.S.P.</w:t>
      </w:r>
    </w:p>
    <w:p w:rsidR="001D16C9" w:rsidRPr="004E6CFC" w:rsidRDefault="001D16C9" w:rsidP="001D16C9">
      <w:pPr>
        <w:pStyle w:val="Prrafodelista"/>
        <w:numPr>
          <w:ilvl w:val="0"/>
          <w:numId w:val="16"/>
        </w:numPr>
        <w:spacing w:before="0" w:after="0"/>
        <w:ind w:left="709" w:hanging="709"/>
      </w:pPr>
      <w:r w:rsidRPr="004E6CFC">
        <w:t>Empresa de Energía del Valle del Sibundoy S.A. E.S.P.</w:t>
      </w:r>
    </w:p>
    <w:p w:rsidR="001D16C9" w:rsidRPr="004E6CFC" w:rsidRDefault="001D16C9" w:rsidP="001D16C9">
      <w:pPr>
        <w:pStyle w:val="Prrafodelista"/>
        <w:numPr>
          <w:ilvl w:val="0"/>
          <w:numId w:val="16"/>
        </w:numPr>
        <w:spacing w:before="0" w:after="0"/>
        <w:ind w:left="709" w:hanging="709"/>
      </w:pPr>
      <w:r w:rsidRPr="004E6CFC">
        <w:t>Empresa de Energía Eléctrica del Departamento del Guaviare S.A. E.S.P.</w:t>
      </w:r>
    </w:p>
    <w:p w:rsidR="001D16C9" w:rsidRPr="004E6CFC" w:rsidRDefault="001D16C9" w:rsidP="001D16C9">
      <w:pPr>
        <w:pStyle w:val="Prrafodelista"/>
        <w:numPr>
          <w:ilvl w:val="0"/>
          <w:numId w:val="16"/>
        </w:numPr>
        <w:spacing w:before="0" w:after="0"/>
        <w:ind w:left="709" w:hanging="709"/>
        <w:rPr>
          <w:lang w:val="pt-BR"/>
        </w:rPr>
      </w:pPr>
      <w:r w:rsidRPr="004E6CFC">
        <w:rPr>
          <w:lang w:val="pt-BR"/>
        </w:rPr>
        <w:t xml:space="preserve">Empresas </w:t>
      </w:r>
      <w:r w:rsidRPr="004E6CFC">
        <w:t>Municipales</w:t>
      </w:r>
      <w:r w:rsidRPr="004E6CFC">
        <w:rPr>
          <w:lang w:val="pt-BR"/>
        </w:rPr>
        <w:t xml:space="preserve"> de Cali EICE E.S.P.</w:t>
      </w:r>
    </w:p>
    <w:p w:rsidR="001D16C9" w:rsidRPr="004E6CFC" w:rsidRDefault="001D16C9" w:rsidP="001D16C9">
      <w:pPr>
        <w:pStyle w:val="Prrafodelista"/>
        <w:numPr>
          <w:ilvl w:val="0"/>
          <w:numId w:val="16"/>
        </w:numPr>
        <w:spacing w:before="0" w:after="0"/>
        <w:ind w:left="709" w:hanging="709"/>
      </w:pPr>
      <w:r w:rsidRPr="004E6CFC">
        <w:t>Empresas Municipales de Cartago S.A. E.S.P.</w:t>
      </w:r>
    </w:p>
    <w:p w:rsidR="001D16C9" w:rsidRPr="004E6CFC" w:rsidRDefault="001D16C9" w:rsidP="001D16C9">
      <w:pPr>
        <w:pStyle w:val="Prrafodelista"/>
        <w:numPr>
          <w:ilvl w:val="0"/>
          <w:numId w:val="16"/>
        </w:numPr>
        <w:spacing w:before="0" w:after="0"/>
        <w:ind w:left="709" w:hanging="709"/>
      </w:pPr>
      <w:r w:rsidRPr="004E6CFC">
        <w:t>Empresas Municipales de Energía Eléctrica S.A. E.S.P.</w:t>
      </w:r>
    </w:p>
    <w:p w:rsidR="001D16C9" w:rsidRPr="004E6CFC" w:rsidRDefault="001D16C9" w:rsidP="001D16C9">
      <w:pPr>
        <w:pStyle w:val="Prrafodelista"/>
        <w:numPr>
          <w:ilvl w:val="0"/>
          <w:numId w:val="16"/>
        </w:numPr>
        <w:spacing w:before="0" w:after="0"/>
        <w:ind w:left="709" w:hanging="709"/>
      </w:pPr>
      <w:r w:rsidRPr="004E6CFC">
        <w:t>Empresas Públicas de Medellín E.S.P.</w:t>
      </w:r>
    </w:p>
    <w:p w:rsidR="00193054" w:rsidRPr="001D16C9" w:rsidRDefault="001D16C9" w:rsidP="001D16C9">
      <w:pPr>
        <w:pStyle w:val="Prrafodelista"/>
        <w:numPr>
          <w:ilvl w:val="0"/>
          <w:numId w:val="16"/>
        </w:numPr>
        <w:spacing w:before="0" w:after="0"/>
        <w:ind w:left="709" w:hanging="709"/>
        <w:rPr>
          <w:lang w:val="pt-BR"/>
        </w:rPr>
      </w:pPr>
      <w:r>
        <w:rPr>
          <w:lang w:val="pt-BR"/>
        </w:rPr>
        <w:t>Ruitoque S.A. E.S.P</w:t>
      </w:r>
      <w:r w:rsidR="00193054" w:rsidRPr="001D16C9">
        <w:rPr>
          <w:lang w:val="pt-BR"/>
        </w:rPr>
        <w:t>.</w:t>
      </w:r>
    </w:p>
    <w:p w:rsidR="00193054" w:rsidRPr="004E6CFC" w:rsidRDefault="00193054" w:rsidP="00193054">
      <w:pPr>
        <w:spacing w:before="0" w:after="0"/>
        <w:jc w:val="left"/>
        <w:rPr>
          <w:lang w:val="es-CO"/>
        </w:rPr>
      </w:pPr>
      <w:r w:rsidRPr="004E6CFC">
        <w:rPr>
          <w:lang w:val="es-CO"/>
        </w:rPr>
        <w:br w:type="page"/>
      </w:r>
    </w:p>
    <w:p w:rsidR="00193054" w:rsidRPr="004E77B3" w:rsidRDefault="00193054" w:rsidP="00193054">
      <w:pPr>
        <w:pStyle w:val="Ttulo1"/>
      </w:pPr>
      <w:bookmarkStart w:id="972" w:name="_Toc408493219"/>
      <w:bookmarkStart w:id="973" w:name="_Ref445131184"/>
      <w:bookmarkStart w:id="974" w:name="_Toc505336000"/>
      <w:r w:rsidRPr="004E77B3">
        <w:lastRenderedPageBreak/>
        <w:t>CARGOS HORARIOS</w:t>
      </w:r>
      <w:bookmarkEnd w:id="972"/>
      <w:bookmarkEnd w:id="973"/>
      <w:bookmarkEnd w:id="974"/>
    </w:p>
    <w:p w:rsidR="00F674C8" w:rsidRPr="004E6CFC" w:rsidRDefault="00F674C8" w:rsidP="00F674C8">
      <w:r w:rsidRPr="004E6CFC">
        <w:t>Los cargos horarios serán aplicados a todos los usuarios conectados al sistema de un OR</w:t>
      </w:r>
      <w:r>
        <w:t xml:space="preserve"> que dispongan de equipo de medida con registro horario, de acuerdo con el artículo 1 del Decreto 2492 de 2014</w:t>
      </w:r>
      <w:r w:rsidRPr="004E6CFC">
        <w:t>.</w:t>
      </w:r>
    </w:p>
    <w:p w:rsidR="00F674C8" w:rsidRDefault="00F674C8" w:rsidP="00F674C8">
      <w:r w:rsidRPr="004E6CFC">
        <w:t xml:space="preserve">La determinación del consumo </w:t>
      </w:r>
      <w:r>
        <w:t xml:space="preserve">horario se efectuará acorde con </w:t>
      </w:r>
      <w:r w:rsidRPr="004E6CFC">
        <w:t xml:space="preserve">la lectura del medidor. </w:t>
      </w:r>
    </w:p>
    <w:p w:rsidR="00F674C8" w:rsidRDefault="00F674C8" w:rsidP="00F674C8">
      <w:r>
        <w:t xml:space="preserve">El </w:t>
      </w:r>
      <w:r w:rsidR="00BE7ED4">
        <w:t>cálculo</w:t>
      </w:r>
      <w:r>
        <w:t xml:space="preserve"> y aplicación de los cargos horarios iniciará </w:t>
      </w:r>
      <w:r w:rsidR="00A62992">
        <w:t>dos</w:t>
      </w:r>
      <w:r>
        <w:t xml:space="preserve"> (2) meses </w:t>
      </w:r>
      <w:r w:rsidR="00BE7ED4">
        <w:t>después</w:t>
      </w:r>
      <w:r>
        <w:t xml:space="preserve"> de que todos los OR tengan </w:t>
      </w:r>
      <w:r w:rsidR="00A62992">
        <w:t>a</w:t>
      </w:r>
      <w:r>
        <w:t>probados los ingresos y cargos resultantes de la aplicación de la metodología de remuneración contenida en esta resolución.</w:t>
      </w:r>
    </w:p>
    <w:p w:rsidR="00F674C8" w:rsidRPr="004E6CFC" w:rsidRDefault="00F674C8" w:rsidP="00F674C8">
      <w:pPr>
        <w:pStyle w:val="Ttulo2"/>
      </w:pPr>
      <w:bookmarkStart w:id="975" w:name="_Toc408493221"/>
      <w:bookmarkStart w:id="976" w:name="_Toc443655754"/>
      <w:bookmarkStart w:id="977" w:name="_Ref444678573"/>
      <w:bookmarkStart w:id="978" w:name="_Ref444697076"/>
      <w:bookmarkStart w:id="979" w:name="_Toc466009925"/>
      <w:bookmarkStart w:id="980" w:name="_Toc476824951"/>
      <w:bookmarkStart w:id="981" w:name="_Toc505336001"/>
      <w:r w:rsidRPr="004E6CFC">
        <w:t>PERIODOS DE CARGA MÁXIMA, MEDIA Y MÍNIMA</w:t>
      </w:r>
      <w:bookmarkEnd w:id="975"/>
      <w:bookmarkEnd w:id="976"/>
      <w:bookmarkEnd w:id="977"/>
      <w:bookmarkEnd w:id="978"/>
      <w:bookmarkEnd w:id="979"/>
      <w:bookmarkEnd w:id="980"/>
      <w:bookmarkEnd w:id="981"/>
    </w:p>
    <w:p w:rsidR="00F674C8" w:rsidRPr="004E6CFC" w:rsidRDefault="00F674C8" w:rsidP="00F674C8">
      <w:r w:rsidRPr="004E6CFC">
        <w:t xml:space="preserve">El OR debe determinar los períodos de carga máxima, media y mínima en función de la curva de carga típica </w:t>
      </w:r>
      <w:r>
        <w:t xml:space="preserve">determinada </w:t>
      </w:r>
      <w:r w:rsidRPr="004E6CFC">
        <w:t>para cada nivel de tensión</w:t>
      </w:r>
      <w:r>
        <w:t xml:space="preserve"> con base en las lecturas de las fronteras comerciales, incluyendo las de distribución</w:t>
      </w:r>
      <w:r w:rsidRPr="004E6CFC">
        <w:t xml:space="preserve">. </w:t>
      </w:r>
    </w:p>
    <w:p w:rsidR="00F674C8" w:rsidRPr="004E6CFC" w:rsidRDefault="00F674C8" w:rsidP="00F674C8">
      <w:r w:rsidRPr="004E6CFC">
        <w:t xml:space="preserve">Un criterio para determinar estos períodos de carga se basa en el porcentaje de carga que se presenta en el sistema en una hora particular, referida a la carga máxima de la curva de carga.  </w:t>
      </w:r>
    </w:p>
    <w:p w:rsidR="00F674C8" w:rsidRPr="004E6CFC" w:rsidRDefault="00F674C8" w:rsidP="00F674C8">
      <w:r w:rsidRPr="004E6CFC">
        <w:t>Los porcentajes recomendados para establecer estos períodos son los siguientes:</w:t>
      </w:r>
    </w:p>
    <w:p w:rsidR="00F674C8" w:rsidRPr="004E6CFC" w:rsidRDefault="00F674C8" w:rsidP="009C086B">
      <w:pPr>
        <w:pStyle w:val="Prrafodelista"/>
        <w:numPr>
          <w:ilvl w:val="0"/>
          <w:numId w:val="27"/>
        </w:numPr>
      </w:pPr>
      <w:r w:rsidRPr="004E6CFC">
        <w:t xml:space="preserve">Período de carga máxima (x): horas en las cuales el porcentaje de carga es mayor al </w:t>
      </w:r>
      <w:r>
        <w:t>9</w:t>
      </w:r>
      <w:r w:rsidRPr="004E6CFC">
        <w:t>5 % de la potencia máxima.</w:t>
      </w:r>
    </w:p>
    <w:p w:rsidR="00F674C8" w:rsidRPr="004E6CFC" w:rsidRDefault="00F674C8" w:rsidP="009C086B">
      <w:pPr>
        <w:pStyle w:val="Prrafodelista"/>
        <w:numPr>
          <w:ilvl w:val="0"/>
          <w:numId w:val="27"/>
        </w:numPr>
        <w:rPr>
          <w:rFonts w:cs="Arial"/>
        </w:rPr>
      </w:pPr>
      <w:r w:rsidRPr="004E6CFC">
        <w:rPr>
          <w:rFonts w:cs="Arial"/>
        </w:rPr>
        <w:t xml:space="preserve">Período de carga media (z): horas en las cuales el porcentaje de carga es mayor al </w:t>
      </w:r>
      <w:r>
        <w:rPr>
          <w:rFonts w:cs="Arial"/>
        </w:rPr>
        <w:t>75</w:t>
      </w:r>
      <w:r w:rsidRPr="004E6CFC">
        <w:rPr>
          <w:rFonts w:cs="Arial"/>
        </w:rPr>
        <w:t xml:space="preserve"> % y menor o igual al </w:t>
      </w:r>
      <w:r>
        <w:rPr>
          <w:rFonts w:cs="Arial"/>
        </w:rPr>
        <w:t>9</w:t>
      </w:r>
      <w:r w:rsidRPr="004E6CFC">
        <w:rPr>
          <w:rFonts w:cs="Arial"/>
        </w:rPr>
        <w:t>5 % de la potencia máxima.</w:t>
      </w:r>
    </w:p>
    <w:p w:rsidR="00F674C8" w:rsidRPr="004E6CFC" w:rsidRDefault="00F674C8" w:rsidP="009C086B">
      <w:pPr>
        <w:pStyle w:val="Prrafodelista"/>
        <w:numPr>
          <w:ilvl w:val="0"/>
          <w:numId w:val="27"/>
        </w:numPr>
        <w:rPr>
          <w:rFonts w:cs="Arial"/>
        </w:rPr>
      </w:pPr>
      <w:r w:rsidRPr="004E6CFC">
        <w:rPr>
          <w:rFonts w:cs="Arial"/>
        </w:rPr>
        <w:t>Período de carga mínima (y): las demás horas del día no consideradas en los períodos de carga máxima y media.</w:t>
      </w:r>
    </w:p>
    <w:p w:rsidR="00F674C8" w:rsidRPr="004E6CFC" w:rsidRDefault="00F674C8" w:rsidP="00F674C8">
      <w:pPr>
        <w:rPr>
          <w:rFonts w:cs="Arial"/>
        </w:rPr>
      </w:pPr>
      <w:r w:rsidRPr="004E6CFC">
        <w:rPr>
          <w:rFonts w:cs="Arial"/>
        </w:rPr>
        <w:t>El número de períodos horarios resultantes dependerá de la forma de la curva de carga.</w:t>
      </w:r>
    </w:p>
    <w:p w:rsidR="00F674C8" w:rsidRPr="004E6CFC" w:rsidRDefault="00F674C8" w:rsidP="00F674C8">
      <w:pPr>
        <w:pStyle w:val="Ttulo2"/>
      </w:pPr>
      <w:bookmarkStart w:id="982" w:name="_Toc408493222"/>
      <w:bookmarkStart w:id="983" w:name="_Toc443655755"/>
      <w:bookmarkStart w:id="984" w:name="_Toc466009926"/>
      <w:bookmarkStart w:id="985" w:name="_Toc476824952"/>
      <w:bookmarkStart w:id="986" w:name="_Toc505336002"/>
      <w:r w:rsidRPr="004E6CFC">
        <w:t>CÁLCULO DE CARGOS HORARIOS.</w:t>
      </w:r>
      <w:bookmarkEnd w:id="982"/>
      <w:bookmarkEnd w:id="983"/>
      <w:bookmarkEnd w:id="984"/>
      <w:bookmarkEnd w:id="985"/>
      <w:bookmarkEnd w:id="986"/>
    </w:p>
    <w:p w:rsidR="00F674C8" w:rsidRPr="004E6CFC" w:rsidRDefault="00F674C8" w:rsidP="00F674C8">
      <w:r w:rsidRPr="004E6CFC">
        <w:t>A partir del costo en un mes y nivel de tensión determinados, el LAC calcula el cargo monomio por nivel de tensión y posteriormente los cargos monomios horarios.</w:t>
      </w:r>
    </w:p>
    <w:p w:rsidR="00F674C8" w:rsidRPr="004E6CFC" w:rsidRDefault="00F674C8" w:rsidP="00F674C8">
      <w:r w:rsidRPr="004E6CFC">
        <w:t>Los cargos para un nivel de tensión particular se calculan a partir del cargo acumulado, calculado para ese nivel de tensión, con las siguientes consideraciones:</w:t>
      </w:r>
    </w:p>
    <w:p w:rsidR="00F674C8" w:rsidRPr="004E6CFC" w:rsidRDefault="00F674C8" w:rsidP="009C086B">
      <w:pPr>
        <w:pStyle w:val="Prrafodelista"/>
        <w:numPr>
          <w:ilvl w:val="0"/>
          <w:numId w:val="43"/>
        </w:numPr>
      </w:pPr>
      <w:r w:rsidRPr="004E6CFC">
        <w:t>Los costos que recupera la empresa utilizando los cargos monomios horarios deben ser iguales a los que recupera con el cargo monomio.</w:t>
      </w:r>
    </w:p>
    <w:p w:rsidR="00F674C8" w:rsidRPr="004E6CFC" w:rsidRDefault="00F674C8" w:rsidP="009C086B">
      <w:pPr>
        <w:pStyle w:val="Prrafodelista"/>
        <w:numPr>
          <w:ilvl w:val="0"/>
          <w:numId w:val="43"/>
        </w:numPr>
      </w:pPr>
      <w:r w:rsidRPr="004E6CFC">
        <w:t>Los cargos monomios horarios son proporcionales a la potencia promedio de cada período de carga.</w:t>
      </w:r>
    </w:p>
    <w:p w:rsidR="00F674C8" w:rsidRPr="004E6CFC" w:rsidRDefault="00F674C8" w:rsidP="009C086B">
      <w:pPr>
        <w:pStyle w:val="Prrafodelista"/>
        <w:numPr>
          <w:ilvl w:val="0"/>
          <w:numId w:val="43"/>
        </w:numPr>
      </w:pPr>
      <w:r w:rsidRPr="004E6CFC">
        <w:rPr>
          <w:rFonts w:cs="Arial"/>
          <w:spacing w:val="4"/>
        </w:rPr>
        <w:lastRenderedPageBreak/>
        <w:t>La magnitud de la energía de la hora i-ésima es igual a la magnitud de la potencia de la hora i-ésima (Pi) por tratarse de potencias promedios referidas a períodos de una hora.</w:t>
      </w:r>
    </w:p>
    <w:p w:rsidR="00F674C8" w:rsidRPr="004E6CFC" w:rsidRDefault="00F674C8" w:rsidP="009C086B">
      <w:pPr>
        <w:pStyle w:val="Prrafodelista"/>
        <w:numPr>
          <w:ilvl w:val="0"/>
          <w:numId w:val="43"/>
        </w:numPr>
      </w:pPr>
      <w:r w:rsidRPr="004E6CFC">
        <w:t>Los cargos monomios horarios son proporcionales a la potencia promedio resultante, de acuerdo con las horas asignadas a cada período de carga.</w:t>
      </w:r>
    </w:p>
    <w:p w:rsidR="00F674C8" w:rsidRPr="004E6CFC" w:rsidRDefault="00F674C8" w:rsidP="00F674C8">
      <w:pPr>
        <w:pStyle w:val="Sangradetextonormal"/>
        <w:numPr>
          <w:ilvl w:val="12"/>
          <w:numId w:val="0"/>
        </w:numPr>
        <w:tabs>
          <w:tab w:val="center" w:pos="4680"/>
          <w:tab w:val="left" w:pos="7230"/>
        </w:tabs>
        <w:suppressAutoHyphens/>
        <w:rPr>
          <w:spacing w:val="4"/>
        </w:rPr>
      </w:pPr>
      <w:r w:rsidRPr="004E6CFC">
        <w:rPr>
          <w:spacing w:val="4"/>
        </w:rPr>
        <w:t xml:space="preserve">Los cargos </w:t>
      </w:r>
      <w:r w:rsidRPr="004E6CFC">
        <w:t xml:space="preserve">monomios horarios </w:t>
      </w:r>
      <w:r>
        <w:t xml:space="preserve">por nivel de </w:t>
      </w:r>
      <w:r w:rsidR="00BE7ED4">
        <w:t>tensión</w:t>
      </w:r>
      <w:r>
        <w:t xml:space="preserve"> </w:t>
      </w:r>
      <w:r w:rsidRPr="004E6CFC">
        <w:rPr>
          <w:rFonts w:cs="Arial"/>
          <w:i/>
          <w:spacing w:val="4"/>
        </w:rPr>
        <w:t>D</w:t>
      </w:r>
      <w:r w:rsidRPr="004E6CFC">
        <w:rPr>
          <w:rFonts w:cs="Arial"/>
          <w:i/>
          <w:spacing w:val="4"/>
          <w:vertAlign w:val="subscript"/>
        </w:rPr>
        <w:t>x,n,</w:t>
      </w:r>
      <w:r>
        <w:rPr>
          <w:rFonts w:cs="Arial"/>
          <w:i/>
          <w:spacing w:val="4"/>
          <w:vertAlign w:val="subscript"/>
        </w:rPr>
        <w:t>j</w:t>
      </w:r>
      <w:r w:rsidRPr="004E6CFC">
        <w:rPr>
          <w:rFonts w:cs="Arial"/>
          <w:i/>
          <w:spacing w:val="4"/>
          <w:vertAlign w:val="subscript"/>
        </w:rPr>
        <w:t>,m,t</w:t>
      </w:r>
      <w:r w:rsidRPr="004E6CFC">
        <w:rPr>
          <w:i/>
          <w:iCs/>
        </w:rPr>
        <w:t xml:space="preserve">, </w:t>
      </w:r>
      <w:r w:rsidRPr="004E6CFC">
        <w:rPr>
          <w:rFonts w:cs="Arial"/>
          <w:i/>
          <w:spacing w:val="4"/>
        </w:rPr>
        <w:t>D</w:t>
      </w:r>
      <w:r w:rsidRPr="004E6CFC">
        <w:rPr>
          <w:rFonts w:cs="Arial"/>
          <w:i/>
          <w:spacing w:val="4"/>
          <w:vertAlign w:val="subscript"/>
        </w:rPr>
        <w:t>z,n,</w:t>
      </w:r>
      <w:r>
        <w:rPr>
          <w:rFonts w:cs="Arial"/>
          <w:i/>
          <w:spacing w:val="4"/>
          <w:vertAlign w:val="subscript"/>
        </w:rPr>
        <w:t>j</w:t>
      </w:r>
      <w:r w:rsidRPr="004E6CFC">
        <w:rPr>
          <w:rFonts w:cs="Arial"/>
          <w:i/>
          <w:spacing w:val="4"/>
          <w:vertAlign w:val="subscript"/>
        </w:rPr>
        <w:t>,m,t</w:t>
      </w:r>
      <w:r w:rsidRPr="004E6CFC">
        <w:rPr>
          <w:i/>
          <w:iCs/>
        </w:rPr>
        <w:t xml:space="preserve"> y </w:t>
      </w:r>
      <w:r w:rsidRPr="004E6CFC">
        <w:rPr>
          <w:rFonts w:cs="Arial"/>
          <w:i/>
          <w:spacing w:val="4"/>
        </w:rPr>
        <w:t>D</w:t>
      </w:r>
      <w:r w:rsidRPr="004E6CFC">
        <w:rPr>
          <w:rFonts w:cs="Arial"/>
          <w:i/>
          <w:spacing w:val="4"/>
          <w:vertAlign w:val="subscript"/>
        </w:rPr>
        <w:t>y,n,</w:t>
      </w:r>
      <w:r>
        <w:rPr>
          <w:rFonts w:cs="Arial"/>
          <w:i/>
          <w:spacing w:val="4"/>
          <w:vertAlign w:val="subscript"/>
        </w:rPr>
        <w:t>j</w:t>
      </w:r>
      <w:r w:rsidRPr="004E6CFC">
        <w:rPr>
          <w:rFonts w:cs="Arial"/>
          <w:i/>
          <w:spacing w:val="4"/>
          <w:vertAlign w:val="subscript"/>
        </w:rPr>
        <w:t>,m,t</w:t>
      </w:r>
      <w:r w:rsidRPr="004E6CFC">
        <w:rPr>
          <w:i/>
          <w:iCs/>
        </w:rPr>
        <w:t xml:space="preserve"> </w:t>
      </w:r>
      <w:r w:rsidRPr="004E6CFC">
        <w:t>se obtienen resolviendo el sistema de tres ecuaciones con tres incógnitas planteado en las siguientes expresiones</w:t>
      </w:r>
      <w:r w:rsidRPr="004E6CFC">
        <w:rPr>
          <w:spacing w:val="4"/>
        </w:rPr>
        <w:t>:</w:t>
      </w:r>
    </w:p>
    <w:p w:rsidR="00F674C8" w:rsidRPr="004E6CFC" w:rsidRDefault="00C9592F" w:rsidP="00F674C8">
      <w:pPr>
        <w:pStyle w:val="Sangradetextonormal"/>
        <w:numPr>
          <w:ilvl w:val="12"/>
          <w:numId w:val="0"/>
        </w:numPr>
        <w:tabs>
          <w:tab w:val="center" w:pos="4680"/>
        </w:tabs>
        <w:suppressAutoHyphens/>
        <w:rPr>
          <w:spacing w:val="4"/>
        </w:rPr>
      </w:pPr>
      <m:oMathPara>
        <m:oMath>
          <m:sSub>
            <m:sSubPr>
              <m:ctrlPr>
                <w:rPr>
                  <w:rFonts w:ascii="Cambria Math" w:hAnsi="Cambria Math" w:cs="Arial"/>
                  <w:i/>
                  <w:spacing w:val="4"/>
                </w:rPr>
              </m:ctrlPr>
            </m:sSubPr>
            <m:e>
              <m:f>
                <m:fPr>
                  <m:ctrlPr>
                    <w:rPr>
                      <w:rFonts w:ascii="Cambria Math" w:hAnsi="Cambria Math" w:cs="Arial"/>
                      <w:i/>
                      <w:spacing w:val="4"/>
                    </w:rPr>
                  </m:ctrlPr>
                </m:fPr>
                <m:num>
                  <m:r>
                    <w:rPr>
                      <w:rFonts w:ascii="Cambria Math" w:hAnsi="Cambria Math" w:cs="Arial"/>
                      <w:spacing w:val="4"/>
                    </w:rPr>
                    <m:t>1</m:t>
                  </m:r>
                </m:num>
                <m:den>
                  <m:r>
                    <w:rPr>
                      <w:rFonts w:ascii="Cambria Math" w:hAnsi="Cambria Math" w:cs="Arial"/>
                      <w:spacing w:val="4"/>
                    </w:rPr>
                    <m:t>fch</m:t>
                  </m:r>
                </m:den>
              </m:f>
              <m:r>
                <w:rPr>
                  <w:rFonts w:ascii="Cambria Math" w:hAnsi="Cambria Math" w:cs="Arial"/>
                  <w:spacing w:val="4"/>
                </w:rPr>
                <m:t>*H</m:t>
              </m:r>
            </m:e>
            <m:sub>
              <m:r>
                <w:rPr>
                  <w:rFonts w:ascii="Cambria Math" w:hAnsi="Cambria Math" w:cs="Arial"/>
                  <w:spacing w:val="4"/>
                </w:rPr>
                <m:t>x</m:t>
              </m:r>
            </m:sub>
          </m:sSub>
          <m:r>
            <w:rPr>
              <w:rFonts w:ascii="Cambria Math" w:hAnsi="Cambria Math" w:cs="Arial"/>
              <w:spacing w:val="4"/>
            </w:rPr>
            <m:t>*</m:t>
          </m:r>
          <m:sSub>
            <m:sSubPr>
              <m:ctrlPr>
                <w:rPr>
                  <w:rFonts w:ascii="Cambria Math" w:hAnsi="Cambria Math" w:cs="Arial"/>
                  <w:i/>
                  <w:spacing w:val="4"/>
                </w:rPr>
              </m:ctrlPr>
            </m:sSubPr>
            <m:e>
              <m:r>
                <w:rPr>
                  <w:rFonts w:ascii="Cambria Math" w:hAnsi="Cambria Math" w:cs="Arial"/>
                  <w:spacing w:val="4"/>
                </w:rPr>
                <m:t>P</m:t>
              </m:r>
            </m:e>
            <m:sub>
              <m:r>
                <w:rPr>
                  <w:rFonts w:ascii="Cambria Math" w:hAnsi="Cambria Math" w:cs="Arial"/>
                  <w:spacing w:val="4"/>
                </w:rPr>
                <m:t>x</m:t>
              </m:r>
            </m:sub>
          </m:sSub>
          <m:r>
            <w:rPr>
              <w:rFonts w:ascii="Cambria Math" w:hAnsi="Cambria Math" w:cs="Arial"/>
              <w:spacing w:val="4"/>
            </w:rPr>
            <m:t>*</m:t>
          </m:r>
          <m:sSub>
            <m:sSubPr>
              <m:ctrlPr>
                <w:rPr>
                  <w:rFonts w:ascii="Cambria Math" w:hAnsi="Cambria Math" w:cs="Arial"/>
                  <w:i/>
                  <w:spacing w:val="4"/>
                </w:rPr>
              </m:ctrlPr>
            </m:sSubPr>
            <m:e>
              <m:r>
                <w:rPr>
                  <w:rFonts w:ascii="Cambria Math" w:hAnsi="Cambria Math" w:cs="Arial"/>
                  <w:spacing w:val="4"/>
                </w:rPr>
                <m:t>Dt</m:t>
              </m:r>
            </m:e>
            <m:sub>
              <m:r>
                <w:rPr>
                  <w:rFonts w:ascii="Cambria Math" w:hAnsi="Cambria Math" w:cs="Arial"/>
                  <w:spacing w:val="4"/>
                </w:rPr>
                <m:t>x,n,j,m,t</m:t>
              </m:r>
            </m:sub>
          </m:sSub>
          <m:r>
            <w:rPr>
              <w:rFonts w:ascii="Cambria Math" w:hAnsi="Cambria Math" w:cs="Arial"/>
              <w:spacing w:val="4"/>
            </w:rPr>
            <m:t>+</m:t>
          </m:r>
          <m:sSub>
            <m:sSubPr>
              <m:ctrlPr>
                <w:rPr>
                  <w:rFonts w:ascii="Cambria Math" w:hAnsi="Cambria Math" w:cs="Arial"/>
                  <w:i/>
                  <w:spacing w:val="4"/>
                </w:rPr>
              </m:ctrlPr>
            </m:sSubPr>
            <m:e>
              <m:r>
                <w:rPr>
                  <w:rFonts w:ascii="Cambria Math" w:hAnsi="Cambria Math" w:cs="Arial"/>
                  <w:spacing w:val="4"/>
                </w:rPr>
                <m:t>H</m:t>
              </m:r>
            </m:e>
            <m:sub>
              <m:r>
                <w:rPr>
                  <w:rFonts w:ascii="Cambria Math" w:hAnsi="Cambria Math" w:cs="Arial"/>
                  <w:spacing w:val="4"/>
                </w:rPr>
                <m:t>z</m:t>
              </m:r>
            </m:sub>
          </m:sSub>
          <m:r>
            <w:rPr>
              <w:rFonts w:ascii="Cambria Math" w:hAnsi="Cambria Math" w:cs="Arial"/>
              <w:spacing w:val="4"/>
            </w:rPr>
            <m:t>*</m:t>
          </m:r>
          <m:sSub>
            <m:sSubPr>
              <m:ctrlPr>
                <w:rPr>
                  <w:rFonts w:ascii="Cambria Math" w:hAnsi="Cambria Math" w:cs="Arial"/>
                  <w:i/>
                  <w:spacing w:val="4"/>
                </w:rPr>
              </m:ctrlPr>
            </m:sSubPr>
            <m:e>
              <m:r>
                <w:rPr>
                  <w:rFonts w:ascii="Cambria Math" w:hAnsi="Cambria Math" w:cs="Arial"/>
                  <w:spacing w:val="4"/>
                </w:rPr>
                <m:t>P</m:t>
              </m:r>
            </m:e>
            <m:sub>
              <m:r>
                <w:rPr>
                  <w:rFonts w:ascii="Cambria Math" w:hAnsi="Cambria Math" w:cs="Arial"/>
                  <w:spacing w:val="4"/>
                </w:rPr>
                <m:t>z</m:t>
              </m:r>
            </m:sub>
          </m:sSub>
          <m:r>
            <w:rPr>
              <w:rFonts w:ascii="Cambria Math" w:hAnsi="Cambria Math" w:cs="Arial"/>
              <w:spacing w:val="4"/>
            </w:rPr>
            <m:t>*</m:t>
          </m:r>
          <m:sSub>
            <m:sSubPr>
              <m:ctrlPr>
                <w:rPr>
                  <w:rFonts w:ascii="Cambria Math" w:hAnsi="Cambria Math" w:cs="Arial"/>
                  <w:i/>
                  <w:spacing w:val="4"/>
                </w:rPr>
              </m:ctrlPr>
            </m:sSubPr>
            <m:e>
              <m:r>
                <w:rPr>
                  <w:rFonts w:ascii="Cambria Math" w:hAnsi="Cambria Math" w:cs="Arial"/>
                  <w:spacing w:val="4"/>
                </w:rPr>
                <m:t>Dt</m:t>
              </m:r>
            </m:e>
            <m:sub>
              <m:r>
                <w:rPr>
                  <w:rFonts w:ascii="Cambria Math" w:hAnsi="Cambria Math" w:cs="Arial"/>
                  <w:spacing w:val="4"/>
                </w:rPr>
                <m:t>z,n,j,m,t</m:t>
              </m:r>
            </m:sub>
          </m:sSub>
          <m:r>
            <w:rPr>
              <w:rFonts w:ascii="Cambria Math" w:hAnsi="Cambria Math" w:cs="Arial"/>
              <w:spacing w:val="4"/>
            </w:rPr>
            <m:t>+fch*</m:t>
          </m:r>
          <m:sSub>
            <m:sSubPr>
              <m:ctrlPr>
                <w:rPr>
                  <w:rFonts w:ascii="Cambria Math" w:hAnsi="Cambria Math" w:cs="Arial"/>
                  <w:i/>
                  <w:spacing w:val="4"/>
                </w:rPr>
              </m:ctrlPr>
            </m:sSubPr>
            <m:e>
              <m:r>
                <w:rPr>
                  <w:rFonts w:ascii="Cambria Math" w:hAnsi="Cambria Math" w:cs="Arial"/>
                  <w:spacing w:val="4"/>
                </w:rPr>
                <m:t>H</m:t>
              </m:r>
            </m:e>
            <m:sub>
              <m:r>
                <w:rPr>
                  <w:rFonts w:ascii="Cambria Math" w:hAnsi="Cambria Math" w:cs="Arial"/>
                  <w:spacing w:val="4"/>
                </w:rPr>
                <m:t>y</m:t>
              </m:r>
            </m:sub>
          </m:sSub>
          <m:r>
            <w:rPr>
              <w:rFonts w:ascii="Cambria Math" w:hAnsi="Cambria Math" w:cs="Arial"/>
              <w:spacing w:val="4"/>
            </w:rPr>
            <m:t>*</m:t>
          </m:r>
          <m:sSub>
            <m:sSubPr>
              <m:ctrlPr>
                <w:rPr>
                  <w:rFonts w:ascii="Cambria Math" w:hAnsi="Cambria Math" w:cs="Arial"/>
                  <w:i/>
                  <w:spacing w:val="4"/>
                </w:rPr>
              </m:ctrlPr>
            </m:sSubPr>
            <m:e>
              <m:r>
                <w:rPr>
                  <w:rFonts w:ascii="Cambria Math" w:hAnsi="Cambria Math" w:cs="Arial"/>
                  <w:spacing w:val="4"/>
                </w:rPr>
                <m:t>P</m:t>
              </m:r>
            </m:e>
            <m:sub>
              <m:r>
                <w:rPr>
                  <w:rFonts w:ascii="Cambria Math" w:hAnsi="Cambria Math" w:cs="Arial"/>
                  <w:spacing w:val="4"/>
                </w:rPr>
                <m:t>y</m:t>
              </m:r>
            </m:sub>
          </m:sSub>
          <m:r>
            <w:rPr>
              <w:rFonts w:ascii="Cambria Math" w:hAnsi="Cambria Math" w:cs="Arial"/>
              <w:spacing w:val="4"/>
            </w:rPr>
            <m:t>*</m:t>
          </m:r>
          <m:sSub>
            <m:sSubPr>
              <m:ctrlPr>
                <w:rPr>
                  <w:rFonts w:ascii="Cambria Math" w:hAnsi="Cambria Math" w:cs="Arial"/>
                  <w:i/>
                  <w:spacing w:val="4"/>
                </w:rPr>
              </m:ctrlPr>
            </m:sSubPr>
            <m:e>
              <m:r>
                <w:rPr>
                  <w:rFonts w:ascii="Cambria Math" w:hAnsi="Cambria Math" w:cs="Arial"/>
                  <w:spacing w:val="4"/>
                </w:rPr>
                <m:t>Dt</m:t>
              </m:r>
            </m:e>
            <m:sub>
              <m:r>
                <w:rPr>
                  <w:rFonts w:ascii="Cambria Math" w:hAnsi="Cambria Math" w:cs="Arial"/>
                  <w:spacing w:val="4"/>
                </w:rPr>
                <m:t>y,n,j,m,t</m:t>
              </m:r>
            </m:sub>
          </m:sSub>
          <m:r>
            <w:rPr>
              <w:rFonts w:ascii="Cambria Math" w:hAnsi="Cambria Math" w:cs="Arial"/>
              <w:spacing w:val="4"/>
            </w:rPr>
            <m:t>=</m:t>
          </m:r>
          <m:sSub>
            <m:sSubPr>
              <m:ctrlPr>
                <w:rPr>
                  <w:rFonts w:ascii="Cambria Math" w:hAnsi="Cambria Math" w:cs="Arial"/>
                  <w:i/>
                  <w:spacing w:val="4"/>
                </w:rPr>
              </m:ctrlPr>
            </m:sSubPr>
            <m:e>
              <m:r>
                <w:rPr>
                  <w:rFonts w:ascii="Cambria Math" w:hAnsi="Cambria Math" w:cs="Arial"/>
                  <w:spacing w:val="4"/>
                </w:rPr>
                <m:t>Dt</m:t>
              </m:r>
            </m:e>
            <m:sub>
              <m:r>
                <w:rPr>
                  <w:rFonts w:ascii="Cambria Math" w:hAnsi="Cambria Math" w:cs="Arial"/>
                  <w:spacing w:val="4"/>
                </w:rPr>
                <m:t>n,j,m,t</m:t>
              </m:r>
            </m:sub>
          </m:sSub>
          <m:r>
            <w:rPr>
              <w:rFonts w:ascii="Cambria Math" w:hAnsi="Cambria Math" w:cs="Arial"/>
              <w:spacing w:val="4"/>
            </w:rPr>
            <m:t>*</m:t>
          </m:r>
          <m:nary>
            <m:naryPr>
              <m:chr m:val="∑"/>
              <m:limLoc m:val="undOvr"/>
              <m:ctrlPr>
                <w:rPr>
                  <w:rFonts w:ascii="Cambria Math" w:hAnsi="Cambria Math" w:cs="Arial"/>
                  <w:i/>
                  <w:spacing w:val="4"/>
                </w:rPr>
              </m:ctrlPr>
            </m:naryPr>
            <m:sub>
              <m:r>
                <w:rPr>
                  <w:rFonts w:ascii="Cambria Math" w:hAnsi="Cambria Math" w:cs="Arial"/>
                  <w:spacing w:val="4"/>
                </w:rPr>
                <m:t>i=1</m:t>
              </m:r>
            </m:sub>
            <m:sup>
              <m:r>
                <w:rPr>
                  <w:rFonts w:ascii="Cambria Math" w:hAnsi="Cambria Math" w:cs="Arial"/>
                  <w:spacing w:val="4"/>
                </w:rPr>
                <m:t>24</m:t>
              </m:r>
            </m:sup>
            <m:e>
              <m:sSub>
                <m:sSubPr>
                  <m:ctrlPr>
                    <w:rPr>
                      <w:rFonts w:ascii="Cambria Math" w:hAnsi="Cambria Math" w:cs="Arial"/>
                      <w:i/>
                      <w:spacing w:val="4"/>
                    </w:rPr>
                  </m:ctrlPr>
                </m:sSubPr>
                <m:e>
                  <m:r>
                    <w:rPr>
                      <w:rFonts w:ascii="Cambria Math" w:hAnsi="Cambria Math" w:cs="Arial"/>
                      <w:spacing w:val="4"/>
                    </w:rPr>
                    <m:t>P</m:t>
                  </m:r>
                </m:e>
                <m:sub>
                  <m:r>
                    <w:rPr>
                      <w:rFonts w:ascii="Cambria Math" w:hAnsi="Cambria Math" w:cs="Arial"/>
                      <w:spacing w:val="4"/>
                    </w:rPr>
                    <m:t>i</m:t>
                  </m:r>
                </m:sub>
              </m:sSub>
            </m:e>
          </m:nary>
        </m:oMath>
      </m:oMathPara>
    </w:p>
    <w:p w:rsidR="00F674C8" w:rsidRPr="004E6CFC" w:rsidRDefault="00C9592F" w:rsidP="00F674C8">
      <w:pPr>
        <w:numPr>
          <w:ilvl w:val="12"/>
          <w:numId w:val="0"/>
        </w:numPr>
        <w:tabs>
          <w:tab w:val="center" w:pos="4680"/>
        </w:tabs>
        <w:suppressAutoHyphens/>
        <w:rPr>
          <w:rFonts w:cs="Arial"/>
          <w:spacing w:val="4"/>
        </w:rPr>
      </w:pPr>
      <m:oMathPara>
        <m:oMath>
          <m:f>
            <m:fPr>
              <m:ctrlPr>
                <w:rPr>
                  <w:rFonts w:ascii="Cambria Math" w:hAnsi="Cambria Math" w:cs="Arial"/>
                  <w:i/>
                  <w:spacing w:val="4"/>
                </w:rPr>
              </m:ctrlPr>
            </m:fPr>
            <m:num>
              <m:sSub>
                <m:sSubPr>
                  <m:ctrlPr>
                    <w:rPr>
                      <w:rFonts w:ascii="Cambria Math" w:hAnsi="Cambria Math" w:cs="Arial"/>
                      <w:i/>
                      <w:spacing w:val="4"/>
                    </w:rPr>
                  </m:ctrlPr>
                </m:sSubPr>
                <m:e>
                  <m:r>
                    <w:rPr>
                      <w:rFonts w:ascii="Cambria Math" w:hAnsi="Cambria Math" w:cs="Arial"/>
                      <w:spacing w:val="4"/>
                    </w:rPr>
                    <m:t>D</m:t>
                  </m:r>
                </m:e>
                <m:sub>
                  <m:r>
                    <w:rPr>
                      <w:rFonts w:ascii="Cambria Math" w:hAnsi="Cambria Math" w:cs="Arial"/>
                      <w:spacing w:val="4"/>
                    </w:rPr>
                    <m:t>x,n,j,m,t</m:t>
                  </m:r>
                </m:sub>
              </m:sSub>
            </m:num>
            <m:den>
              <m:r>
                <w:rPr>
                  <w:rFonts w:ascii="Cambria Math" w:hAnsi="Cambria Math" w:cs="Arial"/>
                  <w:spacing w:val="4"/>
                </w:rPr>
                <m:t>fch*</m:t>
              </m:r>
              <m:sSub>
                <m:sSubPr>
                  <m:ctrlPr>
                    <w:rPr>
                      <w:rFonts w:ascii="Cambria Math" w:hAnsi="Cambria Math" w:cs="Arial"/>
                      <w:i/>
                      <w:spacing w:val="4"/>
                    </w:rPr>
                  </m:ctrlPr>
                </m:sSubPr>
                <m:e>
                  <m:r>
                    <w:rPr>
                      <w:rFonts w:ascii="Cambria Math" w:hAnsi="Cambria Math" w:cs="Arial"/>
                      <w:spacing w:val="4"/>
                    </w:rPr>
                    <m:t>D</m:t>
                  </m:r>
                </m:e>
                <m:sub>
                  <m:r>
                    <w:rPr>
                      <w:rFonts w:ascii="Cambria Math" w:hAnsi="Cambria Math" w:cs="Arial"/>
                      <w:spacing w:val="4"/>
                    </w:rPr>
                    <m:t>z,n,j,m,t</m:t>
                  </m:r>
                </m:sub>
              </m:sSub>
            </m:den>
          </m:f>
          <m:r>
            <w:rPr>
              <w:rFonts w:ascii="Cambria Math" w:hAnsi="Cambria Math" w:cs="Arial"/>
              <w:spacing w:val="4"/>
            </w:rPr>
            <m:t>=</m:t>
          </m:r>
          <m:f>
            <m:fPr>
              <m:ctrlPr>
                <w:rPr>
                  <w:rFonts w:ascii="Cambria Math" w:hAnsi="Cambria Math" w:cs="Arial"/>
                  <w:i/>
                  <w:spacing w:val="4"/>
                </w:rPr>
              </m:ctrlPr>
            </m:fPr>
            <m:num>
              <m:sSub>
                <m:sSubPr>
                  <m:ctrlPr>
                    <w:rPr>
                      <w:rFonts w:ascii="Cambria Math" w:hAnsi="Cambria Math" w:cs="Arial"/>
                      <w:i/>
                      <w:spacing w:val="4"/>
                    </w:rPr>
                  </m:ctrlPr>
                </m:sSubPr>
                <m:e>
                  <m:r>
                    <w:rPr>
                      <w:rFonts w:ascii="Cambria Math" w:hAnsi="Cambria Math" w:cs="Arial"/>
                      <w:spacing w:val="4"/>
                    </w:rPr>
                    <m:t>P</m:t>
                  </m:r>
                </m:e>
                <m:sub>
                  <m:r>
                    <w:rPr>
                      <w:rFonts w:ascii="Cambria Math" w:hAnsi="Cambria Math" w:cs="Arial"/>
                      <w:spacing w:val="4"/>
                    </w:rPr>
                    <m:t>x</m:t>
                  </m:r>
                </m:sub>
              </m:sSub>
            </m:num>
            <m:den>
              <m:sSub>
                <m:sSubPr>
                  <m:ctrlPr>
                    <w:rPr>
                      <w:rFonts w:ascii="Cambria Math" w:hAnsi="Cambria Math" w:cs="Arial"/>
                      <w:i/>
                      <w:spacing w:val="4"/>
                    </w:rPr>
                  </m:ctrlPr>
                </m:sSubPr>
                <m:e>
                  <m:r>
                    <w:rPr>
                      <w:rFonts w:ascii="Cambria Math" w:hAnsi="Cambria Math" w:cs="Arial"/>
                      <w:spacing w:val="4"/>
                    </w:rPr>
                    <m:t>P</m:t>
                  </m:r>
                </m:e>
                <m:sub>
                  <m:r>
                    <w:rPr>
                      <w:rFonts w:ascii="Cambria Math" w:hAnsi="Cambria Math" w:cs="Arial"/>
                      <w:spacing w:val="4"/>
                    </w:rPr>
                    <m:t>z</m:t>
                  </m:r>
                </m:sub>
              </m:sSub>
            </m:den>
          </m:f>
        </m:oMath>
      </m:oMathPara>
    </w:p>
    <w:p w:rsidR="00F674C8" w:rsidRPr="004E6CFC" w:rsidRDefault="00C9592F" w:rsidP="00F674C8">
      <w:pPr>
        <w:numPr>
          <w:ilvl w:val="12"/>
          <w:numId w:val="0"/>
        </w:numPr>
        <w:tabs>
          <w:tab w:val="center" w:pos="4680"/>
        </w:tabs>
        <w:suppressAutoHyphens/>
        <w:rPr>
          <w:rFonts w:cs="Arial"/>
          <w:spacing w:val="4"/>
        </w:rPr>
      </w:pPr>
      <m:oMathPara>
        <m:oMath>
          <m:f>
            <m:fPr>
              <m:ctrlPr>
                <w:rPr>
                  <w:rFonts w:ascii="Cambria Math" w:hAnsi="Cambria Math" w:cs="Arial"/>
                  <w:i/>
                  <w:spacing w:val="4"/>
                </w:rPr>
              </m:ctrlPr>
            </m:fPr>
            <m:num>
              <m:sSub>
                <m:sSubPr>
                  <m:ctrlPr>
                    <w:rPr>
                      <w:rFonts w:ascii="Cambria Math" w:hAnsi="Cambria Math" w:cs="Arial"/>
                      <w:i/>
                      <w:spacing w:val="4"/>
                    </w:rPr>
                  </m:ctrlPr>
                </m:sSubPr>
                <m:e>
                  <m:r>
                    <w:rPr>
                      <w:rFonts w:ascii="Cambria Math" w:hAnsi="Cambria Math" w:cs="Arial"/>
                      <w:spacing w:val="4"/>
                    </w:rPr>
                    <m:t>D</m:t>
                  </m:r>
                </m:e>
                <m:sub>
                  <m:r>
                    <w:rPr>
                      <w:rFonts w:ascii="Cambria Math" w:hAnsi="Cambria Math" w:cs="Arial"/>
                      <w:spacing w:val="4"/>
                    </w:rPr>
                    <m:t>x,n,j,m,t</m:t>
                  </m:r>
                </m:sub>
              </m:sSub>
            </m:num>
            <m:den>
              <m:sSup>
                <m:sSupPr>
                  <m:ctrlPr>
                    <w:rPr>
                      <w:rFonts w:ascii="Cambria Math" w:hAnsi="Cambria Math" w:cs="Arial"/>
                      <w:i/>
                      <w:spacing w:val="4"/>
                    </w:rPr>
                  </m:ctrlPr>
                </m:sSupPr>
                <m:e>
                  <m:r>
                    <w:rPr>
                      <w:rFonts w:ascii="Cambria Math" w:hAnsi="Cambria Math" w:cs="Arial"/>
                      <w:spacing w:val="4"/>
                    </w:rPr>
                    <m:t>fch</m:t>
                  </m:r>
                </m:e>
                <m:sup>
                  <m:r>
                    <w:rPr>
                      <w:rFonts w:ascii="Cambria Math" w:hAnsi="Cambria Math" w:cs="Arial"/>
                      <w:spacing w:val="4"/>
                    </w:rPr>
                    <m:t>2</m:t>
                  </m:r>
                </m:sup>
              </m:sSup>
              <m:r>
                <w:rPr>
                  <w:rFonts w:ascii="Cambria Math" w:hAnsi="Cambria Math" w:cs="Arial"/>
                  <w:spacing w:val="4"/>
                </w:rPr>
                <m:t>*</m:t>
              </m:r>
              <m:sSub>
                <m:sSubPr>
                  <m:ctrlPr>
                    <w:rPr>
                      <w:rFonts w:ascii="Cambria Math" w:hAnsi="Cambria Math" w:cs="Arial"/>
                      <w:i/>
                      <w:spacing w:val="4"/>
                    </w:rPr>
                  </m:ctrlPr>
                </m:sSubPr>
                <m:e>
                  <m:r>
                    <w:rPr>
                      <w:rFonts w:ascii="Cambria Math" w:hAnsi="Cambria Math" w:cs="Arial"/>
                      <w:spacing w:val="4"/>
                    </w:rPr>
                    <m:t>D</m:t>
                  </m:r>
                </m:e>
                <m:sub>
                  <m:r>
                    <w:rPr>
                      <w:rFonts w:ascii="Cambria Math" w:hAnsi="Cambria Math" w:cs="Arial"/>
                      <w:spacing w:val="4"/>
                    </w:rPr>
                    <m:t>y,n,j,m,t</m:t>
                  </m:r>
                </m:sub>
              </m:sSub>
            </m:den>
          </m:f>
          <m:r>
            <w:rPr>
              <w:rFonts w:ascii="Cambria Math" w:hAnsi="Cambria Math" w:cs="Arial"/>
              <w:spacing w:val="4"/>
            </w:rPr>
            <m:t>=</m:t>
          </m:r>
          <m:f>
            <m:fPr>
              <m:ctrlPr>
                <w:rPr>
                  <w:rFonts w:ascii="Cambria Math" w:hAnsi="Cambria Math" w:cs="Arial"/>
                  <w:i/>
                  <w:spacing w:val="4"/>
                </w:rPr>
              </m:ctrlPr>
            </m:fPr>
            <m:num>
              <m:sSub>
                <m:sSubPr>
                  <m:ctrlPr>
                    <w:rPr>
                      <w:rFonts w:ascii="Cambria Math" w:hAnsi="Cambria Math" w:cs="Arial"/>
                      <w:i/>
                      <w:spacing w:val="4"/>
                    </w:rPr>
                  </m:ctrlPr>
                </m:sSubPr>
                <m:e>
                  <m:r>
                    <w:rPr>
                      <w:rFonts w:ascii="Cambria Math" w:hAnsi="Cambria Math" w:cs="Arial"/>
                      <w:spacing w:val="4"/>
                    </w:rPr>
                    <m:t>P</m:t>
                  </m:r>
                </m:e>
                <m:sub>
                  <m:r>
                    <w:rPr>
                      <w:rFonts w:ascii="Cambria Math" w:hAnsi="Cambria Math" w:cs="Arial"/>
                      <w:spacing w:val="4"/>
                    </w:rPr>
                    <m:t>x</m:t>
                  </m:r>
                </m:sub>
              </m:sSub>
            </m:num>
            <m:den>
              <m:sSub>
                <m:sSubPr>
                  <m:ctrlPr>
                    <w:rPr>
                      <w:rFonts w:ascii="Cambria Math" w:hAnsi="Cambria Math" w:cs="Arial"/>
                      <w:i/>
                      <w:spacing w:val="4"/>
                    </w:rPr>
                  </m:ctrlPr>
                </m:sSubPr>
                <m:e>
                  <m:r>
                    <w:rPr>
                      <w:rFonts w:ascii="Cambria Math" w:hAnsi="Cambria Math" w:cs="Arial"/>
                      <w:spacing w:val="4"/>
                    </w:rPr>
                    <m:t>P</m:t>
                  </m:r>
                </m:e>
                <m:sub>
                  <m:r>
                    <w:rPr>
                      <w:rFonts w:ascii="Cambria Math" w:hAnsi="Cambria Math" w:cs="Arial"/>
                      <w:spacing w:val="4"/>
                    </w:rPr>
                    <m:t>y</m:t>
                  </m:r>
                </m:sub>
              </m:sSub>
            </m:den>
          </m:f>
        </m:oMath>
      </m:oMathPara>
    </w:p>
    <w:p w:rsidR="00F674C8" w:rsidRPr="004E6CFC" w:rsidRDefault="00F674C8" w:rsidP="00F674C8">
      <w:pPr>
        <w:pStyle w:val="Sangradetextonormal"/>
        <w:numPr>
          <w:ilvl w:val="12"/>
          <w:numId w:val="0"/>
        </w:numPr>
        <w:tabs>
          <w:tab w:val="center" w:pos="4680"/>
        </w:tabs>
        <w:suppressAutoHyphens/>
        <w:rPr>
          <w:spacing w:val="4"/>
        </w:rPr>
      </w:pPr>
      <w:r w:rsidRPr="004E6CFC">
        <w:rPr>
          <w:spacing w:val="4"/>
        </w:rPr>
        <w:t>Donde:</w:t>
      </w:r>
    </w:p>
    <w:p w:rsidR="00F674C8" w:rsidRPr="00E807A7" w:rsidRDefault="00F674C8" w:rsidP="00F674C8">
      <w:pPr>
        <w:pStyle w:val="Sangradetextonormal"/>
        <w:numPr>
          <w:ilvl w:val="12"/>
          <w:numId w:val="0"/>
        </w:numPr>
        <w:tabs>
          <w:tab w:val="center" w:pos="4680"/>
        </w:tabs>
        <w:suppressAutoHyphens/>
        <w:ind w:left="1560" w:hanging="1560"/>
        <w:rPr>
          <w:spacing w:val="4"/>
        </w:rPr>
      </w:pPr>
      <w:r w:rsidRPr="00E807A7">
        <w:rPr>
          <w:i/>
          <w:spacing w:val="4"/>
        </w:rPr>
        <w:t>fch:</w:t>
      </w:r>
      <w:r w:rsidRPr="00E807A7">
        <w:rPr>
          <w:spacing w:val="4"/>
        </w:rPr>
        <w:t xml:space="preserve"> </w:t>
      </w:r>
      <w:r w:rsidRPr="00E807A7">
        <w:rPr>
          <w:spacing w:val="4"/>
        </w:rPr>
        <w:tab/>
        <w:t>Factor para ampliar la diferencia entre los cargos horarios. Durante los dos primeros años será igual a 2</w:t>
      </w:r>
      <w:r>
        <w:rPr>
          <w:spacing w:val="4"/>
        </w:rPr>
        <w:t xml:space="preserve"> y podrá ser modificado posteriormente</w:t>
      </w:r>
      <w:r w:rsidRPr="00E807A7">
        <w:rPr>
          <w:spacing w:val="4"/>
        </w:rPr>
        <w:t>.</w:t>
      </w:r>
    </w:p>
    <w:p w:rsidR="00F674C8" w:rsidRPr="004E6CFC" w:rsidRDefault="00F674C8" w:rsidP="00F674C8">
      <w:pPr>
        <w:pStyle w:val="Sangradetextonormal"/>
        <w:numPr>
          <w:ilvl w:val="12"/>
          <w:numId w:val="0"/>
        </w:numPr>
        <w:tabs>
          <w:tab w:val="center" w:pos="4680"/>
        </w:tabs>
        <w:suppressAutoHyphens/>
        <w:ind w:left="1560" w:hanging="1560"/>
        <w:rPr>
          <w:spacing w:val="4"/>
        </w:rPr>
      </w:pPr>
      <w:r w:rsidRPr="004E6CFC">
        <w:rPr>
          <w:i/>
          <w:spacing w:val="4"/>
        </w:rPr>
        <w:t>H</w:t>
      </w:r>
      <w:r w:rsidRPr="004E6CFC">
        <w:rPr>
          <w:i/>
          <w:spacing w:val="4"/>
          <w:vertAlign w:val="subscript"/>
        </w:rPr>
        <w:t>x</w:t>
      </w:r>
      <w:r w:rsidRPr="004E6CFC">
        <w:rPr>
          <w:i/>
          <w:spacing w:val="4"/>
        </w:rPr>
        <w:t>, H</w:t>
      </w:r>
      <w:r w:rsidRPr="004E6CFC">
        <w:rPr>
          <w:i/>
          <w:spacing w:val="4"/>
          <w:vertAlign w:val="subscript"/>
        </w:rPr>
        <w:t xml:space="preserve">z </w:t>
      </w:r>
      <w:r w:rsidRPr="004E6CFC">
        <w:rPr>
          <w:i/>
          <w:spacing w:val="4"/>
        </w:rPr>
        <w:t>y H</w:t>
      </w:r>
      <w:r w:rsidRPr="004E6CFC">
        <w:rPr>
          <w:i/>
          <w:spacing w:val="4"/>
          <w:vertAlign w:val="subscript"/>
        </w:rPr>
        <w:t>y</w:t>
      </w:r>
      <w:r w:rsidRPr="004E6CFC">
        <w:rPr>
          <w:i/>
          <w:spacing w:val="4"/>
        </w:rPr>
        <w:t>:</w:t>
      </w:r>
      <w:r w:rsidRPr="004E6CFC">
        <w:rPr>
          <w:spacing w:val="4"/>
        </w:rPr>
        <w:t xml:space="preserve"> </w:t>
      </w:r>
      <w:r w:rsidRPr="004E6CFC">
        <w:rPr>
          <w:spacing w:val="4"/>
        </w:rPr>
        <w:tab/>
        <w:t xml:space="preserve">Número de horas asociadas con cada  uno de los períodos horarios, determinados, de acuerdo con el numeral </w:t>
      </w:r>
      <w:r w:rsidRPr="004E6CFC">
        <w:rPr>
          <w:spacing w:val="4"/>
        </w:rPr>
        <w:fldChar w:fldCharType="begin"/>
      </w:r>
      <w:r w:rsidRPr="004E6CFC">
        <w:rPr>
          <w:spacing w:val="4"/>
        </w:rPr>
        <w:instrText xml:space="preserve"> REF _Ref444678573 \r \h  \* MERGEFORMAT </w:instrText>
      </w:r>
      <w:r w:rsidRPr="004E6CFC">
        <w:rPr>
          <w:spacing w:val="4"/>
        </w:rPr>
      </w:r>
      <w:r w:rsidRPr="004E6CFC">
        <w:rPr>
          <w:spacing w:val="4"/>
        </w:rPr>
        <w:fldChar w:fldCharType="separate"/>
      </w:r>
      <w:r w:rsidR="00737178">
        <w:rPr>
          <w:spacing w:val="4"/>
        </w:rPr>
        <w:t>9.1</w:t>
      </w:r>
      <w:r w:rsidRPr="004E6CFC">
        <w:rPr>
          <w:spacing w:val="4"/>
        </w:rPr>
        <w:fldChar w:fldCharType="end"/>
      </w:r>
      <w:r w:rsidRPr="004E6CFC">
        <w:rPr>
          <w:spacing w:val="4"/>
        </w:rPr>
        <w:t xml:space="preserve">. </w:t>
      </w:r>
      <w:r w:rsidRPr="004E6CFC">
        <w:rPr>
          <w:i/>
          <w:spacing w:val="4"/>
        </w:rPr>
        <w:t>H</w:t>
      </w:r>
      <w:r w:rsidRPr="004E6CFC">
        <w:rPr>
          <w:i/>
          <w:spacing w:val="4"/>
          <w:vertAlign w:val="subscript"/>
        </w:rPr>
        <w:t>x</w:t>
      </w:r>
      <w:r w:rsidRPr="004E6CFC">
        <w:rPr>
          <w:spacing w:val="4"/>
        </w:rPr>
        <w:t xml:space="preserve"> para el período de carga máxima, </w:t>
      </w:r>
      <w:r w:rsidRPr="004E6CFC">
        <w:rPr>
          <w:i/>
          <w:spacing w:val="4"/>
        </w:rPr>
        <w:t>H</w:t>
      </w:r>
      <w:r w:rsidRPr="00E37460">
        <w:rPr>
          <w:i/>
          <w:spacing w:val="4"/>
          <w:vertAlign w:val="subscript"/>
        </w:rPr>
        <w:t>z</w:t>
      </w:r>
      <w:r w:rsidRPr="004E6CFC">
        <w:rPr>
          <w:spacing w:val="4"/>
        </w:rPr>
        <w:t xml:space="preserve"> para el período de carga media y </w:t>
      </w:r>
      <w:r w:rsidRPr="004E6CFC">
        <w:rPr>
          <w:i/>
          <w:spacing w:val="4"/>
        </w:rPr>
        <w:t>H</w:t>
      </w:r>
      <w:r w:rsidRPr="004E6CFC">
        <w:rPr>
          <w:i/>
          <w:spacing w:val="4"/>
          <w:vertAlign w:val="subscript"/>
        </w:rPr>
        <w:t>y</w:t>
      </w:r>
      <w:r w:rsidRPr="004E6CFC">
        <w:rPr>
          <w:spacing w:val="4"/>
        </w:rPr>
        <w:t xml:space="preserve"> para el período de carga mínima, en el nivel de tensión </w:t>
      </w:r>
      <w:r w:rsidRPr="004E6CFC">
        <w:rPr>
          <w:i/>
          <w:spacing w:val="4"/>
        </w:rPr>
        <w:t>n</w:t>
      </w:r>
    </w:p>
    <w:p w:rsidR="00F674C8" w:rsidRPr="004E6CFC" w:rsidRDefault="00F674C8" w:rsidP="00F674C8">
      <w:pPr>
        <w:pStyle w:val="Sangradetextonormal"/>
        <w:numPr>
          <w:ilvl w:val="12"/>
          <w:numId w:val="0"/>
        </w:numPr>
        <w:tabs>
          <w:tab w:val="center" w:pos="4680"/>
        </w:tabs>
        <w:suppressAutoHyphens/>
        <w:ind w:left="1560" w:hanging="1560"/>
        <w:rPr>
          <w:rFonts w:cs="Arial"/>
          <w:spacing w:val="4"/>
        </w:rPr>
      </w:pPr>
      <w:r w:rsidRPr="004E6CFC">
        <w:rPr>
          <w:rFonts w:cs="Arial"/>
          <w:i/>
          <w:spacing w:val="4"/>
        </w:rPr>
        <w:t>P</w:t>
      </w:r>
      <w:r w:rsidRPr="004E6CFC">
        <w:rPr>
          <w:rFonts w:cs="Arial"/>
          <w:i/>
          <w:spacing w:val="4"/>
          <w:vertAlign w:val="subscript"/>
        </w:rPr>
        <w:t>x</w:t>
      </w:r>
      <w:r w:rsidRPr="004E6CFC">
        <w:rPr>
          <w:rFonts w:cs="Arial"/>
          <w:i/>
          <w:spacing w:val="4"/>
        </w:rPr>
        <w:t>, P</w:t>
      </w:r>
      <w:r w:rsidRPr="004E6CFC">
        <w:rPr>
          <w:rFonts w:cs="Arial"/>
          <w:i/>
          <w:spacing w:val="4"/>
          <w:vertAlign w:val="subscript"/>
        </w:rPr>
        <w:t>z</w:t>
      </w:r>
      <w:r w:rsidRPr="004E6CFC">
        <w:rPr>
          <w:rFonts w:cs="Arial"/>
          <w:i/>
          <w:spacing w:val="4"/>
        </w:rPr>
        <w:t xml:space="preserve"> y P</w:t>
      </w:r>
      <w:r w:rsidRPr="004E6CFC">
        <w:rPr>
          <w:rFonts w:cs="Arial"/>
          <w:i/>
          <w:spacing w:val="4"/>
          <w:vertAlign w:val="subscript"/>
        </w:rPr>
        <w:t>y</w:t>
      </w:r>
      <w:r w:rsidRPr="004E6CFC">
        <w:rPr>
          <w:rFonts w:cs="Arial"/>
          <w:i/>
          <w:spacing w:val="4"/>
        </w:rPr>
        <w:t>:</w:t>
      </w:r>
      <w:r w:rsidRPr="004E6CFC">
        <w:rPr>
          <w:rFonts w:cs="Arial"/>
          <w:spacing w:val="4"/>
        </w:rPr>
        <w:t xml:space="preserve"> </w:t>
      </w:r>
      <w:r w:rsidRPr="004E6CFC">
        <w:rPr>
          <w:rFonts w:cs="Arial"/>
          <w:spacing w:val="4"/>
        </w:rPr>
        <w:tab/>
        <w:t xml:space="preserve">Potencia resultante de promediar las potencias (Pi) asociadas con las horas asignadas a cada uno de los períodos de carga </w:t>
      </w:r>
      <w:r w:rsidRPr="004E6CFC">
        <w:rPr>
          <w:spacing w:val="4"/>
        </w:rPr>
        <w:t xml:space="preserve">determinados, de acuerdo con el numeral </w:t>
      </w:r>
      <w:r w:rsidRPr="004E6CFC">
        <w:rPr>
          <w:spacing w:val="4"/>
        </w:rPr>
        <w:fldChar w:fldCharType="begin"/>
      </w:r>
      <w:r w:rsidRPr="004E6CFC">
        <w:rPr>
          <w:spacing w:val="4"/>
        </w:rPr>
        <w:instrText xml:space="preserve"> REF _Ref444678573 \r \h  \* MERGEFORMAT </w:instrText>
      </w:r>
      <w:r w:rsidRPr="004E6CFC">
        <w:rPr>
          <w:spacing w:val="4"/>
        </w:rPr>
      </w:r>
      <w:r w:rsidRPr="004E6CFC">
        <w:rPr>
          <w:spacing w:val="4"/>
        </w:rPr>
        <w:fldChar w:fldCharType="separate"/>
      </w:r>
      <w:r w:rsidR="00737178">
        <w:rPr>
          <w:spacing w:val="4"/>
        </w:rPr>
        <w:t>9.1</w:t>
      </w:r>
      <w:r w:rsidRPr="004E6CFC">
        <w:rPr>
          <w:spacing w:val="4"/>
        </w:rPr>
        <w:fldChar w:fldCharType="end"/>
      </w:r>
      <w:r w:rsidRPr="004E6CFC">
        <w:rPr>
          <w:spacing w:val="4"/>
        </w:rPr>
        <w:t xml:space="preserve">. </w:t>
      </w:r>
      <w:r w:rsidRPr="004E6CFC">
        <w:rPr>
          <w:i/>
          <w:spacing w:val="4"/>
        </w:rPr>
        <w:t>P</w:t>
      </w:r>
      <w:r w:rsidRPr="004E6CFC">
        <w:rPr>
          <w:i/>
          <w:spacing w:val="4"/>
          <w:vertAlign w:val="subscript"/>
        </w:rPr>
        <w:t>x</w:t>
      </w:r>
      <w:r w:rsidRPr="004E6CFC">
        <w:rPr>
          <w:spacing w:val="4"/>
        </w:rPr>
        <w:t xml:space="preserve"> para el período de carga máxima, </w:t>
      </w:r>
      <w:r w:rsidRPr="004E6CFC">
        <w:rPr>
          <w:i/>
          <w:spacing w:val="4"/>
        </w:rPr>
        <w:t>P</w:t>
      </w:r>
      <w:r w:rsidRPr="004E6CFC">
        <w:rPr>
          <w:i/>
          <w:spacing w:val="4"/>
          <w:vertAlign w:val="subscript"/>
        </w:rPr>
        <w:t>z</w:t>
      </w:r>
      <w:r w:rsidRPr="004E6CFC">
        <w:rPr>
          <w:spacing w:val="4"/>
        </w:rPr>
        <w:t xml:space="preserve"> para el período de carga media y </w:t>
      </w:r>
      <w:r w:rsidRPr="004E6CFC">
        <w:rPr>
          <w:i/>
          <w:spacing w:val="4"/>
        </w:rPr>
        <w:t>P</w:t>
      </w:r>
      <w:r w:rsidRPr="004E6CFC">
        <w:rPr>
          <w:i/>
          <w:spacing w:val="4"/>
          <w:vertAlign w:val="subscript"/>
        </w:rPr>
        <w:t>y</w:t>
      </w:r>
      <w:r w:rsidRPr="004E6CFC">
        <w:rPr>
          <w:spacing w:val="4"/>
        </w:rPr>
        <w:t xml:space="preserve"> para el período de carga mínima, en el nivel de tensión </w:t>
      </w:r>
      <w:r w:rsidRPr="004E6CFC">
        <w:rPr>
          <w:i/>
          <w:spacing w:val="4"/>
        </w:rPr>
        <w:t>n</w:t>
      </w:r>
      <w:r w:rsidRPr="004E6CFC">
        <w:rPr>
          <w:rFonts w:cs="Arial"/>
          <w:spacing w:val="4"/>
        </w:rPr>
        <w:t>.</w:t>
      </w:r>
    </w:p>
    <w:p w:rsidR="00F674C8" w:rsidRPr="004E6CFC" w:rsidRDefault="00F674C8" w:rsidP="00F674C8">
      <w:pPr>
        <w:spacing w:before="120"/>
        <w:ind w:left="1560" w:hanging="1560"/>
      </w:pPr>
      <w:r w:rsidRPr="004E6CFC">
        <w:rPr>
          <w:rFonts w:cs="Arial"/>
          <w:i/>
          <w:spacing w:val="4"/>
        </w:rPr>
        <w:t>D</w:t>
      </w:r>
      <w:r w:rsidRPr="004E6CFC">
        <w:rPr>
          <w:rFonts w:cs="Arial"/>
          <w:i/>
          <w:spacing w:val="4"/>
          <w:vertAlign w:val="subscript"/>
        </w:rPr>
        <w:t>x,n,j,m,t</w:t>
      </w:r>
      <w:r w:rsidRPr="004E6CFC">
        <w:rPr>
          <w:rFonts w:cs="Arial"/>
          <w:i/>
          <w:spacing w:val="4"/>
        </w:rPr>
        <w:t>:</w:t>
      </w:r>
      <w:r w:rsidRPr="004E6CFC">
        <w:rPr>
          <w:rFonts w:cs="Arial"/>
          <w:spacing w:val="4"/>
        </w:rPr>
        <w:t xml:space="preserve"> </w:t>
      </w:r>
      <w:r w:rsidRPr="004E6CFC">
        <w:rPr>
          <w:rFonts w:cs="Arial"/>
          <w:spacing w:val="4"/>
        </w:rPr>
        <w:tab/>
        <w:t xml:space="preserve">Cargo por uso para la franja de horas de carga máxima del OR </w:t>
      </w:r>
      <w:r w:rsidRPr="004E6CFC">
        <w:rPr>
          <w:rFonts w:cs="Arial"/>
          <w:i/>
          <w:spacing w:val="4"/>
        </w:rPr>
        <w:t>j</w:t>
      </w:r>
      <w:r w:rsidRPr="004E6CFC">
        <w:rPr>
          <w:rFonts w:cs="Arial"/>
          <w:spacing w:val="4"/>
        </w:rPr>
        <w:t xml:space="preserve"> en el nivel de tensión </w:t>
      </w:r>
      <w:r w:rsidRPr="004E6CFC">
        <w:rPr>
          <w:rFonts w:cs="Arial"/>
          <w:i/>
          <w:spacing w:val="4"/>
        </w:rPr>
        <w:t>n</w:t>
      </w:r>
      <w:r w:rsidRPr="004E6CFC">
        <w:t xml:space="preserve"> en el mes </w:t>
      </w:r>
      <w:r w:rsidRPr="004E6CFC">
        <w:rPr>
          <w:i/>
        </w:rPr>
        <w:t>m</w:t>
      </w:r>
      <w:r w:rsidRPr="004E6CFC">
        <w:t xml:space="preserve"> del año </w:t>
      </w:r>
      <w:r w:rsidRPr="004E6CFC">
        <w:rPr>
          <w:i/>
        </w:rPr>
        <w:t>t</w:t>
      </w:r>
      <w:r w:rsidRPr="004E6CFC">
        <w:t xml:space="preserve">. En el caso de nivel de tensión 4 esta variable es igual a </w:t>
      </w:r>
      <w:r w:rsidRPr="004E6CFC">
        <w:rPr>
          <w:rFonts w:cs="Arial"/>
          <w:i/>
          <w:spacing w:val="4"/>
        </w:rPr>
        <w:t>D</w:t>
      </w:r>
      <w:r w:rsidRPr="004E6CFC">
        <w:rPr>
          <w:rFonts w:cs="Arial"/>
          <w:i/>
          <w:spacing w:val="4"/>
          <w:vertAlign w:val="subscript"/>
        </w:rPr>
        <w:t>x,n,R,m,t</w:t>
      </w:r>
      <w:r w:rsidRPr="004E6CFC">
        <w:rPr>
          <w:rFonts w:cs="Arial"/>
          <w:spacing w:val="4"/>
        </w:rPr>
        <w:t>.</w:t>
      </w:r>
    </w:p>
    <w:p w:rsidR="00F674C8" w:rsidRPr="004E6CFC" w:rsidRDefault="00F674C8" w:rsidP="00F674C8">
      <w:pPr>
        <w:spacing w:before="120"/>
        <w:ind w:left="1560" w:hanging="1560"/>
      </w:pPr>
      <w:r w:rsidRPr="004E6CFC">
        <w:rPr>
          <w:rFonts w:cs="Arial"/>
          <w:i/>
          <w:spacing w:val="4"/>
        </w:rPr>
        <w:t>D</w:t>
      </w:r>
      <w:r w:rsidRPr="004E6CFC">
        <w:rPr>
          <w:rFonts w:cs="Arial"/>
          <w:i/>
          <w:spacing w:val="4"/>
          <w:vertAlign w:val="subscript"/>
        </w:rPr>
        <w:t>z,n,j,m,t</w:t>
      </w:r>
      <w:r w:rsidRPr="004E6CFC">
        <w:rPr>
          <w:rFonts w:cs="Arial"/>
          <w:i/>
          <w:spacing w:val="4"/>
        </w:rPr>
        <w:t>:</w:t>
      </w:r>
      <w:r w:rsidRPr="004E6CFC">
        <w:rPr>
          <w:rFonts w:cs="Arial"/>
          <w:spacing w:val="4"/>
        </w:rPr>
        <w:t xml:space="preserve"> </w:t>
      </w:r>
      <w:r w:rsidRPr="004E6CFC">
        <w:rPr>
          <w:rFonts w:cs="Arial"/>
          <w:spacing w:val="4"/>
        </w:rPr>
        <w:tab/>
        <w:t xml:space="preserve">Cargo por uso para la franja de horas de carga media del OR </w:t>
      </w:r>
      <w:r w:rsidRPr="004E6CFC">
        <w:rPr>
          <w:rFonts w:cs="Arial"/>
          <w:i/>
          <w:spacing w:val="4"/>
        </w:rPr>
        <w:t>j</w:t>
      </w:r>
      <w:r w:rsidRPr="004E6CFC">
        <w:rPr>
          <w:rFonts w:cs="Arial"/>
          <w:spacing w:val="4"/>
        </w:rPr>
        <w:t xml:space="preserve"> en el nivel de tensión </w:t>
      </w:r>
      <w:r w:rsidRPr="004E6CFC">
        <w:rPr>
          <w:rFonts w:cs="Arial"/>
          <w:i/>
          <w:spacing w:val="4"/>
        </w:rPr>
        <w:t>n</w:t>
      </w:r>
      <w:r w:rsidRPr="004E6CFC">
        <w:t xml:space="preserve"> en el mes </w:t>
      </w:r>
      <w:r w:rsidRPr="004E6CFC">
        <w:rPr>
          <w:i/>
        </w:rPr>
        <w:t>m</w:t>
      </w:r>
      <w:r w:rsidRPr="004E6CFC">
        <w:t xml:space="preserve"> del año </w:t>
      </w:r>
      <w:r w:rsidRPr="004E6CFC">
        <w:rPr>
          <w:i/>
        </w:rPr>
        <w:t>t</w:t>
      </w:r>
      <w:r w:rsidRPr="004E6CFC">
        <w:t xml:space="preserve">. En el caso de nivel de tensión 4 esta variable es igual a </w:t>
      </w:r>
      <w:r w:rsidRPr="004E6CFC">
        <w:rPr>
          <w:rFonts w:cs="Arial"/>
          <w:i/>
          <w:spacing w:val="4"/>
        </w:rPr>
        <w:t>D</w:t>
      </w:r>
      <w:r w:rsidRPr="004E6CFC">
        <w:rPr>
          <w:rFonts w:cs="Arial"/>
          <w:i/>
          <w:spacing w:val="4"/>
          <w:vertAlign w:val="subscript"/>
        </w:rPr>
        <w:t>z,n,R,m,t</w:t>
      </w:r>
    </w:p>
    <w:p w:rsidR="00F674C8" w:rsidRPr="004E6CFC" w:rsidRDefault="00F674C8" w:rsidP="00F674C8">
      <w:pPr>
        <w:spacing w:before="120"/>
        <w:ind w:left="1560" w:hanging="1560"/>
      </w:pPr>
      <w:r w:rsidRPr="004E6CFC">
        <w:rPr>
          <w:rFonts w:cs="Arial"/>
          <w:i/>
          <w:spacing w:val="4"/>
        </w:rPr>
        <w:t>D</w:t>
      </w:r>
      <w:r w:rsidRPr="004E6CFC">
        <w:rPr>
          <w:rFonts w:cs="Arial"/>
          <w:i/>
          <w:spacing w:val="4"/>
          <w:vertAlign w:val="subscript"/>
        </w:rPr>
        <w:t>y,n,j,m,t</w:t>
      </w:r>
      <w:r w:rsidRPr="004E6CFC">
        <w:rPr>
          <w:rFonts w:cs="Arial"/>
          <w:i/>
          <w:spacing w:val="4"/>
        </w:rPr>
        <w:t>:</w:t>
      </w:r>
      <w:r w:rsidRPr="004E6CFC">
        <w:rPr>
          <w:rFonts w:cs="Arial"/>
          <w:spacing w:val="4"/>
        </w:rPr>
        <w:t xml:space="preserve"> </w:t>
      </w:r>
      <w:r w:rsidRPr="004E6CFC">
        <w:rPr>
          <w:rFonts w:cs="Arial"/>
          <w:spacing w:val="4"/>
        </w:rPr>
        <w:tab/>
        <w:t xml:space="preserve">Cargo por uso para la franja de horas de carga mínima del OR </w:t>
      </w:r>
      <w:r w:rsidRPr="004E6CFC">
        <w:rPr>
          <w:rFonts w:cs="Arial"/>
          <w:i/>
          <w:spacing w:val="4"/>
        </w:rPr>
        <w:t>j</w:t>
      </w:r>
      <w:r w:rsidRPr="004E6CFC">
        <w:rPr>
          <w:rFonts w:cs="Arial"/>
          <w:spacing w:val="4"/>
        </w:rPr>
        <w:t xml:space="preserve"> en el nivel de tensión </w:t>
      </w:r>
      <w:r w:rsidRPr="004E6CFC">
        <w:rPr>
          <w:rFonts w:cs="Arial"/>
          <w:i/>
          <w:spacing w:val="4"/>
        </w:rPr>
        <w:t>n</w:t>
      </w:r>
      <w:r w:rsidRPr="004E6CFC">
        <w:t xml:space="preserve"> en el mes </w:t>
      </w:r>
      <w:r w:rsidRPr="004E6CFC">
        <w:rPr>
          <w:i/>
        </w:rPr>
        <w:t>m</w:t>
      </w:r>
      <w:r w:rsidRPr="004E6CFC">
        <w:t xml:space="preserve"> del año </w:t>
      </w:r>
      <w:r w:rsidRPr="004E6CFC">
        <w:rPr>
          <w:i/>
        </w:rPr>
        <w:t>t</w:t>
      </w:r>
      <w:r w:rsidRPr="004E6CFC">
        <w:t xml:space="preserve">. En el caso de nivel de tensión 4 esta variable es igual a </w:t>
      </w:r>
      <w:r w:rsidRPr="004E6CFC">
        <w:rPr>
          <w:rFonts w:cs="Arial"/>
          <w:i/>
          <w:spacing w:val="4"/>
        </w:rPr>
        <w:t>D</w:t>
      </w:r>
      <w:r w:rsidRPr="004E6CFC">
        <w:rPr>
          <w:rFonts w:cs="Arial"/>
          <w:i/>
          <w:spacing w:val="4"/>
          <w:vertAlign w:val="subscript"/>
        </w:rPr>
        <w:t>y,n,R,m,t</w:t>
      </w:r>
    </w:p>
    <w:p w:rsidR="00193054" w:rsidRDefault="00F674C8" w:rsidP="00A62992">
      <w:pPr>
        <w:ind w:left="1560" w:hanging="1560"/>
        <w:rPr>
          <w:lang w:val="es-CO"/>
        </w:rPr>
      </w:pPr>
      <w:r w:rsidRPr="004E6CFC">
        <w:rPr>
          <w:rFonts w:cs="Arial"/>
          <w:i/>
          <w:spacing w:val="4"/>
        </w:rPr>
        <w:t>Dt</w:t>
      </w:r>
      <w:r w:rsidRPr="004E6CFC">
        <w:rPr>
          <w:rFonts w:cs="Arial"/>
          <w:i/>
          <w:spacing w:val="4"/>
          <w:vertAlign w:val="subscript"/>
        </w:rPr>
        <w:t>,n,j,m,t</w:t>
      </w:r>
      <w:r w:rsidRPr="004E6CFC">
        <w:rPr>
          <w:rFonts w:cs="Arial"/>
          <w:i/>
          <w:spacing w:val="4"/>
        </w:rPr>
        <w:t>:</w:t>
      </w:r>
      <w:r w:rsidRPr="004E6CFC">
        <w:rPr>
          <w:rFonts w:cs="Arial"/>
          <w:spacing w:val="4"/>
        </w:rPr>
        <w:t xml:space="preserve"> </w:t>
      </w:r>
      <w:r w:rsidRPr="004E6CFC">
        <w:rPr>
          <w:rFonts w:cs="Arial"/>
          <w:spacing w:val="4"/>
        </w:rPr>
        <w:tab/>
        <w:t xml:space="preserve">Cargo por uso del OR </w:t>
      </w:r>
      <w:r w:rsidRPr="004E6CFC">
        <w:rPr>
          <w:rFonts w:cs="Arial"/>
          <w:i/>
          <w:spacing w:val="4"/>
        </w:rPr>
        <w:t>j</w:t>
      </w:r>
      <w:r w:rsidRPr="004E6CFC">
        <w:rPr>
          <w:rFonts w:cs="Arial"/>
          <w:spacing w:val="4"/>
        </w:rPr>
        <w:t xml:space="preserve"> en el nivel de tensión </w:t>
      </w:r>
      <w:r w:rsidRPr="004E6CFC">
        <w:rPr>
          <w:rFonts w:cs="Arial"/>
          <w:i/>
          <w:spacing w:val="4"/>
        </w:rPr>
        <w:t>n</w:t>
      </w:r>
      <w:r w:rsidRPr="004E6CFC">
        <w:t xml:space="preserve"> en el mes </w:t>
      </w:r>
      <w:r w:rsidRPr="004E6CFC">
        <w:rPr>
          <w:i/>
        </w:rPr>
        <w:t>m</w:t>
      </w:r>
      <w:r w:rsidRPr="004E6CFC">
        <w:t xml:space="preserve"> del año </w:t>
      </w:r>
      <w:r w:rsidRPr="004E6CFC">
        <w:rPr>
          <w:i/>
        </w:rPr>
        <w:t>t</w:t>
      </w:r>
      <w:r w:rsidRPr="004E6CFC">
        <w:t xml:space="preserve">. En el caso de nivel de tensión 4 esta variable es igual a  </w:t>
      </w:r>
      <w:r w:rsidRPr="004E6CFC">
        <w:rPr>
          <w:rFonts w:cs="Arial"/>
          <w:i/>
          <w:spacing w:val="4"/>
        </w:rPr>
        <w:t>Dt</w:t>
      </w:r>
      <w:r w:rsidRPr="004E6CFC">
        <w:rPr>
          <w:rFonts w:cs="Arial"/>
          <w:i/>
          <w:spacing w:val="4"/>
          <w:vertAlign w:val="subscript"/>
        </w:rPr>
        <w:t>,n,R,m,t</w:t>
      </w:r>
    </w:p>
    <w:p w:rsidR="00193054" w:rsidRPr="004E77B3" w:rsidRDefault="00193054" w:rsidP="00193054">
      <w:pPr>
        <w:pStyle w:val="Ttulo1"/>
      </w:pPr>
      <w:bookmarkStart w:id="987" w:name="_Ref403636258"/>
      <w:bookmarkStart w:id="988" w:name="_Toc408493223"/>
      <w:bookmarkStart w:id="989" w:name="_Toc505336003"/>
      <w:r w:rsidRPr="004E77B3">
        <w:lastRenderedPageBreak/>
        <w:t>CARGOS POR RESPALDO DE LA RED</w:t>
      </w:r>
      <w:bookmarkEnd w:id="961"/>
      <w:bookmarkEnd w:id="962"/>
      <w:bookmarkEnd w:id="963"/>
      <w:bookmarkEnd w:id="987"/>
      <w:bookmarkEnd w:id="988"/>
      <w:bookmarkEnd w:id="989"/>
    </w:p>
    <w:p w:rsidR="00A62992" w:rsidRPr="004E6CFC" w:rsidRDefault="00F674C8" w:rsidP="00F674C8">
      <w:r w:rsidRPr="004E6CFC">
        <w:t xml:space="preserve">Cualquier usuario </w:t>
      </w:r>
      <w:r w:rsidR="00A62992">
        <w:t xml:space="preserve">autogenerador </w:t>
      </w:r>
      <w:r w:rsidRPr="004E6CFC">
        <w:t>del SDL o STR con capacidad instalada igual o mayor a</w:t>
      </w:r>
      <w:r>
        <w:t xml:space="preserve"> 100 kW</w:t>
      </w:r>
      <w:r w:rsidRPr="004E6CFC">
        <w:t xml:space="preserve"> </w:t>
      </w:r>
      <w:r>
        <w:t xml:space="preserve">deberá </w:t>
      </w:r>
      <w:r w:rsidRPr="004E6CFC">
        <w:t>contratar capacidad de respaldo de la red, en la cantidad que defina dicho usuario y sujeto a la disponibilidad técnica del OR.</w:t>
      </w:r>
    </w:p>
    <w:p w:rsidR="00F674C8" w:rsidRPr="004E6CFC" w:rsidRDefault="00F674C8" w:rsidP="00F674C8">
      <w:r w:rsidRPr="004E6CFC">
        <w:t>Los usuarios</w:t>
      </w:r>
      <w:r w:rsidR="00A62992">
        <w:t xml:space="preserve"> autogeneradores</w:t>
      </w:r>
      <w:r w:rsidRPr="004E6CFC">
        <w:t xml:space="preserve"> del SDL o STR con capacidad instalada inferior</w:t>
      </w:r>
      <w:r>
        <w:t xml:space="preserve"> a 100 kW</w:t>
      </w:r>
      <w:r w:rsidRPr="004E6CFC">
        <w:t xml:space="preserve"> que requieran respaldo de red no están sujetos al pago de la misma.</w:t>
      </w:r>
    </w:p>
    <w:p w:rsidR="00F674C8" w:rsidRDefault="00F674C8" w:rsidP="00F674C8">
      <w:pPr>
        <w:rPr>
          <w:rFonts w:cs="Arial"/>
        </w:rPr>
      </w:pPr>
      <w:r>
        <w:rPr>
          <w:rFonts w:cs="Arial"/>
        </w:rPr>
        <w:t>Durante los primeros cinco años de aplicación de los ingresos y cargos calculados con base en la presente resolución, el pago anual por respaldo de transición será el resultante de las siguientes expresiones:</w:t>
      </w:r>
    </w:p>
    <w:p w:rsidR="00F674C8" w:rsidRDefault="00C9592F" w:rsidP="00F674C8">
      <w:pPr>
        <w:rPr>
          <w:rFonts w:cs="Arial"/>
        </w:rPr>
      </w:pPr>
      <m:oMathPara>
        <m:oMath>
          <m:sSub>
            <m:sSubPr>
              <m:ctrlPr>
                <w:rPr>
                  <w:rFonts w:ascii="Cambria Math" w:hAnsi="Cambria Math"/>
                  <w:i/>
                </w:rPr>
              </m:ctrlPr>
            </m:sSubPr>
            <m:e>
              <m:r>
                <w:rPr>
                  <w:rFonts w:ascii="Cambria Math" w:hAnsi="Cambria Math" w:cs="Arial"/>
                </w:rPr>
                <m:t>CRP</m:t>
              </m:r>
            </m:e>
            <m:sub>
              <m:r>
                <w:rPr>
                  <w:rFonts w:ascii="Cambria Math" w:hAnsi="Cambria Math"/>
                </w:rPr>
                <m:t>u,n,t</m:t>
              </m:r>
            </m:sub>
          </m:sSub>
          <m:r>
            <w:rPr>
              <w:rFonts w:ascii="Cambria Math" w:hAnsi="Cambria Math"/>
            </w:rPr>
            <m:t xml:space="preserve">=máx </m:t>
          </m:r>
          <m:d>
            <m:dPr>
              <m:begChr m:val="["/>
              <m:endChr m:val="]"/>
              <m:ctrlPr>
                <w:rPr>
                  <w:rFonts w:ascii="Cambria Math" w:hAnsi="Cambria Math"/>
                  <w:i/>
                </w:rPr>
              </m:ctrlPr>
            </m:dPr>
            <m:e>
              <m:sSub>
                <m:sSubPr>
                  <m:ctrlPr>
                    <w:rPr>
                      <w:rFonts w:ascii="Cambria Math" w:hAnsi="Cambria Math"/>
                      <w:i/>
                    </w:rPr>
                  </m:ctrlPr>
                </m:sSubPr>
                <m:e>
                  <m:r>
                    <w:rPr>
                      <w:rFonts w:ascii="Cambria Math" w:hAnsi="Cambria Math"/>
                    </w:rPr>
                    <m:t>CRt</m:t>
                  </m:r>
                </m:e>
                <m:sub>
                  <m:r>
                    <w:rPr>
                      <w:rFonts w:ascii="Cambria Math" w:hAnsi="Cambria Math"/>
                    </w:rPr>
                    <m:t>u,n,t</m:t>
                  </m:r>
                </m:sub>
              </m:sSub>
              <m:r>
                <w:rPr>
                  <w:rFonts w:ascii="Cambria Math" w:hAnsi="Cambria Math"/>
                </w:rPr>
                <m:t xml:space="preserve"> ,</m:t>
              </m:r>
              <m:sSub>
                <m:sSubPr>
                  <m:ctrlPr>
                    <w:rPr>
                      <w:rFonts w:ascii="Cambria Math" w:hAnsi="Cambria Math"/>
                      <w:i/>
                    </w:rPr>
                  </m:ctrlPr>
                </m:sSubPr>
                <m:e>
                  <m:r>
                    <w:rPr>
                      <w:rFonts w:ascii="Cambria Math" w:hAnsi="Cambria Math"/>
                    </w:rPr>
                    <m:t>CR</m:t>
                  </m:r>
                </m:e>
                <m:sub>
                  <m:r>
                    <w:rPr>
                      <w:rFonts w:ascii="Cambria Math" w:hAnsi="Cambria Math"/>
                    </w:rPr>
                    <m:t>u,n,0</m:t>
                  </m:r>
                </m:sub>
              </m:sSub>
            </m:e>
          </m:d>
        </m:oMath>
      </m:oMathPara>
    </w:p>
    <w:p w:rsidR="00F674C8" w:rsidRDefault="00C9592F" w:rsidP="00F674C8">
      <w:pPr>
        <w:rPr>
          <w:rFonts w:cs="Arial"/>
        </w:rPr>
      </w:pPr>
      <m:oMathPara>
        <m:oMath>
          <m:sSub>
            <m:sSubPr>
              <m:ctrlPr>
                <w:rPr>
                  <w:rFonts w:ascii="Cambria Math" w:hAnsi="Cambria Math"/>
                  <w:i/>
                </w:rPr>
              </m:ctrlPr>
            </m:sSubPr>
            <m:e>
              <m:r>
                <w:rPr>
                  <w:rFonts w:ascii="Cambria Math" w:hAnsi="Cambria Math" w:cs="Arial"/>
                </w:rPr>
                <m:t>CRt</m:t>
              </m:r>
            </m:e>
            <m:sub>
              <m:r>
                <w:rPr>
                  <w:rFonts w:ascii="Cambria Math" w:hAnsi="Cambria Math"/>
                </w:rPr>
                <m:t>u,n,t</m:t>
              </m:r>
            </m:sub>
          </m:sSub>
          <m:r>
            <w:rPr>
              <w:rFonts w:ascii="Cambria Math" w:hAnsi="Cambria Math"/>
            </w:rPr>
            <m:t>=</m:t>
          </m:r>
          <m:sSub>
            <m:sSubPr>
              <m:ctrlPr>
                <w:rPr>
                  <w:rFonts w:ascii="Cambria Math" w:hAnsi="Cambria Math"/>
                  <w:i/>
                </w:rPr>
              </m:ctrlPr>
            </m:sSubPr>
            <m:e>
              <m:r>
                <w:rPr>
                  <w:rFonts w:ascii="Cambria Math" w:hAnsi="Cambria Math"/>
                </w:rPr>
                <m:t>CR</m:t>
              </m:r>
            </m:e>
            <m:sub>
              <m:r>
                <w:rPr>
                  <w:rFonts w:ascii="Cambria Math" w:hAnsi="Cambria Math"/>
                </w:rPr>
                <m:t>u,n,0</m:t>
              </m:r>
            </m:sub>
          </m:sSub>
          <m:r>
            <w:rPr>
              <w:rFonts w:ascii="Cambria Math" w:hAnsi="Cambria Math"/>
            </w:rPr>
            <m:t>+b*</m:t>
          </m:r>
          <m:d>
            <m:dPr>
              <m:ctrlPr>
                <w:rPr>
                  <w:rFonts w:ascii="Cambria Math" w:hAnsi="Cambria Math"/>
                  <w:i/>
                </w:rPr>
              </m:ctrlPr>
            </m:dPr>
            <m:e>
              <m:f>
                <m:fPr>
                  <m:ctrlPr>
                    <w:rPr>
                      <w:rFonts w:ascii="Cambria Math" w:hAnsi="Cambria Math"/>
                      <w:i/>
                    </w:rPr>
                  </m:ctrlPr>
                </m:fPr>
                <m:num>
                  <m:sSub>
                    <m:sSubPr>
                      <m:ctrlPr>
                        <w:rPr>
                          <w:rFonts w:ascii="Cambria Math" w:hAnsi="Cambria Math"/>
                          <w:i/>
                        </w:rPr>
                      </m:ctrlPr>
                    </m:sSubPr>
                    <m:e>
                      <m:r>
                        <w:rPr>
                          <w:rFonts w:ascii="Cambria Math" w:hAnsi="Cambria Math"/>
                        </w:rPr>
                        <m:t>CRESP</m:t>
                      </m:r>
                    </m:e>
                    <m:sub>
                      <m:r>
                        <w:rPr>
                          <w:rFonts w:ascii="Cambria Math" w:hAnsi="Cambria Math"/>
                        </w:rPr>
                        <m:t>u,n</m:t>
                      </m:r>
                    </m:sub>
                  </m:sSub>
                  <m:r>
                    <w:rPr>
                      <w:rFonts w:ascii="Cambria Math" w:hAnsi="Cambria Math"/>
                    </w:rPr>
                    <m:t>-</m:t>
                  </m:r>
                  <m:sSub>
                    <m:sSubPr>
                      <m:ctrlPr>
                        <w:rPr>
                          <w:rFonts w:ascii="Cambria Math" w:hAnsi="Cambria Math"/>
                          <w:i/>
                        </w:rPr>
                      </m:ctrlPr>
                    </m:sSubPr>
                    <m:e>
                      <m:r>
                        <w:rPr>
                          <w:rFonts w:ascii="Cambria Math" w:hAnsi="Cambria Math"/>
                        </w:rPr>
                        <m:t>CR</m:t>
                      </m:r>
                    </m:e>
                    <m:sub>
                      <m:r>
                        <w:rPr>
                          <w:rFonts w:ascii="Cambria Math" w:hAnsi="Cambria Math"/>
                        </w:rPr>
                        <m:t>u,n,0</m:t>
                      </m:r>
                    </m:sub>
                  </m:sSub>
                </m:num>
                <m:den>
                  <m:r>
                    <w:rPr>
                      <w:rFonts w:ascii="Cambria Math" w:hAnsi="Cambria Math"/>
                    </w:rPr>
                    <m:t>5</m:t>
                  </m:r>
                </m:den>
              </m:f>
            </m:e>
          </m:d>
          <m:r>
            <w:rPr>
              <w:rFonts w:ascii="Cambria Math" w:hAnsi="Cambria Math" w:cs="Arial"/>
            </w:rPr>
            <m:t>*</m:t>
          </m:r>
          <m:f>
            <m:fPr>
              <m:ctrlPr>
                <w:rPr>
                  <w:rFonts w:ascii="Cambria Math" w:hAnsi="Cambria Math" w:cs="Arial"/>
                  <w:i/>
                </w:rPr>
              </m:ctrlPr>
            </m:fPr>
            <m:num>
              <m:sSub>
                <m:sSubPr>
                  <m:ctrlPr>
                    <w:rPr>
                      <w:rFonts w:ascii="Cambria Math" w:hAnsi="Cambria Math" w:cs="Arial"/>
                      <w:i/>
                    </w:rPr>
                  </m:ctrlPr>
                </m:sSubPr>
                <m:e>
                  <m:r>
                    <w:rPr>
                      <w:rFonts w:ascii="Cambria Math" w:hAnsi="Cambria Math" w:cs="Arial"/>
                    </w:rPr>
                    <m:t>IPP</m:t>
                  </m:r>
                </m:e>
                <m:sub>
                  <m:r>
                    <w:rPr>
                      <w:rFonts w:ascii="Cambria Math" w:hAnsi="Cambria Math" w:cs="Arial"/>
                    </w:rPr>
                    <m:t>dic t-1</m:t>
                  </m:r>
                </m:sub>
              </m:sSub>
            </m:num>
            <m:den>
              <m:sSub>
                <m:sSubPr>
                  <m:ctrlPr>
                    <w:rPr>
                      <w:rFonts w:ascii="Cambria Math" w:hAnsi="Cambria Math" w:cs="Arial"/>
                      <w:i/>
                    </w:rPr>
                  </m:ctrlPr>
                </m:sSubPr>
                <m:e>
                  <m:r>
                    <w:rPr>
                      <w:rFonts w:ascii="Cambria Math" w:hAnsi="Cambria Math" w:cs="Arial"/>
                    </w:rPr>
                    <m:t>IPP</m:t>
                  </m:r>
                </m:e>
                <m:sub>
                  <m:r>
                    <w:rPr>
                      <w:rFonts w:ascii="Cambria Math" w:hAnsi="Cambria Math" w:cs="Arial"/>
                    </w:rPr>
                    <m:t>0</m:t>
                  </m:r>
                </m:sub>
              </m:sSub>
            </m:den>
          </m:f>
        </m:oMath>
      </m:oMathPara>
    </w:p>
    <w:p w:rsidR="00F674C8" w:rsidRDefault="00F674C8" w:rsidP="00F674C8">
      <w:pPr>
        <w:rPr>
          <w:rFonts w:cs="Arial"/>
        </w:rPr>
      </w:pPr>
      <w:r>
        <w:rPr>
          <w:rFonts w:cs="Arial"/>
        </w:rPr>
        <w:t>Donde:</w:t>
      </w:r>
    </w:p>
    <w:p w:rsidR="00F674C8" w:rsidRDefault="00F674C8" w:rsidP="00F674C8">
      <w:pPr>
        <w:ind w:left="1418" w:hanging="1418"/>
        <w:rPr>
          <w:rFonts w:cs="Arial"/>
        </w:rPr>
      </w:pPr>
      <w:r>
        <w:rPr>
          <w:rFonts w:cs="Arial"/>
          <w:i/>
        </w:rPr>
        <w:t>CRP</w:t>
      </w:r>
      <w:r w:rsidRPr="00B902E4">
        <w:rPr>
          <w:rFonts w:cs="Arial"/>
          <w:i/>
          <w:vertAlign w:val="subscript"/>
        </w:rPr>
        <w:t>u,n,t</w:t>
      </w:r>
      <w:r w:rsidRPr="001D0FBB">
        <w:rPr>
          <w:rFonts w:cs="Arial"/>
          <w:i/>
        </w:rPr>
        <w:t>:</w:t>
      </w:r>
      <w:r w:rsidRPr="001D0FBB">
        <w:rPr>
          <w:rFonts w:cs="Arial"/>
          <w:i/>
        </w:rPr>
        <w:tab/>
      </w:r>
      <w:r w:rsidRPr="001D0FBB">
        <w:rPr>
          <w:rFonts w:cs="Arial"/>
        </w:rPr>
        <w:t>Costo de</w:t>
      </w:r>
      <w:r>
        <w:rPr>
          <w:rFonts w:cs="Arial"/>
        </w:rPr>
        <w:t xml:space="preserve"> respaldo a pagar por el usuario </w:t>
      </w:r>
      <w:r w:rsidRPr="00B902E4">
        <w:rPr>
          <w:rFonts w:cs="Arial"/>
          <w:i/>
        </w:rPr>
        <w:t>u</w:t>
      </w:r>
      <w:r>
        <w:rPr>
          <w:rFonts w:cs="Arial"/>
        </w:rPr>
        <w:t xml:space="preserve">, en el nivel de tensión </w:t>
      </w:r>
      <w:r w:rsidRPr="00B902E4">
        <w:rPr>
          <w:rFonts w:cs="Arial"/>
          <w:i/>
        </w:rPr>
        <w:t>n</w:t>
      </w:r>
      <w:r>
        <w:rPr>
          <w:rFonts w:cs="Arial"/>
        </w:rPr>
        <w:t xml:space="preserve">, en el año </w:t>
      </w:r>
      <w:r w:rsidRPr="00B902E4">
        <w:rPr>
          <w:rFonts w:cs="Arial"/>
          <w:i/>
        </w:rPr>
        <w:t>t</w:t>
      </w:r>
      <w:r w:rsidRPr="001D0FBB">
        <w:rPr>
          <w:rFonts w:cs="Arial"/>
        </w:rPr>
        <w:t>.</w:t>
      </w:r>
    </w:p>
    <w:p w:rsidR="00F674C8" w:rsidRDefault="00F674C8" w:rsidP="00F674C8">
      <w:pPr>
        <w:ind w:left="1418" w:hanging="1418"/>
        <w:rPr>
          <w:rFonts w:cs="Arial"/>
        </w:rPr>
      </w:pPr>
      <w:r>
        <w:rPr>
          <w:rFonts w:cs="Arial"/>
          <w:i/>
        </w:rPr>
        <w:t>CRt</w:t>
      </w:r>
      <w:r w:rsidRPr="00E807A7">
        <w:rPr>
          <w:rFonts w:cs="Arial"/>
          <w:i/>
          <w:vertAlign w:val="subscript"/>
        </w:rPr>
        <w:t>u,n,t</w:t>
      </w:r>
      <w:r w:rsidRPr="001D0FBB">
        <w:rPr>
          <w:rFonts w:cs="Arial"/>
          <w:i/>
        </w:rPr>
        <w:t>:</w:t>
      </w:r>
      <w:r w:rsidRPr="001D0FBB">
        <w:rPr>
          <w:rFonts w:cs="Arial"/>
          <w:i/>
        </w:rPr>
        <w:tab/>
      </w:r>
      <w:r w:rsidRPr="001D0FBB">
        <w:rPr>
          <w:rFonts w:cs="Arial"/>
        </w:rPr>
        <w:t>Costo de</w:t>
      </w:r>
      <w:r>
        <w:rPr>
          <w:rFonts w:cs="Arial"/>
        </w:rPr>
        <w:t xml:space="preserve"> respaldo de transición para el usuario </w:t>
      </w:r>
      <w:r w:rsidRPr="00E807A7">
        <w:rPr>
          <w:rFonts w:cs="Arial"/>
          <w:i/>
        </w:rPr>
        <w:t>u</w:t>
      </w:r>
      <w:r>
        <w:rPr>
          <w:rFonts w:cs="Arial"/>
        </w:rPr>
        <w:t xml:space="preserve">, en el nivel de tensión </w:t>
      </w:r>
      <w:r w:rsidRPr="00E807A7">
        <w:rPr>
          <w:rFonts w:cs="Arial"/>
          <w:i/>
        </w:rPr>
        <w:t>n</w:t>
      </w:r>
      <w:r>
        <w:rPr>
          <w:rFonts w:cs="Arial"/>
        </w:rPr>
        <w:t xml:space="preserve">, en el año </w:t>
      </w:r>
      <w:r w:rsidRPr="00E807A7">
        <w:rPr>
          <w:rFonts w:cs="Arial"/>
          <w:i/>
        </w:rPr>
        <w:t>t</w:t>
      </w:r>
      <w:r w:rsidRPr="001D0FBB">
        <w:rPr>
          <w:rFonts w:cs="Arial"/>
        </w:rPr>
        <w:t>.</w:t>
      </w:r>
    </w:p>
    <w:p w:rsidR="00F674C8" w:rsidRDefault="00F674C8" w:rsidP="00F674C8">
      <w:pPr>
        <w:ind w:left="1418" w:hanging="1418"/>
        <w:rPr>
          <w:rFonts w:cs="Arial"/>
        </w:rPr>
      </w:pPr>
      <w:r>
        <w:rPr>
          <w:rFonts w:cs="Arial"/>
          <w:i/>
        </w:rPr>
        <w:t>CR</w:t>
      </w:r>
      <w:r w:rsidRPr="00E807A7">
        <w:rPr>
          <w:rFonts w:cs="Arial"/>
          <w:i/>
          <w:vertAlign w:val="subscript"/>
        </w:rPr>
        <w:t>u,</w:t>
      </w:r>
      <w:r>
        <w:rPr>
          <w:rFonts w:cs="Arial"/>
          <w:i/>
          <w:vertAlign w:val="subscript"/>
        </w:rPr>
        <w:t>n</w:t>
      </w:r>
      <w:r w:rsidRPr="00E807A7">
        <w:rPr>
          <w:rFonts w:cs="Arial"/>
          <w:i/>
          <w:vertAlign w:val="subscript"/>
        </w:rPr>
        <w:t>,</w:t>
      </w:r>
      <w:r>
        <w:rPr>
          <w:rFonts w:cs="Arial"/>
          <w:i/>
          <w:vertAlign w:val="subscript"/>
        </w:rPr>
        <w:t>0</w:t>
      </w:r>
      <w:r w:rsidRPr="001D0FBB">
        <w:rPr>
          <w:rFonts w:cs="Arial"/>
          <w:i/>
        </w:rPr>
        <w:t>:</w:t>
      </w:r>
      <w:r w:rsidRPr="001D0FBB">
        <w:rPr>
          <w:rFonts w:cs="Arial"/>
          <w:i/>
        </w:rPr>
        <w:tab/>
      </w:r>
      <w:r w:rsidRPr="001D0FBB">
        <w:rPr>
          <w:rFonts w:cs="Arial"/>
        </w:rPr>
        <w:t>Costo de</w:t>
      </w:r>
      <w:r>
        <w:rPr>
          <w:rFonts w:cs="Arial"/>
        </w:rPr>
        <w:t xml:space="preserve"> respaldo contratado por el usuario </w:t>
      </w:r>
      <w:r w:rsidRPr="00E807A7">
        <w:rPr>
          <w:rFonts w:cs="Arial"/>
          <w:i/>
        </w:rPr>
        <w:t>u</w:t>
      </w:r>
      <w:r>
        <w:rPr>
          <w:rFonts w:cs="Arial"/>
        </w:rPr>
        <w:t xml:space="preserve">, en el nivel de tensión </w:t>
      </w:r>
      <w:r w:rsidRPr="00E807A7">
        <w:rPr>
          <w:rFonts w:cs="Arial"/>
          <w:i/>
        </w:rPr>
        <w:t>n</w:t>
      </w:r>
      <w:r>
        <w:rPr>
          <w:rFonts w:cs="Arial"/>
        </w:rPr>
        <w:t>, en el año cero (0)</w:t>
      </w:r>
      <w:r w:rsidRPr="001D0FBB">
        <w:rPr>
          <w:rFonts w:cs="Arial"/>
        </w:rPr>
        <w:t>.</w:t>
      </w:r>
      <w:r>
        <w:rPr>
          <w:rFonts w:cs="Arial"/>
        </w:rPr>
        <w:t xml:space="preserve"> Es el valor anual pagado por dicho usuario en el año anterior al del primer año de aplicación de cargos con base en esta resolución. En caso de no existir ningún pago, se debe calcular con base en el numeral </w:t>
      </w:r>
      <w:r>
        <w:rPr>
          <w:rFonts w:cs="Arial"/>
        </w:rPr>
        <w:fldChar w:fldCharType="begin"/>
      </w:r>
      <w:r>
        <w:rPr>
          <w:rFonts w:cs="Arial"/>
        </w:rPr>
        <w:instrText xml:space="preserve"> REF _Ref504730547 \r \h </w:instrText>
      </w:r>
      <w:r>
        <w:rPr>
          <w:rFonts w:cs="Arial"/>
        </w:rPr>
      </w:r>
      <w:r>
        <w:rPr>
          <w:rFonts w:cs="Arial"/>
        </w:rPr>
        <w:fldChar w:fldCharType="separate"/>
      </w:r>
      <w:r w:rsidR="00737178">
        <w:rPr>
          <w:rFonts w:cs="Arial"/>
        </w:rPr>
        <w:t>10.1</w:t>
      </w:r>
      <w:r>
        <w:rPr>
          <w:rFonts w:cs="Arial"/>
        </w:rPr>
        <w:fldChar w:fldCharType="end"/>
      </w:r>
    </w:p>
    <w:p w:rsidR="00F674C8" w:rsidRPr="00E270DA" w:rsidRDefault="00F674C8" w:rsidP="00F674C8">
      <w:pPr>
        <w:ind w:left="1418" w:hanging="1418"/>
        <w:rPr>
          <w:rFonts w:cs="Arial"/>
        </w:rPr>
      </w:pPr>
      <w:r>
        <w:rPr>
          <w:rFonts w:cs="Arial"/>
          <w:i/>
        </w:rPr>
        <w:t>b</w:t>
      </w:r>
      <w:r w:rsidRPr="001D0FBB">
        <w:rPr>
          <w:rFonts w:cs="Arial"/>
          <w:i/>
        </w:rPr>
        <w:t>:</w:t>
      </w:r>
      <w:r w:rsidRPr="001D0FBB">
        <w:rPr>
          <w:rFonts w:cs="Arial"/>
          <w:i/>
        </w:rPr>
        <w:tab/>
      </w:r>
      <w:r w:rsidRPr="004E6CFC">
        <w:t xml:space="preserve">Variable que representa el año de aplicación a partir de la entrada en vigencia de costos al OR con base en la presente resolución, variando a partir de </w:t>
      </w:r>
      <w:r>
        <w:t>uno</w:t>
      </w:r>
      <w:r w:rsidRPr="004E6CFC">
        <w:t xml:space="preserve"> en el primer año y hasta </w:t>
      </w:r>
      <w:r>
        <w:t>cinco</w:t>
      </w:r>
      <w:r w:rsidRPr="004E6CFC">
        <w:t xml:space="preserve"> (</w:t>
      </w:r>
      <w:r>
        <w:t>5</w:t>
      </w:r>
      <w:r w:rsidRPr="004E6CFC">
        <w:t>).</w:t>
      </w:r>
    </w:p>
    <w:p w:rsidR="00F674C8" w:rsidRPr="004E6CFC" w:rsidRDefault="00F674C8" w:rsidP="00F674C8">
      <w:pPr>
        <w:ind w:left="1410" w:hanging="1410"/>
        <w:rPr>
          <w:rFonts w:cs="Arial"/>
        </w:rPr>
      </w:pPr>
      <w:r w:rsidRPr="004E6CFC">
        <w:rPr>
          <w:rFonts w:cs="Arial"/>
          <w:i/>
        </w:rPr>
        <w:t>CRESP</w:t>
      </w:r>
      <w:r w:rsidRPr="004E6CFC">
        <w:rPr>
          <w:rFonts w:cs="Arial"/>
          <w:i/>
          <w:vertAlign w:val="subscript"/>
        </w:rPr>
        <w:t>u,n</w:t>
      </w:r>
      <w:r w:rsidRPr="004E6CFC">
        <w:rPr>
          <w:rFonts w:cs="Arial"/>
          <w:i/>
        </w:rPr>
        <w:t>:</w:t>
      </w:r>
      <w:r w:rsidRPr="004E6CFC">
        <w:rPr>
          <w:rFonts w:cs="Arial"/>
        </w:rPr>
        <w:t xml:space="preserve">  </w:t>
      </w:r>
      <w:r w:rsidRPr="004E6CFC">
        <w:rPr>
          <w:rFonts w:cs="Arial"/>
        </w:rPr>
        <w:tab/>
        <w:t xml:space="preserve">Costo de respaldo de red del usuario </w:t>
      </w:r>
      <w:r w:rsidRPr="004E6CFC">
        <w:rPr>
          <w:rFonts w:cs="Arial"/>
          <w:i/>
        </w:rPr>
        <w:t>u</w:t>
      </w:r>
      <w:r w:rsidRPr="004E6CFC">
        <w:rPr>
          <w:rFonts w:cs="Arial"/>
        </w:rPr>
        <w:t xml:space="preserve"> en el nivel de tensión </w:t>
      </w:r>
      <w:r w:rsidRPr="004E6CFC">
        <w:rPr>
          <w:rFonts w:cs="Arial"/>
          <w:i/>
        </w:rPr>
        <w:t>n</w:t>
      </w:r>
      <w:r>
        <w:rPr>
          <w:rFonts w:cs="Arial"/>
          <w:i/>
        </w:rPr>
        <w:t>,</w:t>
      </w:r>
      <w:r w:rsidRPr="00B902E4">
        <w:rPr>
          <w:rFonts w:cs="Arial"/>
        </w:rPr>
        <w:t xml:space="preserve"> calculado según el numeral </w:t>
      </w:r>
      <w:r>
        <w:rPr>
          <w:rFonts w:cs="Arial"/>
        </w:rPr>
        <w:fldChar w:fldCharType="begin"/>
      </w:r>
      <w:r>
        <w:rPr>
          <w:rFonts w:cs="Arial"/>
        </w:rPr>
        <w:instrText xml:space="preserve"> REF _Ref504731174 \r \h </w:instrText>
      </w:r>
      <w:r>
        <w:rPr>
          <w:rFonts w:cs="Arial"/>
        </w:rPr>
      </w:r>
      <w:r>
        <w:rPr>
          <w:rFonts w:cs="Arial"/>
        </w:rPr>
        <w:fldChar w:fldCharType="separate"/>
      </w:r>
      <w:r w:rsidR="00737178">
        <w:rPr>
          <w:rFonts w:cs="Arial"/>
        </w:rPr>
        <w:t>10.2</w:t>
      </w:r>
      <w:r>
        <w:rPr>
          <w:rFonts w:cs="Arial"/>
        </w:rPr>
        <w:fldChar w:fldCharType="end"/>
      </w:r>
      <w:r w:rsidRPr="004E6CFC">
        <w:rPr>
          <w:rFonts w:cs="Arial"/>
        </w:rPr>
        <w:t xml:space="preserve">. </w:t>
      </w:r>
    </w:p>
    <w:p w:rsidR="00F674C8" w:rsidRPr="004E6CFC" w:rsidRDefault="00F674C8" w:rsidP="00F674C8">
      <w:pPr>
        <w:ind w:left="1410" w:hanging="1410"/>
        <w:rPr>
          <w:rFonts w:cs="Arial"/>
        </w:rPr>
      </w:pPr>
      <w:r>
        <w:rPr>
          <w:rFonts w:cs="Arial"/>
          <w:i/>
        </w:rPr>
        <w:t>IP</w:t>
      </w:r>
      <w:r w:rsidRPr="004E6CFC">
        <w:rPr>
          <w:rFonts w:cs="Arial"/>
          <w:i/>
        </w:rPr>
        <w:t>P</w:t>
      </w:r>
      <w:r>
        <w:rPr>
          <w:rFonts w:cs="Arial"/>
          <w:i/>
          <w:vertAlign w:val="subscript"/>
        </w:rPr>
        <w:t>dic t-1</w:t>
      </w:r>
      <w:r w:rsidRPr="004E6CFC">
        <w:rPr>
          <w:rFonts w:cs="Arial"/>
          <w:i/>
        </w:rPr>
        <w:t>:</w:t>
      </w:r>
      <w:r w:rsidRPr="004E6CFC">
        <w:rPr>
          <w:rFonts w:cs="Arial"/>
        </w:rPr>
        <w:t xml:space="preserve">  </w:t>
      </w:r>
      <w:r w:rsidRPr="004E6CFC">
        <w:rPr>
          <w:rFonts w:cs="Arial"/>
        </w:rPr>
        <w:tab/>
      </w:r>
      <w:r>
        <w:rPr>
          <w:rFonts w:cs="Arial"/>
        </w:rPr>
        <w:t>Índice de precios al productor de diciembre del año anterior a aquel en el que se requiere el respaldo de red</w:t>
      </w:r>
      <w:r w:rsidRPr="004E6CFC">
        <w:rPr>
          <w:rFonts w:cs="Arial"/>
        </w:rPr>
        <w:t xml:space="preserve">. </w:t>
      </w:r>
    </w:p>
    <w:p w:rsidR="00F674C8" w:rsidRPr="004E6CFC" w:rsidRDefault="00F674C8" w:rsidP="00F674C8">
      <w:pPr>
        <w:ind w:left="1410" w:hanging="1410"/>
        <w:rPr>
          <w:rFonts w:cs="Arial"/>
        </w:rPr>
      </w:pPr>
      <w:r>
        <w:rPr>
          <w:rFonts w:cs="Arial"/>
          <w:i/>
        </w:rPr>
        <w:t>IP</w:t>
      </w:r>
      <w:r w:rsidRPr="004E6CFC">
        <w:rPr>
          <w:rFonts w:cs="Arial"/>
          <w:i/>
        </w:rPr>
        <w:t>P</w:t>
      </w:r>
      <w:r>
        <w:rPr>
          <w:rFonts w:cs="Arial"/>
          <w:i/>
          <w:vertAlign w:val="subscript"/>
        </w:rPr>
        <w:t>0</w:t>
      </w:r>
      <w:r w:rsidRPr="004E6CFC">
        <w:rPr>
          <w:rFonts w:cs="Arial"/>
          <w:i/>
        </w:rPr>
        <w:t>:</w:t>
      </w:r>
      <w:r w:rsidRPr="004E6CFC">
        <w:rPr>
          <w:rFonts w:cs="Arial"/>
        </w:rPr>
        <w:t xml:space="preserve">  </w:t>
      </w:r>
      <w:r w:rsidRPr="004E6CFC">
        <w:rPr>
          <w:rFonts w:cs="Arial"/>
        </w:rPr>
        <w:tab/>
      </w:r>
      <w:r>
        <w:rPr>
          <w:rFonts w:cs="Arial"/>
        </w:rPr>
        <w:t>Índice de precios al productor de diciembre del año anterior a aquel en el que se inicia con la aplicación de los cargos calculados con base en esta resolución.</w:t>
      </w:r>
      <w:r w:rsidRPr="004E6CFC">
        <w:rPr>
          <w:rFonts w:cs="Arial"/>
        </w:rPr>
        <w:t xml:space="preserve"> </w:t>
      </w:r>
    </w:p>
    <w:p w:rsidR="00F674C8" w:rsidRPr="001D0FBB" w:rsidRDefault="00F674C8" w:rsidP="00F674C8">
      <w:pPr>
        <w:rPr>
          <w:rFonts w:cs="Arial"/>
        </w:rPr>
      </w:pPr>
      <w:r>
        <w:rPr>
          <w:rFonts w:cs="Arial"/>
        </w:rPr>
        <w:t xml:space="preserve">A partir del año 6 y hasta que se remplace la presente metodología, el valor por el respaldo será calculado con base en el numeral </w:t>
      </w:r>
      <w:r>
        <w:rPr>
          <w:rFonts w:cs="Arial"/>
        </w:rPr>
        <w:fldChar w:fldCharType="begin"/>
      </w:r>
      <w:r>
        <w:rPr>
          <w:rFonts w:cs="Arial"/>
        </w:rPr>
        <w:instrText xml:space="preserve"> REF _Ref505067665 \r \h </w:instrText>
      </w:r>
      <w:r>
        <w:rPr>
          <w:rFonts w:cs="Arial"/>
        </w:rPr>
      </w:r>
      <w:r>
        <w:rPr>
          <w:rFonts w:cs="Arial"/>
        </w:rPr>
        <w:fldChar w:fldCharType="separate"/>
      </w:r>
      <w:r w:rsidR="00737178">
        <w:rPr>
          <w:rFonts w:cs="Arial"/>
        </w:rPr>
        <w:t>10.2</w:t>
      </w:r>
      <w:r>
        <w:rPr>
          <w:rFonts w:cs="Arial"/>
        </w:rPr>
        <w:fldChar w:fldCharType="end"/>
      </w:r>
    </w:p>
    <w:p w:rsidR="00F674C8" w:rsidRPr="004E6CFC" w:rsidRDefault="00F674C8" w:rsidP="00F674C8">
      <w:pPr>
        <w:pStyle w:val="Ttulo2"/>
      </w:pPr>
      <w:r>
        <w:t xml:space="preserve"> </w:t>
      </w:r>
      <w:bookmarkStart w:id="990" w:name="_Ref504730547"/>
      <w:bookmarkStart w:id="991" w:name="_Toc505336004"/>
      <w:r>
        <w:t>costo de respaldo contratado (</w:t>
      </w:r>
      <w:r>
        <w:rPr>
          <w:rFonts w:cs="Arial"/>
          <w:i/>
        </w:rPr>
        <w:t>CR</w:t>
      </w:r>
      <w:r w:rsidRPr="00E807A7">
        <w:rPr>
          <w:rFonts w:cs="Arial"/>
          <w:i/>
          <w:vertAlign w:val="subscript"/>
        </w:rPr>
        <w:t>u,</w:t>
      </w:r>
      <w:r>
        <w:rPr>
          <w:rFonts w:cs="Arial"/>
          <w:i/>
          <w:vertAlign w:val="subscript"/>
        </w:rPr>
        <w:t>n</w:t>
      </w:r>
      <w:r w:rsidRPr="00E807A7">
        <w:rPr>
          <w:rFonts w:cs="Arial"/>
          <w:i/>
          <w:vertAlign w:val="subscript"/>
        </w:rPr>
        <w:t>,</w:t>
      </w:r>
      <w:r>
        <w:rPr>
          <w:rFonts w:cs="Arial"/>
          <w:i/>
          <w:vertAlign w:val="subscript"/>
        </w:rPr>
        <w:t>0</w:t>
      </w:r>
      <w:r>
        <w:t>).</w:t>
      </w:r>
      <w:bookmarkEnd w:id="990"/>
      <w:bookmarkEnd w:id="991"/>
    </w:p>
    <w:p w:rsidR="00F674C8" w:rsidRPr="001D0FBB" w:rsidRDefault="00F674C8" w:rsidP="00F674C8">
      <w:pPr>
        <w:rPr>
          <w:rFonts w:cs="Arial"/>
        </w:rPr>
      </w:pPr>
      <w:r>
        <w:rPr>
          <w:rFonts w:cs="Arial"/>
        </w:rPr>
        <w:t xml:space="preserve">El costo </w:t>
      </w:r>
      <w:r w:rsidRPr="001D0FBB">
        <w:rPr>
          <w:rFonts w:cs="Arial"/>
        </w:rPr>
        <w:t xml:space="preserve">aquí calculado por </w:t>
      </w:r>
      <w:r>
        <w:rPr>
          <w:rFonts w:cs="Arial"/>
        </w:rPr>
        <w:t>d</w:t>
      </w:r>
      <w:r w:rsidRPr="001D0FBB">
        <w:rPr>
          <w:rFonts w:cs="Arial"/>
        </w:rPr>
        <w:t xml:space="preserve">isponibilidad de </w:t>
      </w:r>
      <w:r>
        <w:rPr>
          <w:rFonts w:cs="Arial"/>
        </w:rPr>
        <w:t>c</w:t>
      </w:r>
      <w:r w:rsidRPr="001D0FBB">
        <w:rPr>
          <w:rFonts w:cs="Arial"/>
        </w:rPr>
        <w:t xml:space="preserve">apacidad de </w:t>
      </w:r>
      <w:r>
        <w:rPr>
          <w:rFonts w:cs="Arial"/>
        </w:rPr>
        <w:t>r</w:t>
      </w:r>
      <w:r w:rsidRPr="001D0FBB">
        <w:rPr>
          <w:rFonts w:cs="Arial"/>
        </w:rPr>
        <w:t xml:space="preserve">espaldo de la </w:t>
      </w:r>
      <w:r>
        <w:rPr>
          <w:rFonts w:cs="Arial"/>
        </w:rPr>
        <w:t>r</w:t>
      </w:r>
      <w:r w:rsidRPr="001D0FBB">
        <w:rPr>
          <w:rFonts w:cs="Arial"/>
        </w:rPr>
        <w:t xml:space="preserve">ed </w:t>
      </w:r>
      <w:r>
        <w:rPr>
          <w:rFonts w:cs="Arial"/>
        </w:rPr>
        <w:t xml:space="preserve">es un </w:t>
      </w:r>
      <w:r w:rsidRPr="001D0FBB">
        <w:rPr>
          <w:rFonts w:cs="Arial"/>
        </w:rPr>
        <w:t>máximo</w:t>
      </w:r>
      <w:r>
        <w:rPr>
          <w:rFonts w:cs="Arial"/>
        </w:rPr>
        <w:t xml:space="preserve"> y l</w:t>
      </w:r>
      <w:r w:rsidRPr="001D0FBB">
        <w:rPr>
          <w:rFonts w:cs="Arial"/>
        </w:rPr>
        <w:t>as partes podrán negociar</w:t>
      </w:r>
      <w:r>
        <w:rPr>
          <w:rFonts w:cs="Arial"/>
        </w:rPr>
        <w:t xml:space="preserve"> uno inferior y se calcula según la siguiente expresión:</w:t>
      </w:r>
    </w:p>
    <w:p w:rsidR="00F674C8" w:rsidRDefault="00C9592F" w:rsidP="00F674C8">
      <w:pPr>
        <w:rPr>
          <w:rFonts w:cs="Arial"/>
        </w:rPr>
      </w:pPr>
      <m:oMathPara>
        <m:oMath>
          <m:sSub>
            <m:sSubPr>
              <m:ctrlPr>
                <w:rPr>
                  <w:rFonts w:ascii="Cambria Math" w:hAnsi="Cambria Math"/>
                  <w:i/>
                </w:rPr>
              </m:ctrlPr>
            </m:sSubPr>
            <m:e>
              <m:r>
                <w:rPr>
                  <w:rFonts w:ascii="Cambria Math" w:hAnsi="Cambria Math"/>
                </w:rPr>
                <m:t>CR</m:t>
              </m:r>
            </m:e>
            <m:sub>
              <m:r>
                <w:rPr>
                  <w:rFonts w:ascii="Cambria Math" w:hAnsi="Cambria Math"/>
                </w:rPr>
                <m:t>u,n,0</m:t>
              </m:r>
            </m:sub>
          </m:sSub>
          <m:r>
            <w:rPr>
              <w:rFonts w:ascii="Cambria Math" w:hAnsi="Cambria Math"/>
            </w:rPr>
            <m:t>=</m:t>
          </m:r>
          <m:sSub>
            <m:sSubPr>
              <m:ctrlPr>
                <w:rPr>
                  <w:rFonts w:ascii="Cambria Math" w:hAnsi="Cambria Math"/>
                  <w:i/>
                </w:rPr>
              </m:ctrlPr>
            </m:sSubPr>
            <m:e>
              <m:r>
                <w:rPr>
                  <w:rFonts w:ascii="Cambria Math" w:hAnsi="Cambria Math"/>
                </w:rPr>
                <m:t>I</m:t>
              </m:r>
            </m:e>
            <m:sub>
              <m:r>
                <w:rPr>
                  <w:rFonts w:ascii="Cambria Math" w:hAnsi="Cambria Math"/>
                </w:rPr>
                <m:t>TOTAL</m:t>
              </m:r>
            </m:sub>
          </m:sSub>
          <m:r>
            <w:rPr>
              <w:rFonts w:ascii="Cambria Math" w:hAnsi="Cambria Math"/>
            </w:rPr>
            <m:t>+</m:t>
          </m:r>
          <m:sSub>
            <m:sSubPr>
              <m:ctrlPr>
                <w:rPr>
                  <w:rFonts w:ascii="Cambria Math" w:hAnsi="Cambria Math"/>
                  <w:i/>
                </w:rPr>
              </m:ctrlPr>
            </m:sSubPr>
            <m:e>
              <m:r>
                <w:rPr>
                  <w:rFonts w:ascii="Cambria Math" w:hAnsi="Cambria Math"/>
                </w:rPr>
                <m:t>AOM</m:t>
              </m:r>
            </m:e>
            <m:sub>
              <m:r>
                <w:rPr>
                  <w:rFonts w:ascii="Cambria Math" w:hAnsi="Cambria Math"/>
                </w:rPr>
                <m:t>TOTAL</m:t>
              </m:r>
            </m:sub>
          </m:sSub>
        </m:oMath>
      </m:oMathPara>
    </w:p>
    <w:p w:rsidR="00F674C8" w:rsidRPr="001D0FBB" w:rsidRDefault="00F674C8" w:rsidP="00F674C8">
      <w:pPr>
        <w:rPr>
          <w:rFonts w:cs="Arial"/>
        </w:rPr>
      </w:pPr>
      <w:r w:rsidRPr="001D0FBB">
        <w:rPr>
          <w:rFonts w:cs="Arial"/>
        </w:rPr>
        <w:t>La anualidad de la inversión correspondiente al servicio de respaldo se calculará así:</w:t>
      </w:r>
    </w:p>
    <w:p w:rsidR="00F674C8" w:rsidRPr="0000438A" w:rsidRDefault="00C9592F" w:rsidP="00F674C8">
      <w:pPr>
        <w:rPr>
          <w:rFonts w:cs="Arial"/>
        </w:rPr>
      </w:pPr>
      <m:oMathPara>
        <m:oMath>
          <m:sSub>
            <m:sSubPr>
              <m:ctrlPr>
                <w:rPr>
                  <w:rFonts w:ascii="Cambria Math" w:hAnsi="Cambria Math" w:cs="Arial"/>
                  <w:i/>
                </w:rPr>
              </m:ctrlPr>
            </m:sSubPr>
            <m:e>
              <m:r>
                <w:rPr>
                  <w:rFonts w:ascii="Cambria Math" w:hAnsi="Cambria Math" w:cs="Arial"/>
                </w:rPr>
                <m:t>I</m:t>
              </m:r>
            </m:e>
            <m:sub>
              <m:r>
                <w:rPr>
                  <w:rFonts w:ascii="Cambria Math" w:hAnsi="Cambria Math" w:cs="Arial"/>
                </w:rPr>
                <m:t>TOTAL</m:t>
              </m:r>
            </m:sub>
          </m:sSub>
          <m:r>
            <w:rPr>
              <w:rFonts w:ascii="Cambria Math" w:hAnsi="Cambria Math" w:cs="Arial"/>
            </w:rPr>
            <m:t>=</m:t>
          </m:r>
          <m:d>
            <m:dPr>
              <m:begChr m:val="["/>
              <m:endChr m:val="]"/>
              <m:ctrlPr>
                <w:rPr>
                  <w:rFonts w:ascii="Cambria Math" w:hAnsi="Cambria Math" w:cs="Arial"/>
                  <w:i/>
                </w:rPr>
              </m:ctrlPr>
            </m:dPr>
            <m:e>
              <m:sSub>
                <m:sSubPr>
                  <m:ctrlPr>
                    <w:rPr>
                      <w:rFonts w:ascii="Cambria Math" w:hAnsi="Cambria Math" w:cs="Arial"/>
                      <w:i/>
                    </w:rPr>
                  </m:ctrlPr>
                </m:sSubPr>
                <m:e>
                  <m:r>
                    <w:rPr>
                      <w:rFonts w:ascii="Cambria Math" w:hAnsi="Cambria Math" w:cs="Arial"/>
                    </w:rPr>
                    <m:t>(I</m:t>
                  </m:r>
                </m:e>
                <m:sub>
                  <m:r>
                    <w:rPr>
                      <w:rFonts w:ascii="Cambria Math" w:hAnsi="Cambria Math" w:cs="Arial"/>
                    </w:rPr>
                    <m:t>T</m:t>
                  </m:r>
                </m:sub>
              </m:sSub>
              <m:r>
                <w:rPr>
                  <w:rFonts w:ascii="Cambria Math" w:hAnsi="Cambria Math" w:cs="Arial"/>
                </w:rPr>
                <m:t>*CTr)+</m:t>
              </m:r>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I</m:t>
                      </m:r>
                    </m:e>
                    <m:sub>
                      <m:r>
                        <w:rPr>
                          <w:rFonts w:ascii="Cambria Math" w:hAnsi="Cambria Math" w:cs="Arial"/>
                        </w:rPr>
                        <m:t>L</m:t>
                      </m:r>
                    </m:sub>
                  </m:sSub>
                  <m:r>
                    <w:rPr>
                      <w:rFonts w:ascii="Cambria Math" w:hAnsi="Cambria Math" w:cs="Arial"/>
                    </w:rPr>
                    <m:t>+</m:t>
                  </m:r>
                  <m:sSub>
                    <m:sSubPr>
                      <m:ctrlPr>
                        <w:rPr>
                          <w:rFonts w:ascii="Cambria Math" w:hAnsi="Cambria Math" w:cs="Arial"/>
                          <w:i/>
                        </w:rPr>
                      </m:ctrlPr>
                    </m:sSubPr>
                    <m:e>
                      <m:r>
                        <w:rPr>
                          <w:rFonts w:ascii="Cambria Math" w:hAnsi="Cambria Math" w:cs="Arial"/>
                        </w:rPr>
                        <m:t>I</m:t>
                      </m:r>
                    </m:e>
                    <m:sub>
                      <m:r>
                        <w:rPr>
                          <w:rFonts w:ascii="Cambria Math" w:hAnsi="Cambria Math" w:cs="Arial"/>
                        </w:rPr>
                        <m:t>E</m:t>
                      </m:r>
                    </m:sub>
                  </m:sSub>
                </m:e>
              </m:d>
              <m:d>
                <m:dPr>
                  <m:ctrlPr>
                    <w:rPr>
                      <w:rFonts w:ascii="Cambria Math" w:hAnsi="Cambria Math" w:cs="Arial"/>
                      <w:i/>
                    </w:rPr>
                  </m:ctrlPr>
                </m:dPr>
                <m:e>
                  <m:f>
                    <m:fPr>
                      <m:ctrlPr>
                        <w:rPr>
                          <w:rFonts w:ascii="Cambria Math" w:hAnsi="Cambria Math"/>
                          <w:i/>
                        </w:rPr>
                      </m:ctrlPr>
                    </m:fPr>
                    <m:num>
                      <m:r>
                        <w:rPr>
                          <w:rFonts w:ascii="Cambria Math" w:hAnsi="Cambria Math"/>
                        </w:rPr>
                        <m:t>r</m:t>
                      </m:r>
                    </m:num>
                    <m:den>
                      <m:r>
                        <w:rPr>
                          <w:rFonts w:ascii="Cambria Math"/>
                        </w:rPr>
                        <m:t>1</m:t>
                      </m:r>
                      <m:r>
                        <w:rPr>
                          <w:rFonts w:ascii="Cambria Math" w:hAnsi="Cambria Math"/>
                        </w:rPr>
                        <m:t>-</m:t>
                      </m:r>
                      <m:sSup>
                        <m:sSupPr>
                          <m:ctrlPr>
                            <w:rPr>
                              <w:rFonts w:ascii="Cambria Math" w:hAnsi="Cambria Math"/>
                              <w:i/>
                            </w:rPr>
                          </m:ctrlPr>
                        </m:sSupPr>
                        <m:e>
                          <m:d>
                            <m:dPr>
                              <m:ctrlPr>
                                <w:rPr>
                                  <w:rFonts w:ascii="Cambria Math" w:hAnsi="Cambria Math"/>
                                  <w:i/>
                                </w:rPr>
                              </m:ctrlPr>
                            </m:dPr>
                            <m:e>
                              <m:r>
                                <w:rPr>
                                  <w:rFonts w:ascii="Cambria Math"/>
                                </w:rPr>
                                <m:t>1+</m:t>
                              </m:r>
                              <m:r>
                                <w:rPr>
                                  <w:rFonts w:ascii="Cambria Math" w:hAnsi="Cambria Math"/>
                                </w:rPr>
                                <m:t>r</m:t>
                              </m:r>
                            </m:e>
                          </m:d>
                        </m:e>
                        <m:sup>
                          <m:r>
                            <w:rPr>
                              <w:rFonts w:ascii="Cambria Math" w:hAnsi="Cambria Math"/>
                            </w:rPr>
                            <m:t>-</m:t>
                          </m:r>
                          <m:sSub>
                            <m:sSubPr>
                              <m:ctrlPr>
                                <w:rPr>
                                  <w:rFonts w:ascii="Cambria Math" w:hAnsi="Cambria Math"/>
                                  <w:i/>
                                </w:rPr>
                              </m:ctrlPr>
                            </m:sSubPr>
                            <m:e>
                              <m:r>
                                <w:rPr>
                                  <w:rFonts w:ascii="Cambria Math" w:hAnsi="Cambria Math"/>
                                </w:rPr>
                                <m:t>V</m:t>
                              </m:r>
                            </m:e>
                            <m:sub>
                              <m:r>
                                <w:rPr>
                                  <w:rFonts w:ascii="Cambria Math" w:hAnsi="Cambria Math"/>
                                </w:rPr>
                                <m:t>i</m:t>
                              </m:r>
                            </m:sub>
                          </m:sSub>
                        </m:sup>
                      </m:sSup>
                    </m:den>
                  </m:f>
                </m:e>
              </m:d>
              <m:ctrlPr>
                <w:rPr>
                  <w:rFonts w:ascii="Cambria Math" w:hAnsi="Cambria Math" w:cs="Arial"/>
                </w:rPr>
              </m:ctrlPr>
            </m:e>
          </m:d>
          <m:r>
            <m:rPr>
              <m:sty m:val="p"/>
            </m:rPr>
            <w:rPr>
              <w:rFonts w:ascii="Cambria Math" w:hAnsi="Cambria Math" w:cs="Arial"/>
            </w:rPr>
            <m:t>*</m:t>
          </m:r>
          <m:f>
            <m:fPr>
              <m:ctrlPr>
                <w:rPr>
                  <w:rFonts w:ascii="Cambria Math" w:hAnsi="Cambria Math" w:cs="Arial"/>
                  <w:szCs w:val="22"/>
                  <w:lang w:val="es-CO" w:eastAsia="en-US"/>
                </w:rPr>
              </m:ctrlPr>
            </m:fPr>
            <m:num>
              <m:sSub>
                <m:sSubPr>
                  <m:ctrlPr>
                    <w:rPr>
                      <w:rFonts w:ascii="Cambria Math" w:hAnsi="Cambria Math" w:cs="Arial"/>
                      <w:i/>
                    </w:rPr>
                  </m:ctrlPr>
                </m:sSubPr>
                <m:e>
                  <m:r>
                    <w:rPr>
                      <w:rFonts w:ascii="Cambria Math" w:hAnsi="Cambria Math" w:cs="Arial"/>
                    </w:rPr>
                    <m:t>IPP</m:t>
                  </m:r>
                </m:e>
                <m:sub>
                  <m:r>
                    <w:rPr>
                      <w:rFonts w:ascii="Cambria Math" w:hAnsi="Cambria Math" w:cs="Arial"/>
                    </w:rPr>
                    <m:t>m</m:t>
                  </m:r>
                </m:sub>
              </m:sSub>
            </m:num>
            <m:den>
              <m:sSub>
                <m:sSubPr>
                  <m:ctrlPr>
                    <w:rPr>
                      <w:rFonts w:ascii="Cambria Math" w:hAnsi="Cambria Math" w:cs="Arial"/>
                      <w:i/>
                    </w:rPr>
                  </m:ctrlPr>
                </m:sSubPr>
                <m:e>
                  <m:r>
                    <w:rPr>
                      <w:rFonts w:ascii="Cambria Math" w:hAnsi="Cambria Math" w:cs="Arial"/>
                    </w:rPr>
                    <m:t>IPP</m:t>
                  </m:r>
                </m:e>
                <m:sub>
                  <m:r>
                    <w:rPr>
                      <w:rFonts w:ascii="Cambria Math" w:hAnsi="Cambria Math" w:cs="Arial"/>
                    </w:rPr>
                    <m:t>0</m:t>
                  </m:r>
                </m:sub>
              </m:sSub>
            </m:den>
          </m:f>
          <m:r>
            <w:rPr>
              <w:rFonts w:ascii="Cambria Math" w:hAnsi="Cambria Math" w:cs="Arial"/>
            </w:rPr>
            <m:t xml:space="preserve">      </m:t>
          </m:r>
        </m:oMath>
      </m:oMathPara>
    </w:p>
    <w:p w:rsidR="00F674C8" w:rsidRPr="001D0FBB" w:rsidRDefault="00F674C8" w:rsidP="00F674C8">
      <w:pPr>
        <w:rPr>
          <w:rFonts w:cs="Arial"/>
          <w:b/>
        </w:rPr>
      </w:pPr>
      <w:r w:rsidRPr="001D0FBB">
        <w:rPr>
          <w:rFonts w:cs="Arial"/>
        </w:rPr>
        <w:t>Con:</w:t>
      </w:r>
    </w:p>
    <w:p w:rsidR="00F674C8" w:rsidRPr="0000438A" w:rsidRDefault="00C9592F" w:rsidP="00F674C8">
      <w:pPr>
        <w:ind w:left="993" w:hanging="993"/>
        <w:rPr>
          <w:rFonts w:cs="Arial"/>
          <w:sz w:val="32"/>
        </w:rPr>
      </w:pPr>
      <m:oMathPara>
        <m:oMath>
          <m:sSub>
            <m:sSubPr>
              <m:ctrlPr>
                <w:rPr>
                  <w:rFonts w:ascii="Cambria Math" w:hAnsi="Cambria Math" w:cs="Arial"/>
                  <w:i/>
                </w:rPr>
              </m:ctrlPr>
            </m:sSubPr>
            <m:e>
              <m:r>
                <w:rPr>
                  <w:rFonts w:ascii="Cambria Math" w:hAnsi="Cambria Math" w:cs="Arial"/>
                </w:rPr>
                <m:t>I</m:t>
              </m:r>
            </m:e>
            <m:sub>
              <m:r>
                <w:rPr>
                  <w:rFonts w:ascii="Cambria Math" w:hAnsi="Cambria Math" w:cs="Arial"/>
                </w:rPr>
                <m:t>L</m:t>
              </m:r>
            </m:sub>
          </m:sSub>
          <m:r>
            <w:rPr>
              <w:rFonts w:ascii="Cambria Math" w:cs="Arial"/>
            </w:rPr>
            <m:t>=</m:t>
          </m:r>
          <m:r>
            <w:rPr>
              <w:rFonts w:ascii="Cambria Math" w:hAnsi="Cambria Math" w:cs="Arial"/>
            </w:rPr>
            <m:t>l*</m:t>
          </m:r>
          <m:sSub>
            <m:sSubPr>
              <m:ctrlPr>
                <w:rPr>
                  <w:rFonts w:ascii="Cambria Math" w:hAnsi="Cambria Math" w:cs="Arial"/>
                  <w:i/>
                </w:rPr>
              </m:ctrlPr>
            </m:sSubPr>
            <m:e>
              <m:r>
                <w:rPr>
                  <w:rFonts w:ascii="Cambria Math" w:hAnsi="Cambria Math"/>
                </w:rPr>
                <m:t>CR</m:t>
              </m:r>
            </m:e>
            <m:sub>
              <m:r>
                <w:rPr>
                  <w:rFonts w:ascii="Cambria Math" w:hAnsi="Cambria Math"/>
                  <w:vertAlign w:val="subscript"/>
                </w:rPr>
                <m:t>i</m:t>
              </m:r>
              <m:r>
                <w:rPr>
                  <w:rFonts w:ascii="Cambria Math"/>
                  <w:vertAlign w:val="subscript"/>
                </w:rPr>
                <m:t>,</m:t>
              </m:r>
              <m:r>
                <w:rPr>
                  <w:rFonts w:ascii="Cambria Math" w:hAnsi="Cambria Math"/>
                  <w:vertAlign w:val="subscript"/>
                </w:rPr>
                <m:t>k</m:t>
              </m:r>
            </m:sub>
          </m:sSub>
          <m:r>
            <w:rPr>
              <w:rFonts w:ascii="Cambria Math" w:hAnsi="Cambria Math" w:cs="Arial"/>
            </w:rPr>
            <m:t>*</m:t>
          </m:r>
          <m:sSub>
            <m:sSubPr>
              <m:ctrlPr>
                <w:rPr>
                  <w:rFonts w:ascii="Cambria Math" w:hAnsi="Cambria Math" w:cs="Arial"/>
                  <w:i/>
                </w:rPr>
              </m:ctrlPr>
            </m:sSubPr>
            <m:e>
              <m:r>
                <w:rPr>
                  <w:rFonts w:ascii="Cambria Math" w:hAnsi="Cambria Math" w:cs="Arial"/>
                </w:rPr>
                <m:t>P</m:t>
              </m:r>
            </m:e>
            <m:sub>
              <m:r>
                <w:rPr>
                  <w:rFonts w:ascii="Cambria Math" w:hAnsi="Cambria Math" w:cs="Arial"/>
                </w:rPr>
                <m:t>CR</m:t>
              </m:r>
            </m:sub>
          </m:sSub>
        </m:oMath>
      </m:oMathPara>
    </w:p>
    <w:p w:rsidR="00F674C8" w:rsidRPr="0000438A" w:rsidRDefault="00C9592F" w:rsidP="00F674C8">
      <w:pPr>
        <w:ind w:left="993" w:hanging="993"/>
        <w:rPr>
          <w:rFonts w:cs="Arial"/>
        </w:rPr>
      </w:pPr>
      <m:oMathPara>
        <m:oMath>
          <m:sSub>
            <m:sSubPr>
              <m:ctrlPr>
                <w:rPr>
                  <w:rFonts w:ascii="Cambria Math" w:hAnsi="Cambria Math" w:cs="Arial"/>
                  <w:i/>
                </w:rPr>
              </m:ctrlPr>
            </m:sSubPr>
            <m:e>
              <m:r>
                <w:rPr>
                  <w:rFonts w:ascii="Cambria Math" w:hAnsi="Cambria Math" w:cs="Arial"/>
                </w:rPr>
                <m:t>I</m:t>
              </m:r>
            </m:e>
            <m:sub>
              <m:r>
                <w:rPr>
                  <w:rFonts w:ascii="Cambria Math" w:hAnsi="Cambria Math" w:cs="Arial"/>
                </w:rPr>
                <m:t>E</m:t>
              </m:r>
            </m:sub>
          </m:sSub>
          <m:r>
            <w:rPr>
              <w:rFonts w:ascii="Cambria Math" w:cs="Arial"/>
            </w:rPr>
            <m:t>=</m:t>
          </m:r>
          <m:sSub>
            <m:sSubPr>
              <m:ctrlPr>
                <w:rPr>
                  <w:rFonts w:ascii="Cambria Math" w:hAnsi="Cambria Math" w:cs="Arial"/>
                  <w:i/>
                </w:rPr>
              </m:ctrlPr>
            </m:sSubPr>
            <m:e>
              <m:r>
                <w:rPr>
                  <w:rFonts w:ascii="Cambria Math" w:hAnsi="Cambria Math" w:cs="Arial"/>
                </w:rPr>
                <m:t>P</m:t>
              </m:r>
            </m:e>
            <m:sub>
              <m:r>
                <w:rPr>
                  <w:rFonts w:ascii="Cambria Math" w:hAnsi="Cambria Math" w:cs="Arial"/>
                </w:rPr>
                <m:t>CR</m:t>
              </m:r>
            </m:sub>
          </m:sSub>
          <m:r>
            <w:rPr>
              <w:rFonts w:ascii="Cambria Math" w:hAnsi="Cambria Math" w:cs="Arial"/>
            </w:rPr>
            <m:t>*</m:t>
          </m:r>
          <m:nary>
            <m:naryPr>
              <m:chr m:val="∑"/>
              <m:limLoc m:val="undOvr"/>
              <m:ctrlPr>
                <w:rPr>
                  <w:rFonts w:ascii="Cambria Math" w:hAnsi="Cambria Math" w:cs="Arial"/>
                  <w:i/>
                </w:rPr>
              </m:ctrlPr>
            </m:naryPr>
            <m:sub>
              <m:r>
                <w:rPr>
                  <w:rFonts w:ascii="Cambria Math" w:hAnsi="Cambria Math" w:cs="Arial"/>
                </w:rPr>
                <m:t>n</m:t>
              </m:r>
              <m:r>
                <w:rPr>
                  <w:rFonts w:ascii="Cambria Math" w:cs="Arial"/>
                </w:rPr>
                <m:t>=</m:t>
              </m:r>
              <m:r>
                <w:rPr>
                  <w:rFonts w:ascii="Cambria Math" w:hAnsi="Cambria Math" w:cs="Arial"/>
                </w:rPr>
                <m:t>1</m:t>
              </m:r>
            </m:sub>
            <m:sup>
              <m:r>
                <w:rPr>
                  <w:rFonts w:ascii="Cambria Math" w:hAnsi="Cambria Math" w:cs="Arial"/>
                </w:rPr>
                <m:t>N</m:t>
              </m:r>
            </m:sup>
            <m:e>
              <m:sSub>
                <m:sSubPr>
                  <m:ctrlPr>
                    <w:rPr>
                      <w:rFonts w:ascii="Cambria Math" w:hAnsi="Cambria Math" w:cs="Arial"/>
                      <w:i/>
                    </w:rPr>
                  </m:ctrlPr>
                </m:sSubPr>
                <m:e>
                  <m:r>
                    <w:rPr>
                      <w:rFonts w:ascii="Cambria Math" w:hAnsi="Cambria Math"/>
                    </w:rPr>
                    <m:t>CR</m:t>
                  </m:r>
                </m:e>
                <m:sub>
                  <m:r>
                    <w:rPr>
                      <w:rFonts w:ascii="Cambria Math" w:hAnsi="Cambria Math"/>
                      <w:vertAlign w:val="subscript"/>
                    </w:rPr>
                    <m:t>i</m:t>
                  </m:r>
                  <m:r>
                    <w:rPr>
                      <w:rFonts w:ascii="Cambria Math"/>
                      <w:vertAlign w:val="subscript"/>
                    </w:rPr>
                    <m:t>,</m:t>
                  </m:r>
                  <m:r>
                    <w:rPr>
                      <w:rFonts w:ascii="Cambria Math" w:hAnsi="Cambria Math"/>
                      <w:vertAlign w:val="subscript"/>
                    </w:rPr>
                    <m:t>k</m:t>
                  </m:r>
                </m:sub>
              </m:sSub>
            </m:e>
          </m:nary>
        </m:oMath>
      </m:oMathPara>
    </w:p>
    <w:p w:rsidR="00F674C8" w:rsidRPr="001D0FBB" w:rsidRDefault="00F674C8" w:rsidP="00F674C8">
      <w:pPr>
        <w:rPr>
          <w:rFonts w:cs="Arial"/>
        </w:rPr>
      </w:pPr>
      <w:r w:rsidRPr="001D0FBB">
        <w:rPr>
          <w:rFonts w:cs="Arial"/>
        </w:rPr>
        <w:t>Donde:</w:t>
      </w:r>
    </w:p>
    <w:p w:rsidR="00F674C8" w:rsidRPr="001D0FBB" w:rsidRDefault="00F674C8" w:rsidP="00F674C8">
      <w:pPr>
        <w:ind w:left="1418" w:hanging="1418"/>
        <w:rPr>
          <w:rFonts w:cs="Arial"/>
        </w:rPr>
      </w:pPr>
      <w:r w:rsidRPr="001D0FBB">
        <w:rPr>
          <w:rFonts w:cs="Arial"/>
          <w:i/>
        </w:rPr>
        <w:t>I</w:t>
      </w:r>
      <w:r w:rsidRPr="001D0FBB">
        <w:rPr>
          <w:rFonts w:cs="Arial"/>
          <w:i/>
          <w:vertAlign w:val="subscript"/>
        </w:rPr>
        <w:t>TOTAL</w:t>
      </w:r>
      <w:r w:rsidRPr="001D0FBB">
        <w:rPr>
          <w:rFonts w:cs="Arial"/>
          <w:i/>
        </w:rPr>
        <w:t>:</w:t>
      </w:r>
      <w:r w:rsidRPr="001D0FBB">
        <w:rPr>
          <w:rFonts w:cs="Arial"/>
          <w:i/>
        </w:rPr>
        <w:tab/>
      </w:r>
      <w:r w:rsidRPr="001D0FBB">
        <w:rPr>
          <w:rFonts w:cs="Arial"/>
        </w:rPr>
        <w:t>Costo de la inversión total anual requerida para la prestación del servicio de respaldo. Dicho valor se actualizará mensualmente con el Índice de Precios al Productor Total Nacional (IPP).</w:t>
      </w:r>
    </w:p>
    <w:p w:rsidR="00F674C8" w:rsidRPr="001D0FBB" w:rsidRDefault="00F674C8" w:rsidP="00F674C8">
      <w:pPr>
        <w:ind w:left="1418" w:hanging="1418"/>
        <w:rPr>
          <w:rFonts w:cs="Arial"/>
        </w:rPr>
      </w:pPr>
      <w:r w:rsidRPr="001D0FBB">
        <w:rPr>
          <w:rFonts w:cs="Arial"/>
          <w:i/>
        </w:rPr>
        <w:t>I</w:t>
      </w:r>
      <w:r w:rsidRPr="001D0FBB">
        <w:rPr>
          <w:rFonts w:cs="Arial"/>
          <w:i/>
          <w:vertAlign w:val="subscript"/>
        </w:rPr>
        <w:t>T</w:t>
      </w:r>
      <w:r w:rsidRPr="001D0FBB">
        <w:rPr>
          <w:rFonts w:cs="Arial"/>
          <w:i/>
        </w:rPr>
        <w:t>:</w:t>
      </w:r>
      <w:r w:rsidRPr="001D0FBB">
        <w:rPr>
          <w:rFonts w:cs="Arial"/>
          <w:i/>
        </w:rPr>
        <w:tab/>
      </w:r>
      <w:r w:rsidRPr="001D0FBB">
        <w:rPr>
          <w:rFonts w:cs="Arial"/>
        </w:rPr>
        <w:t xml:space="preserve">Corresponde al costo de la capacidad de transformación requerida para el servicio de respaldo. La tarifa por unidad de potencia es de 12.400 $/kVA–año (pesos </w:t>
      </w:r>
      <w:r>
        <w:t>de diciembre de 2007</w:t>
      </w:r>
      <w:r w:rsidRPr="001D0FBB">
        <w:rPr>
          <w:rFonts w:cs="Arial"/>
        </w:rPr>
        <w:t>), independientemente del Nivel de Tensión al cual esté conectado el usuario.</w:t>
      </w:r>
    </w:p>
    <w:p w:rsidR="00F674C8" w:rsidRPr="001D0FBB" w:rsidRDefault="00F674C8" w:rsidP="00F674C8">
      <w:pPr>
        <w:ind w:left="1418" w:hanging="1418"/>
        <w:rPr>
          <w:rFonts w:cs="Arial"/>
        </w:rPr>
      </w:pPr>
      <w:r w:rsidRPr="001D0FBB">
        <w:rPr>
          <w:rFonts w:cs="Arial"/>
          <w:i/>
        </w:rPr>
        <w:t>CTr:</w:t>
      </w:r>
      <w:r w:rsidRPr="001D0FBB">
        <w:rPr>
          <w:rFonts w:cs="Arial"/>
          <w:i/>
        </w:rPr>
        <w:tab/>
        <w:t>C</w:t>
      </w:r>
      <w:r w:rsidRPr="001D0FBB">
        <w:rPr>
          <w:rFonts w:cs="Arial"/>
        </w:rPr>
        <w:t xml:space="preserve">apacidad de transformación (kVA), requerida para el servicio de respaldo. </w:t>
      </w:r>
    </w:p>
    <w:p w:rsidR="00F674C8" w:rsidRPr="001D0FBB" w:rsidRDefault="00F674C8" w:rsidP="00F674C8">
      <w:pPr>
        <w:ind w:left="1418" w:hanging="1418"/>
        <w:rPr>
          <w:rFonts w:cs="Arial"/>
          <w:i/>
        </w:rPr>
      </w:pPr>
      <w:r w:rsidRPr="001D0FBB">
        <w:rPr>
          <w:rFonts w:cs="Arial"/>
          <w:i/>
        </w:rPr>
        <w:t>I</w:t>
      </w:r>
      <w:r w:rsidRPr="001D0FBB">
        <w:rPr>
          <w:rFonts w:cs="Arial"/>
          <w:i/>
          <w:vertAlign w:val="subscript"/>
        </w:rPr>
        <w:t>L</w:t>
      </w:r>
      <w:r w:rsidRPr="001D0FBB">
        <w:rPr>
          <w:rFonts w:cs="Arial"/>
          <w:i/>
        </w:rPr>
        <w:t>:</w:t>
      </w:r>
      <w:r w:rsidRPr="001D0FBB">
        <w:rPr>
          <w:rFonts w:cs="Arial"/>
          <w:i/>
        </w:rPr>
        <w:tab/>
      </w:r>
      <w:r w:rsidRPr="001D0FBB">
        <w:rPr>
          <w:rFonts w:cs="Arial"/>
        </w:rPr>
        <w:t>Corresponde a las inversiones en líneas que son utilizadas para prestar el servicio de respaldo en proporción a la capacidad de respaldo requerida, en el nivel de tensión que se encuentra la conexión.</w:t>
      </w:r>
      <w:r w:rsidRPr="001D0FBB">
        <w:rPr>
          <w:rFonts w:cs="Arial"/>
          <w:i/>
        </w:rPr>
        <w:t xml:space="preserve"> </w:t>
      </w:r>
    </w:p>
    <w:p w:rsidR="00F674C8" w:rsidRPr="001D0FBB" w:rsidRDefault="00F674C8" w:rsidP="00F674C8">
      <w:pPr>
        <w:ind w:left="1418" w:hanging="1418"/>
        <w:rPr>
          <w:rFonts w:cs="Arial"/>
          <w:i/>
        </w:rPr>
      </w:pPr>
      <w:r w:rsidRPr="001D0FBB">
        <w:rPr>
          <w:rFonts w:cs="Arial"/>
          <w:i/>
        </w:rPr>
        <w:t>I</w:t>
      </w:r>
      <w:r w:rsidRPr="001D0FBB">
        <w:rPr>
          <w:rFonts w:cs="Arial"/>
          <w:i/>
          <w:vertAlign w:val="subscript"/>
        </w:rPr>
        <w:t>E</w:t>
      </w:r>
      <w:r w:rsidRPr="001D0FBB">
        <w:rPr>
          <w:rFonts w:cs="Arial"/>
          <w:i/>
        </w:rPr>
        <w:t>:</w:t>
      </w:r>
      <w:r w:rsidRPr="001D0FBB">
        <w:rPr>
          <w:rFonts w:cs="Arial"/>
          <w:i/>
        </w:rPr>
        <w:tab/>
      </w:r>
      <w:r w:rsidRPr="001D0FBB">
        <w:rPr>
          <w:rFonts w:cs="Arial"/>
        </w:rPr>
        <w:t>Corresponde a las inversiones en equipos que son utilizados para prestar el servicio de respaldo en proporción a la capacidad de respaldo requerida, en el nivel de tensión que se encuentra la conexión.</w:t>
      </w:r>
    </w:p>
    <w:p w:rsidR="00F674C8" w:rsidRDefault="00F674C8" w:rsidP="00F674C8">
      <w:pPr>
        <w:ind w:left="1418" w:hanging="1418"/>
        <w:rPr>
          <w:rFonts w:cs="Arial"/>
        </w:rPr>
      </w:pPr>
    </w:p>
    <w:p w:rsidR="00F674C8" w:rsidRPr="001D0FBB" w:rsidRDefault="00F674C8" w:rsidP="00F674C8">
      <w:pPr>
        <w:ind w:left="1418" w:hanging="1418"/>
        <w:rPr>
          <w:rFonts w:cs="Arial"/>
        </w:rPr>
      </w:pPr>
      <w:r w:rsidRPr="001D0FBB">
        <w:rPr>
          <w:rFonts w:cs="Arial"/>
        </w:rPr>
        <w:t>Para estos efectos la forma de calcular la inversión total correspondiente es:</w:t>
      </w:r>
    </w:p>
    <w:p w:rsidR="00F674C8" w:rsidRPr="001D0FBB" w:rsidRDefault="00F674C8" w:rsidP="00F674C8">
      <w:pPr>
        <w:ind w:left="1418" w:hanging="1418"/>
        <w:rPr>
          <w:rFonts w:cs="Arial"/>
          <w:i/>
        </w:rPr>
      </w:pPr>
    </w:p>
    <w:p w:rsidR="00F674C8" w:rsidRPr="001D0FBB" w:rsidRDefault="00F674C8" w:rsidP="00F674C8">
      <w:pPr>
        <w:ind w:left="1418" w:hanging="1418"/>
        <w:rPr>
          <w:rFonts w:cs="Arial"/>
          <w:i/>
        </w:rPr>
      </w:pPr>
      <w:r w:rsidRPr="001D0FBB">
        <w:rPr>
          <w:rFonts w:cs="Arial"/>
          <w:i/>
        </w:rPr>
        <w:t>l:</w:t>
      </w:r>
      <w:r w:rsidRPr="001D0FBB">
        <w:rPr>
          <w:rFonts w:cs="Arial"/>
          <w:i/>
        </w:rPr>
        <w:tab/>
      </w:r>
      <w:r w:rsidRPr="001D0FBB">
        <w:rPr>
          <w:rFonts w:cs="Arial"/>
        </w:rPr>
        <w:t>Longitud (km), de la línea que es utilizada para prestar el servicio de capacidad de respaldo.</w:t>
      </w:r>
    </w:p>
    <w:p w:rsidR="00F674C8" w:rsidRPr="001D0FBB" w:rsidRDefault="00F674C8" w:rsidP="00F674C8">
      <w:pPr>
        <w:ind w:left="1418" w:hanging="1418"/>
        <w:rPr>
          <w:rFonts w:cs="Arial"/>
          <w:i/>
        </w:rPr>
      </w:pPr>
      <w:r w:rsidRPr="001D0FBB">
        <w:rPr>
          <w:rFonts w:cs="Arial"/>
          <w:i/>
        </w:rPr>
        <w:t>CR</w:t>
      </w:r>
      <w:r w:rsidRPr="001D0FBB">
        <w:rPr>
          <w:rFonts w:cs="Arial"/>
          <w:i/>
          <w:vertAlign w:val="subscript"/>
        </w:rPr>
        <w:t>i,k</w:t>
      </w:r>
      <w:r w:rsidRPr="001D0FBB">
        <w:rPr>
          <w:rFonts w:cs="Arial"/>
          <w:i/>
        </w:rPr>
        <w:t>:</w:t>
      </w:r>
      <w:r w:rsidRPr="001D0FBB">
        <w:rPr>
          <w:rFonts w:cs="Arial"/>
          <w:i/>
        </w:rPr>
        <w:tab/>
      </w:r>
      <w:r w:rsidRPr="001D0FBB">
        <w:rPr>
          <w:rFonts w:cs="Arial"/>
        </w:rPr>
        <w:t>Costo Reconocido para la UC</w:t>
      </w:r>
      <w:r w:rsidRPr="001D0FBB">
        <w:rPr>
          <w:rFonts w:cs="Arial"/>
          <w:i/>
        </w:rPr>
        <w:t xml:space="preserve"> i, </w:t>
      </w:r>
      <w:r w:rsidRPr="001D0FBB">
        <w:rPr>
          <w:rFonts w:cs="Arial"/>
        </w:rPr>
        <w:t>en el año</w:t>
      </w:r>
      <w:r w:rsidRPr="001D0FBB">
        <w:rPr>
          <w:rFonts w:cs="Arial"/>
          <w:i/>
        </w:rPr>
        <w:t xml:space="preserve"> k, </w:t>
      </w:r>
      <w:r w:rsidRPr="001D0FBB">
        <w:rPr>
          <w:rFonts w:cs="Arial"/>
        </w:rPr>
        <w:t>reportada por el OR</w:t>
      </w:r>
      <w:r w:rsidRPr="001D0FBB">
        <w:rPr>
          <w:rFonts w:cs="Arial"/>
          <w:i/>
        </w:rPr>
        <w:t xml:space="preserve"> </w:t>
      </w:r>
      <w:r>
        <w:rPr>
          <w:rFonts w:cs="Arial"/>
          <w:i/>
        </w:rPr>
        <w:t>j</w:t>
      </w:r>
      <w:r>
        <w:rPr>
          <w:rFonts w:cs="Arial"/>
        </w:rPr>
        <w:t xml:space="preserve"> </w:t>
      </w:r>
      <w:r w:rsidRPr="004E6CFC">
        <w:t xml:space="preserve">definido en el capítulo </w:t>
      </w:r>
      <w:r w:rsidRPr="004E6CFC">
        <w:fldChar w:fldCharType="begin"/>
      </w:r>
      <w:r w:rsidRPr="004E6CFC">
        <w:instrText xml:space="preserve"> REF _Ref476818651 \r \h \t  \* MERGEFORMAT </w:instrText>
      </w:r>
      <w:r w:rsidRPr="004E6CFC">
        <w:fldChar w:fldCharType="separate"/>
      </w:r>
      <w:r w:rsidR="00737178">
        <w:t>15</w:t>
      </w:r>
      <w:r w:rsidRPr="004E6CFC">
        <w:fldChar w:fldCharType="end"/>
      </w:r>
      <w:r w:rsidRPr="004E6CFC">
        <w:t>.</w:t>
      </w:r>
    </w:p>
    <w:p w:rsidR="00F674C8" w:rsidRPr="001D0FBB" w:rsidRDefault="00F674C8" w:rsidP="00F674C8">
      <w:pPr>
        <w:ind w:left="1418" w:hanging="1418"/>
        <w:rPr>
          <w:rFonts w:cs="Arial"/>
          <w:i/>
        </w:rPr>
      </w:pPr>
      <w:r w:rsidRPr="001D0FBB">
        <w:rPr>
          <w:rFonts w:cs="Arial"/>
          <w:i/>
        </w:rPr>
        <w:lastRenderedPageBreak/>
        <w:t>P</w:t>
      </w:r>
      <w:r w:rsidRPr="001D0FBB">
        <w:rPr>
          <w:rFonts w:cs="Arial"/>
          <w:i/>
          <w:vertAlign w:val="subscript"/>
        </w:rPr>
        <w:t>CR</w:t>
      </w:r>
      <w:r w:rsidRPr="001D0FBB">
        <w:rPr>
          <w:rFonts w:cs="Arial"/>
          <w:i/>
        </w:rPr>
        <w:t>:</w:t>
      </w:r>
      <w:r w:rsidRPr="001D0FBB">
        <w:rPr>
          <w:rFonts w:cs="Arial"/>
          <w:i/>
        </w:rPr>
        <w:tab/>
      </w:r>
      <w:r w:rsidRPr="001D0FBB">
        <w:rPr>
          <w:rFonts w:cs="Arial"/>
        </w:rPr>
        <w:t xml:space="preserve">Relación entre la capacidad de respaldo solicitada y la capacidad nominal del elemento (red o equipo). Cuando dichos elementos sean utilizados en </w:t>
      </w:r>
      <w:r w:rsidRPr="00170688">
        <w:rPr>
          <w:rFonts w:cs="Arial"/>
        </w:rPr>
        <w:t>forma exclusiva por el usuario estos activos se considerarán de conexión</w:t>
      </w:r>
      <w:r>
        <w:rPr>
          <w:rFonts w:cs="Arial"/>
        </w:rPr>
        <w:t xml:space="preserve"> y no se les aplicará lo dispuesto en la presente resolución sobre cargos por disponibilidad de capacidad de respaldo de la red</w:t>
      </w:r>
      <w:r w:rsidRPr="00170688">
        <w:rPr>
          <w:rFonts w:cs="Arial"/>
          <w:i/>
        </w:rPr>
        <w:t>.</w:t>
      </w:r>
    </w:p>
    <w:p w:rsidR="00F674C8" w:rsidRPr="001D0FBB" w:rsidRDefault="00F674C8" w:rsidP="00F674C8">
      <w:pPr>
        <w:ind w:left="1418" w:hanging="1418"/>
        <w:rPr>
          <w:rFonts w:cs="Arial"/>
          <w:i/>
        </w:rPr>
      </w:pPr>
      <w:r w:rsidRPr="001D0FBB">
        <w:rPr>
          <w:rFonts w:cs="Arial"/>
          <w:i/>
        </w:rPr>
        <w:t>n:</w:t>
      </w:r>
      <w:r w:rsidRPr="001D0FBB">
        <w:rPr>
          <w:rFonts w:cs="Arial"/>
          <w:i/>
        </w:rPr>
        <w:tab/>
      </w:r>
      <w:r w:rsidRPr="001D0FBB">
        <w:rPr>
          <w:rFonts w:cs="Arial"/>
        </w:rPr>
        <w:t>Corresponde a cada uno de los equipos involucrados en la prestación del servicio de capacidad de respaldo</w:t>
      </w:r>
      <w:r w:rsidRPr="001D0FBB">
        <w:rPr>
          <w:rFonts w:cs="Arial"/>
          <w:i/>
        </w:rPr>
        <w:t xml:space="preserve"> </w:t>
      </w:r>
    </w:p>
    <w:p w:rsidR="00F674C8" w:rsidRPr="001D0FBB" w:rsidRDefault="00F674C8" w:rsidP="00F674C8">
      <w:pPr>
        <w:ind w:left="1418" w:hanging="1418"/>
        <w:rPr>
          <w:rFonts w:cs="Arial"/>
        </w:rPr>
      </w:pPr>
      <w:r w:rsidRPr="001D0FBB">
        <w:rPr>
          <w:rFonts w:cs="Arial"/>
          <w:i/>
        </w:rPr>
        <w:t>r:</w:t>
      </w:r>
      <w:r w:rsidRPr="001D0FBB">
        <w:rPr>
          <w:rFonts w:cs="Arial"/>
          <w:i/>
        </w:rPr>
        <w:tab/>
      </w:r>
      <w:r w:rsidRPr="001D0FBB">
        <w:rPr>
          <w:rFonts w:cs="Arial"/>
        </w:rPr>
        <w:t>Tasa de Retorno para la remuneración con la Metodología de Ingreso Regulado.</w:t>
      </w:r>
    </w:p>
    <w:p w:rsidR="00F674C8" w:rsidRPr="001D0FBB" w:rsidRDefault="00F674C8" w:rsidP="00F674C8">
      <w:pPr>
        <w:ind w:left="1418" w:hanging="1418"/>
        <w:rPr>
          <w:rFonts w:cs="Arial"/>
        </w:rPr>
      </w:pPr>
      <w:r w:rsidRPr="001D0FBB">
        <w:rPr>
          <w:rFonts w:cs="Arial"/>
          <w:i/>
        </w:rPr>
        <w:t>V</w:t>
      </w:r>
      <w:r w:rsidRPr="001D0FBB">
        <w:rPr>
          <w:rFonts w:cs="Arial"/>
          <w:i/>
          <w:vertAlign w:val="subscript"/>
        </w:rPr>
        <w:t>i</w:t>
      </w:r>
      <w:r w:rsidRPr="001D0FBB">
        <w:rPr>
          <w:rFonts w:cs="Arial"/>
          <w:i/>
        </w:rPr>
        <w:t>:</w:t>
      </w:r>
      <w:r w:rsidRPr="001D0FBB">
        <w:rPr>
          <w:rFonts w:cs="Arial"/>
          <w:i/>
        </w:rPr>
        <w:tab/>
      </w:r>
      <w:r w:rsidRPr="001D0FBB">
        <w:rPr>
          <w:rFonts w:cs="Arial"/>
        </w:rPr>
        <w:t xml:space="preserve">Vida útil en años, reconocida para la UC </w:t>
      </w:r>
      <w:r w:rsidRPr="001D0FBB">
        <w:rPr>
          <w:rFonts w:cs="Arial"/>
          <w:i/>
        </w:rPr>
        <w:t>i</w:t>
      </w:r>
      <w:r>
        <w:rPr>
          <w:rFonts w:cs="Arial"/>
          <w:i/>
        </w:rPr>
        <w:t xml:space="preserve"> </w:t>
      </w:r>
      <w:r w:rsidRPr="00A2465F">
        <w:rPr>
          <w:rFonts w:cs="Arial"/>
        </w:rPr>
        <w:t xml:space="preserve">definidas </w:t>
      </w:r>
      <w:r w:rsidRPr="004E6CFC">
        <w:t xml:space="preserve">en el capítulo </w:t>
      </w:r>
      <w:r w:rsidRPr="004E6CFC">
        <w:fldChar w:fldCharType="begin"/>
      </w:r>
      <w:r w:rsidRPr="004E6CFC">
        <w:instrText xml:space="preserve"> REF _Ref476818651 \r \h \t  \* MERGEFORMAT </w:instrText>
      </w:r>
      <w:r w:rsidRPr="004E6CFC">
        <w:fldChar w:fldCharType="separate"/>
      </w:r>
      <w:r w:rsidR="00737178">
        <w:t>15</w:t>
      </w:r>
      <w:r w:rsidRPr="004E6CFC">
        <w:fldChar w:fldCharType="end"/>
      </w:r>
      <w:r w:rsidRPr="004E6CFC">
        <w:t>.</w:t>
      </w:r>
    </w:p>
    <w:p w:rsidR="00F674C8" w:rsidRPr="001D0FBB" w:rsidRDefault="00F674C8" w:rsidP="00F674C8">
      <w:pPr>
        <w:ind w:left="1418" w:hanging="1418"/>
        <w:rPr>
          <w:rFonts w:cs="Arial"/>
          <w:i/>
        </w:rPr>
      </w:pPr>
      <w:r w:rsidRPr="001D0FBB">
        <w:rPr>
          <w:rFonts w:cs="Arial"/>
          <w:i/>
        </w:rPr>
        <w:t>IPP</w:t>
      </w:r>
      <w:r w:rsidRPr="001D0FBB">
        <w:rPr>
          <w:rFonts w:cs="Arial"/>
          <w:i/>
          <w:vertAlign w:val="subscript"/>
        </w:rPr>
        <w:t>m</w:t>
      </w:r>
      <w:r w:rsidRPr="001D0FBB">
        <w:rPr>
          <w:rFonts w:cs="Arial"/>
          <w:i/>
        </w:rPr>
        <w:t>:</w:t>
      </w:r>
      <w:r w:rsidRPr="001D0FBB">
        <w:rPr>
          <w:rFonts w:cs="Arial"/>
          <w:i/>
        </w:rPr>
        <w:tab/>
      </w:r>
      <w:r w:rsidRPr="001D0FBB">
        <w:rPr>
          <w:rFonts w:cs="Arial"/>
        </w:rPr>
        <w:t xml:space="preserve">Índice de Precios al Productor Total Nacional, correspondiente al mes </w:t>
      </w:r>
      <w:r w:rsidRPr="001D0FBB">
        <w:rPr>
          <w:rFonts w:cs="Arial"/>
          <w:i/>
        </w:rPr>
        <w:t xml:space="preserve">m </w:t>
      </w:r>
    </w:p>
    <w:p w:rsidR="00F674C8" w:rsidRPr="001D0FBB" w:rsidRDefault="00F674C8" w:rsidP="00F674C8">
      <w:pPr>
        <w:ind w:left="1418" w:hanging="1418"/>
        <w:rPr>
          <w:rFonts w:cs="Arial"/>
        </w:rPr>
      </w:pPr>
      <w:r w:rsidRPr="001D0FBB">
        <w:rPr>
          <w:rFonts w:cs="Arial"/>
          <w:i/>
        </w:rPr>
        <w:t>IPP</w:t>
      </w:r>
      <w:r>
        <w:rPr>
          <w:rFonts w:cs="Arial"/>
          <w:i/>
          <w:vertAlign w:val="subscript"/>
        </w:rPr>
        <w:t>o</w:t>
      </w:r>
      <w:r w:rsidRPr="00CD1075">
        <w:rPr>
          <w:rFonts w:cs="Arial"/>
          <w:i/>
        </w:rPr>
        <w:t>:</w:t>
      </w:r>
      <w:r w:rsidRPr="001D0FBB">
        <w:rPr>
          <w:rFonts w:cs="Arial"/>
          <w:i/>
        </w:rPr>
        <w:tab/>
      </w:r>
      <w:r w:rsidRPr="001D0FBB">
        <w:rPr>
          <w:rFonts w:cs="Arial"/>
        </w:rPr>
        <w:t xml:space="preserve">Índice de Precios al Productor Total Nacional, correspondiente al mes </w:t>
      </w:r>
      <w:r>
        <w:t>de diciembre de 2007</w:t>
      </w:r>
      <w:r w:rsidRPr="001D0FBB">
        <w:rPr>
          <w:rFonts w:cs="Arial"/>
        </w:rPr>
        <w:t>.</w:t>
      </w:r>
    </w:p>
    <w:p w:rsidR="00F674C8" w:rsidRPr="001D0FBB" w:rsidRDefault="00F674C8" w:rsidP="00F674C8">
      <w:pPr>
        <w:rPr>
          <w:rFonts w:cs="Arial"/>
        </w:rPr>
      </w:pPr>
      <w:r w:rsidRPr="001D0FBB">
        <w:rPr>
          <w:rFonts w:cs="Arial"/>
        </w:rPr>
        <w:t>El reconocimiento de los gastos de Administración, Operación y Mantenimiento,</w:t>
      </w:r>
      <w:r>
        <w:rPr>
          <w:rFonts w:cs="Arial"/>
        </w:rPr>
        <w:t xml:space="preserve"> (AOM</w:t>
      </w:r>
      <w:r w:rsidRPr="00B902E4">
        <w:rPr>
          <w:rFonts w:cs="Arial"/>
          <w:vertAlign w:val="subscript"/>
        </w:rPr>
        <w:t>TOTAL</w:t>
      </w:r>
      <w:r>
        <w:rPr>
          <w:rFonts w:cs="Arial"/>
        </w:rPr>
        <w:t>)</w:t>
      </w:r>
      <w:r w:rsidRPr="001D0FBB">
        <w:rPr>
          <w:rFonts w:cs="Arial"/>
        </w:rPr>
        <w:t xml:space="preserve"> se hará de la siguiente manera:</w:t>
      </w:r>
    </w:p>
    <w:p w:rsidR="00F674C8" w:rsidRPr="001D0FBB" w:rsidRDefault="00F674C8" w:rsidP="00F674C8">
      <w:pPr>
        <w:spacing w:before="120"/>
        <w:ind w:left="425" w:hanging="425"/>
        <w:rPr>
          <w:rFonts w:cs="Arial"/>
        </w:rPr>
      </w:pPr>
      <w:r w:rsidRPr="001D0FBB">
        <w:rPr>
          <w:rFonts w:cs="Arial"/>
          <w:i/>
        </w:rPr>
        <w:t>•</w:t>
      </w:r>
      <w:r w:rsidRPr="001D0FBB">
        <w:rPr>
          <w:rFonts w:cs="Arial"/>
          <w:i/>
        </w:rPr>
        <w:tab/>
      </w:r>
      <w:r w:rsidRPr="001D0FBB">
        <w:rPr>
          <w:rFonts w:cs="Arial"/>
        </w:rPr>
        <w:t xml:space="preserve">Se realizará el cálculo de la inversión total de los activos necesarios para prestar el respaldo, valorada con las UC de la presente resolución. </w:t>
      </w:r>
    </w:p>
    <w:p w:rsidR="00F674C8" w:rsidRPr="001D0FBB" w:rsidRDefault="00F674C8" w:rsidP="00F674C8">
      <w:pPr>
        <w:spacing w:before="120"/>
        <w:ind w:left="425" w:hanging="425"/>
        <w:rPr>
          <w:rFonts w:cs="Arial"/>
        </w:rPr>
      </w:pPr>
      <w:r w:rsidRPr="001D0FBB">
        <w:rPr>
          <w:rFonts w:cs="Arial"/>
        </w:rPr>
        <w:t>•</w:t>
      </w:r>
      <w:r w:rsidRPr="001D0FBB">
        <w:rPr>
          <w:rFonts w:cs="Arial"/>
        </w:rPr>
        <w:tab/>
      </w:r>
      <w:r>
        <w:rPr>
          <w:rFonts w:cs="Arial"/>
        </w:rPr>
        <w:t>Se tomará la t</w:t>
      </w:r>
      <w:r w:rsidRPr="001D0FBB">
        <w:rPr>
          <w:rFonts w:cs="Arial"/>
        </w:rPr>
        <w:t xml:space="preserve">asa de retorno para la remuneración con la metodología de ingreso regulado. </w:t>
      </w:r>
    </w:p>
    <w:p w:rsidR="00F674C8" w:rsidRDefault="00F674C8" w:rsidP="00F674C8">
      <w:pPr>
        <w:ind w:left="425" w:hanging="425"/>
        <w:rPr>
          <w:rFonts w:cs="Arial"/>
        </w:rPr>
      </w:pPr>
      <w:r w:rsidRPr="001D0FBB">
        <w:rPr>
          <w:rFonts w:cs="Arial"/>
        </w:rPr>
        <w:t>•</w:t>
      </w:r>
      <w:r w:rsidRPr="001D0FBB">
        <w:rPr>
          <w:rFonts w:cs="Arial"/>
        </w:rPr>
        <w:tab/>
        <w:t>El valor del AOM será calculado a partir de la aplicación del porcentaje anual reconocido al OR en la remuneración de la actividad de distribución, aplicada a la inversión requerida para la prestación del servicio de capacidad de respaldo.</w:t>
      </w:r>
    </w:p>
    <w:p w:rsidR="00F674C8" w:rsidRDefault="00F674C8" w:rsidP="00F674C8">
      <w:pPr>
        <w:pStyle w:val="Ttulo2"/>
      </w:pPr>
      <w:bookmarkStart w:id="992" w:name="_Ref504731174"/>
      <w:r>
        <w:t xml:space="preserve"> </w:t>
      </w:r>
      <w:bookmarkStart w:id="993" w:name="_Ref505067665"/>
      <w:bookmarkStart w:id="994" w:name="_Toc505336005"/>
      <w:bookmarkEnd w:id="992"/>
      <w:r>
        <w:t>costo de respaldo de red (</w:t>
      </w:r>
      <w:r w:rsidRPr="00A62888">
        <w:rPr>
          <w:rFonts w:cs="Arial"/>
          <w:i/>
        </w:rPr>
        <w:t>CRESP</w:t>
      </w:r>
      <w:r w:rsidRPr="00B902E4">
        <w:rPr>
          <w:rFonts w:cs="Arial"/>
          <w:i/>
          <w:caps w:val="0"/>
          <w:vertAlign w:val="subscript"/>
        </w:rPr>
        <w:t>u,n</w:t>
      </w:r>
      <w:r>
        <w:t>).</w:t>
      </w:r>
      <w:bookmarkEnd w:id="993"/>
      <w:bookmarkEnd w:id="994"/>
    </w:p>
    <w:p w:rsidR="00F674C8" w:rsidRPr="001D0FBB" w:rsidRDefault="00F674C8" w:rsidP="00F674C8">
      <w:pPr>
        <w:rPr>
          <w:rFonts w:cs="Arial"/>
        </w:rPr>
      </w:pPr>
      <w:r>
        <w:rPr>
          <w:rFonts w:cs="Arial"/>
        </w:rPr>
        <w:t xml:space="preserve">El costo </w:t>
      </w:r>
      <w:r w:rsidRPr="001D0FBB">
        <w:rPr>
          <w:rFonts w:cs="Arial"/>
        </w:rPr>
        <w:t xml:space="preserve">aquí calculado por </w:t>
      </w:r>
      <w:r>
        <w:rPr>
          <w:rFonts w:cs="Arial"/>
        </w:rPr>
        <w:t>r</w:t>
      </w:r>
      <w:r w:rsidRPr="001D0FBB">
        <w:rPr>
          <w:rFonts w:cs="Arial"/>
        </w:rPr>
        <w:t xml:space="preserve">espaldo de la </w:t>
      </w:r>
      <w:r>
        <w:rPr>
          <w:rFonts w:cs="Arial"/>
        </w:rPr>
        <w:t>r</w:t>
      </w:r>
      <w:r w:rsidRPr="001D0FBB">
        <w:rPr>
          <w:rFonts w:cs="Arial"/>
        </w:rPr>
        <w:t xml:space="preserve">ed </w:t>
      </w:r>
      <w:r>
        <w:rPr>
          <w:rFonts w:cs="Arial"/>
        </w:rPr>
        <w:t>es un costo fijo calculado según la siguiente expresión:</w:t>
      </w:r>
    </w:p>
    <w:p w:rsidR="00F674C8" w:rsidRPr="004E6CFC" w:rsidRDefault="00C9592F" w:rsidP="00F674C8">
      <w:pPr>
        <w:rPr>
          <w:rFonts w:cs="Arial"/>
        </w:rPr>
      </w:pPr>
      <m:oMathPara>
        <m:oMath>
          <m:sSub>
            <m:sSubPr>
              <m:ctrlPr>
                <w:rPr>
                  <w:rFonts w:ascii="Cambria Math" w:hAnsi="Cambria Math" w:cs="Arial"/>
                  <w:i/>
                </w:rPr>
              </m:ctrlPr>
            </m:sSubPr>
            <m:e>
              <m:r>
                <w:rPr>
                  <w:rFonts w:ascii="Cambria Math" w:hAnsi="Cambria Math" w:cs="Arial"/>
                </w:rPr>
                <m:t>CRESP</m:t>
              </m:r>
            </m:e>
            <m:sub>
              <m:r>
                <w:rPr>
                  <w:rFonts w:ascii="Cambria Math" w:hAnsi="Cambria Math" w:cs="Arial"/>
                </w:rPr>
                <m:t>u,n</m:t>
              </m:r>
            </m:sub>
          </m:sSub>
          <m:r>
            <w:rPr>
              <w:rFonts w:ascii="Cambria Math" w:hAnsi="Cambria Math" w:cs="Arial"/>
            </w:rPr>
            <m:t>=</m:t>
          </m:r>
          <m:sSub>
            <m:sSubPr>
              <m:ctrlPr>
                <w:rPr>
                  <w:rFonts w:ascii="Cambria Math" w:hAnsi="Cambria Math" w:cs="Arial"/>
                  <w:i/>
                </w:rPr>
              </m:ctrlPr>
            </m:sSubPr>
            <m:e>
              <m:r>
                <w:rPr>
                  <w:rFonts w:ascii="Cambria Math" w:hAnsi="Cambria Math" w:cs="Arial"/>
                </w:rPr>
                <m:t>Dt</m:t>
              </m:r>
            </m:e>
            <m:sub>
              <m:r>
                <w:rPr>
                  <w:rFonts w:ascii="Cambria Math" w:hAnsi="Cambria Math" w:cs="Arial"/>
                </w:rPr>
                <m:t>n,j,m-1,t</m:t>
              </m:r>
            </m:sub>
          </m:sSub>
          <m:r>
            <w:rPr>
              <w:rFonts w:ascii="Cambria Math" w:hAnsi="Cambria Math" w:cs="Arial"/>
            </w:rPr>
            <m:t>*(365)*</m:t>
          </m:r>
          <m:r>
            <w:rPr>
              <w:rFonts w:ascii="Cambria Math" w:hAnsi="Cambria Math" w:cs="Arial"/>
            </w:rPr>
            <m:t>h*</m:t>
          </m:r>
          <m:sSub>
            <m:sSubPr>
              <m:ctrlPr>
                <w:rPr>
                  <w:rFonts w:ascii="Cambria Math" w:hAnsi="Cambria Math" w:cs="Arial"/>
                  <w:i/>
                </w:rPr>
              </m:ctrlPr>
            </m:sSubPr>
            <m:e>
              <m:r>
                <w:rPr>
                  <w:rFonts w:ascii="Cambria Math" w:hAnsi="Cambria Math" w:cs="Arial"/>
                </w:rPr>
                <m:t>Pot</m:t>
              </m:r>
            </m:e>
            <m:sub>
              <m:r>
                <w:rPr>
                  <w:rFonts w:ascii="Cambria Math" w:hAnsi="Cambria Math" w:cs="Arial"/>
                </w:rPr>
                <m:t>u</m:t>
              </m:r>
            </m:sub>
          </m:sSub>
        </m:oMath>
      </m:oMathPara>
    </w:p>
    <w:p w:rsidR="00F674C8" w:rsidRPr="004E6CFC" w:rsidRDefault="00F674C8" w:rsidP="00F674C8">
      <w:pPr>
        <w:rPr>
          <w:rFonts w:cs="Arial"/>
        </w:rPr>
      </w:pPr>
      <w:r w:rsidRPr="004E6CFC">
        <w:rPr>
          <w:rFonts w:cs="Arial"/>
        </w:rPr>
        <w:t xml:space="preserve">Donde: </w:t>
      </w:r>
    </w:p>
    <w:p w:rsidR="00F674C8" w:rsidRPr="004E6CFC" w:rsidRDefault="00F674C8" w:rsidP="00F674C8">
      <w:pPr>
        <w:ind w:left="1410" w:hanging="1410"/>
        <w:rPr>
          <w:rFonts w:cs="Arial"/>
        </w:rPr>
      </w:pPr>
      <w:r w:rsidRPr="004E6CFC">
        <w:rPr>
          <w:rFonts w:cs="Arial"/>
          <w:i/>
        </w:rPr>
        <w:t>CRESP</w:t>
      </w:r>
      <w:r w:rsidRPr="004E6CFC">
        <w:rPr>
          <w:rFonts w:cs="Arial"/>
          <w:i/>
          <w:vertAlign w:val="subscript"/>
        </w:rPr>
        <w:t>u,n</w:t>
      </w:r>
      <w:r w:rsidRPr="004E6CFC">
        <w:rPr>
          <w:rFonts w:cs="Arial"/>
          <w:i/>
        </w:rPr>
        <w:t>:</w:t>
      </w:r>
      <w:r w:rsidRPr="004E6CFC">
        <w:rPr>
          <w:rFonts w:cs="Arial"/>
        </w:rPr>
        <w:t xml:space="preserve">  </w:t>
      </w:r>
      <w:r w:rsidRPr="004E6CFC">
        <w:rPr>
          <w:rFonts w:cs="Arial"/>
        </w:rPr>
        <w:tab/>
        <w:t xml:space="preserve">Costo anual de respaldo de red del usuario </w:t>
      </w:r>
      <w:r w:rsidRPr="004E6CFC">
        <w:rPr>
          <w:rFonts w:cs="Arial"/>
          <w:i/>
        </w:rPr>
        <w:t>u</w:t>
      </w:r>
      <w:r w:rsidRPr="004E6CFC">
        <w:rPr>
          <w:rFonts w:cs="Arial"/>
        </w:rPr>
        <w:t xml:space="preserve"> en el nivel de tensión </w:t>
      </w:r>
      <w:r w:rsidRPr="004E6CFC">
        <w:rPr>
          <w:rFonts w:cs="Arial"/>
          <w:i/>
        </w:rPr>
        <w:t>n</w:t>
      </w:r>
      <w:r w:rsidRPr="004E6CFC">
        <w:rPr>
          <w:rFonts w:cs="Arial"/>
        </w:rPr>
        <w:t xml:space="preserve">, en pesos. </w:t>
      </w:r>
    </w:p>
    <w:p w:rsidR="00F674C8" w:rsidRPr="004E6CFC" w:rsidRDefault="00F674C8" w:rsidP="00F674C8">
      <w:pPr>
        <w:spacing w:before="120"/>
        <w:ind w:left="1418" w:hanging="1418"/>
      </w:pPr>
      <w:r w:rsidRPr="004E6CFC">
        <w:rPr>
          <w:i/>
          <w:iCs/>
        </w:rPr>
        <w:t>Dt</w:t>
      </w:r>
      <w:r w:rsidRPr="004E6CFC">
        <w:rPr>
          <w:i/>
          <w:iCs/>
          <w:vertAlign w:val="subscript"/>
        </w:rPr>
        <w:t>n,j,m,t</w:t>
      </w:r>
      <w:r w:rsidRPr="004E6CFC">
        <w:t>:</w:t>
      </w:r>
      <w:r w:rsidRPr="004E6CFC">
        <w:tab/>
        <w:t xml:space="preserve">Cargo por uso del nivel de tensión </w:t>
      </w:r>
      <w:r w:rsidRPr="004E6CFC">
        <w:rPr>
          <w:i/>
        </w:rPr>
        <w:t>n</w:t>
      </w:r>
      <w:r w:rsidRPr="004E6CFC">
        <w:t xml:space="preserve"> del OR </w:t>
      </w:r>
      <w:r w:rsidRPr="004E6CFC">
        <w:rPr>
          <w:i/>
        </w:rPr>
        <w:t>j</w:t>
      </w:r>
      <w:r w:rsidRPr="004E6CFC">
        <w:t xml:space="preserve"> en el mes m del año </w:t>
      </w:r>
      <w:r w:rsidRPr="004E6CFC">
        <w:rPr>
          <w:i/>
          <w:iCs/>
        </w:rPr>
        <w:t xml:space="preserve">t </w:t>
      </w:r>
      <w:r w:rsidRPr="004E6CFC">
        <w:rPr>
          <w:iCs/>
        </w:rPr>
        <w:t>en el que se realiza el cálculo del respaldo</w:t>
      </w:r>
      <w:r w:rsidRPr="004E6CFC">
        <w:rPr>
          <w:i/>
          <w:iCs/>
        </w:rPr>
        <w:t xml:space="preserve">, </w:t>
      </w:r>
      <w:r w:rsidRPr="004E6CFC">
        <w:t>en $/kWh.</w:t>
      </w:r>
      <w:r w:rsidRPr="004E6CFC">
        <w:rPr>
          <w:rFonts w:cs="Arial"/>
        </w:rPr>
        <w:t xml:space="preserve"> Para el caso de nivel de tensión 4 es igual a </w:t>
      </w:r>
      <w:r w:rsidRPr="004E6CFC">
        <w:rPr>
          <w:i/>
          <w:iCs/>
        </w:rPr>
        <w:t>Dt</w:t>
      </w:r>
      <w:r w:rsidRPr="004E6CFC">
        <w:rPr>
          <w:i/>
          <w:iCs/>
          <w:vertAlign w:val="subscript"/>
        </w:rPr>
        <w:t>4,R,m,t.</w:t>
      </w:r>
    </w:p>
    <w:p w:rsidR="00F674C8" w:rsidRPr="004E6CFC" w:rsidRDefault="00F674C8" w:rsidP="00F674C8">
      <w:pPr>
        <w:ind w:left="1410" w:hanging="1410"/>
        <w:rPr>
          <w:rFonts w:cs="Arial"/>
        </w:rPr>
      </w:pPr>
      <w:r w:rsidRPr="004E6CFC">
        <w:rPr>
          <w:rFonts w:cs="Arial"/>
          <w:i/>
        </w:rPr>
        <w:t>h:</w:t>
      </w:r>
      <w:r w:rsidRPr="004E6CFC">
        <w:rPr>
          <w:rFonts w:cs="Arial"/>
          <w:i/>
        </w:rPr>
        <w:tab/>
      </w:r>
      <w:r w:rsidRPr="004E6CFC">
        <w:rPr>
          <w:rFonts w:cs="Arial"/>
        </w:rPr>
        <w:t xml:space="preserve">Cantidad de horas del día en las que la carga del circuito o subestación del OR </w:t>
      </w:r>
      <w:r w:rsidRPr="0010408F">
        <w:rPr>
          <w:rFonts w:cs="Arial"/>
          <w:i/>
        </w:rPr>
        <w:t>j</w:t>
      </w:r>
      <w:r w:rsidRPr="004E6CFC">
        <w:rPr>
          <w:rFonts w:cs="Arial"/>
        </w:rPr>
        <w:t xml:space="preserve"> donde se requiere el respaldo es igual o superior </w:t>
      </w:r>
      <w:r w:rsidRPr="004E6CFC">
        <w:rPr>
          <w:rFonts w:cs="Arial"/>
        </w:rPr>
        <w:lastRenderedPageBreak/>
        <w:t xml:space="preserve">al 95% de la máxima, según la curva definida según lo establecido en el numeral </w:t>
      </w:r>
      <w:r w:rsidRPr="004E6CFC">
        <w:rPr>
          <w:rFonts w:cs="Arial"/>
        </w:rPr>
        <w:fldChar w:fldCharType="begin"/>
      </w:r>
      <w:r w:rsidRPr="004E6CFC">
        <w:rPr>
          <w:rFonts w:cs="Arial"/>
        </w:rPr>
        <w:instrText xml:space="preserve"> REF _Ref460996548 \r \h  \* MERGEFORMAT </w:instrText>
      </w:r>
      <w:r w:rsidRPr="004E6CFC">
        <w:rPr>
          <w:rFonts w:cs="Arial"/>
        </w:rPr>
      </w:r>
      <w:r w:rsidRPr="004E6CFC">
        <w:rPr>
          <w:rFonts w:cs="Arial"/>
        </w:rPr>
        <w:fldChar w:fldCharType="separate"/>
      </w:r>
      <w:r w:rsidR="00737178">
        <w:rPr>
          <w:rFonts w:cs="Arial"/>
        </w:rPr>
        <w:t>10.4</w:t>
      </w:r>
      <w:r w:rsidRPr="004E6CFC">
        <w:rPr>
          <w:rFonts w:cs="Arial"/>
        </w:rPr>
        <w:fldChar w:fldCharType="end"/>
      </w:r>
      <w:r w:rsidRPr="004E6CFC">
        <w:rPr>
          <w:rFonts w:cs="Arial"/>
        </w:rPr>
        <w:t>.</w:t>
      </w:r>
    </w:p>
    <w:p w:rsidR="00F674C8" w:rsidRDefault="00F674C8" w:rsidP="00F674C8">
      <w:pPr>
        <w:ind w:left="1410" w:hanging="1410"/>
        <w:rPr>
          <w:rFonts w:cs="Arial"/>
        </w:rPr>
      </w:pPr>
      <w:r w:rsidRPr="004E6CFC">
        <w:rPr>
          <w:rFonts w:cs="Arial"/>
          <w:i/>
        </w:rPr>
        <w:t>Pot</w:t>
      </w:r>
      <w:r w:rsidRPr="004E6CFC">
        <w:rPr>
          <w:rFonts w:cs="Arial"/>
          <w:i/>
          <w:vertAlign w:val="subscript"/>
        </w:rPr>
        <w:t>u</w:t>
      </w:r>
      <w:r w:rsidRPr="004E6CFC">
        <w:rPr>
          <w:rFonts w:cs="Arial"/>
        </w:rPr>
        <w:t>:</w:t>
      </w:r>
      <w:r w:rsidRPr="004E6CFC">
        <w:rPr>
          <w:rFonts w:cs="Arial"/>
        </w:rPr>
        <w:tab/>
        <w:t xml:space="preserve">Es la potencia definida por el usuario </w:t>
      </w:r>
      <w:r w:rsidRPr="0010408F">
        <w:rPr>
          <w:rFonts w:cs="Arial"/>
          <w:i/>
        </w:rPr>
        <w:t>u</w:t>
      </w:r>
      <w:r w:rsidRPr="004E6CFC">
        <w:rPr>
          <w:rFonts w:cs="Arial"/>
        </w:rPr>
        <w:t xml:space="preserve">, en kW, sobre la cual se requiere respaldo. </w:t>
      </w:r>
    </w:p>
    <w:p w:rsidR="00F674C8" w:rsidRDefault="00F674C8" w:rsidP="00F674C8">
      <w:pPr>
        <w:pStyle w:val="Ttulo2"/>
      </w:pPr>
      <w:r>
        <w:t xml:space="preserve"> </w:t>
      </w:r>
      <w:bookmarkStart w:id="995" w:name="_Toc505336006"/>
      <w:r>
        <w:t>cOntenido del contrato de RESPALDO.</w:t>
      </w:r>
      <w:bookmarkEnd w:id="995"/>
    </w:p>
    <w:p w:rsidR="00F674C8" w:rsidRPr="004E6CFC" w:rsidRDefault="00F674C8" w:rsidP="00F674C8">
      <w:pPr>
        <w:rPr>
          <w:rFonts w:cs="Arial"/>
        </w:rPr>
      </w:pPr>
      <w:r w:rsidRPr="004E6CFC">
        <w:rPr>
          <w:rFonts w:cs="Arial"/>
        </w:rPr>
        <w:t>Los contratos que se suscriban deben tener en cuenta las siguientes consideraciones mínimas:</w:t>
      </w:r>
    </w:p>
    <w:p w:rsidR="00F674C8" w:rsidRPr="004E6CFC" w:rsidRDefault="00F674C8" w:rsidP="00F674C8">
      <w:pPr>
        <w:pStyle w:val="Prrafodelista"/>
        <w:numPr>
          <w:ilvl w:val="0"/>
          <w:numId w:val="13"/>
        </w:numPr>
        <w:ind w:left="426" w:hanging="426"/>
        <w:rPr>
          <w:rFonts w:cs="Arial"/>
        </w:rPr>
      </w:pPr>
      <w:r w:rsidRPr="004E6CFC">
        <w:rPr>
          <w:rFonts w:cs="Arial"/>
        </w:rPr>
        <w:t>Condiciones de verificación anual de disponibilidad de carga en el punto donde se requiere el respaldo y condiciones de renegociación en caso de modificación de curva de carga o necesidad de distribución de disponibilidad para respaldo por otras solicitudes de respaldo en el mismo circuito o subestación.</w:t>
      </w:r>
    </w:p>
    <w:p w:rsidR="00F674C8" w:rsidRPr="004E6CFC" w:rsidRDefault="00F674C8" w:rsidP="00F674C8">
      <w:pPr>
        <w:pStyle w:val="Prrafodelista"/>
        <w:numPr>
          <w:ilvl w:val="0"/>
          <w:numId w:val="13"/>
        </w:numPr>
        <w:ind w:left="360"/>
      </w:pPr>
      <w:r w:rsidRPr="004E6CFC">
        <w:t xml:space="preserve">Capacidad de respaldo de red contratada, carga instalada del usuario, capacidad de auto o cogeneración, cálculo de la variable </w:t>
      </w:r>
      <w:r w:rsidRPr="004E6CFC">
        <w:rPr>
          <w:rFonts w:cs="Arial"/>
          <w:i/>
        </w:rPr>
        <w:t>CRESP</w:t>
      </w:r>
      <w:r w:rsidRPr="004E6CFC">
        <w:rPr>
          <w:rFonts w:cs="Arial"/>
          <w:i/>
          <w:vertAlign w:val="subscript"/>
        </w:rPr>
        <w:t xml:space="preserve">u,n </w:t>
      </w:r>
      <w:r w:rsidRPr="004E6CFC">
        <w:t>y valor del respaldo</w:t>
      </w:r>
      <w:r>
        <w:t xml:space="preserve"> en cada año</w:t>
      </w:r>
      <w:r w:rsidRPr="004E6CFC">
        <w:t>.</w:t>
      </w:r>
    </w:p>
    <w:p w:rsidR="00F674C8" w:rsidRPr="004E6CFC" w:rsidRDefault="00F674C8" w:rsidP="00F674C8">
      <w:pPr>
        <w:pStyle w:val="Prrafodelista"/>
        <w:numPr>
          <w:ilvl w:val="0"/>
          <w:numId w:val="13"/>
        </w:numPr>
        <w:ind w:left="360"/>
      </w:pPr>
      <w:r w:rsidRPr="004E6CFC">
        <w:t xml:space="preserve">El OR será responsable por la distribución de energía hasta el límite de potencia acordada. </w:t>
      </w:r>
    </w:p>
    <w:p w:rsidR="00F674C8" w:rsidRPr="004E6CFC" w:rsidRDefault="00F674C8" w:rsidP="00F674C8">
      <w:pPr>
        <w:pStyle w:val="Prrafodelista"/>
        <w:numPr>
          <w:ilvl w:val="0"/>
          <w:numId w:val="13"/>
        </w:numPr>
        <w:ind w:left="360"/>
      </w:pPr>
      <w:r w:rsidRPr="004E6CFC">
        <w:t>El pago del respaldo remunera la disponibilidad de la red en un momento determinado y es independiente del uso de la misma por lo que, cuando el usuario del STR o SDL haga uso de la red, pagará los cargos por uso que correspondan por la totalidad de la energía consumida.</w:t>
      </w:r>
    </w:p>
    <w:p w:rsidR="00F674C8" w:rsidRPr="004E6CFC" w:rsidRDefault="00F674C8" w:rsidP="00F674C8">
      <w:pPr>
        <w:pStyle w:val="Prrafodelista"/>
        <w:numPr>
          <w:ilvl w:val="0"/>
          <w:numId w:val="13"/>
        </w:numPr>
        <w:ind w:left="360"/>
      </w:pPr>
      <w:r w:rsidRPr="004E6CFC">
        <w:t>Cuando la potencia máxima alcanzada por un usuario del STR o SDL supere la potencia respaldada y ponga en riesgo el suministro del servicio a otros usuarios, el OR podrá instalar equipos para el control de la potencia máxima a ser entregada por la red. Los costos de suministro e instalación de estos equipos estarán a cargo del usuario del STR o SDL que incurrió en esta situación y su remuneración podrá ser acordada entre las partes en el contrato de respaldo que se suscriba.</w:t>
      </w:r>
    </w:p>
    <w:p w:rsidR="00F674C8" w:rsidRPr="004E6CFC" w:rsidRDefault="00F674C8" w:rsidP="00F674C8">
      <w:pPr>
        <w:pStyle w:val="Prrafodelista"/>
        <w:numPr>
          <w:ilvl w:val="0"/>
          <w:numId w:val="13"/>
        </w:numPr>
        <w:ind w:left="360"/>
      </w:pPr>
      <w:r w:rsidRPr="004E6CFC">
        <w:t>Cuando el respaldo de red solicitado requiera una ampliación de la infraestructura disponible no considerada en el plan de inversión de un OR, el (los) solicitante(s) deberá(n) asumir los costos asociados con dicha ampliación.</w:t>
      </w:r>
    </w:p>
    <w:p w:rsidR="00F674C8" w:rsidRDefault="00F674C8" w:rsidP="00F674C8">
      <w:r w:rsidRPr="004E6CFC">
        <w:t xml:space="preserve">Cuando, para un año determinado, existan varias solicitudes de respaldo sobre una misma infraestructura de uso, la capacidad de la red para respaldo será distribuida de manera equitativa a prorrata de la potencia instalada de los usuarios que solicitaron el respaldo. </w:t>
      </w:r>
    </w:p>
    <w:p w:rsidR="00F674C8" w:rsidRPr="004E6CFC" w:rsidRDefault="00730567" w:rsidP="00F674C8">
      <w:pPr>
        <w:pStyle w:val="Ttulo2"/>
      </w:pPr>
      <w:bookmarkStart w:id="996" w:name="_Ref460996548"/>
      <w:bookmarkStart w:id="997" w:name="_Toc466009928"/>
      <w:bookmarkStart w:id="998" w:name="_Toc476824954"/>
      <w:r>
        <w:t xml:space="preserve"> </w:t>
      </w:r>
      <w:bookmarkStart w:id="999" w:name="_Toc505336007"/>
      <w:r w:rsidR="00F674C8" w:rsidRPr="004E6CFC">
        <w:t>DETERMINACIÓN DE CURVAS DE CARGA.</w:t>
      </w:r>
      <w:bookmarkEnd w:id="996"/>
      <w:bookmarkEnd w:id="997"/>
      <w:bookmarkEnd w:id="998"/>
      <w:bookmarkEnd w:id="999"/>
    </w:p>
    <w:p w:rsidR="00F674C8" w:rsidRPr="004E6CFC" w:rsidRDefault="00F674C8" w:rsidP="00F674C8">
      <w:r w:rsidRPr="004E6CFC">
        <w:t>Al momento de la solicitud de respaldo por parte de algún usuario, el OR debe calcular la curva de carga del circuito o subestación al cual se conecta el usuario, según los siguientes parámetros:</w:t>
      </w:r>
    </w:p>
    <w:p w:rsidR="00F674C8" w:rsidRPr="004E6CFC" w:rsidRDefault="00F674C8" w:rsidP="009C086B">
      <w:pPr>
        <w:pStyle w:val="Prrafodelista"/>
        <w:numPr>
          <w:ilvl w:val="0"/>
          <w:numId w:val="83"/>
        </w:numPr>
      </w:pPr>
      <w:r w:rsidRPr="004E6CFC">
        <w:lastRenderedPageBreak/>
        <w:t xml:space="preserve">La curva de carga se debe construir con base en la potencia promedio de cada hora, determinada a partir de las lecturas de energía o potencia disponibles. Un criterio para determinar estos períodos de carga se basa en el porcentaje de carga que se presenta en el sistema en una hora particular, referida a la carga máxima de la curva de carga.  </w:t>
      </w:r>
    </w:p>
    <w:p w:rsidR="00F674C8" w:rsidRPr="004E6CFC" w:rsidRDefault="00F674C8" w:rsidP="009C086B">
      <w:pPr>
        <w:pStyle w:val="Prrafodelista"/>
        <w:numPr>
          <w:ilvl w:val="0"/>
          <w:numId w:val="83"/>
        </w:numPr>
      </w:pPr>
      <w:r w:rsidRPr="004E6CFC">
        <w:t>Los datos a utilizar deben corresponder a los registrados en los días hábiles del mes de septiembre anterior al mes de solicitud de respaldo.</w:t>
      </w:r>
    </w:p>
    <w:p w:rsidR="00F674C8" w:rsidRPr="004E6CFC" w:rsidRDefault="00F674C8" w:rsidP="009C086B">
      <w:pPr>
        <w:pStyle w:val="Prrafodelista"/>
        <w:numPr>
          <w:ilvl w:val="0"/>
          <w:numId w:val="83"/>
        </w:numPr>
      </w:pPr>
      <w:r w:rsidRPr="004E6CFC">
        <w:t>Se deben especificar los rangos de horas donde la potencia es igual o superior al 95% de la carga máxima.</w:t>
      </w:r>
    </w:p>
    <w:p w:rsidR="00F674C8" w:rsidRDefault="00F674C8" w:rsidP="009C086B">
      <w:pPr>
        <w:pStyle w:val="Prrafodelista"/>
        <w:numPr>
          <w:ilvl w:val="0"/>
          <w:numId w:val="83"/>
        </w:numPr>
      </w:pPr>
      <w:r w:rsidRPr="004E6CFC">
        <w:t>Para el nivel de tensión 1, las curvas pueden obtenerse de los equipos de medida instalados en el transformador de nivel de tensión 1 o puede utilizarse la del circuito de media tensión al cual se conecta dicho transformador.</w:t>
      </w:r>
    </w:p>
    <w:p w:rsidR="00730567" w:rsidRDefault="00BC1D70" w:rsidP="009C086B">
      <w:pPr>
        <w:pStyle w:val="Prrafodelista"/>
        <w:numPr>
          <w:ilvl w:val="0"/>
          <w:numId w:val="83"/>
        </w:numPr>
      </w:pPr>
      <w:r>
        <w:t>E</w:t>
      </w:r>
      <w:r w:rsidR="00730567" w:rsidRPr="00730567">
        <w:t>l OR tendrá la obligación de justificar detalladamente el nivel de congestión en cada una de las horas de los circuitos de la red de distribución a su cargo en donde se supera el límite establecido en el numeral relativo a la capacidad nominal del circuito.</w:t>
      </w:r>
    </w:p>
    <w:p w:rsidR="00F674C8" w:rsidRPr="004E6CFC" w:rsidRDefault="00730567" w:rsidP="00F674C8">
      <w:pPr>
        <w:pStyle w:val="Ttulo2"/>
      </w:pPr>
      <w:bookmarkStart w:id="1000" w:name="_Toc466009929"/>
      <w:bookmarkStart w:id="1001" w:name="_Toc476824955"/>
      <w:r>
        <w:t xml:space="preserve"> </w:t>
      </w:r>
      <w:bookmarkStart w:id="1002" w:name="_Toc505336008"/>
      <w:r w:rsidR="00F674C8" w:rsidRPr="004E6CFC">
        <w:t>INGRESOS RECIBIDOS POR RESPALDO.</w:t>
      </w:r>
      <w:bookmarkEnd w:id="1000"/>
      <w:bookmarkEnd w:id="1001"/>
      <w:bookmarkEnd w:id="1002"/>
    </w:p>
    <w:p w:rsidR="00F674C8" w:rsidRPr="004E6CFC" w:rsidRDefault="00F674C8" w:rsidP="00F674C8">
      <w:r w:rsidRPr="004E6CFC">
        <w:t>Durante los primeros diez días calendario de cada año el OR deberá informar al LAC la sumatoria de los ingresos recibidos durante el año anterior por este concepto, por cada nivel de tensión, calculados según la siguiente expresión:</w:t>
      </w:r>
    </w:p>
    <w:p w:rsidR="00F674C8" w:rsidRPr="004E6CFC" w:rsidRDefault="00C9592F" w:rsidP="00F674C8">
      <w:pPr>
        <w:spacing w:after="200" w:line="276" w:lineRule="auto"/>
        <w:jc w:val="left"/>
      </w:pPr>
      <m:oMathPara>
        <m:oMath>
          <m:sSub>
            <m:sSubPr>
              <m:ctrlPr>
                <w:rPr>
                  <w:rFonts w:ascii="Cambria Math" w:hAnsi="Cambria Math" w:cs="Arial"/>
                  <w:i/>
                </w:rPr>
              </m:ctrlPr>
            </m:sSubPr>
            <m:e>
              <m:r>
                <w:rPr>
                  <w:rFonts w:ascii="Cambria Math" w:hAnsi="Cambria Math" w:cs="Arial"/>
                </w:rPr>
                <m:t>IRespaldo</m:t>
              </m:r>
            </m:e>
            <m:sub>
              <m:r>
                <w:rPr>
                  <w:rFonts w:ascii="Cambria Math" w:hAnsi="Cambria Math" w:cs="Arial"/>
                </w:rPr>
                <m:t>j,n,t</m:t>
              </m:r>
            </m:sub>
          </m:sSub>
          <m:r>
            <w:rPr>
              <w:rFonts w:ascii="Cambria Math" w:hAnsi="Cambria Math" w:cs="Arial"/>
            </w:rPr>
            <m:t>=</m:t>
          </m:r>
          <m:nary>
            <m:naryPr>
              <m:chr m:val="∑"/>
              <m:limLoc m:val="undOvr"/>
              <m:ctrlPr>
                <w:rPr>
                  <w:rFonts w:ascii="Cambria Math" w:hAnsi="Cambria Math" w:cs="Arial"/>
                  <w:i/>
                </w:rPr>
              </m:ctrlPr>
            </m:naryPr>
            <m:sub>
              <m:r>
                <w:rPr>
                  <w:rFonts w:ascii="Cambria Math" w:hAnsi="Cambria Math" w:cs="Arial"/>
                </w:rPr>
                <m:t>u=1</m:t>
              </m:r>
            </m:sub>
            <m:sup>
              <m:r>
                <w:rPr>
                  <w:rFonts w:ascii="Cambria Math" w:hAnsi="Cambria Math" w:cs="Arial"/>
                </w:rPr>
                <m:t>U</m:t>
              </m:r>
            </m:sup>
            <m:e>
              <m:sSub>
                <m:sSubPr>
                  <m:ctrlPr>
                    <w:rPr>
                      <w:rFonts w:ascii="Cambria Math" w:hAnsi="Cambria Math" w:cs="Arial"/>
                      <w:i/>
                    </w:rPr>
                  </m:ctrlPr>
                </m:sSubPr>
                <m:e>
                  <m:r>
                    <w:rPr>
                      <w:rFonts w:ascii="Cambria Math" w:hAnsi="Cambria Math" w:cs="Arial"/>
                    </w:rPr>
                    <m:t>CRESP</m:t>
                  </m:r>
                </m:e>
                <m:sub>
                  <m:r>
                    <w:rPr>
                      <w:rFonts w:ascii="Cambria Math" w:hAnsi="Cambria Math" w:cs="Arial"/>
                    </w:rPr>
                    <m:t>u,n,t-1</m:t>
                  </m:r>
                </m:sub>
              </m:sSub>
            </m:e>
          </m:nary>
        </m:oMath>
      </m:oMathPara>
    </w:p>
    <w:p w:rsidR="00F674C8" w:rsidRPr="004E6CFC" w:rsidRDefault="00F674C8" w:rsidP="00F674C8">
      <w:pPr>
        <w:ind w:left="2124" w:hanging="2124"/>
        <w:rPr>
          <w:rFonts w:cs="Arial"/>
          <w:lang w:val="es-ES_tradnl"/>
        </w:rPr>
      </w:pPr>
      <w:r w:rsidRPr="004E6CFC">
        <w:rPr>
          <w:rFonts w:cs="Arial"/>
          <w:lang w:val="es-ES_tradnl"/>
        </w:rPr>
        <w:t>Donde:</w:t>
      </w:r>
    </w:p>
    <w:p w:rsidR="00F674C8" w:rsidRPr="004E6CFC" w:rsidRDefault="00F674C8" w:rsidP="00F674C8">
      <w:pPr>
        <w:ind w:left="2124" w:hanging="2124"/>
        <w:rPr>
          <w:rFonts w:cs="Arial"/>
          <w:lang w:val="es-ES_tradnl"/>
        </w:rPr>
      </w:pPr>
      <w:r w:rsidRPr="004E6CFC">
        <w:rPr>
          <w:rFonts w:cs="Arial"/>
          <w:i/>
          <w:lang w:val="es-ES_tradnl"/>
        </w:rPr>
        <w:t>IRespaldo</w:t>
      </w:r>
      <w:r w:rsidRPr="004E6CFC">
        <w:rPr>
          <w:rFonts w:cs="Arial"/>
          <w:i/>
          <w:vertAlign w:val="subscript"/>
          <w:lang w:val="es-ES_tradnl"/>
        </w:rPr>
        <w:t>j,n,t</w:t>
      </w:r>
      <w:r w:rsidRPr="004E6CFC">
        <w:rPr>
          <w:rFonts w:cs="Arial"/>
          <w:lang w:val="es-ES_tradnl"/>
        </w:rPr>
        <w:t xml:space="preserve">: </w:t>
      </w:r>
      <w:r w:rsidRPr="004E6CFC">
        <w:rPr>
          <w:rFonts w:cs="Arial"/>
          <w:lang w:val="es-ES_tradnl"/>
        </w:rPr>
        <w:tab/>
        <w:t xml:space="preserve">Ingresos recibidos por parte del OR </w:t>
      </w:r>
      <w:r w:rsidRPr="004E6CFC">
        <w:rPr>
          <w:rFonts w:cs="Arial"/>
          <w:i/>
          <w:lang w:val="es-ES_tradnl"/>
        </w:rPr>
        <w:t>j</w:t>
      </w:r>
      <w:r w:rsidRPr="004E6CFC">
        <w:rPr>
          <w:rFonts w:cs="Arial"/>
          <w:lang w:val="es-ES_tradnl"/>
        </w:rPr>
        <w:t xml:space="preserve"> en el nivel de tensión </w:t>
      </w:r>
      <w:r w:rsidRPr="004E6CFC">
        <w:rPr>
          <w:rFonts w:cs="Arial"/>
          <w:i/>
          <w:lang w:val="es-ES_tradnl"/>
        </w:rPr>
        <w:t>n</w:t>
      </w:r>
      <w:r w:rsidRPr="004E6CFC">
        <w:rPr>
          <w:rFonts w:cs="Arial"/>
          <w:lang w:val="es-ES_tradnl"/>
        </w:rPr>
        <w:t xml:space="preserve"> por concepto de respaldo de red durante el año </w:t>
      </w:r>
      <w:r w:rsidRPr="004E6CFC">
        <w:rPr>
          <w:rFonts w:cs="Arial"/>
          <w:i/>
          <w:lang w:val="es-ES_tradnl"/>
        </w:rPr>
        <w:t>t</w:t>
      </w:r>
      <w:r w:rsidRPr="004E6CFC">
        <w:rPr>
          <w:rFonts w:cs="Arial"/>
          <w:lang w:val="es-ES_tradnl"/>
        </w:rPr>
        <w:t>.</w:t>
      </w:r>
    </w:p>
    <w:p w:rsidR="00F674C8" w:rsidRPr="004E6CFC" w:rsidRDefault="00F674C8" w:rsidP="00F674C8">
      <w:pPr>
        <w:ind w:left="2124" w:hanging="2124"/>
        <w:rPr>
          <w:rFonts w:cs="Arial"/>
        </w:rPr>
      </w:pPr>
      <w:r w:rsidRPr="004E6CFC">
        <w:rPr>
          <w:rFonts w:cs="Arial"/>
          <w:i/>
        </w:rPr>
        <w:t>CRESP</w:t>
      </w:r>
      <w:r w:rsidRPr="004E6CFC">
        <w:rPr>
          <w:rFonts w:cs="Arial"/>
          <w:i/>
          <w:vertAlign w:val="subscript"/>
        </w:rPr>
        <w:t>u,n,t</w:t>
      </w:r>
      <w:r w:rsidRPr="004E6CFC">
        <w:rPr>
          <w:rFonts w:cs="Arial"/>
          <w:i/>
        </w:rPr>
        <w:t>:</w:t>
      </w:r>
      <w:r w:rsidRPr="004E6CFC">
        <w:rPr>
          <w:rFonts w:cs="Arial"/>
        </w:rPr>
        <w:t xml:space="preserve">  </w:t>
      </w:r>
      <w:r w:rsidRPr="004E6CFC">
        <w:rPr>
          <w:rFonts w:cs="Arial"/>
        </w:rPr>
        <w:tab/>
        <w:t xml:space="preserve">Costo de respaldo de red del usuario </w:t>
      </w:r>
      <w:r w:rsidRPr="004E6CFC">
        <w:rPr>
          <w:rFonts w:cs="Arial"/>
          <w:i/>
        </w:rPr>
        <w:t>u</w:t>
      </w:r>
      <w:r w:rsidRPr="004E6CFC">
        <w:rPr>
          <w:rFonts w:cs="Arial"/>
        </w:rPr>
        <w:t xml:space="preserve"> en el nivel de tensión </w:t>
      </w:r>
      <w:r w:rsidRPr="004E6CFC">
        <w:rPr>
          <w:rFonts w:cs="Arial"/>
          <w:i/>
        </w:rPr>
        <w:t>n</w:t>
      </w:r>
      <w:r w:rsidRPr="004E6CFC">
        <w:rPr>
          <w:rFonts w:cs="Arial"/>
        </w:rPr>
        <w:t>, del año</w:t>
      </w:r>
      <w:r w:rsidRPr="004E6CFC">
        <w:rPr>
          <w:rFonts w:cs="Arial"/>
          <w:i/>
        </w:rPr>
        <w:t xml:space="preserve"> t</w:t>
      </w:r>
      <w:r w:rsidRPr="004E6CFC">
        <w:rPr>
          <w:rFonts w:cs="Arial"/>
        </w:rPr>
        <w:t>. En pesos.</w:t>
      </w:r>
    </w:p>
    <w:p w:rsidR="00F674C8" w:rsidRPr="004E6CFC" w:rsidRDefault="00F674C8" w:rsidP="00F674C8">
      <w:pPr>
        <w:ind w:left="2124" w:hanging="2124"/>
      </w:pPr>
      <w:r w:rsidRPr="004E6CFC">
        <w:rPr>
          <w:i/>
          <w:iCs/>
        </w:rPr>
        <w:t>U</w:t>
      </w:r>
      <w:r w:rsidRPr="004E6CFC">
        <w:t>:</w:t>
      </w:r>
      <w:r w:rsidRPr="004E6CFC">
        <w:tab/>
        <w:t xml:space="preserve">Cantidad de usuarios </w:t>
      </w:r>
      <w:r w:rsidRPr="004E6CFC">
        <w:rPr>
          <w:i/>
        </w:rPr>
        <w:t>u</w:t>
      </w:r>
      <w:r w:rsidRPr="004E6CFC">
        <w:t xml:space="preserve"> que pagaron al OR </w:t>
      </w:r>
      <w:r w:rsidRPr="004E6CFC">
        <w:rPr>
          <w:i/>
        </w:rPr>
        <w:t>j</w:t>
      </w:r>
      <w:r w:rsidRPr="004E6CFC">
        <w:t xml:space="preserve"> cargos por respaldo durante el año </w:t>
      </w:r>
      <w:r w:rsidRPr="004E6CFC">
        <w:rPr>
          <w:i/>
        </w:rPr>
        <w:t>t</w:t>
      </w:r>
      <w:r w:rsidRPr="004E6CFC">
        <w:t xml:space="preserve">, en un mismo nivel de tensión </w:t>
      </w:r>
      <w:r w:rsidRPr="004E6CFC">
        <w:rPr>
          <w:i/>
        </w:rPr>
        <w:t>n</w:t>
      </w:r>
      <w:r w:rsidRPr="004E6CFC">
        <w:t>.</w:t>
      </w:r>
    </w:p>
    <w:p w:rsidR="00F674C8" w:rsidRPr="004E6CFC" w:rsidRDefault="00F674C8" w:rsidP="00F674C8">
      <w:r w:rsidRPr="004E6CFC">
        <w:t xml:space="preserve">En caso de que el LAC no reciba información alguna sobre un OR determinado, para efectos de cálculo de la liquidación correspondiente, el LAC asignará a dicho OR la variable </w:t>
      </w:r>
      <w:r w:rsidRPr="004E6CFC">
        <w:rPr>
          <w:i/>
        </w:rPr>
        <w:t>IRespaldo</w:t>
      </w:r>
      <w:r w:rsidRPr="004E6CFC">
        <w:rPr>
          <w:i/>
          <w:vertAlign w:val="subscript"/>
        </w:rPr>
        <w:t>j,n,</w:t>
      </w:r>
      <w:r w:rsidR="00BE7ED4" w:rsidRPr="004E6CFC">
        <w:rPr>
          <w:i/>
          <w:vertAlign w:val="subscript"/>
        </w:rPr>
        <w:t>t</w:t>
      </w:r>
      <w:r w:rsidR="00BE7ED4" w:rsidRPr="004E6CFC">
        <w:t xml:space="preserve"> de</w:t>
      </w:r>
      <w:r w:rsidRPr="004E6CFC">
        <w:t xml:space="preserve"> mayor valor entre las presentadas.  </w:t>
      </w:r>
    </w:p>
    <w:p w:rsidR="00EF2EE2" w:rsidRPr="004E6CFC" w:rsidRDefault="00F674C8" w:rsidP="00F674C8">
      <w:r w:rsidRPr="004E6CFC">
        <w:t xml:space="preserve">El valor de la variable </w:t>
      </w:r>
      <w:r w:rsidRPr="004E6CFC">
        <w:rPr>
          <w:i/>
        </w:rPr>
        <w:t>IRespaldo</w:t>
      </w:r>
      <w:r w:rsidRPr="004E6CFC">
        <w:rPr>
          <w:i/>
          <w:vertAlign w:val="subscript"/>
        </w:rPr>
        <w:t>j,n,t</w:t>
      </w:r>
      <w:r w:rsidRPr="004E6CFC">
        <w:t xml:space="preserve"> será tenido en cuenta en la liquidación que haga el LAC para ser descontado de los costos anuales del OR correspondiente, según lo indicado en el numeral </w:t>
      </w:r>
      <w:r w:rsidRPr="004E6CFC">
        <w:fldChar w:fldCharType="begin"/>
      </w:r>
      <w:r w:rsidRPr="004E6CFC">
        <w:instrText xml:space="preserve"> REF _Ref461011422 \r \h  \* MERGEFORMAT </w:instrText>
      </w:r>
      <w:r w:rsidRPr="004E6CFC">
        <w:fldChar w:fldCharType="separate"/>
      </w:r>
      <w:r w:rsidR="00737178">
        <w:t>2.7</w:t>
      </w:r>
      <w:r w:rsidRPr="004E6CFC">
        <w:fldChar w:fldCharType="end"/>
      </w:r>
      <w:r w:rsidR="00EF2EE2" w:rsidRPr="004E6CFC">
        <w:t>.</w:t>
      </w:r>
    </w:p>
    <w:p w:rsidR="00193054" w:rsidRPr="004E6CFC" w:rsidRDefault="00193054" w:rsidP="00193054">
      <w:pPr>
        <w:spacing w:after="200" w:line="276" w:lineRule="auto"/>
        <w:jc w:val="left"/>
      </w:pPr>
      <w:r w:rsidRPr="004E6CFC">
        <w:br w:type="page"/>
      </w:r>
    </w:p>
    <w:p w:rsidR="00193054" w:rsidRPr="004E77B3" w:rsidRDefault="00193054" w:rsidP="00193054">
      <w:pPr>
        <w:pStyle w:val="Ttulo1"/>
      </w:pPr>
      <w:bookmarkStart w:id="1003" w:name="_Ref403037674"/>
      <w:bookmarkStart w:id="1004" w:name="_Ref403636261"/>
      <w:bookmarkStart w:id="1005" w:name="_Toc408493224"/>
      <w:bookmarkStart w:id="1006" w:name="_Toc505336009"/>
      <w:r w:rsidRPr="004E77B3">
        <w:lastRenderedPageBreak/>
        <w:t xml:space="preserve">COSTOS ASOCIADOS CON </w:t>
      </w:r>
      <w:bookmarkEnd w:id="1003"/>
      <w:r w:rsidRPr="004E77B3">
        <w:t>MUNTS</w:t>
      </w:r>
      <w:bookmarkEnd w:id="1004"/>
      <w:bookmarkEnd w:id="1005"/>
      <w:bookmarkEnd w:id="1006"/>
    </w:p>
    <w:p w:rsidR="00EA3D15" w:rsidRPr="004E6CFC" w:rsidRDefault="00EA3D15" w:rsidP="00EA3D15">
      <w:r w:rsidRPr="004E6CFC">
        <w:t>Cuando un usuario solicite cambio de nivel de te</w:t>
      </w:r>
      <w:r>
        <w:t>n</w:t>
      </w:r>
      <w:r w:rsidRPr="004E6CFC">
        <w:t>sión y se tenga disponibilidad técnica para efectuarlo, el OR determinará y facturará al usuario los costos asociados con la migración de usuarios a niveles de tensión superiores según la siguiente expresión:</w:t>
      </w:r>
    </w:p>
    <w:p w:rsidR="00EA3D15" w:rsidRPr="004E6CFC" w:rsidRDefault="00C9592F" w:rsidP="00EA3D15">
      <w:pPr>
        <w:rPr>
          <w:rFonts w:cs="Arial"/>
        </w:rPr>
      </w:pPr>
      <m:oMathPara>
        <m:oMath>
          <m:sSub>
            <m:sSubPr>
              <m:ctrlPr>
                <w:rPr>
                  <w:rFonts w:ascii="Cambria Math" w:hAnsi="Cambria Math" w:cs="Arial"/>
                  <w:i/>
                </w:rPr>
              </m:ctrlPr>
            </m:sSubPr>
            <m:e>
              <m:r>
                <w:rPr>
                  <w:rFonts w:ascii="Cambria Math" w:hAnsi="Cambria Math" w:cs="Arial"/>
                </w:rPr>
                <m:t>CMUNT</m:t>
              </m:r>
            </m:e>
            <m:sub>
              <m:r>
                <w:rPr>
                  <w:rFonts w:ascii="Cambria Math" w:hAnsi="Cambria Math" w:cs="Arial"/>
                </w:rPr>
                <m:t>u,n</m:t>
              </m:r>
            </m:sub>
          </m:sSub>
          <m:r>
            <w:rPr>
              <w:rFonts w:ascii="Cambria Math" w:hAnsi="Cambria Math" w:cs="Arial"/>
            </w:rPr>
            <m:t>=</m:t>
          </m:r>
          <m:nary>
            <m:naryPr>
              <m:chr m:val="∑"/>
              <m:limLoc m:val="undOvr"/>
              <m:ctrlPr>
                <w:rPr>
                  <w:rFonts w:ascii="Cambria Math" w:hAnsi="Cambria Math" w:cs="Arial"/>
                  <w:i/>
                </w:rPr>
              </m:ctrlPr>
            </m:naryPr>
            <m:sub>
              <m:r>
                <w:rPr>
                  <w:rFonts w:ascii="Cambria Math" w:hAnsi="Cambria Math" w:cs="Arial"/>
                </w:rPr>
                <m:t>p=1</m:t>
              </m:r>
            </m:sub>
            <m:sup>
              <m:r>
                <w:rPr>
                  <w:rFonts w:ascii="Cambria Math" w:hAnsi="Cambria Math" w:cs="Arial"/>
                </w:rPr>
                <m:t>P</m:t>
              </m:r>
            </m:sup>
            <m:e>
              <m:f>
                <m:fPr>
                  <m:ctrlPr>
                    <w:rPr>
                      <w:rFonts w:ascii="Cambria Math" w:hAnsi="Cambria Math" w:cs="Arial"/>
                      <w:i/>
                    </w:rPr>
                  </m:ctrlPr>
                </m:fPr>
                <m:num>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D</m:t>
                          </m:r>
                        </m:e>
                        <m:sub>
                          <m:r>
                            <w:rPr>
                              <w:rFonts w:ascii="Cambria Math" w:hAnsi="Cambria Math" w:cs="Arial"/>
                            </w:rPr>
                            <m:t>n,m</m:t>
                          </m:r>
                        </m:sub>
                      </m:sSub>
                      <m:r>
                        <w:rPr>
                          <w:rFonts w:ascii="Cambria Math" w:hAnsi="Cambria Math" w:cs="Arial"/>
                        </w:rPr>
                        <m:t>-</m:t>
                      </m:r>
                      <m:sSub>
                        <m:sSubPr>
                          <m:ctrlPr>
                            <w:rPr>
                              <w:rFonts w:ascii="Cambria Math" w:hAnsi="Cambria Math" w:cs="Arial"/>
                              <w:i/>
                            </w:rPr>
                          </m:ctrlPr>
                        </m:sSubPr>
                        <m:e>
                          <m:r>
                            <w:rPr>
                              <w:rFonts w:ascii="Cambria Math" w:hAnsi="Cambria Math" w:cs="Arial"/>
                            </w:rPr>
                            <m:t>D</m:t>
                          </m:r>
                        </m:e>
                        <m:sub>
                          <m:r>
                            <w:rPr>
                              <w:rFonts w:ascii="Cambria Math" w:hAnsi="Cambria Math" w:cs="Arial"/>
                            </w:rPr>
                            <m:t>nS,m</m:t>
                          </m:r>
                        </m:sub>
                      </m:sSub>
                    </m:e>
                  </m:d>
                  <m:r>
                    <w:rPr>
                      <w:rFonts w:ascii="Cambria Math" w:hAnsi="Cambria Math" w:cs="Arial"/>
                    </w:rPr>
                    <m:t>*</m:t>
                  </m:r>
                  <m:sSub>
                    <m:sSubPr>
                      <m:ctrlPr>
                        <w:rPr>
                          <w:rFonts w:ascii="Cambria Math" w:hAnsi="Cambria Math" w:cs="Arial"/>
                          <w:i/>
                        </w:rPr>
                      </m:ctrlPr>
                    </m:sSubPr>
                    <m:e>
                      <m:r>
                        <w:rPr>
                          <w:rFonts w:ascii="Cambria Math" w:hAnsi="Cambria Math" w:cs="Arial"/>
                        </w:rPr>
                        <m:t>Consumo</m:t>
                      </m:r>
                    </m:e>
                    <m:sub>
                      <m:r>
                        <w:rPr>
                          <w:rFonts w:ascii="Cambria Math" w:hAnsi="Cambria Math" w:cs="Arial"/>
                        </w:rPr>
                        <m:t>u</m:t>
                      </m:r>
                    </m:sub>
                  </m:sSub>
                </m:num>
                <m:den>
                  <m:sSup>
                    <m:sSupPr>
                      <m:ctrlPr>
                        <w:rPr>
                          <w:rFonts w:ascii="Cambria Math" w:hAnsi="Cambria Math" w:cs="Arial"/>
                          <w:i/>
                        </w:rPr>
                      </m:ctrlPr>
                    </m:sSupPr>
                    <m:e>
                      <m:r>
                        <w:rPr>
                          <w:rFonts w:ascii="Cambria Math" w:hAnsi="Cambria Math" w:cs="Arial"/>
                        </w:rPr>
                        <m:t>(1+r)</m:t>
                      </m:r>
                    </m:e>
                    <m:sup>
                      <m:r>
                        <w:rPr>
                          <w:rFonts w:ascii="Cambria Math" w:hAnsi="Cambria Math" w:cs="Arial"/>
                        </w:rPr>
                        <m:t>p</m:t>
                      </m:r>
                    </m:sup>
                  </m:sSup>
                </m:den>
              </m:f>
            </m:e>
          </m:nary>
        </m:oMath>
      </m:oMathPara>
    </w:p>
    <w:p w:rsidR="00EA3D15" w:rsidRPr="004E6CFC" w:rsidRDefault="00EA3D15" w:rsidP="00EA3D15">
      <w:pPr>
        <w:ind w:left="1701" w:hanging="1701"/>
        <w:rPr>
          <w:rFonts w:cs="Arial"/>
        </w:rPr>
      </w:pPr>
      <w:r w:rsidRPr="004E6CFC">
        <w:rPr>
          <w:rFonts w:cs="Arial"/>
        </w:rPr>
        <w:t xml:space="preserve">Donde: </w:t>
      </w:r>
    </w:p>
    <w:p w:rsidR="00EA3D15" w:rsidRPr="004E6CFC" w:rsidRDefault="00EA3D15" w:rsidP="00EA3D15">
      <w:pPr>
        <w:ind w:left="1701" w:hanging="1701"/>
        <w:rPr>
          <w:rFonts w:cs="Arial"/>
        </w:rPr>
      </w:pPr>
      <w:r w:rsidRPr="004E6CFC">
        <w:rPr>
          <w:rFonts w:cs="Arial"/>
          <w:i/>
        </w:rPr>
        <w:t>CMUNT</w:t>
      </w:r>
      <w:r w:rsidRPr="004E6CFC">
        <w:rPr>
          <w:rFonts w:cs="Arial"/>
          <w:i/>
          <w:vertAlign w:val="subscript"/>
        </w:rPr>
        <w:t>u,n</w:t>
      </w:r>
      <w:r w:rsidRPr="004E6CFC">
        <w:rPr>
          <w:rFonts w:cs="Arial"/>
          <w:i/>
        </w:rPr>
        <w:t>:</w:t>
      </w:r>
      <w:r w:rsidRPr="004E6CFC">
        <w:rPr>
          <w:rFonts w:cs="Arial"/>
        </w:rPr>
        <w:t xml:space="preserve">  </w:t>
      </w:r>
      <w:r w:rsidRPr="004E6CFC">
        <w:rPr>
          <w:rFonts w:cs="Arial"/>
        </w:rPr>
        <w:tab/>
        <w:t xml:space="preserve">Costo asociado con el cambio de nivel de tensión de la conexión del usuario </w:t>
      </w:r>
      <w:r w:rsidR="00BE7ED4" w:rsidRPr="004E6CFC">
        <w:rPr>
          <w:rFonts w:cs="Arial"/>
          <w:i/>
        </w:rPr>
        <w:t>u</w:t>
      </w:r>
      <w:r w:rsidR="00BE7ED4" w:rsidRPr="004E6CFC">
        <w:rPr>
          <w:rFonts w:cs="Arial"/>
        </w:rPr>
        <w:t>, a</w:t>
      </w:r>
      <w:r w:rsidRPr="004E6CFC">
        <w:rPr>
          <w:rFonts w:cs="Arial"/>
        </w:rPr>
        <w:t xml:space="preserve"> ser descontado del ingreso anual en el nivel de tensión </w:t>
      </w:r>
      <w:r w:rsidRPr="004E6CFC">
        <w:rPr>
          <w:rFonts w:cs="Arial"/>
          <w:i/>
        </w:rPr>
        <w:t>n</w:t>
      </w:r>
      <w:r w:rsidRPr="004E6CFC">
        <w:rPr>
          <w:rFonts w:cs="Arial"/>
        </w:rPr>
        <w:t xml:space="preserve"> (con </w:t>
      </w:r>
      <w:r w:rsidRPr="004E6CFC">
        <w:rPr>
          <w:rFonts w:cs="Arial"/>
          <w:i/>
        </w:rPr>
        <w:t>n</w:t>
      </w:r>
      <w:r w:rsidRPr="004E6CFC">
        <w:rPr>
          <w:rFonts w:cs="Arial"/>
        </w:rPr>
        <w:t xml:space="preserve"> =1, 2 o 3), en pesos</w:t>
      </w:r>
    </w:p>
    <w:p w:rsidR="00EA3D15" w:rsidRPr="004E6CFC" w:rsidRDefault="00EA3D15" w:rsidP="00EA3D15">
      <w:pPr>
        <w:ind w:left="1701" w:hanging="1701"/>
        <w:rPr>
          <w:rFonts w:cs="Arial"/>
        </w:rPr>
      </w:pPr>
      <w:r w:rsidRPr="004E6CFC">
        <w:rPr>
          <w:rFonts w:cs="Arial"/>
          <w:i/>
        </w:rPr>
        <w:t>D</w:t>
      </w:r>
      <w:r w:rsidRPr="004E6CFC">
        <w:rPr>
          <w:rFonts w:cs="Arial"/>
          <w:i/>
          <w:vertAlign w:val="subscript"/>
        </w:rPr>
        <w:t>n,m</w:t>
      </w:r>
      <w:r w:rsidRPr="004E6CFC">
        <w:rPr>
          <w:rFonts w:cs="Arial"/>
          <w:i/>
        </w:rPr>
        <w:t>:</w:t>
      </w:r>
      <w:r w:rsidRPr="004E6CFC">
        <w:rPr>
          <w:rFonts w:cs="Arial"/>
        </w:rPr>
        <w:t xml:space="preserve"> </w:t>
      </w:r>
      <w:r w:rsidRPr="004E6CFC">
        <w:rPr>
          <w:rFonts w:cs="Arial"/>
        </w:rPr>
        <w:tab/>
        <w:t xml:space="preserve">Cargo por uso de sistemas de distribución </w:t>
      </w:r>
      <w:r w:rsidRPr="004E6CFC">
        <w:rPr>
          <w:rFonts w:cs="Arial"/>
          <w:i/>
        </w:rPr>
        <w:t>Dt</w:t>
      </w:r>
      <w:r w:rsidRPr="004E6CFC">
        <w:rPr>
          <w:rFonts w:cs="Arial"/>
          <w:i/>
          <w:vertAlign w:val="subscript"/>
        </w:rPr>
        <w:t>n,j,m,t</w:t>
      </w:r>
      <w:r w:rsidR="00BE7ED4" w:rsidRPr="004E6CFC">
        <w:rPr>
          <w:rFonts w:cs="Arial"/>
        </w:rPr>
        <w:t>, (</w:t>
      </w:r>
      <w:r w:rsidRPr="004E6CFC">
        <w:rPr>
          <w:rFonts w:cs="Arial"/>
        </w:rPr>
        <w:t xml:space="preserve">con n= 1, 2 o 3), correspondiente al nivel de tensión </w:t>
      </w:r>
      <w:r w:rsidRPr="004E6CFC">
        <w:rPr>
          <w:rFonts w:cs="Arial"/>
          <w:i/>
        </w:rPr>
        <w:t>n</w:t>
      </w:r>
      <w:r w:rsidRPr="004E6CFC">
        <w:rPr>
          <w:rFonts w:cs="Arial"/>
        </w:rPr>
        <w:t xml:space="preserve">, donde está conectado originalmente el usuario, para el mes </w:t>
      </w:r>
      <w:r w:rsidRPr="004E6CFC">
        <w:rPr>
          <w:rFonts w:cs="Arial"/>
          <w:i/>
        </w:rPr>
        <w:t>m</w:t>
      </w:r>
      <w:r w:rsidRPr="004E6CFC">
        <w:rPr>
          <w:rFonts w:cs="Arial"/>
        </w:rPr>
        <w:t>.</w:t>
      </w:r>
    </w:p>
    <w:p w:rsidR="00EA3D15" w:rsidRPr="004E6CFC" w:rsidRDefault="00EA3D15" w:rsidP="00EA3D15">
      <w:pPr>
        <w:ind w:left="1701" w:hanging="1701"/>
        <w:rPr>
          <w:rFonts w:cs="Arial"/>
        </w:rPr>
      </w:pPr>
      <w:r w:rsidRPr="004E6CFC">
        <w:rPr>
          <w:rFonts w:cs="Arial"/>
          <w:i/>
        </w:rPr>
        <w:t>D</w:t>
      </w:r>
      <w:r w:rsidRPr="004E6CFC">
        <w:rPr>
          <w:rFonts w:cs="Arial"/>
          <w:i/>
          <w:vertAlign w:val="subscript"/>
        </w:rPr>
        <w:t>nS,m</w:t>
      </w:r>
      <w:r w:rsidRPr="004E6CFC">
        <w:rPr>
          <w:rFonts w:cs="Arial"/>
          <w:i/>
        </w:rPr>
        <w:t>:</w:t>
      </w:r>
      <w:r w:rsidRPr="004E6CFC">
        <w:rPr>
          <w:rFonts w:cs="Arial"/>
        </w:rPr>
        <w:t xml:space="preserve"> </w:t>
      </w:r>
      <w:r w:rsidRPr="004E6CFC">
        <w:rPr>
          <w:rFonts w:cs="Arial"/>
        </w:rPr>
        <w:tab/>
        <w:t xml:space="preserve">Cargo por uso de sistemas de distribución </w:t>
      </w:r>
      <w:r w:rsidRPr="004E6CFC">
        <w:rPr>
          <w:rFonts w:cs="Arial"/>
          <w:i/>
        </w:rPr>
        <w:t>Dt</w:t>
      </w:r>
      <w:r w:rsidRPr="004E6CFC">
        <w:rPr>
          <w:rFonts w:cs="Arial"/>
          <w:i/>
          <w:vertAlign w:val="subscript"/>
        </w:rPr>
        <w:t>4,r,m,t</w:t>
      </w:r>
      <w:r w:rsidRPr="004E6CFC">
        <w:rPr>
          <w:rFonts w:cs="Arial"/>
        </w:rPr>
        <w:t xml:space="preserve"> o </w:t>
      </w:r>
      <w:r w:rsidRPr="004E6CFC">
        <w:rPr>
          <w:rFonts w:cs="Arial"/>
          <w:i/>
        </w:rPr>
        <w:t>Dt</w:t>
      </w:r>
      <w:r w:rsidRPr="004E6CFC">
        <w:rPr>
          <w:rFonts w:cs="Arial"/>
          <w:i/>
          <w:vertAlign w:val="subscript"/>
        </w:rPr>
        <w:t>n,j,m,t</w:t>
      </w:r>
      <w:r w:rsidRPr="004E6CFC">
        <w:rPr>
          <w:rFonts w:cs="Arial"/>
        </w:rPr>
        <w:t xml:space="preserve">, (con n= 2 o 3), correspondiente al nivel de tensión </w:t>
      </w:r>
      <w:r w:rsidRPr="004E6CFC">
        <w:rPr>
          <w:rFonts w:cs="Arial"/>
          <w:i/>
        </w:rPr>
        <w:t xml:space="preserve">n </w:t>
      </w:r>
      <w:r w:rsidRPr="004E6CFC">
        <w:rPr>
          <w:rFonts w:cs="Arial"/>
        </w:rPr>
        <w:t xml:space="preserve">superior, al cual se solicita la migración, del mes </w:t>
      </w:r>
      <w:r w:rsidRPr="004E6CFC">
        <w:rPr>
          <w:rFonts w:cs="Arial"/>
          <w:i/>
        </w:rPr>
        <w:t>m</w:t>
      </w:r>
      <w:r w:rsidRPr="004E6CFC">
        <w:rPr>
          <w:rFonts w:cs="Arial"/>
        </w:rPr>
        <w:t xml:space="preserve"> en el que se realiza la solicitud de migración.</w:t>
      </w:r>
    </w:p>
    <w:p w:rsidR="00EA3D15" w:rsidRPr="004E6CFC" w:rsidRDefault="00EA3D15" w:rsidP="00EA3D15">
      <w:pPr>
        <w:ind w:left="1701" w:hanging="1701"/>
        <w:rPr>
          <w:rFonts w:cs="Arial"/>
        </w:rPr>
      </w:pPr>
      <w:r w:rsidRPr="004E6CFC">
        <w:rPr>
          <w:rFonts w:cs="Arial"/>
          <w:i/>
        </w:rPr>
        <w:t>Consumo</w:t>
      </w:r>
      <w:r w:rsidRPr="004E6CFC">
        <w:rPr>
          <w:rFonts w:cs="Arial"/>
          <w:i/>
          <w:vertAlign w:val="subscript"/>
        </w:rPr>
        <w:t>u</w:t>
      </w:r>
      <w:r w:rsidRPr="004E6CFC">
        <w:rPr>
          <w:rFonts w:cs="Arial"/>
        </w:rPr>
        <w:t xml:space="preserve">: </w:t>
      </w:r>
      <w:r w:rsidRPr="004E6CFC">
        <w:rPr>
          <w:rFonts w:cs="Arial"/>
        </w:rPr>
        <w:tab/>
        <w:t>Consumo anual promedio, en kWh, del usuario que solicita la migración.</w:t>
      </w:r>
    </w:p>
    <w:p w:rsidR="00EA3D15" w:rsidRPr="004E6CFC" w:rsidRDefault="00EA3D15" w:rsidP="00EA3D15">
      <w:pPr>
        <w:ind w:left="1701" w:hanging="1701"/>
        <w:rPr>
          <w:rFonts w:cs="Arial"/>
        </w:rPr>
      </w:pPr>
      <w:r w:rsidRPr="004E6CFC">
        <w:rPr>
          <w:rFonts w:cs="Arial"/>
          <w:i/>
        </w:rPr>
        <w:t>r</w:t>
      </w:r>
      <w:r w:rsidRPr="004E6CFC">
        <w:rPr>
          <w:rFonts w:cs="Arial"/>
        </w:rPr>
        <w:t xml:space="preserve">: </w:t>
      </w:r>
      <w:r w:rsidRPr="004E6CFC">
        <w:rPr>
          <w:rFonts w:cs="Arial"/>
        </w:rPr>
        <w:tab/>
        <w:t xml:space="preserve">Tasa de remuneración de la actividad de distribución </w:t>
      </w:r>
      <w:r w:rsidRPr="004E6CFC">
        <w:t>para un esquema de ingreso máximo</w:t>
      </w:r>
      <w:r w:rsidRPr="004E6CFC">
        <w:rPr>
          <w:rFonts w:cs="Arial"/>
        </w:rPr>
        <w:t>.</w:t>
      </w:r>
    </w:p>
    <w:p w:rsidR="00EA3D15" w:rsidRPr="004E6CFC" w:rsidRDefault="00EA3D15" w:rsidP="00EA3D15">
      <w:pPr>
        <w:ind w:left="1701" w:hanging="1701"/>
        <w:rPr>
          <w:rFonts w:cs="Arial"/>
        </w:rPr>
      </w:pPr>
      <w:r>
        <w:rPr>
          <w:rFonts w:cs="Arial"/>
          <w:i/>
        </w:rPr>
        <w:t>p</w:t>
      </w:r>
      <w:r w:rsidRPr="004E6CFC">
        <w:rPr>
          <w:rFonts w:cs="Arial"/>
        </w:rPr>
        <w:t xml:space="preserve">: </w:t>
      </w:r>
      <w:r w:rsidRPr="004E6CFC">
        <w:rPr>
          <w:rFonts w:cs="Arial"/>
        </w:rPr>
        <w:tab/>
        <w:t>Número de años de que trata la Resolución CREG 070 de 1998 para la planeación de mediano plazo e igual a 5.</w:t>
      </w:r>
    </w:p>
    <w:p w:rsidR="00EA3D15" w:rsidRPr="004E6CFC" w:rsidRDefault="00EA3D15" w:rsidP="00EA3D15">
      <w:pPr>
        <w:spacing w:before="0" w:after="0"/>
      </w:pPr>
      <w:r w:rsidRPr="004E6CFC">
        <w:t xml:space="preserve">Durante los primeros 10 días calendario de cada año, para cada nivel de tensión, el OR debe reportar al LAC el valor de la variable </w:t>
      </w:r>
      <w:r w:rsidRPr="004E6CFC">
        <w:rPr>
          <w:i/>
        </w:rPr>
        <w:t>IMunts</w:t>
      </w:r>
      <w:r w:rsidRPr="004E6CFC">
        <w:rPr>
          <w:i/>
          <w:vertAlign w:val="subscript"/>
        </w:rPr>
        <w:t>j,n,t</w:t>
      </w:r>
      <w:r w:rsidRPr="004E6CFC">
        <w:t>, con base en la siguiente expresión.</w:t>
      </w:r>
    </w:p>
    <w:p w:rsidR="00EA3D15" w:rsidRPr="004E6CFC" w:rsidRDefault="00C9592F" w:rsidP="00EA3D15">
      <w:pPr>
        <w:spacing w:before="0" w:after="0"/>
      </w:pPr>
      <m:oMathPara>
        <m:oMath>
          <m:sSub>
            <m:sSubPr>
              <m:ctrlPr>
                <w:rPr>
                  <w:rFonts w:ascii="Cambria Math" w:hAnsi="Cambria Math"/>
                  <w:i/>
                  <w:sz w:val="22"/>
                </w:rPr>
              </m:ctrlPr>
            </m:sSubPr>
            <m:e>
              <m:r>
                <w:rPr>
                  <w:rFonts w:ascii="Cambria Math" w:hAnsi="Cambria Math"/>
                  <w:sz w:val="22"/>
                </w:rPr>
                <m:t>IMunts</m:t>
              </m:r>
            </m:e>
            <m:sub>
              <m:r>
                <w:rPr>
                  <w:rFonts w:ascii="Cambria Math" w:hAnsi="Cambria Math"/>
                  <w:sz w:val="22"/>
                </w:rPr>
                <m:t>j</m:t>
              </m:r>
              <m:r>
                <w:rPr>
                  <w:rFonts w:ascii="Cambria Math"/>
                  <w:sz w:val="22"/>
                </w:rPr>
                <m:t>,n,</m:t>
              </m:r>
              <m:r>
                <w:rPr>
                  <w:rFonts w:ascii="Cambria Math" w:hAnsi="Cambria Math"/>
                  <w:sz w:val="22"/>
                </w:rPr>
                <m:t>t</m:t>
              </m:r>
            </m:sub>
          </m:sSub>
          <m:r>
            <w:rPr>
              <w:rFonts w:ascii="Cambria Math"/>
              <w:sz w:val="22"/>
            </w:rPr>
            <m:t>=</m:t>
          </m:r>
          <m:nary>
            <m:naryPr>
              <m:chr m:val="∑"/>
              <m:limLoc m:val="undOvr"/>
              <m:ctrlPr>
                <w:rPr>
                  <w:rFonts w:ascii="Cambria Math" w:hAnsi="Cambria Math"/>
                  <w:i/>
                  <w:sz w:val="22"/>
                </w:rPr>
              </m:ctrlPr>
            </m:naryPr>
            <m:sub>
              <m:r>
                <w:rPr>
                  <w:rFonts w:ascii="Cambria Math" w:hAnsi="Cambria Math"/>
                  <w:sz w:val="22"/>
                </w:rPr>
                <m:t>u=1</m:t>
              </m:r>
            </m:sub>
            <m:sup>
              <m:r>
                <w:rPr>
                  <w:rFonts w:ascii="Cambria Math" w:hAnsi="Cambria Math"/>
                  <w:sz w:val="22"/>
                </w:rPr>
                <m:t>U</m:t>
              </m:r>
            </m:sup>
            <m:e>
              <m:sSub>
                <m:sSubPr>
                  <m:ctrlPr>
                    <w:rPr>
                      <w:rFonts w:ascii="Cambria Math" w:hAnsi="Cambria Math" w:cs="Arial"/>
                      <w:i/>
                    </w:rPr>
                  </m:ctrlPr>
                </m:sSubPr>
                <m:e>
                  <m:r>
                    <w:rPr>
                      <w:rFonts w:ascii="Cambria Math" w:hAnsi="Cambria Math" w:cs="Arial"/>
                    </w:rPr>
                    <m:t>CMUNT</m:t>
                  </m:r>
                </m:e>
                <m:sub>
                  <m:r>
                    <w:rPr>
                      <w:rFonts w:ascii="Cambria Math" w:hAnsi="Cambria Math" w:cs="Arial"/>
                    </w:rPr>
                    <m:t>u,n,t-1</m:t>
                  </m:r>
                </m:sub>
              </m:sSub>
            </m:e>
          </m:nary>
        </m:oMath>
      </m:oMathPara>
    </w:p>
    <w:p w:rsidR="00EA3D15" w:rsidRPr="004E6CFC" w:rsidRDefault="00EA3D15" w:rsidP="00EA3D15">
      <w:pPr>
        <w:rPr>
          <w:lang w:val="es-ES_tradnl"/>
        </w:rPr>
      </w:pPr>
      <w:r w:rsidRPr="004E6CFC">
        <w:rPr>
          <w:lang w:val="es-ES_tradnl"/>
        </w:rPr>
        <w:t>Donde:</w:t>
      </w:r>
    </w:p>
    <w:p w:rsidR="00EA3D15" w:rsidRPr="004E6CFC" w:rsidRDefault="00EA3D15" w:rsidP="00EA3D15">
      <w:pPr>
        <w:ind w:left="1560" w:hanging="1560"/>
        <w:rPr>
          <w:rFonts w:cs="Arial"/>
          <w:lang w:val="es-ES_tradnl"/>
        </w:rPr>
      </w:pPr>
      <w:r w:rsidRPr="004E6CFC">
        <w:rPr>
          <w:rFonts w:cs="Arial"/>
          <w:i/>
          <w:lang w:val="es-ES_tradnl"/>
        </w:rPr>
        <w:t>IMunts</w:t>
      </w:r>
      <w:r w:rsidRPr="004E6CFC">
        <w:rPr>
          <w:rFonts w:cs="Arial"/>
          <w:i/>
          <w:vertAlign w:val="subscript"/>
          <w:lang w:val="es-ES_tradnl"/>
        </w:rPr>
        <w:t>j,n,t</w:t>
      </w:r>
      <w:r w:rsidRPr="004E6CFC">
        <w:rPr>
          <w:rFonts w:cs="Arial"/>
          <w:lang w:val="es-ES_tradnl"/>
        </w:rPr>
        <w:t xml:space="preserve">: </w:t>
      </w:r>
      <w:r w:rsidRPr="004E6CFC">
        <w:rPr>
          <w:rFonts w:cs="Arial"/>
          <w:lang w:val="es-ES_tradnl"/>
        </w:rPr>
        <w:tab/>
        <w:t xml:space="preserve">Ingresos del OR </w:t>
      </w:r>
      <w:r w:rsidRPr="004E6CFC">
        <w:rPr>
          <w:rFonts w:cs="Arial"/>
          <w:i/>
          <w:lang w:val="es-ES_tradnl"/>
        </w:rPr>
        <w:t>j</w:t>
      </w:r>
      <w:r w:rsidRPr="004E6CFC">
        <w:rPr>
          <w:rFonts w:cs="Arial"/>
          <w:lang w:val="es-ES_tradnl"/>
        </w:rPr>
        <w:t xml:space="preserve"> en el nivel de tensión </w:t>
      </w:r>
      <w:r w:rsidRPr="004E6CFC">
        <w:rPr>
          <w:rFonts w:cs="Arial"/>
          <w:i/>
          <w:lang w:val="es-ES_tradnl"/>
        </w:rPr>
        <w:t xml:space="preserve">n </w:t>
      </w:r>
      <w:r w:rsidRPr="004E6CFC">
        <w:rPr>
          <w:rFonts w:cs="Arial"/>
          <w:lang w:val="es-ES_tradnl"/>
        </w:rPr>
        <w:t>en el año</w:t>
      </w:r>
      <w:r w:rsidRPr="004E6CFC">
        <w:rPr>
          <w:rFonts w:cs="Arial"/>
          <w:i/>
          <w:lang w:val="es-ES_tradnl"/>
        </w:rPr>
        <w:t xml:space="preserve"> t</w:t>
      </w:r>
      <w:r w:rsidRPr="004E6CFC">
        <w:rPr>
          <w:rFonts w:cs="Arial"/>
          <w:lang w:val="es-ES_tradnl"/>
        </w:rPr>
        <w:t>, con (n=1, 2 o 3) por concepto de migración de usuarios de este nivel de tensión a un nivel superior.</w:t>
      </w:r>
    </w:p>
    <w:p w:rsidR="00EA3D15" w:rsidRPr="004E6CFC" w:rsidRDefault="00EA3D15" w:rsidP="00EA3D15">
      <w:pPr>
        <w:ind w:left="1560" w:hanging="1560"/>
        <w:rPr>
          <w:rFonts w:cs="Arial"/>
        </w:rPr>
      </w:pPr>
      <w:r w:rsidRPr="004E6CFC">
        <w:rPr>
          <w:rFonts w:cs="Arial"/>
          <w:i/>
        </w:rPr>
        <w:t>CMUNT</w:t>
      </w:r>
      <w:r w:rsidRPr="004E6CFC">
        <w:rPr>
          <w:rFonts w:cs="Arial"/>
          <w:i/>
          <w:vertAlign w:val="subscript"/>
        </w:rPr>
        <w:t>u,n,t</w:t>
      </w:r>
      <w:r w:rsidRPr="004E6CFC">
        <w:rPr>
          <w:rFonts w:cs="Arial"/>
          <w:i/>
        </w:rPr>
        <w:t>:</w:t>
      </w:r>
      <w:r w:rsidRPr="004E6CFC">
        <w:rPr>
          <w:rFonts w:cs="Arial"/>
        </w:rPr>
        <w:t xml:space="preserve">  </w:t>
      </w:r>
      <w:r w:rsidRPr="004E6CFC">
        <w:rPr>
          <w:rFonts w:cs="Arial"/>
        </w:rPr>
        <w:tab/>
        <w:t xml:space="preserve">Costo asociado con el cambio de nivel de tensión de la conexión del usuario </w:t>
      </w:r>
      <w:r w:rsidR="00BE7ED4" w:rsidRPr="004E6CFC">
        <w:rPr>
          <w:rFonts w:cs="Arial"/>
          <w:i/>
        </w:rPr>
        <w:t>u</w:t>
      </w:r>
      <w:r w:rsidR="00BE7ED4" w:rsidRPr="004E6CFC">
        <w:rPr>
          <w:rFonts w:cs="Arial"/>
        </w:rPr>
        <w:t>, a</w:t>
      </w:r>
      <w:r w:rsidRPr="004E6CFC">
        <w:rPr>
          <w:rFonts w:cs="Arial"/>
        </w:rPr>
        <w:t xml:space="preserve"> ser descontado del ingreso anual en el nivel de tensión </w:t>
      </w:r>
      <w:r w:rsidRPr="004E6CFC">
        <w:rPr>
          <w:rFonts w:cs="Arial"/>
          <w:i/>
        </w:rPr>
        <w:t>n</w:t>
      </w:r>
      <w:r w:rsidRPr="004E6CFC">
        <w:rPr>
          <w:rFonts w:cs="Arial"/>
        </w:rPr>
        <w:t xml:space="preserve"> (con </w:t>
      </w:r>
      <w:r w:rsidRPr="004E6CFC">
        <w:rPr>
          <w:rFonts w:cs="Arial"/>
          <w:i/>
        </w:rPr>
        <w:t>n</w:t>
      </w:r>
      <w:r w:rsidRPr="004E6CFC">
        <w:rPr>
          <w:rFonts w:cs="Arial"/>
        </w:rPr>
        <w:t xml:space="preserve"> =1, 2 o 3), del año </w:t>
      </w:r>
      <w:r w:rsidRPr="004E6CFC">
        <w:rPr>
          <w:rFonts w:cs="Arial"/>
          <w:i/>
        </w:rPr>
        <w:t>t</w:t>
      </w:r>
      <w:r w:rsidRPr="004E6CFC">
        <w:rPr>
          <w:rFonts w:cs="Arial"/>
        </w:rPr>
        <w:t>, en pesos</w:t>
      </w:r>
    </w:p>
    <w:p w:rsidR="00193054" w:rsidRPr="004E6CFC" w:rsidRDefault="00EA3D15" w:rsidP="00EA3D15">
      <w:pPr>
        <w:spacing w:before="0" w:after="0"/>
        <w:ind w:left="1560" w:hanging="1560"/>
        <w:jc w:val="left"/>
      </w:pPr>
      <w:r w:rsidRPr="004E6CFC">
        <w:rPr>
          <w:i/>
          <w:iCs/>
        </w:rPr>
        <w:t>U</w:t>
      </w:r>
      <w:r w:rsidRPr="004E6CFC">
        <w:t>:</w:t>
      </w:r>
      <w:r w:rsidRPr="004E6CFC">
        <w:tab/>
        <w:t xml:space="preserve">Cantidad de usuarios </w:t>
      </w:r>
      <w:r w:rsidRPr="004E6CFC">
        <w:rPr>
          <w:i/>
        </w:rPr>
        <w:t>u</w:t>
      </w:r>
      <w:r w:rsidRPr="004E6CFC">
        <w:t xml:space="preserve"> que migraron entre niveles en el sistema operado por el OR </w:t>
      </w:r>
      <w:r w:rsidRPr="004E6CFC">
        <w:rPr>
          <w:i/>
        </w:rPr>
        <w:t>j</w:t>
      </w:r>
      <w:r w:rsidRPr="004E6CFC">
        <w:t xml:space="preserve"> durante el año </w:t>
      </w:r>
      <w:r w:rsidRPr="004E6CFC">
        <w:rPr>
          <w:i/>
        </w:rPr>
        <w:t>t</w:t>
      </w:r>
      <w:r w:rsidR="00F73AFC" w:rsidRPr="004E6CFC">
        <w:t>.</w:t>
      </w:r>
      <w:r w:rsidR="00193054" w:rsidRPr="004E6CFC">
        <w:br w:type="page"/>
      </w:r>
    </w:p>
    <w:p w:rsidR="00193054" w:rsidRPr="004E77B3" w:rsidRDefault="00193054" w:rsidP="00193054">
      <w:pPr>
        <w:pStyle w:val="Ttulo1"/>
      </w:pPr>
      <w:bookmarkStart w:id="1007" w:name="_Ref403056342"/>
      <w:bookmarkStart w:id="1008" w:name="_Toc408493225"/>
      <w:bookmarkStart w:id="1009" w:name="_Toc505336010"/>
      <w:r w:rsidRPr="004E77B3">
        <w:lastRenderedPageBreak/>
        <w:t>COSTOS DE TRANSPORTE DE ENERGÍA REACTIVA</w:t>
      </w:r>
      <w:bookmarkEnd w:id="1007"/>
      <w:bookmarkEnd w:id="1008"/>
      <w:bookmarkEnd w:id="1009"/>
    </w:p>
    <w:p w:rsidR="00EA3D15" w:rsidRPr="004E6CFC" w:rsidRDefault="00EA3D15" w:rsidP="00EA3D15">
      <w:pPr>
        <w:rPr>
          <w:lang w:val="es-CO"/>
        </w:rPr>
      </w:pPr>
      <w:r w:rsidRPr="004E6CFC">
        <w:rPr>
          <w:lang w:val="es-CO"/>
        </w:rPr>
        <w:t>El costo del transporte de energía reactiva se efectuará con base en la siguiente expresión:</w:t>
      </w:r>
    </w:p>
    <w:p w:rsidR="00EA3D15" w:rsidRPr="004E6CFC" w:rsidRDefault="00C9592F" w:rsidP="00EA3D15">
      <w:pPr>
        <w:rPr>
          <w:lang w:val="es-CO"/>
        </w:rPr>
      </w:pPr>
      <m:oMathPara>
        <m:oMath>
          <m:sSub>
            <m:sSubPr>
              <m:ctrlPr>
                <w:rPr>
                  <w:rFonts w:ascii="Cambria Math" w:hAnsi="Cambria Math" w:cs="Arial"/>
                  <w:i/>
                </w:rPr>
              </m:ctrlPr>
            </m:sSubPr>
            <m:e>
              <m:r>
                <w:rPr>
                  <w:rFonts w:ascii="Cambria Math" w:hAnsi="Cambria Math" w:cs="Arial"/>
                </w:rPr>
                <m:t>CTER</m:t>
              </m:r>
            </m:e>
            <m:sub>
              <m:r>
                <w:rPr>
                  <w:rFonts w:ascii="Cambria Math" w:hAnsi="Cambria Math" w:cs="Arial"/>
                </w:rPr>
                <m:t>u,n,h,m,j</m:t>
              </m:r>
            </m:sub>
          </m:sSub>
          <m:r>
            <w:rPr>
              <w:rFonts w:ascii="Cambria Math" w:hAnsi="Cambria Math" w:cs="Arial"/>
            </w:rPr>
            <m:t>=</m:t>
          </m:r>
          <m:sSub>
            <m:sSubPr>
              <m:ctrlPr>
                <w:rPr>
                  <w:rFonts w:ascii="Cambria Math" w:hAnsi="Cambria Math" w:cs="Arial"/>
                  <w:i/>
                </w:rPr>
              </m:ctrlPr>
            </m:sSubPr>
            <m:e>
              <m:r>
                <w:rPr>
                  <w:rFonts w:ascii="Cambria Math" w:hAnsi="Cambria Math" w:cs="Arial"/>
                </w:rPr>
                <m:t>ER</m:t>
              </m:r>
            </m:e>
            <m:sub>
              <m:r>
                <w:rPr>
                  <w:rFonts w:ascii="Cambria Math" w:hAnsi="Cambria Math" w:cs="Arial"/>
                </w:rPr>
                <m:t>u,h,m,j</m:t>
              </m:r>
            </m:sub>
          </m:sSub>
          <m:r>
            <w:rPr>
              <w:rFonts w:ascii="Cambria Math" w:hAnsi="Cambria Math" w:cs="Arial"/>
            </w:rPr>
            <m:t>*M*</m:t>
          </m:r>
          <m:sSub>
            <m:sSubPr>
              <m:ctrlPr>
                <w:rPr>
                  <w:rFonts w:ascii="Cambria Math" w:hAnsi="Cambria Math" w:cs="Arial"/>
                  <w:i/>
                </w:rPr>
              </m:ctrlPr>
            </m:sSubPr>
            <m:e>
              <m:r>
                <w:rPr>
                  <w:rFonts w:ascii="Cambria Math" w:hAnsi="Cambria Math" w:cs="Arial"/>
                </w:rPr>
                <m:t>D</m:t>
              </m:r>
            </m:e>
            <m:sub>
              <m:r>
                <w:rPr>
                  <w:rFonts w:ascii="Cambria Math" w:hAnsi="Cambria Math" w:cs="Arial"/>
                </w:rPr>
                <m:t>n,h,m</m:t>
              </m:r>
            </m:sub>
          </m:sSub>
        </m:oMath>
      </m:oMathPara>
    </w:p>
    <w:p w:rsidR="00EA3D15" w:rsidRPr="004E6CFC" w:rsidRDefault="00EA3D15" w:rsidP="00EA3D15">
      <w:pPr>
        <w:rPr>
          <w:lang w:val="es-CO"/>
        </w:rPr>
      </w:pPr>
      <w:r w:rsidRPr="004E6CFC">
        <w:rPr>
          <w:lang w:val="es-CO"/>
        </w:rPr>
        <w:t>Donde:</w:t>
      </w:r>
    </w:p>
    <w:p w:rsidR="00EA3D15" w:rsidRPr="004E6CFC" w:rsidRDefault="00EA3D15" w:rsidP="00EA3D15">
      <w:pPr>
        <w:ind w:left="1416" w:hanging="1416"/>
      </w:pPr>
      <w:r w:rsidRPr="004E6CFC">
        <w:rPr>
          <w:i/>
        </w:rPr>
        <w:t>CTER</w:t>
      </w:r>
      <w:r w:rsidRPr="004E6CFC">
        <w:rPr>
          <w:i/>
          <w:vertAlign w:val="subscript"/>
        </w:rPr>
        <w:t>u,n,h,m,j</w:t>
      </w:r>
      <w:r w:rsidRPr="004E6CFC">
        <w:rPr>
          <w:i/>
        </w:rPr>
        <w:t xml:space="preserve">: </w:t>
      </w:r>
      <w:r w:rsidRPr="004E6CFC">
        <w:t xml:space="preserve">Costo de transporte de energía reactiva en exceso sobre el límite asignado al usuario del STR o SDL </w:t>
      </w:r>
      <w:r w:rsidRPr="004E6CFC">
        <w:rPr>
          <w:i/>
        </w:rPr>
        <w:t>u</w:t>
      </w:r>
      <w:r w:rsidRPr="004E6CFC">
        <w:t xml:space="preserve">, en pesos, del nivel de tensión </w:t>
      </w:r>
      <w:r w:rsidRPr="004E6CFC">
        <w:rPr>
          <w:i/>
        </w:rPr>
        <w:t>n</w:t>
      </w:r>
      <w:r w:rsidRPr="004E6CFC">
        <w:t xml:space="preserve">, en la hora </w:t>
      </w:r>
      <w:r w:rsidRPr="004E6CFC">
        <w:rPr>
          <w:i/>
        </w:rPr>
        <w:t>h</w:t>
      </w:r>
      <w:r w:rsidRPr="004E6CFC">
        <w:t xml:space="preserve"> del mes </w:t>
      </w:r>
      <w:r w:rsidRPr="004E6CFC">
        <w:rPr>
          <w:i/>
        </w:rPr>
        <w:t>m</w:t>
      </w:r>
      <w:r w:rsidRPr="004E6CFC">
        <w:t xml:space="preserve">, del sistema operado por el OR </w:t>
      </w:r>
      <w:r w:rsidRPr="004E6CFC">
        <w:rPr>
          <w:i/>
        </w:rPr>
        <w:t>j</w:t>
      </w:r>
      <w:r w:rsidRPr="004E6CFC">
        <w:t>.</w:t>
      </w:r>
    </w:p>
    <w:p w:rsidR="00EA3D15" w:rsidRPr="004E6CFC" w:rsidRDefault="00EA3D15" w:rsidP="00EA3D15">
      <w:pPr>
        <w:ind w:left="1410" w:hanging="1410"/>
        <w:rPr>
          <w:rFonts w:cs="Arial"/>
        </w:rPr>
      </w:pPr>
      <w:r w:rsidRPr="004E6CFC">
        <w:rPr>
          <w:rFonts w:cs="Arial"/>
          <w:i/>
        </w:rPr>
        <w:t>ER</w:t>
      </w:r>
      <w:r w:rsidRPr="004E6CFC">
        <w:rPr>
          <w:rFonts w:cs="Arial"/>
          <w:i/>
          <w:vertAlign w:val="subscript"/>
        </w:rPr>
        <w:t>u,h,m,j</w:t>
      </w:r>
      <w:r w:rsidRPr="004E6CFC">
        <w:rPr>
          <w:rFonts w:cs="Arial"/>
          <w:i/>
        </w:rPr>
        <w:t>:</w:t>
      </w:r>
      <w:r w:rsidRPr="004E6CFC">
        <w:rPr>
          <w:rFonts w:cs="Arial"/>
        </w:rPr>
        <w:tab/>
      </w:r>
      <w:r w:rsidRPr="004E6CFC">
        <w:rPr>
          <w:rFonts w:cs="Arial"/>
        </w:rPr>
        <w:tab/>
        <w:t xml:space="preserve">Cantidad de energía reactiva transportada en exceso sobre el límite asignado al usuario del STR o SDL </w:t>
      </w:r>
      <w:r w:rsidRPr="004E6CFC">
        <w:rPr>
          <w:rFonts w:cs="Arial"/>
          <w:i/>
        </w:rPr>
        <w:t>u</w:t>
      </w:r>
      <w:r w:rsidRPr="004E6CFC">
        <w:rPr>
          <w:rFonts w:cs="Arial"/>
        </w:rPr>
        <w:t xml:space="preserve">, en la hora </w:t>
      </w:r>
      <w:r w:rsidRPr="004E6CFC">
        <w:rPr>
          <w:rFonts w:cs="Arial"/>
          <w:i/>
        </w:rPr>
        <w:t>h</w:t>
      </w:r>
      <w:r w:rsidRPr="004E6CFC">
        <w:rPr>
          <w:rFonts w:cs="Arial"/>
        </w:rPr>
        <w:t xml:space="preserve"> del mes </w:t>
      </w:r>
      <w:r w:rsidRPr="004E6CFC">
        <w:rPr>
          <w:rFonts w:cs="Arial"/>
          <w:i/>
        </w:rPr>
        <w:t>m</w:t>
      </w:r>
      <w:r w:rsidRPr="004E6CFC">
        <w:rPr>
          <w:rFonts w:cs="Arial"/>
        </w:rPr>
        <w:t xml:space="preserve">, en el sistema del OR </w:t>
      </w:r>
      <w:r w:rsidRPr="004E6CFC">
        <w:rPr>
          <w:rFonts w:cs="Arial"/>
          <w:i/>
        </w:rPr>
        <w:t>j</w:t>
      </w:r>
      <w:r w:rsidRPr="004E6CFC">
        <w:rPr>
          <w:rFonts w:cs="Arial"/>
        </w:rPr>
        <w:t>, en kVAr.</w:t>
      </w:r>
    </w:p>
    <w:p w:rsidR="00EA3D15" w:rsidRPr="004E6CFC" w:rsidRDefault="00EA3D15" w:rsidP="00EA3D15">
      <w:pPr>
        <w:ind w:left="1410" w:hanging="1410"/>
        <w:rPr>
          <w:rFonts w:cs="Arial"/>
        </w:rPr>
      </w:pPr>
      <w:r w:rsidRPr="004E6CFC">
        <w:rPr>
          <w:rFonts w:cs="Arial"/>
          <w:i/>
        </w:rPr>
        <w:t>D</w:t>
      </w:r>
      <w:r w:rsidRPr="004E6CFC">
        <w:rPr>
          <w:rFonts w:cs="Arial"/>
          <w:i/>
          <w:vertAlign w:val="subscript"/>
        </w:rPr>
        <w:t>n,h,m</w:t>
      </w:r>
      <w:r w:rsidRPr="004E6CFC">
        <w:rPr>
          <w:rFonts w:cs="Arial"/>
          <w:i/>
        </w:rPr>
        <w:t>:</w:t>
      </w:r>
      <w:r w:rsidRPr="004E6CFC">
        <w:rPr>
          <w:rFonts w:cs="Arial"/>
        </w:rPr>
        <w:t xml:space="preserve"> </w:t>
      </w:r>
      <w:r w:rsidRPr="004E6CFC">
        <w:rPr>
          <w:rFonts w:cs="Arial"/>
        </w:rPr>
        <w:tab/>
        <w:t xml:space="preserve">Cargo por uso de sistemas de distribución para el transporte de energía reactiva. Es igual al cargo por uso del nivel de tensión </w:t>
      </w:r>
      <w:r w:rsidRPr="004E6CFC">
        <w:rPr>
          <w:rFonts w:cs="Arial"/>
          <w:i/>
        </w:rPr>
        <w:t>n en la hora h d</w:t>
      </w:r>
      <w:r w:rsidRPr="004E6CFC">
        <w:rPr>
          <w:rFonts w:cs="Arial"/>
        </w:rPr>
        <w:t xml:space="preserve">el mes </w:t>
      </w:r>
      <w:r w:rsidRPr="004E6CFC">
        <w:rPr>
          <w:rFonts w:cs="Arial"/>
          <w:i/>
        </w:rPr>
        <w:t>m</w:t>
      </w:r>
      <w:r w:rsidRPr="004E6CFC">
        <w:rPr>
          <w:rFonts w:cs="Arial"/>
        </w:rPr>
        <w:t xml:space="preserve"> que enfrenta un usuario conectado al sistema, cuando se registró el transporte de energía reactiva. </w:t>
      </w:r>
    </w:p>
    <w:p w:rsidR="00EA3D15" w:rsidRPr="004E6CFC" w:rsidRDefault="00EA3D15" w:rsidP="00EA3D15">
      <w:pPr>
        <w:ind w:left="1416" w:hanging="6"/>
      </w:pPr>
      <w:r w:rsidRPr="004E6CFC">
        <w:t xml:space="preserve">El cargo por uso aplicable para el pago del transporte de energía reactiva por parte del usuario del STR o SDL será igual al cargo por uso de energía activa que enfrenta en función del sistema y el nivel de tensión en el que se encuentre conectada la frontera. En el nivel de tensión 4 el cargo será igual al calculado para cargos por uso en el STR; en un SDL que sea parte de un ADD será el cargo único por nivel de tensión del ADD y para aquellos sistemas que no son parte de ADD el cargo por uso será el del OR respectivo. </w:t>
      </w:r>
    </w:p>
    <w:p w:rsidR="00EA3D15" w:rsidRPr="004E6CFC" w:rsidRDefault="00EA3D15" w:rsidP="00EA3D15">
      <w:pPr>
        <w:ind w:left="1410" w:hanging="1410"/>
        <w:rPr>
          <w:rFonts w:cs="Arial"/>
        </w:rPr>
      </w:pPr>
      <w:r w:rsidRPr="004E6CFC">
        <w:rPr>
          <w:rFonts w:cs="Arial"/>
          <w:i/>
        </w:rPr>
        <w:t>M:</w:t>
      </w:r>
      <w:r w:rsidRPr="004E6CFC">
        <w:rPr>
          <w:rFonts w:cs="Arial"/>
        </w:rPr>
        <w:t xml:space="preserve"> </w:t>
      </w:r>
      <w:r w:rsidRPr="004E6CFC">
        <w:rPr>
          <w:rFonts w:cs="Arial"/>
        </w:rPr>
        <w:tab/>
        <w:t xml:space="preserve">Variable asociada con el periodo mensual en el que se presenta el transporte de energía reactiva sobre el límite establecido, variando entre 1 y 12. </w:t>
      </w:r>
    </w:p>
    <w:p w:rsidR="00EA3D15" w:rsidRPr="004E6CFC" w:rsidRDefault="00EA3D15" w:rsidP="00EA3D15">
      <w:pPr>
        <w:ind w:left="1410"/>
        <w:rPr>
          <w:rFonts w:cs="Arial"/>
        </w:rPr>
      </w:pPr>
      <w:r w:rsidRPr="004E6CFC">
        <w:rPr>
          <w:rFonts w:cs="Arial"/>
        </w:rPr>
        <w:t xml:space="preserve">Cuando el transporte de energía reactiva en exceso sobre el límite se presente durante cualquier período horario en diez (10) días o menos en un mismo mes calendario, la variable </w:t>
      </w:r>
      <w:r w:rsidRPr="004E6CFC">
        <w:rPr>
          <w:rFonts w:cs="Arial"/>
          <w:i/>
        </w:rPr>
        <w:t>M</w:t>
      </w:r>
      <w:r w:rsidRPr="004E6CFC">
        <w:rPr>
          <w:rFonts w:cs="Arial"/>
        </w:rPr>
        <w:t xml:space="preserve"> será igual a 1.</w:t>
      </w:r>
    </w:p>
    <w:p w:rsidR="00EA3D15" w:rsidRPr="004E6CFC" w:rsidRDefault="00EA3D15" w:rsidP="00EA3D15">
      <w:pPr>
        <w:ind w:left="1410"/>
        <w:rPr>
          <w:rFonts w:cs="Arial"/>
        </w:rPr>
      </w:pPr>
      <w:r w:rsidRPr="004E6CFC">
        <w:rPr>
          <w:rFonts w:cs="Arial"/>
        </w:rPr>
        <w:t xml:space="preserve">Cuando el transporte de energía reactiva en exceso sobre el límite se presente durante cualquier período horario en más de diez (10) días en un mismo mes calendario, la variable </w:t>
      </w:r>
      <w:r w:rsidRPr="004E6CFC">
        <w:rPr>
          <w:rFonts w:cs="Arial"/>
          <w:i/>
        </w:rPr>
        <w:t>M</w:t>
      </w:r>
      <w:r w:rsidRPr="004E6CFC">
        <w:rPr>
          <w:rFonts w:cs="Arial"/>
        </w:rPr>
        <w:t xml:space="preserve"> será igual a 1 durante los primeros 12 meses en los que se presente esta condición y, a partir del décimo tercer mes de transporte de energía reactiva con la misma condición, esta variable se incrementará mensualmente en una unidad hasta alcanzar el valor de 12. Si la condición desaparece durante más de seis meses consecutivos, la variable reiniciará a partir de 1. </w:t>
      </w:r>
    </w:p>
    <w:p w:rsidR="00EA3D15" w:rsidRPr="004E6CFC" w:rsidRDefault="00EA3D15" w:rsidP="00EA3D15">
      <w:pPr>
        <w:ind w:left="1410"/>
        <w:rPr>
          <w:rFonts w:cs="Arial"/>
        </w:rPr>
      </w:pPr>
      <w:r w:rsidRPr="004E6CFC">
        <w:rPr>
          <w:rFonts w:cs="Arial"/>
        </w:rPr>
        <w:t>Durante los primeros doce meses de vigencia de la presente resolución este factor será igual a 1.</w:t>
      </w:r>
    </w:p>
    <w:p w:rsidR="00EA3D15" w:rsidRPr="004E6CFC" w:rsidRDefault="00EA3D15" w:rsidP="00EA3D15">
      <w:r w:rsidRPr="004E6CFC">
        <w:lastRenderedPageBreak/>
        <w:t>El pago del costo de transporte de energía reactiva se deberá efectuar cuando un OR o un usuario final se encuentren incursos en alguna de las siguientes condiciones:</w:t>
      </w:r>
    </w:p>
    <w:p w:rsidR="00EA3D15" w:rsidRPr="004E6CFC" w:rsidRDefault="00EA3D15" w:rsidP="00EA3D15">
      <w:pPr>
        <w:pStyle w:val="Prrafodelista"/>
        <w:numPr>
          <w:ilvl w:val="0"/>
          <w:numId w:val="14"/>
        </w:numPr>
      </w:pPr>
      <w:r w:rsidRPr="004E6CFC">
        <w:t xml:space="preserve">Cuando la energía reactiva (kVArh) inductiva consumida por un OR sea mayor al cincuenta por ciento (50%) de la energía activa (kWh) que le es entregada en cada periodo horario en los niveles de tensión 3, 2 o 1. En este caso, para calcular el exceso de transporte de energía reactiva se deberá sumar la energía reactiva horaria de los puntos de frontera de un mismo sistema, entendiéndose como punto </w:t>
      </w:r>
      <w:r>
        <w:t xml:space="preserve">de </w:t>
      </w:r>
      <w:r w:rsidRPr="004E6CFC">
        <w:t xml:space="preserve">frontera los puntos de conexión con otros sistemas (STN, OR) en un mismo nivel de tensión. El balance se calculará con base en las sumas aritméticas, considerando la dirección de los flujos de energía activa y reactiva a través de dichos puntos de frontera. El pago se distribuirá entre los OR que transportan dicha energía reactiva a prorrata de la cantidad de kVAr transportados. </w:t>
      </w:r>
    </w:p>
    <w:p w:rsidR="00EA3D15" w:rsidRPr="004E6CFC" w:rsidRDefault="00EA3D15" w:rsidP="00EA3D15">
      <w:pPr>
        <w:pStyle w:val="Prrafodelista"/>
        <w:numPr>
          <w:ilvl w:val="0"/>
          <w:numId w:val="14"/>
        </w:numPr>
      </w:pPr>
      <w:r w:rsidRPr="004E6CFC">
        <w:t xml:space="preserve">Cuando un usuario final registre en su frontera comercial un consumo de energía reactiva inductiva superior al cincuenta por ciento (50 %) de la energía activa (kWh) que le es entregada en cada periodo horario. En caso que la energía activa sea igual a cero en algún periodo y exista transporte de energía reactiva inductiva, el costo del transporte de energía reactiva se efectuará sobre la totalidad de energía reactiva registrada en dicho período. </w:t>
      </w:r>
    </w:p>
    <w:p w:rsidR="00EA3D15" w:rsidRPr="004E6CFC" w:rsidRDefault="00EA3D15" w:rsidP="00EA3D15">
      <w:pPr>
        <w:pStyle w:val="Prrafodelista"/>
        <w:numPr>
          <w:ilvl w:val="0"/>
          <w:numId w:val="14"/>
        </w:numPr>
      </w:pPr>
      <w:r w:rsidRPr="004E6CFC">
        <w:t xml:space="preserve">Cuando se registre en una frontera comercial el transporte de energía reactiva capacitiva, independientemente del valor de energía activa, se cobrará el costo de transporte de energía reactiva sobre la totalidad de energía reactiva registrada. </w:t>
      </w:r>
    </w:p>
    <w:p w:rsidR="00EA3D15" w:rsidRPr="004E6CFC" w:rsidRDefault="00EA3D15" w:rsidP="00EA3D15">
      <w:r w:rsidRPr="004E6CFC">
        <w:t xml:space="preserve">El costo de transporte de energía reactiva en exceso será liquidado y facturado directamente por el OR que entrega la energía reactiva al OR que la consume o al comercializador que represente el usuario causante del transporte de energía reactiva, quien a su vez trasladará este cobro al usuario final. </w:t>
      </w:r>
    </w:p>
    <w:p w:rsidR="00EA3D15" w:rsidRPr="004E6CFC" w:rsidRDefault="00EA3D15" w:rsidP="00EA3D15">
      <w:r w:rsidRPr="004E6CFC">
        <w:t>El 50% de dichos valores deberán ser reportados anualmente al LAC para que sean restados de la liquidación de ingresos de que trata el capítulo 2.</w:t>
      </w:r>
    </w:p>
    <w:p w:rsidR="00EA3D15" w:rsidRPr="004E6CFC" w:rsidRDefault="00EA3D15" w:rsidP="00EA3D15">
      <w:r w:rsidRPr="004E6CFC">
        <w:t>Se exceptúa de pago del costo de transporte de energía reactiva a las plantas generadoras, las cuales están obligadas a participar en el control de tensión por medio de la generación o absorción de potencia reactiva.</w:t>
      </w:r>
    </w:p>
    <w:p w:rsidR="00EA3D15" w:rsidRPr="004E6CFC" w:rsidRDefault="00EA3D15" w:rsidP="00EA3D15">
      <w:r w:rsidRPr="004E6CFC">
        <w:t xml:space="preserve">Durante los primeros 10 días calendario de cada año, para cada nivel de tensión, el OR debe reportar al LAC el valor de la variable </w:t>
      </w:r>
      <w:r w:rsidRPr="004E6CFC">
        <w:rPr>
          <w:i/>
        </w:rPr>
        <w:t>IReactiva</w:t>
      </w:r>
      <w:r w:rsidRPr="004E6CFC">
        <w:rPr>
          <w:i/>
          <w:vertAlign w:val="subscript"/>
        </w:rPr>
        <w:t>j,n,t</w:t>
      </w:r>
      <w:r w:rsidRPr="004E6CFC">
        <w:t>, con base en la siguiente expresión.</w:t>
      </w:r>
    </w:p>
    <w:p w:rsidR="00EA3D15" w:rsidRPr="004E6CFC" w:rsidRDefault="00C9592F" w:rsidP="00EA3D15">
      <w:pPr>
        <w:spacing w:before="0" w:after="0"/>
      </w:pPr>
      <m:oMathPara>
        <m:oMath>
          <m:sSub>
            <m:sSubPr>
              <m:ctrlPr>
                <w:rPr>
                  <w:rFonts w:ascii="Cambria Math" w:hAnsi="Cambria Math"/>
                  <w:i/>
                  <w:sz w:val="22"/>
                </w:rPr>
              </m:ctrlPr>
            </m:sSubPr>
            <m:e>
              <m:r>
                <w:rPr>
                  <w:rFonts w:ascii="Cambria Math" w:hAnsi="Cambria Math"/>
                  <w:sz w:val="22"/>
                </w:rPr>
                <m:t>IReactiva</m:t>
              </m:r>
            </m:e>
            <m:sub>
              <m:r>
                <w:rPr>
                  <w:rFonts w:ascii="Cambria Math" w:hAnsi="Cambria Math"/>
                  <w:sz w:val="22"/>
                </w:rPr>
                <m:t>j</m:t>
              </m:r>
              <m:r>
                <w:rPr>
                  <w:rFonts w:ascii="Cambria Math"/>
                  <w:sz w:val="22"/>
                </w:rPr>
                <m:t>,n,</m:t>
              </m:r>
              <m:r>
                <w:rPr>
                  <w:rFonts w:ascii="Cambria Math" w:hAnsi="Cambria Math"/>
                  <w:sz w:val="22"/>
                </w:rPr>
                <m:t>t</m:t>
              </m:r>
            </m:sub>
          </m:sSub>
          <m:r>
            <w:rPr>
              <w:rFonts w:ascii="Cambria Math"/>
              <w:sz w:val="22"/>
            </w:rPr>
            <m:t>=</m:t>
          </m:r>
          <m:f>
            <m:fPr>
              <m:ctrlPr>
                <w:rPr>
                  <w:rFonts w:ascii="Cambria Math" w:hAnsi="Cambria Math"/>
                  <w:i/>
                  <w:sz w:val="22"/>
                </w:rPr>
              </m:ctrlPr>
            </m:fPr>
            <m:num>
              <m:r>
                <w:rPr>
                  <w:rFonts w:ascii="Cambria Math"/>
                  <w:sz w:val="22"/>
                </w:rPr>
                <m:t>1</m:t>
              </m:r>
            </m:num>
            <m:den>
              <m:r>
                <w:rPr>
                  <w:rFonts w:ascii="Cambria Math"/>
                  <w:sz w:val="22"/>
                </w:rPr>
                <m:t>2</m:t>
              </m:r>
            </m:den>
          </m:f>
          <m:nary>
            <m:naryPr>
              <m:chr m:val="∑"/>
              <m:limLoc m:val="undOvr"/>
              <m:ctrlPr>
                <w:rPr>
                  <w:rFonts w:ascii="Cambria Math" w:hAnsi="Cambria Math"/>
                  <w:i/>
                  <w:sz w:val="22"/>
                </w:rPr>
              </m:ctrlPr>
            </m:naryPr>
            <m:sub>
              <m:r>
                <w:rPr>
                  <w:rFonts w:ascii="Cambria Math" w:hAnsi="Cambria Math"/>
                  <w:sz w:val="22"/>
                </w:rPr>
                <m:t>u=1</m:t>
              </m:r>
            </m:sub>
            <m:sup>
              <m:r>
                <w:rPr>
                  <w:rFonts w:ascii="Cambria Math" w:hAnsi="Cambria Math"/>
                  <w:sz w:val="22"/>
                </w:rPr>
                <m:t>U</m:t>
              </m:r>
            </m:sup>
            <m:e>
              <m:nary>
                <m:naryPr>
                  <m:chr m:val="∑"/>
                  <m:limLoc m:val="undOvr"/>
                  <m:ctrlPr>
                    <w:rPr>
                      <w:rFonts w:ascii="Cambria Math" w:hAnsi="Cambria Math"/>
                      <w:i/>
                      <w:sz w:val="22"/>
                    </w:rPr>
                  </m:ctrlPr>
                </m:naryPr>
                <m:sub>
                  <m:r>
                    <w:rPr>
                      <w:rFonts w:ascii="Cambria Math" w:hAnsi="Cambria Math"/>
                      <w:sz w:val="22"/>
                    </w:rPr>
                    <m:t>m=1</m:t>
                  </m:r>
                </m:sub>
                <m:sup>
                  <m:r>
                    <w:rPr>
                      <w:rFonts w:ascii="Cambria Math" w:hAnsi="Cambria Math"/>
                      <w:sz w:val="22"/>
                    </w:rPr>
                    <m:t>12</m:t>
                  </m:r>
                </m:sup>
                <m:e>
                  <m:sSub>
                    <m:sSubPr>
                      <m:ctrlPr>
                        <w:rPr>
                          <w:rFonts w:ascii="Cambria Math" w:hAnsi="Cambria Math" w:cs="Arial"/>
                          <w:i/>
                        </w:rPr>
                      </m:ctrlPr>
                    </m:sSubPr>
                    <m:e>
                      <m:nary>
                        <m:naryPr>
                          <m:chr m:val="∑"/>
                          <m:limLoc m:val="undOvr"/>
                          <m:ctrlPr>
                            <w:rPr>
                              <w:rFonts w:ascii="Cambria Math" w:hAnsi="Cambria Math" w:cs="Arial"/>
                              <w:i/>
                            </w:rPr>
                          </m:ctrlPr>
                        </m:naryPr>
                        <m:sub>
                          <m:r>
                            <w:rPr>
                              <w:rFonts w:ascii="Cambria Math" w:hAnsi="Cambria Math" w:cs="Arial"/>
                            </w:rPr>
                            <m:t>h=</m:t>
                          </m:r>
                          <m:r>
                            <w:rPr>
                              <w:rFonts w:ascii="Cambria Math" w:hAnsi="Cambria Math" w:cs="Arial"/>
                            </w:rPr>
                            <m:t>1</m:t>
                          </m:r>
                        </m:sub>
                        <m:sup>
                          <m:r>
                            <w:rPr>
                              <w:rFonts w:ascii="Cambria Math" w:hAnsi="Cambria Math" w:cs="Arial"/>
                            </w:rPr>
                            <m:t>24</m:t>
                          </m:r>
                        </m:sup>
                        <m:e>
                          <m:sSub>
                            <m:sSubPr>
                              <m:ctrlPr>
                                <w:rPr>
                                  <w:rFonts w:ascii="Cambria Math" w:hAnsi="Cambria Math" w:cs="Arial"/>
                                  <w:i/>
                                </w:rPr>
                              </m:ctrlPr>
                            </m:sSubPr>
                            <m:e>
                              <m:r>
                                <w:rPr>
                                  <w:rFonts w:ascii="Cambria Math" w:hAnsi="Cambria Math" w:cs="Arial"/>
                                </w:rPr>
                                <m:t>CTER</m:t>
                              </m:r>
                            </m:e>
                            <m:sub>
                              <m:r>
                                <w:rPr>
                                  <w:rFonts w:ascii="Cambria Math" w:hAnsi="Cambria Math" w:cs="Arial"/>
                                </w:rPr>
                                <m:t>u,n,h,m,j,t-1</m:t>
                              </m:r>
                            </m:sub>
                          </m:sSub>
                        </m:e>
                      </m:nary>
                    </m:e>
                    <m:sub/>
                  </m:sSub>
                </m:e>
              </m:nary>
            </m:e>
          </m:nary>
        </m:oMath>
      </m:oMathPara>
    </w:p>
    <w:p w:rsidR="00EA3D15" w:rsidRPr="004E6CFC" w:rsidRDefault="00EA3D15" w:rsidP="00EA3D15">
      <w:pPr>
        <w:rPr>
          <w:lang w:val="es-ES_tradnl"/>
        </w:rPr>
      </w:pPr>
      <w:r w:rsidRPr="004E6CFC">
        <w:rPr>
          <w:lang w:val="es-ES_tradnl"/>
        </w:rPr>
        <w:t>Donde:</w:t>
      </w:r>
    </w:p>
    <w:p w:rsidR="00EA3D15" w:rsidRPr="004E6CFC" w:rsidRDefault="00EA3D15" w:rsidP="00EA3D15">
      <w:pPr>
        <w:ind w:left="1985" w:hanging="1985"/>
        <w:rPr>
          <w:rFonts w:cs="Arial"/>
          <w:lang w:val="es-ES_tradnl"/>
        </w:rPr>
      </w:pPr>
      <w:r w:rsidRPr="004E6CFC">
        <w:rPr>
          <w:rFonts w:cs="Arial"/>
          <w:i/>
          <w:lang w:val="es-ES_tradnl"/>
        </w:rPr>
        <w:t>IReactiva</w:t>
      </w:r>
      <w:r w:rsidRPr="004E6CFC">
        <w:rPr>
          <w:rFonts w:cs="Arial"/>
          <w:i/>
          <w:vertAlign w:val="subscript"/>
          <w:lang w:val="es-ES_tradnl"/>
        </w:rPr>
        <w:t>j,n,t</w:t>
      </w:r>
      <w:r w:rsidRPr="004E6CFC">
        <w:rPr>
          <w:rFonts w:cs="Arial"/>
          <w:lang w:val="es-ES_tradnl"/>
        </w:rPr>
        <w:t xml:space="preserve">: </w:t>
      </w:r>
      <w:r w:rsidRPr="004E6CFC">
        <w:rPr>
          <w:rFonts w:cs="Arial"/>
          <w:lang w:val="es-ES_tradnl"/>
        </w:rPr>
        <w:tab/>
        <w:t xml:space="preserve">Ingresos a descontar al OR </w:t>
      </w:r>
      <w:r w:rsidRPr="004E6CFC">
        <w:rPr>
          <w:rFonts w:cs="Arial"/>
          <w:i/>
          <w:lang w:val="es-ES_tradnl"/>
        </w:rPr>
        <w:t>j</w:t>
      </w:r>
      <w:r w:rsidRPr="004E6CFC">
        <w:rPr>
          <w:rFonts w:cs="Arial"/>
          <w:lang w:val="es-ES_tradnl"/>
        </w:rPr>
        <w:t xml:space="preserve"> en el nivel de tensión </w:t>
      </w:r>
      <w:r w:rsidRPr="004E6CFC">
        <w:rPr>
          <w:rFonts w:cs="Arial"/>
          <w:i/>
          <w:lang w:val="es-ES_tradnl"/>
        </w:rPr>
        <w:t>n</w:t>
      </w:r>
      <w:r w:rsidRPr="004E6CFC">
        <w:rPr>
          <w:rFonts w:cs="Arial"/>
          <w:lang w:val="es-ES_tradnl"/>
        </w:rPr>
        <w:t xml:space="preserve"> por concepto de transporte de energía reactiva en exceso durante el año </w:t>
      </w:r>
      <w:r w:rsidRPr="004E6CFC">
        <w:rPr>
          <w:rFonts w:cs="Arial"/>
          <w:i/>
          <w:lang w:val="es-ES_tradnl"/>
        </w:rPr>
        <w:t>t</w:t>
      </w:r>
      <w:r w:rsidRPr="004E6CFC">
        <w:rPr>
          <w:rFonts w:cs="Arial"/>
          <w:lang w:val="es-ES_tradnl"/>
        </w:rPr>
        <w:t>.</w:t>
      </w:r>
    </w:p>
    <w:p w:rsidR="00EA3D15" w:rsidRPr="004E6CFC" w:rsidRDefault="00EA3D15" w:rsidP="00EA3D15">
      <w:pPr>
        <w:ind w:left="1985" w:hanging="1985"/>
      </w:pPr>
      <w:r w:rsidRPr="004E6CFC">
        <w:rPr>
          <w:i/>
        </w:rPr>
        <w:lastRenderedPageBreak/>
        <w:t>CTER</w:t>
      </w:r>
      <w:r w:rsidRPr="004E6CFC">
        <w:rPr>
          <w:i/>
          <w:vertAlign w:val="subscript"/>
        </w:rPr>
        <w:t>u,n,h,m,j,t-1</w:t>
      </w:r>
      <w:r w:rsidRPr="004E6CFC">
        <w:rPr>
          <w:i/>
        </w:rPr>
        <w:t>:</w:t>
      </w:r>
      <w:r w:rsidRPr="004E6CFC">
        <w:rPr>
          <w:i/>
        </w:rPr>
        <w:tab/>
      </w:r>
      <w:r w:rsidRPr="004E6CFC">
        <w:t xml:space="preserve">Costo de transporte de energía reactiva en exceso sobre el límite asignado al usuario del STR o SDL </w:t>
      </w:r>
      <w:r w:rsidRPr="004E6CFC">
        <w:rPr>
          <w:i/>
        </w:rPr>
        <w:t>u</w:t>
      </w:r>
      <w:r w:rsidRPr="004E6CFC">
        <w:t xml:space="preserve">, en pesos, del nivel de tensión </w:t>
      </w:r>
      <w:r w:rsidRPr="004E6CFC">
        <w:rPr>
          <w:i/>
        </w:rPr>
        <w:t>n</w:t>
      </w:r>
      <w:r w:rsidRPr="004E6CFC">
        <w:t xml:space="preserve">, en la hora </w:t>
      </w:r>
      <w:r w:rsidRPr="004E6CFC">
        <w:rPr>
          <w:i/>
        </w:rPr>
        <w:t>h</w:t>
      </w:r>
      <w:r w:rsidRPr="004E6CFC">
        <w:t xml:space="preserve"> del mes </w:t>
      </w:r>
      <w:r w:rsidRPr="004E6CFC">
        <w:rPr>
          <w:i/>
        </w:rPr>
        <w:t>m</w:t>
      </w:r>
      <w:r w:rsidRPr="004E6CFC">
        <w:t xml:space="preserve">, del sistema operado por el OR </w:t>
      </w:r>
      <w:r w:rsidRPr="004E6CFC">
        <w:rPr>
          <w:i/>
        </w:rPr>
        <w:t>j</w:t>
      </w:r>
      <w:r w:rsidRPr="004E6CFC">
        <w:t>.</w:t>
      </w:r>
    </w:p>
    <w:p w:rsidR="00EA3D15" w:rsidRPr="004E6CFC" w:rsidRDefault="00EA3D15" w:rsidP="00EA3D15">
      <w:pPr>
        <w:ind w:left="1985" w:hanging="1985"/>
      </w:pPr>
      <w:r w:rsidRPr="004E6CFC">
        <w:rPr>
          <w:i/>
          <w:iCs/>
        </w:rPr>
        <w:t>U</w:t>
      </w:r>
      <w:r w:rsidRPr="004E6CFC">
        <w:t>:</w:t>
      </w:r>
      <w:r w:rsidRPr="004E6CFC">
        <w:tab/>
        <w:t xml:space="preserve">Cantidad de usuarios </w:t>
      </w:r>
      <w:r w:rsidRPr="004E6CFC">
        <w:rPr>
          <w:i/>
        </w:rPr>
        <w:t>u</w:t>
      </w:r>
      <w:r w:rsidRPr="004E6CFC">
        <w:t xml:space="preserve"> que pagaron al OR </w:t>
      </w:r>
      <w:r w:rsidRPr="004E6CFC">
        <w:rPr>
          <w:i/>
        </w:rPr>
        <w:t>j</w:t>
      </w:r>
      <w:r w:rsidRPr="004E6CFC">
        <w:t xml:space="preserve"> cargos por transporte de energía reactiva durante el año </w:t>
      </w:r>
      <w:r w:rsidRPr="004E6CFC">
        <w:rPr>
          <w:i/>
        </w:rPr>
        <w:t>t</w:t>
      </w:r>
      <w:r w:rsidRPr="004E6CFC">
        <w:t xml:space="preserve">, en un mismo nivel de tensión </w:t>
      </w:r>
      <w:r w:rsidRPr="004E6CFC">
        <w:rPr>
          <w:i/>
        </w:rPr>
        <w:t>n</w:t>
      </w:r>
      <w:r w:rsidRPr="004E6CFC">
        <w:t>.</w:t>
      </w:r>
    </w:p>
    <w:p w:rsidR="001D16EF" w:rsidRPr="004E6CFC" w:rsidRDefault="00EA3D15" w:rsidP="00EA3D15">
      <w:pPr>
        <w:rPr>
          <w:lang w:val="es-CO"/>
        </w:rPr>
      </w:pPr>
      <w:r w:rsidRPr="00B902E4">
        <w:t xml:space="preserve">En caso de que el LAC no reciba información alguna sobre un OR determinado, para efectos de cálculo de la liquidación correspondiente, el LAC asignará a dicho OR la variable </w:t>
      </w:r>
      <w:r w:rsidRPr="00B902E4">
        <w:rPr>
          <w:i/>
        </w:rPr>
        <w:t>IReactiva</w:t>
      </w:r>
      <w:r w:rsidRPr="00B902E4">
        <w:rPr>
          <w:i/>
          <w:vertAlign w:val="subscript"/>
        </w:rPr>
        <w:t>j,n,</w:t>
      </w:r>
      <w:r w:rsidR="00BE7ED4" w:rsidRPr="00B902E4">
        <w:rPr>
          <w:i/>
          <w:vertAlign w:val="subscript"/>
        </w:rPr>
        <w:t>t</w:t>
      </w:r>
      <w:r w:rsidR="00BE7ED4" w:rsidRPr="00B902E4">
        <w:t xml:space="preserve"> de</w:t>
      </w:r>
      <w:r w:rsidRPr="00B902E4">
        <w:t xml:space="preserve"> ma</w:t>
      </w:r>
      <w:r>
        <w:t>yor valor entre las presentadas</w:t>
      </w:r>
      <w:r w:rsidR="004C0E24" w:rsidRPr="00B902E4">
        <w:t>.</w:t>
      </w:r>
      <w:r w:rsidR="004C0E24" w:rsidRPr="004E6CFC">
        <w:t xml:space="preserve">  </w:t>
      </w:r>
    </w:p>
    <w:p w:rsidR="001D16EF" w:rsidRPr="004E6CFC" w:rsidRDefault="001D16EF" w:rsidP="00AA4C7C">
      <w:pPr>
        <w:rPr>
          <w:lang w:val="es-CO"/>
        </w:rPr>
      </w:pPr>
    </w:p>
    <w:p w:rsidR="00193054" w:rsidRPr="004E6CFC" w:rsidRDefault="00193054" w:rsidP="00AA4C7C">
      <w:r w:rsidRPr="004E6CFC">
        <w:br w:type="page"/>
      </w:r>
    </w:p>
    <w:p w:rsidR="00447B18" w:rsidRPr="004E77B3" w:rsidRDefault="00447B18" w:rsidP="00447B18">
      <w:pPr>
        <w:pStyle w:val="Ttulo1"/>
      </w:pPr>
      <w:bookmarkStart w:id="1010" w:name="_Ref440028500"/>
      <w:bookmarkStart w:id="1011" w:name="_Toc440029181"/>
      <w:bookmarkStart w:id="1012" w:name="_Toc505336011"/>
      <w:bookmarkStart w:id="1013" w:name="_Ref404085566"/>
      <w:bookmarkStart w:id="1014" w:name="_Toc408493231"/>
      <w:r w:rsidRPr="004E77B3">
        <w:rPr>
          <w:caps w:val="0"/>
        </w:rPr>
        <w:lastRenderedPageBreak/>
        <w:t>REMUNERACIÓN DE PROYECTOS DE EXPANSIÓN DE COBERTURA EN ZONAS INTERCONECTABLES</w:t>
      </w:r>
      <w:bookmarkEnd w:id="1010"/>
      <w:bookmarkEnd w:id="1011"/>
      <w:bookmarkEnd w:id="1012"/>
    </w:p>
    <w:p w:rsidR="00D45FAF" w:rsidRPr="004E6CFC" w:rsidRDefault="00D45FAF" w:rsidP="00D45FAF">
      <w:pPr>
        <w:spacing w:before="0" w:after="0"/>
        <w:rPr>
          <w:lang w:val="es-CO"/>
        </w:rPr>
      </w:pPr>
      <w:r w:rsidRPr="004E6CFC">
        <w:rPr>
          <w:lang w:val="es-CO"/>
        </w:rPr>
        <w:t>De acuerdo con las obligaciones señaladas en el Decreto 1623 de 2015, modificado por el Decreto 1513 de 2016, a continuación</w:t>
      </w:r>
      <w:r>
        <w:rPr>
          <w:lang w:val="es-CO"/>
        </w:rPr>
        <w:t>,</w:t>
      </w:r>
      <w:r w:rsidRPr="004E6CFC">
        <w:rPr>
          <w:lang w:val="es-CO"/>
        </w:rPr>
        <w:t xml:space="preserve"> se establecen las reglas para la remuneración de proyectos de expansión de cobertura de los OR en zonas interconectables al SIN. </w:t>
      </w:r>
    </w:p>
    <w:p w:rsidR="00D45FAF" w:rsidRPr="004E6CFC" w:rsidRDefault="00D45FAF" w:rsidP="00D45FAF">
      <w:pPr>
        <w:pStyle w:val="Ttulo2"/>
      </w:pPr>
      <w:bookmarkStart w:id="1015" w:name="_Toc440029182"/>
      <w:bookmarkStart w:id="1016" w:name="_Toc460840670"/>
      <w:r w:rsidRPr="004E6CFC">
        <w:t xml:space="preserve"> </w:t>
      </w:r>
      <w:bookmarkStart w:id="1017" w:name="_Toc504809502"/>
      <w:bookmarkStart w:id="1018" w:name="_Toc505336012"/>
      <w:r w:rsidRPr="004E6CFC">
        <w:t>Alcance</w:t>
      </w:r>
      <w:bookmarkEnd w:id="1015"/>
      <w:bookmarkEnd w:id="1016"/>
      <w:bookmarkEnd w:id="1017"/>
      <w:bookmarkEnd w:id="1018"/>
      <w:r w:rsidRPr="004E6CFC">
        <w:t xml:space="preserve"> </w:t>
      </w:r>
    </w:p>
    <w:p w:rsidR="00D45FAF" w:rsidRPr="004E6CFC" w:rsidRDefault="00D45FAF" w:rsidP="00D45FAF">
      <w:r w:rsidRPr="004E6CFC">
        <w:t>Las reglas contenidas en este capítulo serán aplicables aquellos proyectos de expansión de cobertura que presenten los OR con propósito de interconectar usuarios ubicados en zonas interconectables como se definen en el Decreto 1623 de 2015 o aquel que lo modifique o complemente y que se encuentren</w:t>
      </w:r>
      <w:r>
        <w:t xml:space="preserve"> en las necesidades </w:t>
      </w:r>
      <w:r w:rsidRPr="004E6CFC">
        <w:t>identificad</w:t>
      </w:r>
      <w:r>
        <w:t>a</w:t>
      </w:r>
      <w:r w:rsidRPr="004E6CFC">
        <w:t xml:space="preserve">s por la Unidad de Planeación Minero Energética en el último Plan Indicativo de Expansión de Cobertura de Energía Eléctrica, PIEC, vigente. </w:t>
      </w:r>
    </w:p>
    <w:p w:rsidR="00D45FAF" w:rsidRPr="004E6CFC" w:rsidRDefault="00D45FAF" w:rsidP="00D45FAF">
      <w:pPr>
        <w:pStyle w:val="Ttulo2"/>
      </w:pPr>
      <w:bookmarkStart w:id="1019" w:name="_Toc440029183"/>
      <w:bookmarkStart w:id="1020" w:name="_Toc460840671"/>
      <w:r w:rsidRPr="004E6CFC">
        <w:t xml:space="preserve"> </w:t>
      </w:r>
      <w:bookmarkStart w:id="1021" w:name="_Toc504809503"/>
      <w:bookmarkStart w:id="1022" w:name="_Toc505336013"/>
      <w:r w:rsidRPr="004E6CFC">
        <w:t>Criterios para la presentación de los proyectos</w:t>
      </w:r>
      <w:bookmarkEnd w:id="1019"/>
      <w:bookmarkEnd w:id="1020"/>
      <w:bookmarkEnd w:id="1021"/>
      <w:bookmarkEnd w:id="1022"/>
    </w:p>
    <w:p w:rsidR="00D45FAF" w:rsidRPr="004E6CFC" w:rsidRDefault="00D45FAF" w:rsidP="00D45FAF">
      <w:r w:rsidRPr="004E6CFC">
        <w:t>Los criterios para la presentación de los proyectos de expansión de cobertura para su remuneración son los siguientes:</w:t>
      </w:r>
    </w:p>
    <w:p w:rsidR="00D45FAF" w:rsidRPr="004E6CFC" w:rsidRDefault="00D45FAF" w:rsidP="009C086B">
      <w:pPr>
        <w:pStyle w:val="Prrafodelista"/>
        <w:numPr>
          <w:ilvl w:val="0"/>
          <w:numId w:val="65"/>
        </w:numPr>
      </w:pPr>
      <w:r w:rsidRPr="004E6CFC">
        <w:t>A partir de las necesidades identificadas en el PIEC vigente, el OR deberá elaborar un plan anual de expansión de cobertura para interconectar a los usuarios potenciales ubicados en zonas interconectables a su sistema.</w:t>
      </w:r>
    </w:p>
    <w:p w:rsidR="00D45FAF" w:rsidRPr="004E6CFC" w:rsidRDefault="00D45FAF" w:rsidP="009C086B">
      <w:pPr>
        <w:pStyle w:val="Prrafodelista"/>
        <w:numPr>
          <w:ilvl w:val="0"/>
          <w:numId w:val="65"/>
        </w:numPr>
      </w:pPr>
      <w:r w:rsidRPr="004E6CFC">
        <w:t>Los OR deberán determinar los usuarios sin servicio ubicados en zonas interconectables a su sistema, esta información deberá emplearse en la elaboración de su plan anual de expansión de cobertura y deberá suministrarse a la UPME en los términos que esta determine.</w:t>
      </w:r>
    </w:p>
    <w:p w:rsidR="00D45FAF" w:rsidRPr="004E6CFC" w:rsidRDefault="00D45FAF" w:rsidP="009C086B">
      <w:pPr>
        <w:pStyle w:val="Prrafodelista"/>
        <w:numPr>
          <w:ilvl w:val="0"/>
          <w:numId w:val="65"/>
        </w:numPr>
      </w:pPr>
      <w:r w:rsidRPr="004E6CFC">
        <w:t xml:space="preserve">El plan anual de expansión debe incluir cada uno de los proyectos de inversión que permitan la interconexión de los usuarios junto con la evaluación de su viabilidad económica. </w:t>
      </w:r>
    </w:p>
    <w:p w:rsidR="00D45FAF" w:rsidRPr="004E6CFC" w:rsidRDefault="00D45FAF" w:rsidP="00D45FAF">
      <w:pPr>
        <w:pStyle w:val="Prrafodelista"/>
        <w:ind w:left="360"/>
      </w:pPr>
      <w:r w:rsidRPr="004E6CFC">
        <w:t>Este plan debe ser enviado a la UPME quien evaluará si los proyectos de inversión propuestos corresponden a la mejor solución energética y que además corresponda a una necesidad identificada en el PIEC.</w:t>
      </w:r>
    </w:p>
    <w:p w:rsidR="00D45FAF" w:rsidRPr="004E6CFC" w:rsidRDefault="00D45FAF" w:rsidP="00D45FAF">
      <w:pPr>
        <w:pStyle w:val="Prrafodelista"/>
        <w:ind w:left="360"/>
      </w:pPr>
      <w:r w:rsidRPr="004E6CFC">
        <w:t>Los OR deberán aplicar el procedimiento que la UPME establezca para la evaluación de los proyectos de inversión propuestos y suministrar toda la información necesaria en los términos que la UPME determine.</w:t>
      </w:r>
    </w:p>
    <w:p w:rsidR="00D45FAF" w:rsidRPr="004E6CFC" w:rsidRDefault="00D45FAF" w:rsidP="009C086B">
      <w:pPr>
        <w:pStyle w:val="Prrafodelista"/>
        <w:numPr>
          <w:ilvl w:val="0"/>
          <w:numId w:val="65"/>
        </w:numPr>
      </w:pPr>
      <w:r w:rsidRPr="004E6CFC">
        <w:t>Los OR deberán enviar a la Comisión el plan de expansión de cobertura ajustado y el concepto de aprobación emitido por la UPME para los proyectos de inversión.</w:t>
      </w:r>
    </w:p>
    <w:p w:rsidR="00D45FAF" w:rsidRPr="004E6CFC" w:rsidRDefault="00D45FAF" w:rsidP="009C086B">
      <w:pPr>
        <w:pStyle w:val="Prrafodelista"/>
        <w:numPr>
          <w:ilvl w:val="0"/>
          <w:numId w:val="65"/>
        </w:numPr>
      </w:pPr>
      <w:r w:rsidRPr="004E6CFC">
        <w:t xml:space="preserve">Los proyectos presentados solo pueden incluir activos de uso asimilados a las UC definidas en el capítulo </w:t>
      </w:r>
      <w:r w:rsidRPr="004E6CFC">
        <w:fldChar w:fldCharType="begin"/>
      </w:r>
      <w:r w:rsidRPr="004E6CFC">
        <w:instrText xml:space="preserve"> REF _Ref465981854 \r \h \t \* MERGEFORMAT </w:instrText>
      </w:r>
      <w:r w:rsidRPr="004E6CFC">
        <w:fldChar w:fldCharType="separate"/>
      </w:r>
      <w:r w:rsidR="00737178">
        <w:t>14</w:t>
      </w:r>
      <w:r w:rsidRPr="004E6CFC">
        <w:fldChar w:fldCharType="end"/>
      </w:r>
      <w:r w:rsidRPr="004E6CFC">
        <w:t>.</w:t>
      </w:r>
    </w:p>
    <w:p w:rsidR="00D45FAF" w:rsidRPr="004E6CFC" w:rsidRDefault="00D45FAF" w:rsidP="009C086B">
      <w:pPr>
        <w:pStyle w:val="Prrafodelista"/>
        <w:numPr>
          <w:ilvl w:val="0"/>
          <w:numId w:val="65"/>
        </w:numPr>
      </w:pPr>
      <w:r w:rsidRPr="004E6CFC">
        <w:t xml:space="preserve">No se deben incluir activos empleados exclusivamente para la prestación del servicio de alumbrado público o de conexión. </w:t>
      </w:r>
    </w:p>
    <w:p w:rsidR="00D45FAF" w:rsidRPr="004E6CFC" w:rsidRDefault="00D45FAF" w:rsidP="009C086B">
      <w:pPr>
        <w:pStyle w:val="Prrafodelista"/>
        <w:numPr>
          <w:ilvl w:val="0"/>
          <w:numId w:val="65"/>
        </w:numPr>
      </w:pPr>
      <w:r w:rsidRPr="004E6CFC">
        <w:lastRenderedPageBreak/>
        <w:t xml:space="preserve">El OR deberá valorar de forma separada cada proyecto de expansión de cobertura de su plan empleando las unidades constructivas definidas en el capítulo </w:t>
      </w:r>
      <w:r w:rsidRPr="004E6CFC">
        <w:fldChar w:fldCharType="begin"/>
      </w:r>
      <w:r w:rsidRPr="004E6CFC">
        <w:instrText xml:space="preserve"> REF _Ref465981854 \r \h \t \* MERGEFORMAT </w:instrText>
      </w:r>
      <w:r w:rsidRPr="004E6CFC">
        <w:fldChar w:fldCharType="separate"/>
      </w:r>
      <w:r w:rsidR="00737178">
        <w:t>14</w:t>
      </w:r>
      <w:r w:rsidRPr="004E6CFC">
        <w:fldChar w:fldCharType="end"/>
      </w:r>
      <w:r w:rsidRPr="004E6CFC">
        <w:t>.</w:t>
      </w:r>
    </w:p>
    <w:p w:rsidR="00D45FAF" w:rsidRPr="004E6CFC" w:rsidRDefault="00D45FAF" w:rsidP="009C086B">
      <w:pPr>
        <w:pStyle w:val="Prrafodelista"/>
        <w:numPr>
          <w:ilvl w:val="0"/>
          <w:numId w:val="65"/>
        </w:numPr>
      </w:pPr>
      <w:r w:rsidRPr="004E6CFC">
        <w:t xml:space="preserve">Los proyectos deberán incluir la instalación de sistemas de medición en los niveles de tensión 2 y 3 que permitan determinar la energía de entrada y realizar balances de energía a cada uno de los proyectos además de medidores en los transformadores de distribución. Estos activos no podrán hacer parte del plan de inversiones de que trata el capítulo </w:t>
      </w:r>
      <w:r w:rsidRPr="004E6CFC">
        <w:fldChar w:fldCharType="begin"/>
      </w:r>
      <w:r w:rsidRPr="004E6CFC">
        <w:instrText xml:space="preserve"> REF _Ref406575088 \r \h\t  \* MERGEFORMAT </w:instrText>
      </w:r>
      <w:r w:rsidRPr="004E6CFC">
        <w:fldChar w:fldCharType="separate"/>
      </w:r>
      <w:r w:rsidR="00737178">
        <w:t>6</w:t>
      </w:r>
      <w:r w:rsidRPr="004E6CFC">
        <w:fldChar w:fldCharType="end"/>
      </w:r>
      <w:r w:rsidRPr="004E6CFC">
        <w:t xml:space="preserve">.  </w:t>
      </w:r>
    </w:p>
    <w:p w:rsidR="00D45FAF" w:rsidRPr="004E6CFC" w:rsidRDefault="00D45FAF" w:rsidP="009C086B">
      <w:pPr>
        <w:pStyle w:val="Prrafodelista"/>
        <w:numPr>
          <w:ilvl w:val="0"/>
          <w:numId w:val="65"/>
        </w:numPr>
      </w:pPr>
      <w:r w:rsidRPr="004E6CFC">
        <w:t>El OR deberá suministrar toda la información necesaria de los proyectos para su valoración, priorización y su remuneración.</w:t>
      </w:r>
    </w:p>
    <w:p w:rsidR="00D45FAF" w:rsidRPr="004E6CFC" w:rsidRDefault="00D45FAF" w:rsidP="00D45FAF">
      <w:pPr>
        <w:pStyle w:val="Ttulo2"/>
      </w:pPr>
      <w:bookmarkStart w:id="1023" w:name="_Toc440029184"/>
      <w:bookmarkStart w:id="1024" w:name="_Toc460840672"/>
      <w:r w:rsidRPr="004E6CFC">
        <w:t xml:space="preserve"> </w:t>
      </w:r>
      <w:bookmarkStart w:id="1025" w:name="_Toc504809504"/>
      <w:bookmarkStart w:id="1026" w:name="_Toc505336014"/>
      <w:r w:rsidRPr="004E6CFC">
        <w:t>Priorización de proyectos</w:t>
      </w:r>
      <w:bookmarkEnd w:id="1023"/>
      <w:bookmarkEnd w:id="1024"/>
      <w:bookmarkEnd w:id="1025"/>
      <w:bookmarkEnd w:id="1026"/>
      <w:r w:rsidRPr="004E6CFC">
        <w:t xml:space="preserve"> </w:t>
      </w:r>
    </w:p>
    <w:p w:rsidR="00D45FAF" w:rsidRPr="004E6CFC" w:rsidRDefault="00D45FAF" w:rsidP="00D45FAF">
      <w:r w:rsidRPr="004E6CFC">
        <w:t xml:space="preserve">Los proyectos presentados por los OR serán priorizados de acuerdo con los criterios que defina el Ministerio de Minas y Energía, MME. </w:t>
      </w:r>
    </w:p>
    <w:p w:rsidR="00D45FAF" w:rsidRPr="004E6CFC" w:rsidRDefault="00D45FAF" w:rsidP="00D45FAF">
      <w:r w:rsidRPr="004E6CFC">
        <w:t>En la remuneración se incluirán los proyectos considerando el máximo incremento tarifario establecido por el MME, aquellos proyectos no incluidos en la remuneración serán remitidos a la UPME, en cumplimiento del Decreto 1513 de 2016.</w:t>
      </w:r>
    </w:p>
    <w:p w:rsidR="00D45FAF" w:rsidRPr="004E6CFC" w:rsidRDefault="00D45FAF" w:rsidP="00D45FAF">
      <w:pPr>
        <w:pStyle w:val="Ttulo2"/>
      </w:pPr>
      <w:bookmarkStart w:id="1027" w:name="_Toc460840673"/>
      <w:bookmarkStart w:id="1028" w:name="_Toc440029185"/>
      <w:r w:rsidRPr="004E6CFC">
        <w:t xml:space="preserve"> </w:t>
      </w:r>
      <w:bookmarkStart w:id="1029" w:name="_Toc504809505"/>
      <w:bookmarkStart w:id="1030" w:name="_Toc505336015"/>
      <w:r w:rsidRPr="004E6CFC">
        <w:t>Solicitud anual de remuneración</w:t>
      </w:r>
      <w:bookmarkEnd w:id="1027"/>
      <w:bookmarkEnd w:id="1029"/>
      <w:bookmarkEnd w:id="1030"/>
      <w:r w:rsidRPr="004E6CFC">
        <w:t xml:space="preserve"> </w:t>
      </w:r>
      <w:bookmarkEnd w:id="1028"/>
    </w:p>
    <w:p w:rsidR="00D45FAF" w:rsidRPr="004E6CFC" w:rsidRDefault="00D45FAF" w:rsidP="00D45FAF">
      <w:r w:rsidRPr="004E6CFC">
        <w:t xml:space="preserve">Los OR deben presentar los proyectos de expansión de cobertura del primer año en la solicitud inicial y el último día hábil del mes de agosto de cada año deben presentar los proyectos de expansión de cobertura del año siguiente.  </w:t>
      </w:r>
    </w:p>
    <w:p w:rsidR="00D45FAF" w:rsidRPr="004E6CFC" w:rsidRDefault="00D45FAF" w:rsidP="00D45FAF">
      <w:r w:rsidRPr="004E6CFC">
        <w:t xml:space="preserve">En circular aparte la Comisión establecerá el procedimiento y formato de solicitud de remuneración, como mínimo la solicitud debe incluir: </w:t>
      </w:r>
    </w:p>
    <w:p w:rsidR="00D45FAF" w:rsidRPr="004E6CFC" w:rsidRDefault="00D45FAF" w:rsidP="009C086B">
      <w:pPr>
        <w:pStyle w:val="Prrafodelista"/>
        <w:numPr>
          <w:ilvl w:val="0"/>
          <w:numId w:val="66"/>
        </w:numPr>
      </w:pPr>
      <w:r w:rsidRPr="004E6CFC">
        <w:t>Listado de proyectos.</w:t>
      </w:r>
    </w:p>
    <w:p w:rsidR="00D45FAF" w:rsidRPr="004E6CFC" w:rsidRDefault="00D45FAF" w:rsidP="009C086B">
      <w:pPr>
        <w:pStyle w:val="Prrafodelista"/>
        <w:numPr>
          <w:ilvl w:val="0"/>
          <w:numId w:val="66"/>
        </w:numPr>
      </w:pPr>
      <w:r w:rsidRPr="004E6CFC">
        <w:t>Listado de unidades constructivas que conforman cada proyecto.</w:t>
      </w:r>
    </w:p>
    <w:p w:rsidR="00D45FAF" w:rsidRPr="004E6CFC" w:rsidRDefault="00D45FAF" w:rsidP="009C086B">
      <w:pPr>
        <w:pStyle w:val="Prrafodelista"/>
        <w:numPr>
          <w:ilvl w:val="0"/>
          <w:numId w:val="66"/>
        </w:numPr>
      </w:pPr>
      <w:r w:rsidRPr="004E6CFC">
        <w:t xml:space="preserve">Valoración del proyecto con las UC definidas en el capítulo </w:t>
      </w:r>
      <w:r w:rsidRPr="004E6CFC">
        <w:fldChar w:fldCharType="begin"/>
      </w:r>
      <w:r w:rsidRPr="004E6CFC">
        <w:instrText xml:space="preserve"> REF _Ref465981854 \r \h \t \* MERGEFORMAT </w:instrText>
      </w:r>
      <w:r w:rsidRPr="004E6CFC">
        <w:fldChar w:fldCharType="separate"/>
      </w:r>
      <w:r w:rsidR="00737178">
        <w:t>14</w:t>
      </w:r>
      <w:r w:rsidRPr="004E6CFC">
        <w:fldChar w:fldCharType="end"/>
      </w:r>
      <w:r w:rsidRPr="004E6CFC">
        <w:t>.</w:t>
      </w:r>
    </w:p>
    <w:p w:rsidR="00D45FAF" w:rsidRPr="004E6CFC" w:rsidRDefault="00D45FAF" w:rsidP="009C086B">
      <w:pPr>
        <w:pStyle w:val="Prrafodelista"/>
        <w:numPr>
          <w:ilvl w:val="0"/>
          <w:numId w:val="66"/>
        </w:numPr>
      </w:pPr>
      <w:r w:rsidRPr="004E6CFC">
        <w:t>Código de la subestación, alimentador y nodo eléctrico en donde se planea conectar el proyecto.</w:t>
      </w:r>
    </w:p>
    <w:p w:rsidR="00D45FAF" w:rsidRPr="004E6CFC" w:rsidRDefault="00D45FAF" w:rsidP="009C086B">
      <w:pPr>
        <w:pStyle w:val="Prrafodelista"/>
        <w:numPr>
          <w:ilvl w:val="0"/>
          <w:numId w:val="66"/>
        </w:numPr>
      </w:pPr>
      <w:r w:rsidRPr="004E6CFC">
        <w:t>Número de usuarios potenciales y proyección de demanda a atender.</w:t>
      </w:r>
    </w:p>
    <w:p w:rsidR="00D45FAF" w:rsidRPr="004E6CFC" w:rsidRDefault="00D45FAF" w:rsidP="009C086B">
      <w:pPr>
        <w:pStyle w:val="Prrafodelista"/>
        <w:numPr>
          <w:ilvl w:val="0"/>
          <w:numId w:val="66"/>
        </w:numPr>
      </w:pPr>
      <w:r w:rsidRPr="004E6CFC">
        <w:t>Ubicación geográfica de los usuarios potenciales.</w:t>
      </w:r>
    </w:p>
    <w:p w:rsidR="00D45FAF" w:rsidRPr="004E6CFC" w:rsidRDefault="00D45FAF" w:rsidP="009C086B">
      <w:pPr>
        <w:pStyle w:val="Prrafodelista"/>
        <w:numPr>
          <w:ilvl w:val="0"/>
          <w:numId w:val="66"/>
        </w:numPr>
      </w:pPr>
      <w:r w:rsidRPr="004E6CFC">
        <w:t>Concepto de aprobación por parte dela UPME.</w:t>
      </w:r>
    </w:p>
    <w:p w:rsidR="00D45FAF" w:rsidRPr="004E6CFC" w:rsidRDefault="00D45FAF" w:rsidP="009C086B">
      <w:pPr>
        <w:pStyle w:val="Prrafodelista"/>
        <w:numPr>
          <w:ilvl w:val="0"/>
          <w:numId w:val="66"/>
        </w:numPr>
      </w:pPr>
      <w:r w:rsidRPr="004E6CFC">
        <w:t>Las demás que la circular señale.</w:t>
      </w:r>
    </w:p>
    <w:p w:rsidR="00D45FAF" w:rsidRPr="004E6CFC" w:rsidRDefault="00D45FAF" w:rsidP="00D45FAF">
      <w:pPr>
        <w:pStyle w:val="Ttulo2"/>
      </w:pPr>
      <w:bookmarkStart w:id="1031" w:name="_Toc440029186"/>
      <w:bookmarkStart w:id="1032" w:name="_Toc460840674"/>
      <w:r w:rsidRPr="004E6CFC">
        <w:t xml:space="preserve"> </w:t>
      </w:r>
      <w:bookmarkStart w:id="1033" w:name="_Toc504809506"/>
      <w:bookmarkStart w:id="1034" w:name="_Toc505336016"/>
      <w:r w:rsidRPr="004E6CFC">
        <w:t>VAloraciÓn de los proyectos</w:t>
      </w:r>
      <w:bookmarkEnd w:id="1031"/>
      <w:bookmarkEnd w:id="1032"/>
      <w:bookmarkEnd w:id="1033"/>
      <w:bookmarkEnd w:id="1034"/>
      <w:r w:rsidRPr="004E6CFC">
        <w:t xml:space="preserve"> </w:t>
      </w:r>
    </w:p>
    <w:p w:rsidR="00D45FAF" w:rsidRPr="004E6CFC" w:rsidRDefault="00D45FAF" w:rsidP="00D45FAF">
      <w:r w:rsidRPr="004E6CFC">
        <w:t>La valoración de los proyectos de expansión de cobertura se calculará de la siguiente forma:</w:t>
      </w:r>
    </w:p>
    <w:p w:rsidR="00D45FAF" w:rsidRPr="004E6CFC" w:rsidRDefault="00C9592F" w:rsidP="00D45FAF">
      <m:oMathPara>
        <m:oMath>
          <m:sSub>
            <m:sSubPr>
              <m:ctrlPr>
                <w:rPr>
                  <w:rFonts w:ascii="Cambria Math" w:hAnsi="Cambria Math"/>
                  <w:i/>
                </w:rPr>
              </m:ctrlPr>
            </m:sSubPr>
            <m:e>
              <m:r>
                <w:rPr>
                  <w:rFonts w:ascii="Cambria Math" w:hAnsi="Cambria Math"/>
                </w:rPr>
                <m:t>IEXC</m:t>
              </m:r>
            </m:e>
            <m:sub>
              <m:r>
                <w:rPr>
                  <w:rFonts w:ascii="Cambria Math" w:hAnsi="Cambria Math"/>
                </w:rPr>
                <m:t>p,j</m:t>
              </m:r>
              <m:r>
                <w:rPr>
                  <w:rFonts w:ascii="Cambria Math"/>
                </w:rPr>
                <m:t>,t</m:t>
              </m:r>
            </m:sub>
          </m:sSub>
          <m:r>
            <w:rPr>
              <w:rFonts w:ascii="Cambria Math"/>
            </w:rPr>
            <m:t>=</m:t>
          </m:r>
          <m:nary>
            <m:naryPr>
              <m:chr m:val="∑"/>
              <m:limLoc m:val="undOvr"/>
              <m:ctrlPr>
                <w:rPr>
                  <w:rFonts w:ascii="Cambria Math" w:hAnsi="Cambria Math"/>
                  <w:i/>
                </w:rPr>
              </m:ctrlPr>
            </m:naryPr>
            <m:sub>
              <m:r>
                <w:rPr>
                  <w:rFonts w:ascii="Cambria Math"/>
                </w:rPr>
                <m:t>l=1</m:t>
              </m:r>
            </m:sub>
            <m:sup>
              <m:sSub>
                <m:sSubPr>
                  <m:ctrlPr>
                    <w:rPr>
                      <w:rFonts w:ascii="Cambria Math" w:hAnsi="Cambria Math"/>
                      <w:i/>
                    </w:rPr>
                  </m:ctrlPr>
                </m:sSubPr>
                <m:e>
                  <m:r>
                    <w:rPr>
                      <w:rFonts w:ascii="Cambria Math" w:hAnsi="Cambria Math"/>
                    </w:rPr>
                    <m:t>L</m:t>
                  </m:r>
                </m:e>
                <m:sub>
                  <m:r>
                    <w:rPr>
                      <w:rFonts w:ascii="Cambria Math" w:hAnsi="Cambria Math"/>
                    </w:rPr>
                    <m:t>p,j,t</m:t>
                  </m:r>
                </m:sub>
              </m:sSub>
            </m:sup>
            <m:e>
              <m:nary>
                <m:naryPr>
                  <m:chr m:val="∑"/>
                  <m:limLoc m:val="undOvr"/>
                  <m:ctrlPr>
                    <w:rPr>
                      <w:rFonts w:ascii="Cambria Math" w:hAnsi="Cambria Math"/>
                      <w:i/>
                    </w:rPr>
                  </m:ctrlPr>
                </m:naryPr>
                <m:sub>
                  <m:r>
                    <w:rPr>
                      <w:rFonts w:ascii="Cambria Math" w:hAnsi="Cambria Math"/>
                    </w:rPr>
                    <m:t>n=1</m:t>
                  </m:r>
                </m:sub>
                <m:sup>
                  <m:sSub>
                    <m:sSubPr>
                      <m:ctrlPr>
                        <w:rPr>
                          <w:rFonts w:ascii="Cambria Math" w:hAnsi="Cambria Math"/>
                          <w:i/>
                        </w:rPr>
                      </m:ctrlPr>
                    </m:sSubPr>
                    <m:e>
                      <m:r>
                        <w:rPr>
                          <w:rFonts w:ascii="Cambria Math" w:hAnsi="Cambria Math"/>
                        </w:rPr>
                        <m:t>N</m:t>
                      </m:r>
                    </m:e>
                    <m:sub>
                      <m:r>
                        <w:rPr>
                          <w:rFonts w:ascii="Cambria Math" w:hAnsi="Cambria Math"/>
                        </w:rPr>
                        <m:t>p,j,t</m:t>
                      </m:r>
                    </m:sub>
                  </m:sSub>
                </m:sup>
                <m:e>
                  <m:sSub>
                    <m:sSubPr>
                      <m:ctrlPr>
                        <w:rPr>
                          <w:rFonts w:ascii="Cambria Math" w:hAnsi="Cambria Math"/>
                          <w:i/>
                        </w:rPr>
                      </m:ctrlPr>
                    </m:sSubPr>
                    <m:e>
                      <m:r>
                        <w:rPr>
                          <w:rFonts w:ascii="Cambria Math" w:hAnsi="Cambria Math"/>
                        </w:rPr>
                        <m:t>IEXC</m:t>
                      </m:r>
                    </m:e>
                    <m:sub>
                      <m:r>
                        <w:rPr>
                          <w:rFonts w:ascii="Cambria Math" w:hAnsi="Cambria Math"/>
                        </w:rPr>
                        <m:t>p,j,n,l,t</m:t>
                      </m:r>
                    </m:sub>
                  </m:sSub>
                </m:e>
              </m:nary>
            </m:e>
          </m:nary>
        </m:oMath>
      </m:oMathPara>
    </w:p>
    <w:p w:rsidR="00D45FAF" w:rsidRPr="004E6CFC" w:rsidRDefault="00D45FAF" w:rsidP="00D45FAF">
      <w:pPr>
        <w:spacing w:before="280" w:after="280"/>
        <w:ind w:left="1418" w:hanging="1418"/>
        <w:rPr>
          <w:iCs/>
        </w:rPr>
      </w:pPr>
      <w:r w:rsidRPr="004E6CFC">
        <w:rPr>
          <w:i/>
          <w:iCs/>
        </w:rPr>
        <w:t>IEXC</w:t>
      </w:r>
      <w:r w:rsidRPr="004E6CFC">
        <w:rPr>
          <w:i/>
          <w:iCs/>
          <w:vertAlign w:val="subscript"/>
        </w:rPr>
        <w:t>p,j,t</w:t>
      </w:r>
      <w:r w:rsidRPr="004E6CFC">
        <w:t>:</w:t>
      </w:r>
      <w:r w:rsidRPr="004E6CFC">
        <w:tab/>
        <w:t>Valor de la i</w:t>
      </w:r>
      <w:r w:rsidRPr="004E6CFC">
        <w:rPr>
          <w:iCs/>
        </w:rPr>
        <w:t xml:space="preserve">nversión asociada al proyecto </w:t>
      </w:r>
      <w:r w:rsidRPr="004E6CFC">
        <w:rPr>
          <w:i/>
          <w:iCs/>
        </w:rPr>
        <w:t>p</w:t>
      </w:r>
      <w:r w:rsidRPr="004E6CFC">
        <w:rPr>
          <w:iCs/>
        </w:rPr>
        <w:t xml:space="preserve"> de expansión de cobertura del OR </w:t>
      </w:r>
      <w:r w:rsidRPr="004E6CFC">
        <w:rPr>
          <w:i/>
          <w:iCs/>
        </w:rPr>
        <w:t>j</w:t>
      </w:r>
      <w:r w:rsidRPr="004E6CFC">
        <w:rPr>
          <w:iCs/>
        </w:rPr>
        <w:t xml:space="preserve"> para el año </w:t>
      </w:r>
      <w:r w:rsidRPr="004E6CFC">
        <w:rPr>
          <w:i/>
          <w:iCs/>
        </w:rPr>
        <w:t>t</w:t>
      </w:r>
      <w:r w:rsidRPr="004E6CFC">
        <w:t>.</w:t>
      </w:r>
    </w:p>
    <w:p w:rsidR="00D45FAF" w:rsidRPr="004E6CFC" w:rsidRDefault="00D45FAF" w:rsidP="00D45FAF">
      <w:pPr>
        <w:spacing w:before="280" w:after="280"/>
        <w:ind w:left="1418" w:hanging="1418"/>
      </w:pPr>
      <w:r w:rsidRPr="004E6CFC">
        <w:rPr>
          <w:i/>
          <w:iCs/>
        </w:rPr>
        <w:t>IEXC</w:t>
      </w:r>
      <w:r w:rsidRPr="004E6CFC">
        <w:rPr>
          <w:i/>
          <w:iCs/>
          <w:vertAlign w:val="subscript"/>
        </w:rPr>
        <w:t>p,j,n,l,t</w:t>
      </w:r>
      <w:r w:rsidRPr="004E6CFC">
        <w:t>:</w:t>
      </w:r>
      <w:r w:rsidRPr="004E6CFC">
        <w:tab/>
        <w:t xml:space="preserve">Valor del proyecto de expansión </w:t>
      </w:r>
      <w:r w:rsidRPr="004E6CFC">
        <w:rPr>
          <w:i/>
        </w:rPr>
        <w:t>p</w:t>
      </w:r>
      <w:r w:rsidRPr="004E6CFC">
        <w:t xml:space="preserve"> </w:t>
      </w:r>
      <w:r w:rsidRPr="004E6CFC">
        <w:rPr>
          <w:iCs/>
        </w:rPr>
        <w:t xml:space="preserve">del OR </w:t>
      </w:r>
      <w:r w:rsidRPr="004E6CFC">
        <w:rPr>
          <w:i/>
          <w:iCs/>
        </w:rPr>
        <w:t>j</w:t>
      </w:r>
      <w:r w:rsidRPr="004E6CFC">
        <w:rPr>
          <w:iCs/>
        </w:rPr>
        <w:t xml:space="preserve"> en el nivel de tensión </w:t>
      </w:r>
      <w:r w:rsidRPr="004E6CFC">
        <w:rPr>
          <w:i/>
          <w:iCs/>
        </w:rPr>
        <w:t>n</w:t>
      </w:r>
      <w:r w:rsidRPr="004E6CFC">
        <w:rPr>
          <w:iCs/>
        </w:rPr>
        <w:t xml:space="preserve"> en la categoría </w:t>
      </w:r>
      <w:r w:rsidRPr="004E6CFC">
        <w:rPr>
          <w:i/>
          <w:iCs/>
        </w:rPr>
        <w:t xml:space="preserve">l </w:t>
      </w:r>
      <w:r w:rsidRPr="004E6CFC">
        <w:rPr>
          <w:iCs/>
        </w:rPr>
        <w:t xml:space="preserve">para el año </w:t>
      </w:r>
      <w:r w:rsidRPr="004E6CFC">
        <w:rPr>
          <w:i/>
          <w:iCs/>
        </w:rPr>
        <w:t>t</w:t>
      </w:r>
      <w:r w:rsidRPr="004E6CFC">
        <w:rPr>
          <w:iCs/>
        </w:rPr>
        <w:t xml:space="preserve">. </w:t>
      </w:r>
    </w:p>
    <w:p w:rsidR="00D45FAF" w:rsidRPr="004E6CFC" w:rsidRDefault="00D45FAF" w:rsidP="00D45FAF">
      <w:pPr>
        <w:tabs>
          <w:tab w:val="left" w:pos="1418"/>
        </w:tabs>
        <w:spacing w:before="280" w:after="280"/>
        <w:ind w:left="1418" w:hanging="1418"/>
      </w:pPr>
      <w:r w:rsidRPr="004E6CFC">
        <w:rPr>
          <w:i/>
          <w:iCs/>
        </w:rPr>
        <w:t>L</w:t>
      </w:r>
      <w:r w:rsidRPr="004E6CFC">
        <w:rPr>
          <w:i/>
          <w:iCs/>
          <w:vertAlign w:val="subscript"/>
        </w:rPr>
        <w:t>p,j,t</w:t>
      </w:r>
      <w:r w:rsidRPr="004E6CFC">
        <w:t>:</w:t>
      </w:r>
      <w:r w:rsidRPr="004E6CFC">
        <w:tab/>
        <w:t xml:space="preserve">Número total de categorías </w:t>
      </w:r>
      <w:r w:rsidRPr="004E6CFC">
        <w:rPr>
          <w:i/>
        </w:rPr>
        <w:t>l</w:t>
      </w:r>
      <w:r w:rsidRPr="004E6CFC">
        <w:t xml:space="preserve"> incluidas en proyecto de expansión de cobertura </w:t>
      </w:r>
      <w:r w:rsidRPr="004E6CFC">
        <w:rPr>
          <w:i/>
        </w:rPr>
        <w:t xml:space="preserve">p </w:t>
      </w:r>
      <w:r w:rsidRPr="004E6CFC">
        <w:t xml:space="preserve">del OR </w:t>
      </w:r>
      <w:r w:rsidRPr="004E6CFC">
        <w:rPr>
          <w:i/>
        </w:rPr>
        <w:t>j</w:t>
      </w:r>
      <w:r w:rsidRPr="004E6CFC">
        <w:t xml:space="preserve"> para el año </w:t>
      </w:r>
      <w:r w:rsidRPr="004E6CFC">
        <w:rPr>
          <w:i/>
        </w:rPr>
        <w:t>t</w:t>
      </w:r>
      <w:r w:rsidRPr="004E6CFC">
        <w:t>.</w:t>
      </w:r>
    </w:p>
    <w:p w:rsidR="00D45FAF" w:rsidRPr="004E6CFC" w:rsidRDefault="00D45FAF" w:rsidP="00D45FAF">
      <w:pPr>
        <w:tabs>
          <w:tab w:val="left" w:pos="1418"/>
        </w:tabs>
        <w:spacing w:before="280" w:after="280"/>
        <w:ind w:left="1418" w:hanging="1418"/>
      </w:pPr>
      <w:r w:rsidRPr="004E6CFC">
        <w:rPr>
          <w:i/>
          <w:iCs/>
        </w:rPr>
        <w:t>N</w:t>
      </w:r>
      <w:r w:rsidRPr="004E6CFC">
        <w:rPr>
          <w:i/>
          <w:iCs/>
          <w:vertAlign w:val="subscript"/>
        </w:rPr>
        <w:t>p,j,t</w:t>
      </w:r>
      <w:r w:rsidRPr="004E6CFC">
        <w:t>:</w:t>
      </w:r>
      <w:r w:rsidRPr="004E6CFC">
        <w:tab/>
        <w:t xml:space="preserve">Número total de niveles de tensión del proyecto de expansión de cobertura </w:t>
      </w:r>
      <w:r w:rsidRPr="004E6CFC">
        <w:rPr>
          <w:i/>
        </w:rPr>
        <w:t xml:space="preserve">p </w:t>
      </w:r>
      <w:r w:rsidRPr="004E6CFC">
        <w:t xml:space="preserve">del OR </w:t>
      </w:r>
      <w:r w:rsidRPr="004E6CFC">
        <w:rPr>
          <w:i/>
        </w:rPr>
        <w:t>j</w:t>
      </w:r>
      <w:r w:rsidRPr="004E6CFC">
        <w:t xml:space="preserve"> para el año </w:t>
      </w:r>
      <w:r w:rsidRPr="004E6CFC">
        <w:rPr>
          <w:i/>
        </w:rPr>
        <w:t>t</w:t>
      </w:r>
      <w:r w:rsidRPr="004E6CFC">
        <w:t>.</w:t>
      </w:r>
    </w:p>
    <w:p w:rsidR="00D45FAF" w:rsidRPr="004E6CFC" w:rsidRDefault="00D45FAF" w:rsidP="00D45FAF">
      <w:pPr>
        <w:spacing w:before="280" w:after="280"/>
      </w:pPr>
      <w:r w:rsidRPr="004E6CFC">
        <w:t xml:space="preserve">La variable </w:t>
      </w:r>
      <w:r w:rsidRPr="004E6CFC">
        <w:rPr>
          <w:i/>
          <w:iCs/>
        </w:rPr>
        <w:t>IEXC</w:t>
      </w:r>
      <w:r w:rsidRPr="004E6CFC">
        <w:rPr>
          <w:i/>
          <w:iCs/>
          <w:vertAlign w:val="subscript"/>
        </w:rPr>
        <w:t xml:space="preserve">p,j,n,l,t </w:t>
      </w:r>
      <w:r w:rsidRPr="004E6CFC">
        <w:rPr>
          <w:iCs/>
        </w:rPr>
        <w:t xml:space="preserve">se </w:t>
      </w:r>
      <w:r w:rsidRPr="004E6CFC">
        <w:t>calcula de la siguiente forma:</w:t>
      </w:r>
    </w:p>
    <w:p w:rsidR="00D45FAF" w:rsidRPr="004E6CFC" w:rsidRDefault="00C9592F" w:rsidP="00D45FAF">
      <m:oMathPara>
        <m:oMath>
          <m:sSub>
            <m:sSubPr>
              <m:ctrlPr>
                <w:rPr>
                  <w:rFonts w:ascii="Cambria Math" w:hAnsi="Cambria Math"/>
                  <w:i/>
                </w:rPr>
              </m:ctrlPr>
            </m:sSubPr>
            <m:e>
              <m:r>
                <w:rPr>
                  <w:rFonts w:ascii="Cambria Math" w:hAnsi="Cambria Math"/>
                </w:rPr>
                <m:t>IEXC</m:t>
              </m:r>
            </m:e>
            <m:sub>
              <m:r>
                <w:rPr>
                  <w:rFonts w:ascii="Cambria Math" w:hAnsi="Cambria Math"/>
                </w:rPr>
                <m:t>p,j</m:t>
              </m:r>
              <m:r>
                <w:rPr>
                  <w:rFonts w:ascii="Cambria Math"/>
                </w:rPr>
                <m:t>,n,l,t</m:t>
              </m:r>
            </m:sub>
          </m:sSub>
          <m:r>
            <w:rPr>
              <w:rFonts w:ascii="Cambria Math"/>
            </w:rPr>
            <m:t>=</m:t>
          </m:r>
          <m:nary>
            <m:naryPr>
              <m:chr m:val="∑"/>
              <m:limLoc m:val="undOvr"/>
              <m:ctrlPr>
                <w:rPr>
                  <w:rFonts w:ascii="Cambria Math" w:hAnsi="Cambria Math"/>
                  <w:i/>
                </w:rPr>
              </m:ctrlPr>
            </m:naryPr>
            <m:sub>
              <m:r>
                <w:rPr>
                  <w:rFonts w:ascii="Cambria Math" w:hAnsi="Cambria Math"/>
                </w:rPr>
                <m:t>i</m:t>
              </m:r>
              <m:r>
                <w:rPr>
                  <w:rFonts w:ascii="Cambria Math"/>
                </w:rPr>
                <m:t>=1</m:t>
              </m:r>
            </m:sub>
            <m:sup>
              <m:sSub>
                <m:sSubPr>
                  <m:ctrlPr>
                    <w:rPr>
                      <w:rFonts w:ascii="Cambria Math" w:hAnsi="Cambria Math"/>
                      <w:i/>
                    </w:rPr>
                  </m:ctrlPr>
                </m:sSubPr>
                <m:e>
                  <m:r>
                    <w:rPr>
                      <w:rFonts w:ascii="Cambria Math" w:hAnsi="Cambria Math"/>
                    </w:rPr>
                    <m:t>UCP</m:t>
                  </m:r>
                </m:e>
                <m:sub>
                  <m:r>
                    <w:rPr>
                      <w:rFonts w:ascii="Cambria Math" w:hAnsi="Cambria Math"/>
                    </w:rPr>
                    <m:t>p,j</m:t>
                  </m:r>
                  <m:r>
                    <w:rPr>
                      <w:rFonts w:ascii="Cambria Math"/>
                    </w:rPr>
                    <m:t>,</m:t>
                  </m:r>
                  <m:r>
                    <w:rPr>
                      <w:rFonts w:ascii="Cambria Math" w:hAnsi="Cambria Math"/>
                    </w:rPr>
                    <m:t>n,l,t</m:t>
                  </m:r>
                </m:sub>
              </m:sSub>
            </m:sup>
            <m:e>
              <m:sSub>
                <m:sSubPr>
                  <m:ctrlPr>
                    <w:rPr>
                      <w:rFonts w:ascii="Cambria Math" w:hAnsi="Cambria Math"/>
                      <w:i/>
                    </w:rPr>
                  </m:ctrlPr>
                </m:sSubPr>
                <m:e>
                  <m:r>
                    <w:rPr>
                      <w:rFonts w:ascii="Cambria Math" w:hAnsi="Cambria Math"/>
                    </w:rPr>
                    <m:t>FTR</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CR</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PU</m:t>
                  </m:r>
                </m:e>
                <m:sub>
                  <m:r>
                    <w:rPr>
                      <w:rFonts w:ascii="Cambria Math" w:hAnsi="Cambria Math"/>
                    </w:rPr>
                    <m:t>i</m:t>
                  </m:r>
                </m:sub>
              </m:sSub>
              <m:r>
                <w:rPr>
                  <w:rFonts w:ascii="Cambria Math" w:hAnsi="Cambria Math"/>
                </w:rPr>
                <m:t>*</m:t>
              </m:r>
              <m:d>
                <m:dPr>
                  <m:ctrlPr>
                    <w:rPr>
                      <w:rFonts w:ascii="Cambria Math" w:hAnsi="Cambria Math"/>
                      <w:i/>
                    </w:rPr>
                  </m:ctrlPr>
                </m:dPr>
                <m:e>
                  <m:r>
                    <w:rPr>
                      <w:rFonts w:ascii="Cambria Math" w:hAnsi="Cambria Math"/>
                    </w:rPr>
                    <m:t>1-</m:t>
                  </m:r>
                  <m:sSub>
                    <m:sSubPr>
                      <m:ctrlPr>
                        <w:rPr>
                          <w:rFonts w:ascii="Cambria Math" w:hAnsi="Cambria Math"/>
                          <w:i/>
                        </w:rPr>
                      </m:ctrlPr>
                    </m:sSubPr>
                    <m:e>
                      <m:r>
                        <w:rPr>
                          <w:rFonts w:ascii="Cambria Math" w:hAnsi="Cambria Math"/>
                        </w:rPr>
                        <m:t>RPP</m:t>
                      </m:r>
                    </m:e>
                    <m:sub>
                      <m:r>
                        <w:rPr>
                          <w:rFonts w:ascii="Cambria Math" w:hAnsi="Cambria Math"/>
                        </w:rPr>
                        <m:t>i</m:t>
                      </m:r>
                    </m:sub>
                  </m:sSub>
                </m:e>
              </m:d>
            </m:e>
          </m:nary>
        </m:oMath>
      </m:oMathPara>
    </w:p>
    <w:p w:rsidR="00D45FAF" w:rsidRPr="004E6CFC" w:rsidRDefault="00D45FAF" w:rsidP="00D45FAF">
      <w:pPr>
        <w:spacing w:before="280" w:after="280"/>
      </w:pPr>
      <w:r w:rsidRPr="004E6CFC">
        <w:t>Donde:</w:t>
      </w:r>
    </w:p>
    <w:p w:rsidR="00D45FAF" w:rsidRPr="004E6CFC" w:rsidRDefault="00D45FAF" w:rsidP="00D45FAF">
      <w:pPr>
        <w:spacing w:before="280" w:after="280"/>
        <w:ind w:left="1418" w:hanging="1418"/>
      </w:pPr>
      <w:r w:rsidRPr="004E6CFC">
        <w:rPr>
          <w:i/>
          <w:iCs/>
        </w:rPr>
        <w:t>IEXC</w:t>
      </w:r>
      <w:r w:rsidRPr="004E6CFC">
        <w:rPr>
          <w:i/>
          <w:iCs/>
          <w:vertAlign w:val="subscript"/>
        </w:rPr>
        <w:t>p,j,n,l,t</w:t>
      </w:r>
      <w:r w:rsidRPr="004E6CFC">
        <w:t>:</w:t>
      </w:r>
      <w:r w:rsidRPr="004E6CFC">
        <w:tab/>
        <w:t xml:space="preserve">Valor del proyecto de expansión </w:t>
      </w:r>
      <w:r w:rsidRPr="004E6CFC">
        <w:rPr>
          <w:i/>
        </w:rPr>
        <w:t>p</w:t>
      </w:r>
      <w:r w:rsidRPr="004E6CFC">
        <w:t xml:space="preserve"> </w:t>
      </w:r>
      <w:r w:rsidRPr="004E6CFC">
        <w:rPr>
          <w:iCs/>
        </w:rPr>
        <w:t xml:space="preserve">del OR </w:t>
      </w:r>
      <w:r w:rsidRPr="004E6CFC">
        <w:rPr>
          <w:i/>
          <w:iCs/>
        </w:rPr>
        <w:t>j</w:t>
      </w:r>
      <w:r w:rsidRPr="004E6CFC">
        <w:rPr>
          <w:iCs/>
        </w:rPr>
        <w:t xml:space="preserve"> en el nivel de tensión </w:t>
      </w:r>
      <w:r w:rsidRPr="004E6CFC">
        <w:rPr>
          <w:i/>
          <w:iCs/>
        </w:rPr>
        <w:t>n</w:t>
      </w:r>
      <w:r w:rsidRPr="004E6CFC">
        <w:rPr>
          <w:iCs/>
        </w:rPr>
        <w:t xml:space="preserve"> en la categoría </w:t>
      </w:r>
      <w:r w:rsidRPr="004E6CFC">
        <w:rPr>
          <w:i/>
          <w:iCs/>
        </w:rPr>
        <w:t xml:space="preserve">l </w:t>
      </w:r>
      <w:r w:rsidRPr="004E6CFC">
        <w:rPr>
          <w:iCs/>
        </w:rPr>
        <w:t xml:space="preserve">para el año </w:t>
      </w:r>
      <w:r w:rsidRPr="004E6CFC">
        <w:rPr>
          <w:i/>
          <w:iCs/>
        </w:rPr>
        <w:t>t</w:t>
      </w:r>
      <w:r w:rsidRPr="004E6CFC">
        <w:rPr>
          <w:iCs/>
        </w:rPr>
        <w:t xml:space="preserve">. </w:t>
      </w:r>
    </w:p>
    <w:p w:rsidR="00D45FAF" w:rsidRPr="004E6CFC" w:rsidRDefault="00D45FAF" w:rsidP="00D45FAF">
      <w:pPr>
        <w:tabs>
          <w:tab w:val="left" w:pos="1418"/>
        </w:tabs>
        <w:spacing w:before="280" w:after="280"/>
        <w:ind w:left="1418" w:hanging="1418"/>
      </w:pPr>
      <w:r w:rsidRPr="004E6CFC">
        <w:rPr>
          <w:i/>
          <w:iCs/>
        </w:rPr>
        <w:t>UCP</w:t>
      </w:r>
      <w:r w:rsidRPr="004E6CFC">
        <w:rPr>
          <w:i/>
          <w:iCs/>
          <w:vertAlign w:val="subscript"/>
        </w:rPr>
        <w:t>p,j,n,l,t</w:t>
      </w:r>
      <w:r w:rsidRPr="004E6CFC">
        <w:t>:</w:t>
      </w:r>
      <w:r w:rsidRPr="004E6CFC">
        <w:tab/>
        <w:t xml:space="preserve">Número de UC incluidas en el proyecto de expansión </w:t>
      </w:r>
      <w:r w:rsidRPr="004E6CFC">
        <w:rPr>
          <w:i/>
        </w:rPr>
        <w:t>p</w:t>
      </w:r>
      <w:r w:rsidRPr="004E6CFC">
        <w:t xml:space="preserve"> del OR </w:t>
      </w:r>
      <w:r w:rsidRPr="004E6CFC">
        <w:rPr>
          <w:i/>
        </w:rPr>
        <w:t xml:space="preserve">j </w:t>
      </w:r>
      <w:r w:rsidRPr="004E6CFC">
        <w:t xml:space="preserve">en el nivel de tensión </w:t>
      </w:r>
      <w:r w:rsidRPr="004E6CFC">
        <w:rPr>
          <w:i/>
        </w:rPr>
        <w:t>n</w:t>
      </w:r>
      <w:r w:rsidRPr="004E6CFC">
        <w:t xml:space="preserve"> </w:t>
      </w:r>
      <w:r w:rsidRPr="004E6CFC">
        <w:rPr>
          <w:iCs/>
        </w:rPr>
        <w:t xml:space="preserve">en la categoría de activos </w:t>
      </w:r>
      <w:r w:rsidRPr="004E6CFC">
        <w:rPr>
          <w:i/>
          <w:iCs/>
        </w:rPr>
        <w:t>l</w:t>
      </w:r>
      <w:r w:rsidRPr="004E6CFC">
        <w:rPr>
          <w:iCs/>
        </w:rPr>
        <w:t xml:space="preserve"> </w:t>
      </w:r>
      <w:r w:rsidRPr="004E6CFC">
        <w:t xml:space="preserve">durante el año </w:t>
      </w:r>
      <w:r w:rsidRPr="004E6CFC">
        <w:rPr>
          <w:i/>
        </w:rPr>
        <w:t>t</w:t>
      </w:r>
      <w:r w:rsidRPr="004E6CFC">
        <w:t>. No se incluyen las UC que fueron trasladadas y siguen en operación.</w:t>
      </w:r>
    </w:p>
    <w:p w:rsidR="00D45FAF" w:rsidRPr="004E6CFC" w:rsidRDefault="00D45FAF" w:rsidP="00D45FAF">
      <w:pPr>
        <w:tabs>
          <w:tab w:val="left" w:pos="1418"/>
        </w:tabs>
        <w:spacing w:before="280" w:after="280"/>
        <w:ind w:left="1418" w:hanging="1418"/>
      </w:pPr>
      <w:r w:rsidRPr="004E6CFC">
        <w:rPr>
          <w:i/>
          <w:iCs/>
        </w:rPr>
        <w:t>FTR</w:t>
      </w:r>
      <w:r w:rsidRPr="004E6CFC">
        <w:rPr>
          <w:i/>
          <w:iCs/>
          <w:vertAlign w:val="subscript"/>
        </w:rPr>
        <w:t>i</w:t>
      </w:r>
      <w:r w:rsidRPr="004E6CFC">
        <w:t>:</w:t>
      </w:r>
      <w:r w:rsidRPr="004E6CFC">
        <w:tab/>
        <w:t xml:space="preserve">Factor que remunera el costo adicional por personal y transporte de la unidad constructiva </w:t>
      </w:r>
      <w:r w:rsidRPr="004E6CFC">
        <w:rPr>
          <w:i/>
        </w:rPr>
        <w:t>i</w:t>
      </w:r>
      <w:r w:rsidRPr="004E6CFC">
        <w:t>. Para los niveles de tensión 1 y 2 corresponde a 1,08, mientras que para los niveles de tensión 3 y 4 es 1.</w:t>
      </w:r>
    </w:p>
    <w:p w:rsidR="00D45FAF" w:rsidRPr="004E6CFC" w:rsidRDefault="00D45FAF" w:rsidP="00D45FAF">
      <w:pPr>
        <w:spacing w:before="280" w:after="280"/>
        <w:ind w:left="1410" w:hanging="1410"/>
      </w:pPr>
      <w:r w:rsidRPr="004E6CFC">
        <w:rPr>
          <w:i/>
          <w:iCs/>
        </w:rPr>
        <w:t>CR</w:t>
      </w:r>
      <w:r w:rsidRPr="004E6CFC">
        <w:rPr>
          <w:i/>
          <w:iCs/>
          <w:vertAlign w:val="subscript"/>
        </w:rPr>
        <w:t>i</w:t>
      </w:r>
      <w:r w:rsidRPr="004E6CFC">
        <w:t>:</w:t>
      </w:r>
      <w:r w:rsidRPr="004E6CFC">
        <w:tab/>
      </w:r>
      <w:r w:rsidRPr="004E6CFC">
        <w:tab/>
        <w:t xml:space="preserve">Valor de la UC </w:t>
      </w:r>
      <w:r w:rsidRPr="004E6CFC">
        <w:rPr>
          <w:i/>
          <w:iCs/>
        </w:rPr>
        <w:t>i</w:t>
      </w:r>
      <w:r w:rsidRPr="004E6CFC">
        <w:rPr>
          <w:iCs/>
        </w:rPr>
        <w:t>,</w:t>
      </w:r>
      <w:r w:rsidRPr="004E6CFC">
        <w:t xml:space="preserve"> definidos en el capítulo </w:t>
      </w:r>
      <w:r w:rsidRPr="004E6CFC">
        <w:fldChar w:fldCharType="begin"/>
      </w:r>
      <w:r w:rsidRPr="004E6CFC">
        <w:instrText xml:space="preserve"> REF _Ref465981854 \r \h \t \* MERGEFORMAT </w:instrText>
      </w:r>
      <w:r w:rsidRPr="004E6CFC">
        <w:fldChar w:fldCharType="separate"/>
      </w:r>
      <w:r w:rsidR="00737178">
        <w:t>14</w:t>
      </w:r>
      <w:r w:rsidRPr="004E6CFC">
        <w:fldChar w:fldCharType="end"/>
      </w:r>
      <w:r w:rsidRPr="004E6CFC">
        <w:t>.</w:t>
      </w:r>
    </w:p>
    <w:p w:rsidR="00D45FAF" w:rsidRPr="004E6CFC" w:rsidRDefault="00D45FAF" w:rsidP="00D45FAF">
      <w:pPr>
        <w:tabs>
          <w:tab w:val="left" w:pos="1418"/>
        </w:tabs>
        <w:spacing w:before="280" w:after="280"/>
        <w:ind w:left="1418" w:hanging="1418"/>
      </w:pPr>
      <w:r w:rsidRPr="004E6CFC">
        <w:rPr>
          <w:i/>
          <w:iCs/>
        </w:rPr>
        <w:t>PU</w:t>
      </w:r>
      <w:r w:rsidRPr="004E6CFC">
        <w:rPr>
          <w:i/>
          <w:iCs/>
          <w:vertAlign w:val="subscript"/>
        </w:rPr>
        <w:t>i</w:t>
      </w:r>
      <w:r w:rsidRPr="004E6CFC">
        <w:rPr>
          <w:i/>
          <w:iCs/>
        </w:rPr>
        <w:t>:</w:t>
      </w:r>
      <w:r w:rsidRPr="004E6CFC">
        <w:tab/>
        <w:t xml:space="preserve">Fracción del costo de la UC </w:t>
      </w:r>
      <w:r w:rsidRPr="004E6CFC">
        <w:rPr>
          <w:i/>
          <w:iCs/>
        </w:rPr>
        <w:t>i</w:t>
      </w:r>
      <w:r w:rsidRPr="004E6CFC">
        <w:t xml:space="preserve"> que es reconocida mediante cargos por uso.</w:t>
      </w:r>
    </w:p>
    <w:p w:rsidR="00D45FAF" w:rsidRPr="004E6CFC" w:rsidRDefault="00D45FAF" w:rsidP="00D45FAF">
      <w:pPr>
        <w:tabs>
          <w:tab w:val="left" w:pos="1418"/>
        </w:tabs>
        <w:spacing w:before="280" w:after="280"/>
        <w:ind w:left="1418" w:hanging="1418"/>
      </w:pPr>
      <w:r w:rsidRPr="004E6CFC">
        <w:rPr>
          <w:i/>
          <w:iCs/>
        </w:rPr>
        <w:t>RPP</w:t>
      </w:r>
      <w:r w:rsidRPr="004E6CFC">
        <w:rPr>
          <w:i/>
          <w:iCs/>
          <w:vertAlign w:val="subscript"/>
        </w:rPr>
        <w:t>i</w:t>
      </w:r>
      <w:r w:rsidRPr="004E6CFC">
        <w:rPr>
          <w:i/>
          <w:iCs/>
        </w:rPr>
        <w:t>:</w:t>
      </w:r>
      <w:r w:rsidRPr="004E6CFC">
        <w:tab/>
        <w:t xml:space="preserve">Fracción del costo de la UC </w:t>
      </w:r>
      <w:r w:rsidRPr="004E6CFC">
        <w:rPr>
          <w:i/>
          <w:iCs/>
        </w:rPr>
        <w:t>i</w:t>
      </w:r>
      <w:r w:rsidRPr="004E6CFC">
        <w:t xml:space="preserve"> que es</w:t>
      </w:r>
      <w:r w:rsidRPr="004E6CFC">
        <w:rPr>
          <w:i/>
        </w:rPr>
        <w:t xml:space="preserve"> </w:t>
      </w:r>
      <w:r w:rsidRPr="004E6CFC">
        <w:t>remunerada vía cargos por uso que no se debe incluir en el cálculo de la tarifa.</w:t>
      </w:r>
    </w:p>
    <w:p w:rsidR="00D45FAF" w:rsidRPr="004E6CFC" w:rsidRDefault="00D45FAF" w:rsidP="00D45FAF">
      <w:pPr>
        <w:pStyle w:val="Ttulo2"/>
      </w:pPr>
      <w:bookmarkStart w:id="1035" w:name="_Toc440029187"/>
      <w:r w:rsidRPr="004E6CFC">
        <w:t xml:space="preserve"> </w:t>
      </w:r>
      <w:bookmarkStart w:id="1036" w:name="_Toc460840675"/>
      <w:bookmarkStart w:id="1037" w:name="_Toc504809507"/>
      <w:bookmarkStart w:id="1038" w:name="_Toc505336017"/>
      <w:r w:rsidRPr="004E6CFC">
        <w:t>Obligaciones de los OR</w:t>
      </w:r>
      <w:bookmarkEnd w:id="1036"/>
      <w:bookmarkEnd w:id="1037"/>
      <w:bookmarkEnd w:id="1038"/>
      <w:r w:rsidRPr="004E6CFC">
        <w:t xml:space="preserve"> </w:t>
      </w:r>
      <w:bookmarkEnd w:id="1035"/>
    </w:p>
    <w:p w:rsidR="00D45FAF" w:rsidRPr="004E6CFC" w:rsidRDefault="00D45FAF" w:rsidP="00D45FAF">
      <w:r w:rsidRPr="004E6CFC">
        <w:t>Frente a los proyectos de expansión de cobertura puestos en operación por los OR, estos deben:</w:t>
      </w:r>
    </w:p>
    <w:p w:rsidR="00D45FAF" w:rsidRPr="004E6CFC" w:rsidRDefault="00D45FAF" w:rsidP="009C086B">
      <w:pPr>
        <w:pStyle w:val="Prrafodelista"/>
        <w:numPr>
          <w:ilvl w:val="0"/>
          <w:numId w:val="67"/>
        </w:numPr>
      </w:pPr>
      <w:r w:rsidRPr="004E6CFC">
        <w:t>Realizar el reporte anual de las unidades constructivas de los proyectos.</w:t>
      </w:r>
    </w:p>
    <w:p w:rsidR="00D45FAF" w:rsidRPr="004E6CFC" w:rsidRDefault="00D45FAF" w:rsidP="009C086B">
      <w:pPr>
        <w:pStyle w:val="Prrafodelista"/>
        <w:numPr>
          <w:ilvl w:val="0"/>
          <w:numId w:val="67"/>
        </w:numPr>
      </w:pPr>
      <w:r w:rsidRPr="004E6CFC">
        <w:lastRenderedPageBreak/>
        <w:t>Incluir en su sistema de información geográfica los proyectos puestos en operación, como mínimo con las características técnicas de los apoyos, líneas y transformadores de distribución</w:t>
      </w:r>
      <w:r>
        <w:t xml:space="preserve"> y diferenciados de la demás infraestructura</w:t>
      </w:r>
      <w:r w:rsidRPr="004E6CFC">
        <w:t>. La georreferenciación de la infraestructura deberá incluir la totalidad de las redes de nivel de tensión 1.</w:t>
      </w:r>
    </w:p>
    <w:p w:rsidR="00D45FAF" w:rsidRPr="004E6CFC" w:rsidRDefault="00D45FAF" w:rsidP="009C086B">
      <w:pPr>
        <w:pStyle w:val="Prrafodelista"/>
        <w:numPr>
          <w:ilvl w:val="0"/>
          <w:numId w:val="67"/>
        </w:numPr>
      </w:pPr>
      <w:r w:rsidRPr="004E6CFC">
        <w:t xml:space="preserve">La información georreferenciada se debe mantener actualizada. </w:t>
      </w:r>
    </w:p>
    <w:p w:rsidR="00D45FAF" w:rsidRPr="004E6CFC" w:rsidRDefault="00D45FAF" w:rsidP="00D45FAF">
      <w:r w:rsidRPr="004E6CFC">
        <w:t xml:space="preserve">En caso que el OR no reporte la información de los proyectos en operación no podrá solicitar la remuneración de nuevos proyectos. </w:t>
      </w:r>
    </w:p>
    <w:p w:rsidR="00D45FAF" w:rsidRPr="004E6CFC" w:rsidRDefault="00D45FAF" w:rsidP="00D45FAF">
      <w:pPr>
        <w:pStyle w:val="Ttulo2"/>
      </w:pPr>
      <w:bookmarkStart w:id="1039" w:name="_Ref445134413"/>
      <w:bookmarkStart w:id="1040" w:name="_Toc460840676"/>
      <w:bookmarkStart w:id="1041" w:name="_Toc440029188"/>
      <w:r w:rsidRPr="004E6CFC">
        <w:t xml:space="preserve"> </w:t>
      </w:r>
      <w:bookmarkStart w:id="1042" w:name="_Toc504809508"/>
      <w:bookmarkStart w:id="1043" w:name="_Toc505336018"/>
      <w:r w:rsidRPr="004E6CFC">
        <w:t>Cálculo del incremento TARIFARIO</w:t>
      </w:r>
      <w:bookmarkEnd w:id="1039"/>
      <w:bookmarkEnd w:id="1040"/>
      <w:bookmarkEnd w:id="1042"/>
      <w:bookmarkEnd w:id="1043"/>
      <w:r w:rsidRPr="004E6CFC">
        <w:t xml:space="preserve"> </w:t>
      </w:r>
      <w:bookmarkEnd w:id="1041"/>
    </w:p>
    <w:p w:rsidR="00D45FAF" w:rsidRPr="004E6CFC" w:rsidRDefault="00D45FAF" w:rsidP="00D45FAF">
      <w:r w:rsidRPr="004E6CFC">
        <w:t xml:space="preserve">Para establecer los proyectos de expansión de cobertura que se incluirán en el cargo que remunera la actividad de distribución de energía eléctrica, la Comisión priorizará los proyectos presentados por los OR de acuerdo con los criterios que señale el MME e incluirá en la variable </w:t>
      </w:r>
      <w:r w:rsidRPr="004E6CFC">
        <w:rPr>
          <w:i/>
        </w:rPr>
        <w:t>IAEC</w:t>
      </w:r>
      <w:r w:rsidRPr="004E6CFC">
        <w:rPr>
          <w:i/>
          <w:vertAlign w:val="subscript"/>
        </w:rPr>
        <w:t>j,n,l,t</w:t>
      </w:r>
      <w:r w:rsidRPr="004E6CFC">
        <w:t xml:space="preserve"> los proyectos priorizados sin que se supere el valor del máximo incremento tarifario establecido.   </w:t>
      </w:r>
    </w:p>
    <w:p w:rsidR="00D45FAF" w:rsidRPr="004E6CFC" w:rsidRDefault="00D45FAF" w:rsidP="00D45FAF">
      <w:r w:rsidRPr="004E6CFC">
        <w:t>El valor total de los proyectos de expansión de cobertura aprobados se calculará de la siguiente forma:</w:t>
      </w:r>
    </w:p>
    <w:p w:rsidR="00D45FAF" w:rsidRPr="004E6CFC" w:rsidRDefault="00C9592F" w:rsidP="00D45FAF">
      <m:oMathPara>
        <m:oMath>
          <m:sSub>
            <m:sSubPr>
              <m:ctrlPr>
                <w:rPr>
                  <w:rFonts w:ascii="Cambria Math" w:hAnsi="Cambria Math"/>
                  <w:i/>
                </w:rPr>
              </m:ctrlPr>
            </m:sSubPr>
            <m:e>
              <m:r>
                <w:rPr>
                  <w:rFonts w:ascii="Cambria Math" w:hAnsi="Cambria Math"/>
                </w:rPr>
                <m:t>IAEC</m:t>
              </m:r>
            </m:e>
            <m:sub>
              <m:r>
                <w:rPr>
                  <w:rFonts w:ascii="Cambria Math" w:hAnsi="Cambria Math"/>
                </w:rPr>
                <m:t>j</m:t>
              </m:r>
              <m:r>
                <w:rPr>
                  <w:rFonts w:ascii="Cambria Math"/>
                </w:rPr>
                <m:t>,n,l,t</m:t>
              </m:r>
            </m:sub>
          </m:sSub>
          <m:r>
            <w:rPr>
              <w:rFonts w:ascii="Cambria Math"/>
            </w:rPr>
            <m:t>=</m:t>
          </m:r>
          <m:nary>
            <m:naryPr>
              <m:chr m:val="∑"/>
              <m:limLoc m:val="undOvr"/>
              <m:ctrlPr>
                <w:rPr>
                  <w:rFonts w:ascii="Cambria Math" w:hAnsi="Cambria Math"/>
                  <w:i/>
                </w:rPr>
              </m:ctrlPr>
            </m:naryPr>
            <m:sub>
              <m:r>
                <w:rPr>
                  <w:rFonts w:ascii="Cambria Math" w:hAnsi="Cambria Math"/>
                </w:rPr>
                <m:t>p</m:t>
              </m:r>
              <m:r>
                <w:rPr>
                  <w:rFonts w:ascii="Cambria Math"/>
                </w:rPr>
                <m:t>=1</m:t>
              </m:r>
            </m:sub>
            <m:sup>
              <m:sSub>
                <m:sSubPr>
                  <m:ctrlPr>
                    <w:rPr>
                      <w:rFonts w:ascii="Cambria Math" w:hAnsi="Cambria Math"/>
                      <w:i/>
                    </w:rPr>
                  </m:ctrlPr>
                </m:sSubPr>
                <m:e>
                  <m:r>
                    <w:rPr>
                      <w:rFonts w:ascii="Cambria Math" w:hAnsi="Cambria Math"/>
                    </w:rPr>
                    <m:t>PEC</m:t>
                  </m:r>
                </m:e>
                <m:sub>
                  <m:r>
                    <w:rPr>
                      <w:rFonts w:ascii="Cambria Math" w:hAnsi="Cambria Math"/>
                    </w:rPr>
                    <m:t>j,n,l,t</m:t>
                  </m:r>
                </m:sub>
              </m:sSub>
            </m:sup>
            <m:e>
              <m:sSub>
                <m:sSubPr>
                  <m:ctrlPr>
                    <w:rPr>
                      <w:rFonts w:ascii="Cambria Math" w:hAnsi="Cambria Math"/>
                      <w:i/>
                    </w:rPr>
                  </m:ctrlPr>
                </m:sSubPr>
                <m:e>
                  <m:r>
                    <w:rPr>
                      <w:rFonts w:ascii="Cambria Math" w:hAnsi="Cambria Math"/>
                    </w:rPr>
                    <m:t>IEXC</m:t>
                  </m:r>
                </m:e>
                <m:sub>
                  <m:r>
                    <w:rPr>
                      <w:rFonts w:ascii="Cambria Math" w:hAnsi="Cambria Math"/>
                    </w:rPr>
                    <m:t>p,j,n,l,t</m:t>
                  </m:r>
                </m:sub>
              </m:sSub>
            </m:e>
          </m:nary>
        </m:oMath>
      </m:oMathPara>
    </w:p>
    <w:p w:rsidR="00D45FAF" w:rsidRPr="004E6CFC" w:rsidRDefault="00D45FAF" w:rsidP="00D45FAF">
      <w:pPr>
        <w:spacing w:before="120"/>
        <w:ind w:left="1418" w:hanging="1418"/>
        <w:rPr>
          <w:iCs/>
        </w:rPr>
      </w:pPr>
      <w:r w:rsidRPr="004E6CFC">
        <w:rPr>
          <w:i/>
          <w:iCs/>
        </w:rPr>
        <w:t>IAEC</w:t>
      </w:r>
      <w:r w:rsidRPr="004E6CFC">
        <w:rPr>
          <w:i/>
          <w:iCs/>
          <w:vertAlign w:val="subscript"/>
        </w:rPr>
        <w:t>j,n,l,t</w:t>
      </w:r>
      <w:r w:rsidRPr="004E6CFC">
        <w:t>:</w:t>
      </w:r>
      <w:r w:rsidRPr="004E6CFC">
        <w:tab/>
      </w:r>
      <w:r w:rsidRPr="004E6CFC">
        <w:rPr>
          <w:iCs/>
        </w:rPr>
        <w:t xml:space="preserve">Inversión aprobada en proyectos de expansión de cobertura del OR </w:t>
      </w:r>
      <w:r w:rsidRPr="004E6CFC">
        <w:rPr>
          <w:i/>
          <w:iCs/>
        </w:rPr>
        <w:t>j</w:t>
      </w:r>
      <w:r w:rsidRPr="004E6CFC">
        <w:rPr>
          <w:iCs/>
        </w:rPr>
        <w:t xml:space="preserve"> en el nivel de tensión </w:t>
      </w:r>
      <w:r w:rsidRPr="004E6CFC">
        <w:rPr>
          <w:i/>
          <w:iCs/>
        </w:rPr>
        <w:t>n</w:t>
      </w:r>
      <w:r w:rsidRPr="004E6CFC">
        <w:rPr>
          <w:iCs/>
        </w:rPr>
        <w:t xml:space="preserve"> en la categoría de activos </w:t>
      </w:r>
      <w:r w:rsidRPr="004E6CFC">
        <w:rPr>
          <w:i/>
          <w:iCs/>
        </w:rPr>
        <w:t>l</w:t>
      </w:r>
      <w:r w:rsidRPr="004E6CFC">
        <w:rPr>
          <w:iCs/>
        </w:rPr>
        <w:t xml:space="preserve"> para el año </w:t>
      </w:r>
      <w:r w:rsidRPr="004E6CFC">
        <w:rPr>
          <w:i/>
          <w:iCs/>
        </w:rPr>
        <w:t>t</w:t>
      </w:r>
      <w:r w:rsidRPr="004E6CFC">
        <w:t>.</w:t>
      </w:r>
    </w:p>
    <w:p w:rsidR="00D45FAF" w:rsidRPr="004E6CFC" w:rsidRDefault="00D45FAF" w:rsidP="00D45FAF">
      <w:pPr>
        <w:tabs>
          <w:tab w:val="left" w:pos="1418"/>
        </w:tabs>
        <w:spacing w:before="120"/>
        <w:ind w:left="1418" w:hanging="1418"/>
        <w:rPr>
          <w:i/>
          <w:iCs/>
        </w:rPr>
      </w:pPr>
      <w:r w:rsidRPr="004E6CFC">
        <w:rPr>
          <w:i/>
          <w:iCs/>
        </w:rPr>
        <w:t>IEXC</w:t>
      </w:r>
      <w:r w:rsidRPr="004E6CFC">
        <w:rPr>
          <w:i/>
          <w:iCs/>
          <w:vertAlign w:val="subscript"/>
        </w:rPr>
        <w:t>p,j,n,l,t</w:t>
      </w:r>
      <w:r w:rsidRPr="004E6CFC">
        <w:t>:</w:t>
      </w:r>
      <w:r w:rsidRPr="004E6CFC">
        <w:tab/>
        <w:t xml:space="preserve">Valor del proyecto de expansión </w:t>
      </w:r>
      <w:r w:rsidRPr="004E6CFC">
        <w:rPr>
          <w:i/>
        </w:rPr>
        <w:t>p</w:t>
      </w:r>
      <w:r w:rsidRPr="004E6CFC">
        <w:t xml:space="preserve"> </w:t>
      </w:r>
      <w:r w:rsidRPr="004E6CFC">
        <w:rPr>
          <w:iCs/>
        </w:rPr>
        <w:t xml:space="preserve">del OR </w:t>
      </w:r>
      <w:r w:rsidRPr="004E6CFC">
        <w:rPr>
          <w:i/>
          <w:iCs/>
        </w:rPr>
        <w:t>j</w:t>
      </w:r>
      <w:r w:rsidRPr="004E6CFC">
        <w:rPr>
          <w:iCs/>
        </w:rPr>
        <w:t xml:space="preserve"> en el nivel de tensión </w:t>
      </w:r>
      <w:r w:rsidRPr="004E6CFC">
        <w:rPr>
          <w:i/>
          <w:iCs/>
        </w:rPr>
        <w:t>n</w:t>
      </w:r>
      <w:r w:rsidRPr="004E6CFC">
        <w:rPr>
          <w:iCs/>
        </w:rPr>
        <w:t xml:space="preserve"> en la categoría </w:t>
      </w:r>
      <w:r w:rsidRPr="004E6CFC">
        <w:rPr>
          <w:i/>
          <w:iCs/>
        </w:rPr>
        <w:t xml:space="preserve">l </w:t>
      </w:r>
      <w:r w:rsidRPr="004E6CFC">
        <w:rPr>
          <w:iCs/>
        </w:rPr>
        <w:t xml:space="preserve">para el año </w:t>
      </w:r>
      <w:r w:rsidRPr="004E6CFC">
        <w:rPr>
          <w:i/>
          <w:iCs/>
        </w:rPr>
        <w:t>t</w:t>
      </w:r>
      <w:r w:rsidRPr="004E6CFC">
        <w:rPr>
          <w:iCs/>
        </w:rPr>
        <w:t>.</w:t>
      </w:r>
    </w:p>
    <w:p w:rsidR="00D45FAF" w:rsidRPr="004E6CFC" w:rsidRDefault="00D45FAF" w:rsidP="00D45FAF">
      <w:pPr>
        <w:tabs>
          <w:tab w:val="left" w:pos="1418"/>
        </w:tabs>
        <w:spacing w:before="120"/>
        <w:ind w:left="1418" w:hanging="1418"/>
      </w:pPr>
      <w:r w:rsidRPr="004E6CFC">
        <w:rPr>
          <w:i/>
          <w:iCs/>
        </w:rPr>
        <w:t>PEC</w:t>
      </w:r>
      <w:r w:rsidRPr="004E6CFC">
        <w:rPr>
          <w:i/>
          <w:iCs/>
          <w:vertAlign w:val="subscript"/>
        </w:rPr>
        <w:t>j,n,l,t</w:t>
      </w:r>
      <w:r w:rsidRPr="004E6CFC">
        <w:t>:</w:t>
      </w:r>
      <w:r w:rsidRPr="004E6CFC">
        <w:tab/>
        <w:t xml:space="preserve">Número de proyectos aprobados al OR </w:t>
      </w:r>
      <w:r w:rsidRPr="004E6CFC">
        <w:rPr>
          <w:i/>
        </w:rPr>
        <w:t xml:space="preserve">j </w:t>
      </w:r>
      <w:r w:rsidRPr="004E6CFC">
        <w:t xml:space="preserve">en el nivel de tensión </w:t>
      </w:r>
      <w:r w:rsidRPr="004E6CFC">
        <w:rPr>
          <w:i/>
        </w:rPr>
        <w:t>n</w:t>
      </w:r>
      <w:r w:rsidRPr="004E6CFC">
        <w:t xml:space="preserve"> </w:t>
      </w:r>
      <w:r w:rsidRPr="004E6CFC">
        <w:rPr>
          <w:iCs/>
        </w:rPr>
        <w:t xml:space="preserve">en la categoría de activos </w:t>
      </w:r>
      <w:r w:rsidRPr="004E6CFC">
        <w:rPr>
          <w:i/>
          <w:iCs/>
        </w:rPr>
        <w:t>l</w:t>
      </w:r>
      <w:r w:rsidRPr="004E6CFC">
        <w:rPr>
          <w:iCs/>
        </w:rPr>
        <w:t xml:space="preserve"> </w:t>
      </w:r>
      <w:r w:rsidRPr="004E6CFC">
        <w:t xml:space="preserve">durante el año </w:t>
      </w:r>
      <w:r w:rsidRPr="004E6CFC">
        <w:rPr>
          <w:i/>
        </w:rPr>
        <w:t>t</w:t>
      </w:r>
      <w:r w:rsidRPr="004E6CFC">
        <w:t>. Solamente se incluyen los proyectos priorizados que no implican superar el máximo incremento tarifario establecido por el MME. No se incluyen las UC que fueron trasladadas y siguen en operación.</w:t>
      </w:r>
    </w:p>
    <w:p w:rsidR="00D45FAF" w:rsidRPr="004E6CFC" w:rsidRDefault="00D45FAF" w:rsidP="00D45FAF">
      <w:r w:rsidRPr="004E6CFC">
        <w:t>El valor total de los proyectos de expansión de cobertura puestos en operación se calculará de la siguiente forma:</w:t>
      </w:r>
    </w:p>
    <w:p w:rsidR="00D45FAF" w:rsidRPr="004E6CFC" w:rsidRDefault="00C9592F" w:rsidP="00D45FAF">
      <m:oMathPara>
        <m:oMath>
          <m:sSub>
            <m:sSubPr>
              <m:ctrlPr>
                <w:rPr>
                  <w:rFonts w:ascii="Cambria Math" w:hAnsi="Cambria Math"/>
                  <w:i/>
                </w:rPr>
              </m:ctrlPr>
            </m:sSubPr>
            <m:e>
              <m:r>
                <w:rPr>
                  <w:rFonts w:ascii="Cambria Math" w:hAnsi="Cambria Math"/>
                </w:rPr>
                <m:t>IREC</m:t>
              </m:r>
            </m:e>
            <m:sub>
              <m:r>
                <w:rPr>
                  <w:rFonts w:ascii="Cambria Math" w:hAnsi="Cambria Math"/>
                </w:rPr>
                <m:t>j</m:t>
              </m:r>
              <m:r>
                <w:rPr>
                  <w:rFonts w:ascii="Cambria Math"/>
                </w:rPr>
                <m:t>,n,l,t</m:t>
              </m:r>
            </m:sub>
          </m:sSub>
          <m:r>
            <w:rPr>
              <w:rFonts w:ascii="Cambria Math"/>
            </w:rPr>
            <m:t>=</m:t>
          </m:r>
          <m:nary>
            <m:naryPr>
              <m:chr m:val="∑"/>
              <m:limLoc m:val="undOvr"/>
              <m:ctrlPr>
                <w:rPr>
                  <w:rFonts w:ascii="Cambria Math" w:hAnsi="Cambria Math"/>
                  <w:i/>
                </w:rPr>
              </m:ctrlPr>
            </m:naryPr>
            <m:sub>
              <m:r>
                <w:rPr>
                  <w:rFonts w:ascii="Cambria Math" w:hAnsi="Cambria Math"/>
                </w:rPr>
                <m:t>i</m:t>
              </m:r>
              <m:r>
                <w:rPr>
                  <w:rFonts w:ascii="Cambria Math"/>
                </w:rPr>
                <m:t>=1</m:t>
              </m:r>
            </m:sub>
            <m:sup>
              <m:sSub>
                <m:sSubPr>
                  <m:ctrlPr>
                    <w:rPr>
                      <w:rFonts w:ascii="Cambria Math" w:hAnsi="Cambria Math"/>
                      <w:i/>
                    </w:rPr>
                  </m:ctrlPr>
                </m:sSubPr>
                <m:e>
                  <m:r>
                    <w:rPr>
                      <w:rFonts w:ascii="Cambria Math" w:hAnsi="Cambria Math"/>
                    </w:rPr>
                    <m:t>UCPR</m:t>
                  </m:r>
                </m:e>
                <m:sub>
                  <m:r>
                    <w:rPr>
                      <w:rFonts w:ascii="Cambria Math" w:hAnsi="Cambria Math"/>
                    </w:rPr>
                    <m:t>j</m:t>
                  </m:r>
                  <m:r>
                    <w:rPr>
                      <w:rFonts w:ascii="Cambria Math"/>
                    </w:rPr>
                    <m:t>,</m:t>
                  </m:r>
                  <m:r>
                    <w:rPr>
                      <w:rFonts w:ascii="Cambria Math" w:hAnsi="Cambria Math"/>
                    </w:rPr>
                    <m:t>n,l,t</m:t>
                  </m:r>
                </m:sub>
              </m:sSub>
            </m:sup>
            <m:e>
              <m:sSub>
                <m:sSubPr>
                  <m:ctrlPr>
                    <w:rPr>
                      <w:rFonts w:ascii="Cambria Math" w:hAnsi="Cambria Math"/>
                      <w:i/>
                    </w:rPr>
                  </m:ctrlPr>
                </m:sSubPr>
                <m:e>
                  <m:r>
                    <w:rPr>
                      <w:rFonts w:ascii="Cambria Math" w:hAnsi="Cambria Math"/>
                    </w:rPr>
                    <m:t>FTR</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CR</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PU</m:t>
                  </m:r>
                </m:e>
                <m:sub>
                  <m:r>
                    <w:rPr>
                      <w:rFonts w:ascii="Cambria Math" w:hAnsi="Cambria Math"/>
                    </w:rPr>
                    <m:t>i</m:t>
                  </m:r>
                </m:sub>
              </m:sSub>
              <m:r>
                <w:rPr>
                  <w:rFonts w:ascii="Cambria Math" w:hAnsi="Cambria Math"/>
                </w:rPr>
                <m:t>*</m:t>
              </m:r>
              <m:d>
                <m:dPr>
                  <m:ctrlPr>
                    <w:rPr>
                      <w:rFonts w:ascii="Cambria Math" w:hAnsi="Cambria Math"/>
                      <w:i/>
                    </w:rPr>
                  </m:ctrlPr>
                </m:dPr>
                <m:e>
                  <m:r>
                    <w:rPr>
                      <w:rFonts w:ascii="Cambria Math" w:hAnsi="Cambria Math"/>
                    </w:rPr>
                    <m:t>1-</m:t>
                  </m:r>
                  <m:sSub>
                    <m:sSubPr>
                      <m:ctrlPr>
                        <w:rPr>
                          <w:rFonts w:ascii="Cambria Math" w:hAnsi="Cambria Math"/>
                          <w:i/>
                        </w:rPr>
                      </m:ctrlPr>
                    </m:sSubPr>
                    <m:e>
                      <m:r>
                        <w:rPr>
                          <w:rFonts w:ascii="Cambria Math" w:hAnsi="Cambria Math"/>
                        </w:rPr>
                        <m:t>RPP</m:t>
                      </m:r>
                    </m:e>
                    <m:sub>
                      <m:r>
                        <w:rPr>
                          <w:rFonts w:ascii="Cambria Math" w:hAnsi="Cambria Math"/>
                        </w:rPr>
                        <m:t>i</m:t>
                      </m:r>
                    </m:sub>
                  </m:sSub>
                </m:e>
              </m:d>
            </m:e>
          </m:nary>
        </m:oMath>
      </m:oMathPara>
    </w:p>
    <w:p w:rsidR="00D45FAF" w:rsidRPr="004E6CFC" w:rsidRDefault="00D45FAF" w:rsidP="00D45FAF">
      <w:pPr>
        <w:ind w:left="1416" w:hanging="1416"/>
      </w:pPr>
      <w:r w:rsidRPr="004E6CFC">
        <w:rPr>
          <w:i/>
          <w:iCs/>
        </w:rPr>
        <w:t>IREC</w:t>
      </w:r>
      <w:r w:rsidRPr="004E6CFC">
        <w:rPr>
          <w:i/>
          <w:iCs/>
          <w:vertAlign w:val="subscript"/>
        </w:rPr>
        <w:t>j,n,l,t</w:t>
      </w:r>
      <w:r w:rsidRPr="004E6CFC">
        <w:t>:</w:t>
      </w:r>
      <w:r w:rsidRPr="004E6CFC">
        <w:tab/>
      </w:r>
      <w:r w:rsidRPr="004E6CFC">
        <w:rPr>
          <w:iCs/>
        </w:rPr>
        <w:t xml:space="preserve">Inversión en activos puestos en operación en los proyectos de expansión de cobertura del OR </w:t>
      </w:r>
      <w:r w:rsidRPr="004E6CFC">
        <w:rPr>
          <w:i/>
          <w:iCs/>
        </w:rPr>
        <w:t>j</w:t>
      </w:r>
      <w:r w:rsidRPr="004E6CFC">
        <w:rPr>
          <w:iCs/>
        </w:rPr>
        <w:t xml:space="preserve"> en el nivel de tensión </w:t>
      </w:r>
      <w:r w:rsidRPr="004E6CFC">
        <w:rPr>
          <w:i/>
          <w:iCs/>
        </w:rPr>
        <w:t>n</w:t>
      </w:r>
      <w:r w:rsidRPr="004E6CFC">
        <w:rPr>
          <w:iCs/>
        </w:rPr>
        <w:t xml:space="preserve"> en la categoría de activos </w:t>
      </w:r>
      <w:r w:rsidRPr="004E6CFC">
        <w:rPr>
          <w:i/>
          <w:iCs/>
        </w:rPr>
        <w:t>l</w:t>
      </w:r>
      <w:r w:rsidRPr="004E6CFC">
        <w:rPr>
          <w:iCs/>
        </w:rPr>
        <w:t xml:space="preserve"> para el año </w:t>
      </w:r>
      <w:r w:rsidRPr="004E6CFC">
        <w:rPr>
          <w:i/>
          <w:iCs/>
        </w:rPr>
        <w:t xml:space="preserve">t </w:t>
      </w:r>
      <w:r w:rsidRPr="004E6CFC">
        <w:rPr>
          <w:iCs/>
        </w:rPr>
        <w:t>de acuerdo con este capítulo</w:t>
      </w:r>
      <w:r w:rsidRPr="004E6CFC">
        <w:t>.</w:t>
      </w:r>
    </w:p>
    <w:p w:rsidR="00D45FAF" w:rsidRPr="004E6CFC" w:rsidRDefault="00D45FAF" w:rsidP="00D45FAF">
      <w:pPr>
        <w:tabs>
          <w:tab w:val="left" w:pos="1418"/>
        </w:tabs>
        <w:spacing w:before="120"/>
        <w:ind w:left="1418" w:hanging="1418"/>
      </w:pPr>
      <w:r w:rsidRPr="004E6CFC">
        <w:rPr>
          <w:i/>
          <w:iCs/>
        </w:rPr>
        <w:t>UCPR</w:t>
      </w:r>
      <w:r w:rsidRPr="004E6CFC">
        <w:rPr>
          <w:i/>
          <w:iCs/>
          <w:vertAlign w:val="subscript"/>
        </w:rPr>
        <w:t>p,j,n,l,t</w:t>
      </w:r>
      <w:r w:rsidRPr="004E6CFC">
        <w:t>:</w:t>
      </w:r>
      <w:r w:rsidRPr="004E6CFC">
        <w:tab/>
        <w:t>Número de UC puestas en operación en los proyectos de expansión de cobertura</w:t>
      </w:r>
      <w:r w:rsidRPr="004E6CFC">
        <w:rPr>
          <w:i/>
        </w:rPr>
        <w:t xml:space="preserve"> </w:t>
      </w:r>
      <w:r w:rsidRPr="004E6CFC">
        <w:t xml:space="preserve">del OR </w:t>
      </w:r>
      <w:r w:rsidRPr="004E6CFC">
        <w:rPr>
          <w:i/>
        </w:rPr>
        <w:t xml:space="preserve">j </w:t>
      </w:r>
      <w:r w:rsidRPr="004E6CFC">
        <w:t xml:space="preserve">en el nivel de tensión </w:t>
      </w:r>
      <w:r w:rsidRPr="004E6CFC">
        <w:rPr>
          <w:i/>
        </w:rPr>
        <w:t>n</w:t>
      </w:r>
      <w:r w:rsidRPr="004E6CFC">
        <w:t xml:space="preserve"> </w:t>
      </w:r>
      <w:r w:rsidRPr="004E6CFC">
        <w:rPr>
          <w:iCs/>
        </w:rPr>
        <w:t xml:space="preserve">en la categoría de activos </w:t>
      </w:r>
      <w:r w:rsidRPr="004E6CFC">
        <w:rPr>
          <w:i/>
          <w:iCs/>
        </w:rPr>
        <w:t>l</w:t>
      </w:r>
      <w:r w:rsidRPr="004E6CFC">
        <w:rPr>
          <w:iCs/>
        </w:rPr>
        <w:t xml:space="preserve"> </w:t>
      </w:r>
      <w:r w:rsidRPr="004E6CFC">
        <w:t xml:space="preserve">durante el año </w:t>
      </w:r>
      <w:r w:rsidRPr="004E6CFC">
        <w:rPr>
          <w:i/>
        </w:rPr>
        <w:t>t</w:t>
      </w:r>
      <w:r w:rsidRPr="004E6CFC">
        <w:t>. No se incluyen las UC que fueron trasladadas y siguen en operación.</w:t>
      </w:r>
    </w:p>
    <w:p w:rsidR="00D45FAF" w:rsidRPr="004E6CFC" w:rsidRDefault="00D45FAF" w:rsidP="00D45FAF">
      <w:pPr>
        <w:tabs>
          <w:tab w:val="left" w:pos="1418"/>
        </w:tabs>
        <w:spacing w:before="120"/>
        <w:ind w:left="1418" w:hanging="1418"/>
      </w:pPr>
      <w:r w:rsidRPr="004E6CFC">
        <w:rPr>
          <w:i/>
          <w:iCs/>
        </w:rPr>
        <w:lastRenderedPageBreak/>
        <w:t>FTR</w:t>
      </w:r>
      <w:r w:rsidRPr="004E6CFC">
        <w:rPr>
          <w:i/>
          <w:iCs/>
          <w:vertAlign w:val="subscript"/>
        </w:rPr>
        <w:t>i</w:t>
      </w:r>
      <w:r w:rsidRPr="004E6CFC">
        <w:t>:</w:t>
      </w:r>
      <w:r w:rsidRPr="004E6CFC">
        <w:tab/>
        <w:t xml:space="preserve">Factor que remunera el costo adicional por personal y transporte de la unidad constructiva </w:t>
      </w:r>
      <w:r w:rsidRPr="004E6CFC">
        <w:rPr>
          <w:i/>
        </w:rPr>
        <w:t>i</w:t>
      </w:r>
      <w:r w:rsidRPr="004E6CFC">
        <w:t>. Para los niveles de tensión 1 y 2 corresponde a 1,08, mientras que para los niveles de tensión 3 y 4 es 1.</w:t>
      </w:r>
    </w:p>
    <w:p w:rsidR="00D45FAF" w:rsidRPr="004E6CFC" w:rsidRDefault="00D45FAF" w:rsidP="00D45FAF">
      <w:pPr>
        <w:ind w:left="1410" w:hanging="1410"/>
      </w:pPr>
      <w:r w:rsidRPr="004E6CFC">
        <w:rPr>
          <w:i/>
          <w:iCs/>
        </w:rPr>
        <w:t>CR</w:t>
      </w:r>
      <w:r w:rsidRPr="004E6CFC">
        <w:rPr>
          <w:i/>
          <w:iCs/>
          <w:vertAlign w:val="subscript"/>
        </w:rPr>
        <w:t>i</w:t>
      </w:r>
      <w:r w:rsidRPr="004E6CFC">
        <w:t>:</w:t>
      </w:r>
      <w:r w:rsidRPr="004E6CFC">
        <w:tab/>
        <w:t xml:space="preserve">Valor de la UC </w:t>
      </w:r>
      <w:r w:rsidRPr="004E6CFC">
        <w:rPr>
          <w:i/>
          <w:iCs/>
        </w:rPr>
        <w:t>i</w:t>
      </w:r>
      <w:r w:rsidRPr="004E6CFC">
        <w:rPr>
          <w:iCs/>
        </w:rPr>
        <w:t>,</w:t>
      </w:r>
      <w:r w:rsidRPr="004E6CFC">
        <w:t xml:space="preserve"> definidos en el capítulo </w:t>
      </w:r>
      <w:r w:rsidRPr="004E6CFC">
        <w:fldChar w:fldCharType="begin"/>
      </w:r>
      <w:r w:rsidRPr="004E6CFC">
        <w:instrText xml:space="preserve"> REF _Ref465981854 \r \h \t \* MERGEFORMAT </w:instrText>
      </w:r>
      <w:r w:rsidRPr="004E6CFC">
        <w:fldChar w:fldCharType="separate"/>
      </w:r>
      <w:r w:rsidR="00737178">
        <w:t>14</w:t>
      </w:r>
      <w:r w:rsidRPr="004E6CFC">
        <w:fldChar w:fldCharType="end"/>
      </w:r>
      <w:r w:rsidRPr="004E6CFC">
        <w:t>.</w:t>
      </w:r>
    </w:p>
    <w:p w:rsidR="00D45FAF" w:rsidRPr="004E6CFC" w:rsidRDefault="00D45FAF" w:rsidP="00D45FAF">
      <w:pPr>
        <w:tabs>
          <w:tab w:val="left" w:pos="1418"/>
        </w:tabs>
        <w:spacing w:before="120"/>
        <w:ind w:left="1418" w:hanging="1418"/>
      </w:pPr>
      <w:r w:rsidRPr="004E6CFC">
        <w:rPr>
          <w:i/>
          <w:iCs/>
        </w:rPr>
        <w:t>PU</w:t>
      </w:r>
      <w:r w:rsidRPr="004E6CFC">
        <w:rPr>
          <w:i/>
          <w:iCs/>
          <w:vertAlign w:val="subscript"/>
        </w:rPr>
        <w:t>i</w:t>
      </w:r>
      <w:r w:rsidRPr="004E6CFC">
        <w:rPr>
          <w:i/>
          <w:iCs/>
        </w:rPr>
        <w:t>:</w:t>
      </w:r>
      <w:r w:rsidRPr="004E6CFC">
        <w:tab/>
        <w:t xml:space="preserve">Fracción del costo de la UC </w:t>
      </w:r>
      <w:r w:rsidRPr="004E6CFC">
        <w:rPr>
          <w:i/>
          <w:iCs/>
        </w:rPr>
        <w:t>i</w:t>
      </w:r>
      <w:r w:rsidRPr="004E6CFC">
        <w:t xml:space="preserve"> que es reconocida mediante cargos por uso.</w:t>
      </w:r>
    </w:p>
    <w:p w:rsidR="00D45FAF" w:rsidRPr="004E6CFC" w:rsidRDefault="00D45FAF" w:rsidP="00D45FAF">
      <w:pPr>
        <w:tabs>
          <w:tab w:val="left" w:pos="1418"/>
        </w:tabs>
        <w:spacing w:before="120"/>
        <w:ind w:left="1418" w:hanging="1418"/>
      </w:pPr>
      <w:r w:rsidRPr="004E6CFC">
        <w:rPr>
          <w:i/>
          <w:iCs/>
        </w:rPr>
        <w:t>RPP</w:t>
      </w:r>
      <w:r w:rsidRPr="004E6CFC">
        <w:rPr>
          <w:i/>
          <w:iCs/>
          <w:vertAlign w:val="subscript"/>
        </w:rPr>
        <w:t>i</w:t>
      </w:r>
      <w:r w:rsidRPr="004E6CFC">
        <w:rPr>
          <w:i/>
          <w:iCs/>
        </w:rPr>
        <w:t>:</w:t>
      </w:r>
      <w:r w:rsidRPr="004E6CFC">
        <w:tab/>
        <w:t xml:space="preserve">Fracción del costo de la UC </w:t>
      </w:r>
      <w:r w:rsidRPr="004E6CFC">
        <w:rPr>
          <w:i/>
          <w:iCs/>
        </w:rPr>
        <w:t>i</w:t>
      </w:r>
      <w:r w:rsidRPr="004E6CFC">
        <w:t xml:space="preserve"> que es</w:t>
      </w:r>
      <w:r w:rsidRPr="004E6CFC">
        <w:rPr>
          <w:i/>
        </w:rPr>
        <w:t xml:space="preserve"> </w:t>
      </w:r>
      <w:r w:rsidRPr="004E6CFC">
        <w:t>remunerada vía cargos por uso que no se debe incluir en el cálculo de la tarifa.</w:t>
      </w:r>
    </w:p>
    <w:p w:rsidR="00D45FAF" w:rsidRPr="004E6CFC" w:rsidRDefault="00D45FAF" w:rsidP="00D45FAF">
      <w:pPr>
        <w:pStyle w:val="Ttulo2"/>
      </w:pPr>
      <w:bookmarkStart w:id="1044" w:name="_Toc440029189"/>
      <w:bookmarkStart w:id="1045" w:name="_Toc460840677"/>
      <w:r w:rsidRPr="004E6CFC">
        <w:t xml:space="preserve"> </w:t>
      </w:r>
      <w:bookmarkStart w:id="1046" w:name="_Toc504809509"/>
      <w:bookmarkStart w:id="1047" w:name="_Toc505336019"/>
      <w:r w:rsidRPr="004E6CFC">
        <w:t>Formato de reporte de información</w:t>
      </w:r>
      <w:bookmarkEnd w:id="1044"/>
      <w:bookmarkEnd w:id="1045"/>
      <w:bookmarkEnd w:id="1046"/>
      <w:bookmarkEnd w:id="1047"/>
      <w:r w:rsidRPr="004E6CFC">
        <w:t xml:space="preserve"> </w:t>
      </w:r>
    </w:p>
    <w:p w:rsidR="00D45FAF" w:rsidRPr="004E6CFC" w:rsidRDefault="00D45FAF" w:rsidP="00D45FAF">
      <w:r w:rsidRPr="004E6CFC">
        <w:t>La CREG en circular aparte, publicará el contenido del informe, los formatos y el procedimiento de reporte de los proyectos de expansión de cobertura para los que se solicita su remuneración y de aquellos puestos en operación.</w:t>
      </w:r>
    </w:p>
    <w:p w:rsidR="00D45FAF" w:rsidRPr="004E6CFC" w:rsidRDefault="00D45FAF" w:rsidP="00D45FAF">
      <w:pPr>
        <w:pStyle w:val="Ttulo2"/>
      </w:pPr>
      <w:r w:rsidRPr="004E6CFC">
        <w:t xml:space="preserve"> </w:t>
      </w:r>
      <w:bookmarkStart w:id="1048" w:name="_Toc504809510"/>
      <w:bookmarkStart w:id="1049" w:name="_Toc505336020"/>
      <w:r w:rsidRPr="004E6CFC">
        <w:t>SEGUIMIENTO PLANES DE expansión de cobertura</w:t>
      </w:r>
      <w:bookmarkEnd w:id="1048"/>
      <w:bookmarkEnd w:id="1049"/>
      <w:r w:rsidRPr="004E6CFC">
        <w:t xml:space="preserve"> </w:t>
      </w:r>
    </w:p>
    <w:p w:rsidR="00D45FAF" w:rsidRPr="004E6CFC" w:rsidRDefault="00D45FAF" w:rsidP="00D45FAF">
      <w:r w:rsidRPr="004E6CFC">
        <w:t xml:space="preserve">Los proyectos de inversión ejecutados por los OR en cumplimiento de su plan anual de expansión de cobertura se incluirán en el proceso de seguimiento establecido en el numeral </w:t>
      </w:r>
      <w:r w:rsidRPr="004E6CFC">
        <w:fldChar w:fldCharType="begin"/>
      </w:r>
      <w:r w:rsidRPr="004E6CFC">
        <w:instrText xml:space="preserve"> REF _Ref461112004 \r \h  \* MERGEFORMAT </w:instrText>
      </w:r>
      <w:r w:rsidRPr="004E6CFC">
        <w:fldChar w:fldCharType="separate"/>
      </w:r>
      <w:r w:rsidR="00737178">
        <w:t>6.5</w:t>
      </w:r>
      <w:r w:rsidRPr="004E6CFC">
        <w:fldChar w:fldCharType="end"/>
      </w:r>
      <w:r w:rsidRPr="004E6CFC">
        <w:t>.</w:t>
      </w:r>
    </w:p>
    <w:p w:rsidR="00D45FAF" w:rsidRPr="004E6CFC" w:rsidRDefault="00D45FAF" w:rsidP="00D45FAF">
      <w:pPr>
        <w:pStyle w:val="Ttulo2"/>
      </w:pPr>
      <w:bookmarkStart w:id="1050" w:name="_Toc504809511"/>
      <w:bookmarkStart w:id="1051" w:name="_Toc505336021"/>
      <w:r w:rsidRPr="004E6CFC">
        <w:t>Publicidad y difusión de los planes de inversión</w:t>
      </w:r>
      <w:bookmarkEnd w:id="1050"/>
      <w:bookmarkEnd w:id="1051"/>
      <w:r w:rsidRPr="004E6CFC">
        <w:t xml:space="preserve"> </w:t>
      </w:r>
    </w:p>
    <w:p w:rsidR="00447B18" w:rsidRPr="004E6CFC" w:rsidRDefault="00D45FAF" w:rsidP="00D45FAF">
      <w:r w:rsidRPr="004E6CFC">
        <w:t xml:space="preserve">Los proyectos de inversión ejecutados por los OR en cumplimiento de su plan anual de expansión de cobertura se incluirán en el proceso de publicidad y difusión establecido en el numeral </w:t>
      </w:r>
      <w:r w:rsidRPr="004E6CFC">
        <w:fldChar w:fldCharType="begin"/>
      </w:r>
      <w:r w:rsidRPr="004E6CFC">
        <w:instrText xml:space="preserve"> REF _Ref461112003 \r \h  \* MERGEFORMAT </w:instrText>
      </w:r>
      <w:r w:rsidRPr="004E6CFC">
        <w:fldChar w:fldCharType="separate"/>
      </w:r>
      <w:r w:rsidR="00737178">
        <w:t>6.7</w:t>
      </w:r>
      <w:r w:rsidRPr="004E6CFC">
        <w:fldChar w:fldCharType="end"/>
      </w:r>
      <w:r w:rsidRPr="004E6CFC">
        <w:t>.</w:t>
      </w:r>
    </w:p>
    <w:p w:rsidR="00447B18" w:rsidRPr="004E6CFC" w:rsidRDefault="00447B18">
      <w:pPr>
        <w:spacing w:before="0" w:after="0"/>
        <w:jc w:val="left"/>
      </w:pPr>
      <w:r w:rsidRPr="004E6CFC">
        <w:br w:type="page"/>
      </w:r>
    </w:p>
    <w:p w:rsidR="003F468A" w:rsidRPr="004E77B3" w:rsidRDefault="003F468A" w:rsidP="003F468A">
      <w:pPr>
        <w:pStyle w:val="Ttulo1"/>
        <w:rPr>
          <w:lang w:val="es-ES"/>
        </w:rPr>
      </w:pPr>
      <w:bookmarkStart w:id="1052" w:name="_Ref465976561"/>
      <w:bookmarkStart w:id="1053" w:name="_Ref465977638"/>
      <w:bookmarkStart w:id="1054" w:name="_Ref465977826"/>
      <w:bookmarkStart w:id="1055" w:name="_Ref465978888"/>
      <w:bookmarkStart w:id="1056" w:name="_Ref465979410"/>
      <w:bookmarkStart w:id="1057" w:name="_Ref465979471"/>
      <w:bookmarkStart w:id="1058" w:name="_Ref465979536"/>
      <w:bookmarkStart w:id="1059" w:name="_Ref465979729"/>
      <w:bookmarkStart w:id="1060" w:name="_Ref465980237"/>
      <w:bookmarkStart w:id="1061" w:name="_Ref465980360"/>
      <w:bookmarkStart w:id="1062" w:name="_Ref465980531"/>
      <w:bookmarkStart w:id="1063" w:name="_Ref465980562"/>
      <w:bookmarkStart w:id="1064" w:name="_Ref465980638"/>
      <w:bookmarkStart w:id="1065" w:name="_Ref465980736"/>
      <w:bookmarkStart w:id="1066" w:name="_Ref465981854"/>
      <w:bookmarkStart w:id="1067" w:name="_Ref465982210"/>
      <w:bookmarkStart w:id="1068" w:name="_Toc505336022"/>
      <w:r w:rsidRPr="004E77B3">
        <w:rPr>
          <w:caps w:val="0"/>
          <w:lang w:val="es-ES"/>
        </w:rPr>
        <w:lastRenderedPageBreak/>
        <w:t>UC PARA VALORACIÓN DE ACTIVOS NUEVOS</w:t>
      </w:r>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p>
    <w:p w:rsidR="0094295C" w:rsidRPr="004E6CFC" w:rsidRDefault="0094295C" w:rsidP="0094295C">
      <w:r w:rsidRPr="004E6CFC">
        <w:t>En este capítulo se definen las UC de los STR y SDL para la valoración de las inversiones en todos los niveles de tensión a realizar durante el periodo tarifario.</w:t>
      </w:r>
    </w:p>
    <w:p w:rsidR="0094295C" w:rsidRDefault="0094295C" w:rsidP="0094295C">
      <w:r w:rsidRPr="004E6CFC">
        <w:t xml:space="preserve">Los costos </w:t>
      </w:r>
      <w:r>
        <w:t>socio-</w:t>
      </w:r>
      <w:r w:rsidRPr="004E6CFC">
        <w:t xml:space="preserve">ambientales y de servidumbres </w:t>
      </w:r>
      <w:r>
        <w:t xml:space="preserve">relacionados estrictamente con los proyectos de activos de uso </w:t>
      </w:r>
      <w:r w:rsidRPr="004E6CFC">
        <w:t>serán reportados y reconocidos según su ejecución</w:t>
      </w:r>
      <w:r>
        <w:t>, en la anualidad del año siguiente al de entrada en operación del proyecto de la siguiente manera:</w:t>
      </w:r>
    </w:p>
    <w:p w:rsidR="0094295C" w:rsidRDefault="0094295C" w:rsidP="00462078">
      <w:pPr>
        <w:pStyle w:val="Prrafodelista"/>
        <w:numPr>
          <w:ilvl w:val="0"/>
          <w:numId w:val="93"/>
        </w:numPr>
        <w:ind w:left="426"/>
      </w:pPr>
      <w:r>
        <w:t xml:space="preserve">Cuando dichos costos sean menores o iguales al 5% del valor de las UC de los activos relacionados, se reconocerán de acuerdo con lo reportado mediante los comprobantes de costo que correspondan. </w:t>
      </w:r>
    </w:p>
    <w:p w:rsidR="0094295C" w:rsidRPr="004E6CFC" w:rsidRDefault="0094295C" w:rsidP="00462078">
      <w:pPr>
        <w:pStyle w:val="Prrafodelista"/>
        <w:numPr>
          <w:ilvl w:val="0"/>
          <w:numId w:val="93"/>
        </w:numPr>
        <w:ind w:left="426"/>
      </w:pPr>
      <w:r>
        <w:t>En el caso de las servidumbres cuyo valor exceda el 5% del costo de las UC del proyecto, serán reconocidos de acuerdo con la escritura pública que se constituya según el valor que se determine a través de sentencia judicial. Los costos sociales o ambientales que superen el 5% del costo de las UC del proyecto serán reconocidos según la mejor alternativa aprobada por la ANLA o la autoridad que corresponda en cada caso.</w:t>
      </w:r>
    </w:p>
    <w:p w:rsidR="0094295C" w:rsidRPr="004E6CFC" w:rsidRDefault="0094295C" w:rsidP="0094295C">
      <w:r w:rsidRPr="004E6CFC">
        <w:t>Cuando existan activos con características técnicas distintas a las de las UC establecidas, los OR podrán solicitar a la Comisión la creación de UC especiales. La solicitud debe estar acompañada de las consideraciones técnicas que justifican la creación de la UC especial, el costo detallado de cada equipo que la compone y los costos de instalación asociados. Para adquisiciones directas se debe adjuntar tres cotizaciones de suministro e instalación de los equipos que la conforman y para adquisiciones a través de concursos abiertos o licitaciones se deben enviar los documentos que acreditan su realización incluyendo los pliegos de solicitudes, términos de referencia, etc.</w:t>
      </w:r>
    </w:p>
    <w:p w:rsidR="0094295C" w:rsidRPr="004E6CFC" w:rsidRDefault="0094295C" w:rsidP="0094295C">
      <w:bookmarkStart w:id="1069" w:name="_Toc445212383"/>
      <w:bookmarkStart w:id="1070" w:name="_Toc445212523"/>
      <w:bookmarkStart w:id="1071" w:name="_Toc445212719"/>
      <w:bookmarkStart w:id="1072" w:name="_Toc445213746"/>
      <w:bookmarkEnd w:id="1069"/>
      <w:bookmarkEnd w:id="1070"/>
      <w:bookmarkEnd w:id="1071"/>
      <w:bookmarkEnd w:id="1072"/>
      <w:r w:rsidRPr="004E6CFC">
        <w:t xml:space="preserve">Las UC establecidas por la Comisión contienen los equipos y accesorios necesarios para la prestación del servicio con los niveles de calidad exigidos por la CREG, cumpliendo con la normatividad vigente en materia de seguridad. </w:t>
      </w:r>
    </w:p>
    <w:p w:rsidR="0094295C" w:rsidRPr="004E6CFC" w:rsidRDefault="0094295C" w:rsidP="0094295C">
      <w:r w:rsidRPr="004E6CFC">
        <w:t>Para la clasificación de los activos en las UC se tendrá en cuenta lo siguiente:</w:t>
      </w:r>
    </w:p>
    <w:p w:rsidR="0094295C" w:rsidRPr="004E6CFC" w:rsidRDefault="00DF3655" w:rsidP="006178BD">
      <w:pPr>
        <w:pStyle w:val="Ttulo2"/>
      </w:pPr>
      <w:bookmarkStart w:id="1073" w:name="_Toc408493228"/>
      <w:bookmarkStart w:id="1074" w:name="_Toc440029174"/>
      <w:bookmarkStart w:id="1075" w:name="_Toc443655761"/>
      <w:bookmarkStart w:id="1076" w:name="_Toc445214151"/>
      <w:bookmarkStart w:id="1077" w:name="_Toc476824971"/>
      <w:r>
        <w:t xml:space="preserve"> </w:t>
      </w:r>
      <w:bookmarkStart w:id="1078" w:name="_Toc505336023"/>
      <w:r w:rsidR="0094295C" w:rsidRPr="004E6CFC">
        <w:t>UC asociadas a subestaciones</w:t>
      </w:r>
      <w:bookmarkEnd w:id="1073"/>
      <w:bookmarkEnd w:id="1074"/>
      <w:bookmarkEnd w:id="1075"/>
      <w:bookmarkEnd w:id="1076"/>
      <w:bookmarkEnd w:id="1077"/>
      <w:bookmarkEnd w:id="1078"/>
      <w:r w:rsidR="0094295C" w:rsidRPr="004E6CFC">
        <w:t xml:space="preserve"> </w:t>
      </w:r>
    </w:p>
    <w:p w:rsidR="0094295C" w:rsidRPr="004E6CFC" w:rsidRDefault="0094295C" w:rsidP="0094295C">
      <w:pPr>
        <w:pStyle w:val="Prrafodelista"/>
        <w:numPr>
          <w:ilvl w:val="0"/>
          <w:numId w:val="85"/>
        </w:numPr>
        <w:spacing w:before="120" w:after="120"/>
        <w:ind w:left="357" w:hanging="357"/>
      </w:pPr>
      <w:r w:rsidRPr="004E6CFC">
        <w:t>Se considerarán como activos de conexión al STN las siguientes UC: la bahía de transformador con tensión mayor o igual a 220 kV, el transformador con una tensión primaria mayor o igual a 220 kV y secundaria cualquier tensión inferior a 220</w:t>
      </w:r>
      <w:r>
        <w:t> </w:t>
      </w:r>
      <w:r w:rsidRPr="004E6CFC">
        <w:t>kV y la bahía de transformador del lado de baja.</w:t>
      </w:r>
    </w:p>
    <w:p w:rsidR="0094295C" w:rsidRPr="004E6CFC" w:rsidRDefault="0094295C" w:rsidP="0094295C">
      <w:pPr>
        <w:pStyle w:val="Prrafodelista"/>
        <w:numPr>
          <w:ilvl w:val="0"/>
          <w:numId w:val="85"/>
        </w:numPr>
        <w:spacing w:before="120" w:after="0"/>
      </w:pPr>
      <w:r w:rsidRPr="004E6CFC">
        <w:t>Pertenecen a nivel de tensión 4 todas las UC que sirven en forma exclusiva este nivel de tensión, tales como: bahías de líneas, líneas con tensiones de operación que pertenecen a este nivel de tensión, módulos comunes de este nivel de tensión, los módulos de barraje, módulos de compensación y las bahías de conexión correspondientes, bahías de maniobra, los transformadores con tensión primaria y secundaria en éste nivel de tensión y los activos de conexión al STN con tensión secundaria de nivel de tensión</w:t>
      </w:r>
      <w:r>
        <w:t> </w:t>
      </w:r>
      <w:r w:rsidRPr="004E6CFC">
        <w:t xml:space="preserve">4. </w:t>
      </w:r>
    </w:p>
    <w:p w:rsidR="0094295C" w:rsidRPr="004E6CFC" w:rsidRDefault="0094295C" w:rsidP="0094295C">
      <w:pPr>
        <w:pStyle w:val="Prrafodelista"/>
        <w:numPr>
          <w:ilvl w:val="0"/>
          <w:numId w:val="85"/>
        </w:numPr>
        <w:spacing w:before="120" w:after="0"/>
      </w:pPr>
      <w:r w:rsidRPr="004E6CFC">
        <w:t xml:space="preserve">Para las UC de transformadores de potencia se define un componente de costo fijo de instalación y un componente de costo variable por MVA para cada tipo </w:t>
      </w:r>
      <w:r w:rsidRPr="004E6CFC">
        <w:lastRenderedPageBreak/>
        <w:t>de transformador y nivel de tensión. El OR debe reportar para cada nivel de tensión el tipo de transformador con su capacidad asociada en MVA.</w:t>
      </w:r>
    </w:p>
    <w:p w:rsidR="0094295C" w:rsidRPr="004E6CFC" w:rsidRDefault="0094295C" w:rsidP="0094295C">
      <w:pPr>
        <w:pStyle w:val="Prrafodelista"/>
        <w:numPr>
          <w:ilvl w:val="0"/>
          <w:numId w:val="85"/>
        </w:numPr>
        <w:spacing w:before="120" w:after="0"/>
      </w:pPr>
      <w:r w:rsidRPr="004E6CFC">
        <w:t>Se definen UC de equipos en niveles de tensión 4, 3 y 2, que corresponden a elementos no incluidos en las UC de subestaciones del respectivo nivel de tensión y que el OR puede reportar en forma separada, en caso de contar con estos equipos en su sistema.</w:t>
      </w:r>
    </w:p>
    <w:p w:rsidR="0094295C" w:rsidRPr="004E6CFC" w:rsidRDefault="0094295C" w:rsidP="0094295C">
      <w:pPr>
        <w:pStyle w:val="Prrafodelista"/>
        <w:numPr>
          <w:ilvl w:val="0"/>
          <w:numId w:val="85"/>
        </w:numPr>
        <w:spacing w:before="120" w:after="0"/>
      </w:pPr>
      <w:r w:rsidRPr="004E6CFC">
        <w:t>Para los niveles de tensión 3 y 2 las bahías de conexión de equipos de compensación se asimilan a las UC de bahía de línea para la respectiva configuración y nivel de tensión.</w:t>
      </w:r>
    </w:p>
    <w:p w:rsidR="0094295C" w:rsidRPr="004E6CFC" w:rsidRDefault="0094295C" w:rsidP="0094295C">
      <w:pPr>
        <w:pStyle w:val="Prrafodelista"/>
        <w:numPr>
          <w:ilvl w:val="0"/>
          <w:numId w:val="85"/>
        </w:numPr>
        <w:spacing w:before="120" w:after="0"/>
      </w:pPr>
      <w:r w:rsidRPr="004E6CFC">
        <w:t xml:space="preserve">El módulo común es el conjunto de equipos y obras comunes que sirven a la subestación en ese nivel de tensión y está compuesto por servicios auxiliares, malla de puesta a tierra y obras civiles no asociadas a una UC en particular. </w:t>
      </w:r>
    </w:p>
    <w:p w:rsidR="0094295C" w:rsidRPr="004E6CFC" w:rsidRDefault="0094295C" w:rsidP="0094295C">
      <w:pPr>
        <w:pStyle w:val="Prrafodelista"/>
        <w:numPr>
          <w:ilvl w:val="0"/>
          <w:numId w:val="85"/>
        </w:numPr>
        <w:spacing w:before="120" w:after="0"/>
      </w:pPr>
      <w:r w:rsidRPr="004E6CFC">
        <w:t xml:space="preserve">Los elementos de protección de barras, sistemas de control y comunicaciones se reconocen como UC de centros de control. </w:t>
      </w:r>
    </w:p>
    <w:p w:rsidR="0094295C" w:rsidRPr="004E6CFC" w:rsidRDefault="0094295C" w:rsidP="0094295C">
      <w:pPr>
        <w:pStyle w:val="Prrafodelista"/>
        <w:numPr>
          <w:ilvl w:val="0"/>
          <w:numId w:val="85"/>
        </w:numPr>
        <w:spacing w:before="120" w:after="0"/>
      </w:pPr>
      <w:r w:rsidRPr="004E6CFC">
        <w:t xml:space="preserve">El edificio de control se reconoce como una UC denominada casa de control. </w:t>
      </w:r>
    </w:p>
    <w:p w:rsidR="0094295C" w:rsidRPr="004E6CFC" w:rsidRDefault="0094295C" w:rsidP="0094295C">
      <w:pPr>
        <w:pStyle w:val="Prrafodelista"/>
        <w:numPr>
          <w:ilvl w:val="0"/>
          <w:numId w:val="85"/>
        </w:numPr>
        <w:spacing w:before="120" w:after="0"/>
      </w:pPr>
      <w:r w:rsidRPr="004E6CFC">
        <w:t xml:space="preserve">Se </w:t>
      </w:r>
      <w:r>
        <w:t>debe</w:t>
      </w:r>
      <w:r w:rsidRPr="004E6CFC">
        <w:t xml:space="preserve"> reportar una UC de módulo común por cada nivel de tensión existente en la subestación</w:t>
      </w:r>
      <w:r>
        <w:t xml:space="preserve"> exceptuando el nivel 1</w:t>
      </w:r>
      <w:r w:rsidRPr="004E6CFC">
        <w:t xml:space="preserve">. </w:t>
      </w:r>
    </w:p>
    <w:p w:rsidR="0094295C" w:rsidRPr="004E6CFC" w:rsidRDefault="0094295C" w:rsidP="0094295C">
      <w:pPr>
        <w:pStyle w:val="Prrafodelista"/>
        <w:numPr>
          <w:ilvl w:val="0"/>
          <w:numId w:val="85"/>
        </w:numPr>
        <w:spacing w:before="120" w:after="0"/>
      </w:pPr>
      <w:r>
        <w:t>El costo de l</w:t>
      </w:r>
      <w:r w:rsidRPr="004E6CFC">
        <w:t xml:space="preserve">a UC de módulo común se define por bahía y, por tanto, para calcular el valor del módulo común, primero se debe ubicar el tipo de módulo común </w:t>
      </w:r>
      <w:r>
        <w:t xml:space="preserve">por nivel de tensión </w:t>
      </w:r>
      <w:r w:rsidRPr="004E6CFC">
        <w:t xml:space="preserve">al que pertenece una subestación y luego, multiplicar el número de bahías existentes en la subestación, </w:t>
      </w:r>
      <w:r>
        <w:t>en dicho</w:t>
      </w:r>
      <w:r w:rsidRPr="004E6CFC">
        <w:t xml:space="preserve"> nivel de tensión, por el valor de la UC correspondiente. La cantidad de celdas no se considera para efectos de definir el tipo de módulo común de la subestación. </w:t>
      </w:r>
    </w:p>
    <w:p w:rsidR="0094295C" w:rsidRPr="004E6CFC" w:rsidRDefault="0094295C" w:rsidP="0094295C">
      <w:pPr>
        <w:pStyle w:val="Prrafodelista"/>
        <w:numPr>
          <w:ilvl w:val="0"/>
          <w:numId w:val="85"/>
        </w:numPr>
        <w:spacing w:before="120" w:after="0"/>
      </w:pPr>
      <w:r w:rsidRPr="004E6CFC">
        <w:t xml:space="preserve">En subestaciones con nivel de tensión 4, se definen dos grupos de UC de módulos comunes dependiendo de si se trata de subestaciones convencionales o encapsuladas </w:t>
      </w:r>
      <w:r>
        <w:t xml:space="preserve">y por nivel de tensión y conforme al número de bahías </w:t>
      </w:r>
      <w:r w:rsidRPr="004E6CFC">
        <w:t xml:space="preserve">así: módulo común tipo 1 para S/E de 1 a 4 bahías, módulo común tipo 2 para S/E de 5 a 8 bahías, módulo común tipo 3 para S/E de 9 a 12 bahías y módulo común tipo 4 para S/E con más de 12 bahías. </w:t>
      </w:r>
      <w:r>
        <w:t>Luego de conocer la clasificación de la UC, se debe multiplicar el valor de la UC por el número de bahías en este nivel de tensión dado que el valor presentado es por bahía.</w:t>
      </w:r>
    </w:p>
    <w:p w:rsidR="0094295C" w:rsidRPr="004E6CFC" w:rsidRDefault="0094295C" w:rsidP="0094295C">
      <w:pPr>
        <w:pStyle w:val="Prrafodelista"/>
        <w:numPr>
          <w:ilvl w:val="0"/>
          <w:numId w:val="85"/>
        </w:numPr>
        <w:spacing w:before="120" w:after="0"/>
      </w:pPr>
      <w:r w:rsidRPr="004E6CFC">
        <w:t>En subestaciones de nivel de tensión 4, las UC de módulo de barraje se asocian con el número de bahías de este nivel de tensión existentes en la subestación así: módulo de barraje tipo 1 para S/E de 1 a 4 bahías; módulo de barraje tipo 2 para S/E de 5 a 8 bahías; módulo de barraje tipo 3 para S/E de 9 a 12 bahías y módulo de barraje tipo 4 para S/E con más de 12 bahías.</w:t>
      </w:r>
    </w:p>
    <w:p w:rsidR="0094295C" w:rsidRPr="004E6CFC" w:rsidRDefault="0094295C" w:rsidP="0094295C">
      <w:pPr>
        <w:pStyle w:val="Prrafodelista"/>
        <w:numPr>
          <w:ilvl w:val="0"/>
          <w:numId w:val="85"/>
        </w:numPr>
        <w:spacing w:before="120" w:after="0"/>
      </w:pPr>
      <w:r w:rsidRPr="004E6CFC">
        <w:t>En subestaciones con nivel de tensión 3, se definen 4 UC de modulo común por bahía: módulo común tipo 1 para S/E de 1 a 3 bahías, módulo común tipo 2 para S/E de 4 a 6 bahías, módulo común tipo 3 para S/E con más de 6 bahías y módulo común tipo 4 para S/E con celdas en el lado de alta y que no tienen bahías.</w:t>
      </w:r>
      <w:r>
        <w:t xml:space="preserve"> Luego de conocer la clasificación de la UC, se debe multiplicar el valor de la UC por el número de bahías en este nivel de tensión dado que el valor presentado es por bahía.</w:t>
      </w:r>
    </w:p>
    <w:p w:rsidR="0094295C" w:rsidRPr="004E6CFC" w:rsidRDefault="0094295C" w:rsidP="0094295C">
      <w:pPr>
        <w:pStyle w:val="Prrafodelista"/>
        <w:numPr>
          <w:ilvl w:val="0"/>
          <w:numId w:val="85"/>
        </w:numPr>
        <w:spacing w:before="120" w:after="0"/>
      </w:pPr>
      <w:r w:rsidRPr="004E6CFC">
        <w:t xml:space="preserve">En subestaciones con nivel de tensión 3, las UC de módulo de barraje se asocian al número de bahías de este nivel de tensión existentes en la </w:t>
      </w:r>
      <w:r w:rsidRPr="004E6CFC">
        <w:lastRenderedPageBreak/>
        <w:t>subestación así: módulo de barraje tipo 1 para S/E de 1 a 3 bahías; módulo de barraje tipo 2 para S/E de 4 a 6 bahías; módulo de barraje tipo 3 para S/E con más de 6 bahías.</w:t>
      </w:r>
    </w:p>
    <w:p w:rsidR="0094295C" w:rsidRPr="004E6CFC" w:rsidRDefault="0094295C" w:rsidP="0094295C">
      <w:pPr>
        <w:pStyle w:val="Prrafodelista"/>
        <w:numPr>
          <w:ilvl w:val="0"/>
          <w:numId w:val="85"/>
        </w:numPr>
        <w:spacing w:before="120" w:after="0"/>
      </w:pPr>
      <w:r w:rsidRPr="004E6CFC">
        <w:t>En subestaciones con nivel de tensión 2, se definen 4 UC de modulo común por bahía: módulo común tipo 1 para S/E de 1 a 3 bahías, módulo común tipo 2 para S/E de 4 a 6 bahías, módulo común tipo 3 para S/E con más de 6 bahías y módulo común tipo 4 para S/E tipo interior.</w:t>
      </w:r>
      <w:r>
        <w:t xml:space="preserve"> Luego de conocer la clasificación de la UC, se debe multiplicar el valor de la UC por el número de bahías en este nivel de tensión dado que el valor presentado es por bahía.</w:t>
      </w:r>
    </w:p>
    <w:p w:rsidR="0094295C" w:rsidRPr="004E6CFC" w:rsidRDefault="0094295C" w:rsidP="0094295C">
      <w:pPr>
        <w:pStyle w:val="Prrafodelista"/>
        <w:numPr>
          <w:ilvl w:val="0"/>
          <w:numId w:val="85"/>
        </w:numPr>
        <w:spacing w:before="120" w:after="0"/>
      </w:pPr>
      <w:r w:rsidRPr="004E6CFC">
        <w:t>En subestaciones con nivel de tensión 2, las UC de módulo de barraje se asocian al número de bahías o módulos de este nivel de tensión existentes en la subestación así: módulo de barraje tipo 1 para S/E de 1 a 3 bahías; módulo de barraje tipo 2 para S/E de 4 a 6 bahías; módulo de barraje Tipo 3 para S/E con más de 6 bahías.</w:t>
      </w:r>
    </w:p>
    <w:p w:rsidR="0094295C" w:rsidRPr="004E6CFC" w:rsidRDefault="0094295C" w:rsidP="0094295C">
      <w:pPr>
        <w:pStyle w:val="Prrafodelista"/>
        <w:numPr>
          <w:ilvl w:val="0"/>
          <w:numId w:val="85"/>
        </w:numPr>
        <w:adjustRightInd w:val="0"/>
        <w:spacing w:before="120" w:after="0"/>
        <w:textAlignment w:val="baseline"/>
      </w:pPr>
      <w:r w:rsidRPr="004E6CFC">
        <w:t xml:space="preserve">El costo de la casa de control de la subestación se define en función del área resultante de la cantidad de bahías y celdas existentes en la subestación más las áreas generales de acuerdo con las áreas reconocidas conforme </w:t>
      </w:r>
      <w:r>
        <w:t>con</w:t>
      </w:r>
      <w:r w:rsidRPr="004E6CFC">
        <w:t xml:space="preserve"> la siguiente expresión:</w:t>
      </w:r>
    </w:p>
    <w:p w:rsidR="0094295C" w:rsidRPr="004E6CFC" w:rsidRDefault="00C9592F" w:rsidP="0094295C">
      <w:pPr>
        <w:spacing w:before="120"/>
        <w:ind w:left="720"/>
        <w:jc w:val="center"/>
      </w:pPr>
      <m:oMathPara>
        <m:oMath>
          <m:sSub>
            <m:sSubPr>
              <m:ctrlPr>
                <w:rPr>
                  <w:rFonts w:ascii="Cambria Math" w:hAnsi="Cambria Math"/>
                  <w:i/>
                </w:rPr>
              </m:ctrlPr>
            </m:sSubPr>
            <m:e>
              <m:r>
                <w:rPr>
                  <w:rFonts w:ascii="Cambria Math" w:hAnsi="Cambria Math"/>
                </w:rPr>
                <m:t>CEC</m:t>
              </m:r>
            </m:e>
            <m:sub>
              <m:r>
                <w:rPr>
                  <w:rFonts w:ascii="Cambria Math" w:hAnsi="Cambria Math"/>
                </w:rPr>
                <m:t>n,s</m:t>
              </m:r>
            </m:sub>
          </m:sSub>
          <m:r>
            <w:rPr>
              <w:rFonts w:ascii="Cambria Math" w:hAnsi="Cambria Math"/>
            </w:rPr>
            <m:t>=</m:t>
          </m:r>
          <m:d>
            <m:dPr>
              <m:ctrlPr>
                <w:rPr>
                  <w:rFonts w:ascii="Cambria Math" w:hAnsi="Cambria Math"/>
                  <w:i/>
                </w:rPr>
              </m:ctrlPr>
            </m:dPr>
            <m:e>
              <m:sSub>
                <m:sSubPr>
                  <m:ctrlPr>
                    <w:rPr>
                      <w:rFonts w:ascii="Cambria Math" w:hAnsi="Cambria Math"/>
                      <w:i/>
                    </w:rPr>
                  </m:ctrlPr>
                </m:sSubPr>
                <m:e>
                  <m:r>
                    <w:rPr>
                      <w:rFonts w:ascii="Cambria Math" w:hAnsi="Cambria Math"/>
                    </w:rPr>
                    <m:t>AG</m:t>
                  </m:r>
                </m:e>
                <m:sub>
                  <m:r>
                    <w:rPr>
                      <w:rFonts w:ascii="Cambria Math" w:hAnsi="Cambria Math"/>
                    </w:rPr>
                    <m:t>n,s</m:t>
                  </m:r>
                </m:sub>
              </m:sSub>
              <m:r>
                <w:rPr>
                  <w:rFonts w:ascii="Cambria Math" w:hAnsi="Cambria Math"/>
                </w:rPr>
                <m:t>+ABh*</m:t>
              </m:r>
              <m:sSub>
                <m:sSubPr>
                  <m:ctrlPr>
                    <w:rPr>
                      <w:rFonts w:ascii="Cambria Math" w:hAnsi="Cambria Math"/>
                      <w:i/>
                    </w:rPr>
                  </m:ctrlPr>
                </m:sSubPr>
                <m:e>
                  <m:r>
                    <w:rPr>
                      <w:rFonts w:ascii="Cambria Math" w:hAnsi="Cambria Math"/>
                    </w:rPr>
                    <m:t>Bh</m:t>
                  </m:r>
                </m:e>
                <m:sub>
                  <m:r>
                    <w:rPr>
                      <w:rFonts w:ascii="Cambria Math" w:hAnsi="Cambria Math"/>
                    </w:rPr>
                    <m:t>n,s</m:t>
                  </m:r>
                </m:sub>
              </m:sSub>
              <m:r>
                <w:rPr>
                  <w:rFonts w:ascii="Cambria Math" w:hAnsi="Cambria Math"/>
                </w:rPr>
                <m:t>+ACe*</m:t>
              </m:r>
              <m:sSub>
                <m:sSubPr>
                  <m:ctrlPr>
                    <w:rPr>
                      <w:rFonts w:ascii="Cambria Math" w:hAnsi="Cambria Math"/>
                      <w:i/>
                    </w:rPr>
                  </m:ctrlPr>
                </m:sSubPr>
                <m:e>
                  <m:r>
                    <w:rPr>
                      <w:rFonts w:ascii="Cambria Math" w:hAnsi="Cambria Math"/>
                    </w:rPr>
                    <m:t>Ce</m:t>
                  </m:r>
                </m:e>
                <m:sub>
                  <m:r>
                    <w:rPr>
                      <w:rFonts w:ascii="Cambria Math" w:hAnsi="Cambria Math"/>
                    </w:rPr>
                    <m:t>n,s</m:t>
                  </m:r>
                </m:sub>
              </m:sSub>
            </m:e>
          </m:d>
          <m:r>
            <w:rPr>
              <w:rFonts w:ascii="Cambria Math" w:hAnsi="Cambria Math"/>
            </w:rPr>
            <m:t>*CC</m:t>
          </m:r>
        </m:oMath>
      </m:oMathPara>
    </w:p>
    <w:p w:rsidR="0094295C" w:rsidRPr="004E6CFC" w:rsidRDefault="0094295C" w:rsidP="0094295C">
      <w:pPr>
        <w:spacing w:before="120"/>
        <w:ind w:left="426"/>
      </w:pPr>
      <w:r w:rsidRPr="004E6CFC">
        <w:t>Donde:</w:t>
      </w:r>
    </w:p>
    <w:p w:rsidR="0094295C" w:rsidRPr="004E6CFC" w:rsidRDefault="0094295C" w:rsidP="0094295C">
      <w:pPr>
        <w:spacing w:before="120"/>
        <w:ind w:left="1985" w:hanging="1559"/>
      </w:pPr>
      <w:r w:rsidRPr="004E6CFC">
        <w:rPr>
          <w:i/>
        </w:rPr>
        <w:t>CEC</w:t>
      </w:r>
      <w:r w:rsidRPr="004E6CFC">
        <w:rPr>
          <w:i/>
          <w:vertAlign w:val="subscript"/>
        </w:rPr>
        <w:t>n,s</w:t>
      </w:r>
      <w:r w:rsidRPr="004E6CFC">
        <w:t>:</w:t>
      </w:r>
      <w:r w:rsidRPr="004E6CFC">
        <w:tab/>
        <w:t xml:space="preserve">Costo del edificio de control de la subestación </w:t>
      </w:r>
      <w:r w:rsidRPr="004E6CFC">
        <w:rPr>
          <w:i/>
        </w:rPr>
        <w:t>s</w:t>
      </w:r>
      <w:r w:rsidRPr="004E6CFC">
        <w:t xml:space="preserve"> con nivel de tensión </w:t>
      </w:r>
      <w:r w:rsidRPr="004E6CFC">
        <w:rPr>
          <w:i/>
        </w:rPr>
        <w:t>n</w:t>
      </w:r>
      <w:r w:rsidRPr="004E6CFC">
        <w:t xml:space="preserve"> en el lado de alta, (</w:t>
      </w:r>
      <w:r w:rsidRPr="004E6CFC">
        <w:rPr>
          <w:i/>
        </w:rPr>
        <w:t>n</w:t>
      </w:r>
      <w:r w:rsidRPr="004E6CFC">
        <w:t xml:space="preserve"> = 3 o 4).</w:t>
      </w:r>
    </w:p>
    <w:p w:rsidR="0094295C" w:rsidRPr="004E6CFC" w:rsidRDefault="0094295C" w:rsidP="0094295C">
      <w:pPr>
        <w:spacing w:before="120"/>
        <w:ind w:left="1985" w:hanging="1559"/>
      </w:pPr>
      <w:r w:rsidRPr="004E6CFC">
        <w:rPr>
          <w:i/>
        </w:rPr>
        <w:t>AG</w:t>
      </w:r>
      <w:r w:rsidRPr="004E6CFC">
        <w:rPr>
          <w:i/>
          <w:vertAlign w:val="subscript"/>
        </w:rPr>
        <w:t>n,s</w:t>
      </w:r>
      <w:r w:rsidRPr="004E6CFC">
        <w:t>:</w:t>
      </w:r>
      <w:r w:rsidRPr="004E6CFC">
        <w:tab/>
        <w:t xml:space="preserve">Área general de la subestación </w:t>
      </w:r>
      <w:r w:rsidRPr="004E6CFC">
        <w:rPr>
          <w:i/>
        </w:rPr>
        <w:t>s</w:t>
      </w:r>
      <w:r w:rsidRPr="004E6CFC">
        <w:t xml:space="preserve"> con nivel de tensión </w:t>
      </w:r>
      <w:r w:rsidRPr="004E6CFC">
        <w:rPr>
          <w:i/>
        </w:rPr>
        <w:t>n</w:t>
      </w:r>
      <w:r w:rsidRPr="004E6CFC">
        <w:t xml:space="preserve"> en el lado de alta, (</w:t>
      </w:r>
      <w:r w:rsidRPr="004E6CFC">
        <w:rPr>
          <w:i/>
        </w:rPr>
        <w:t>n</w:t>
      </w:r>
      <w:r w:rsidRPr="004E6CFC">
        <w:t xml:space="preserve"> = 3 o 4)</w:t>
      </w:r>
    </w:p>
    <w:p w:rsidR="0094295C" w:rsidRPr="004E6CFC" w:rsidRDefault="0094295C" w:rsidP="0094295C">
      <w:pPr>
        <w:spacing w:before="120"/>
        <w:ind w:left="1985" w:hanging="1559"/>
      </w:pPr>
      <w:r w:rsidRPr="004E6CFC">
        <w:rPr>
          <w:i/>
        </w:rPr>
        <w:t>ABh:</w:t>
      </w:r>
      <w:r w:rsidRPr="004E6CFC">
        <w:tab/>
        <w:t xml:space="preserve">Área reconocida para cualquier bahía de transformador o de línea de nivel de tensión </w:t>
      </w:r>
      <w:r>
        <w:t xml:space="preserve">2, </w:t>
      </w:r>
      <w:r w:rsidRPr="004E6CFC">
        <w:t xml:space="preserve">3, 4 o conexión al STN o para cualquier transformador de potencia de la subestación. </w:t>
      </w:r>
    </w:p>
    <w:p w:rsidR="0094295C" w:rsidRPr="004E6CFC" w:rsidRDefault="0094295C" w:rsidP="0094295C">
      <w:pPr>
        <w:spacing w:before="120"/>
        <w:ind w:left="1985" w:hanging="1559"/>
      </w:pPr>
      <w:r w:rsidRPr="004E6CFC">
        <w:rPr>
          <w:i/>
        </w:rPr>
        <w:t>Bh</w:t>
      </w:r>
      <w:r w:rsidRPr="004E6CFC">
        <w:rPr>
          <w:i/>
          <w:vertAlign w:val="subscript"/>
        </w:rPr>
        <w:t>n,s</w:t>
      </w:r>
      <w:r w:rsidRPr="004E6CFC">
        <w:t>:</w:t>
      </w:r>
      <w:r w:rsidRPr="004E6CFC">
        <w:tab/>
        <w:t xml:space="preserve">Número de bahías de transformador y de línea de los niveles de tensión </w:t>
      </w:r>
      <w:r>
        <w:t xml:space="preserve">2, </w:t>
      </w:r>
      <w:r w:rsidRPr="004E6CFC">
        <w:t xml:space="preserve">3, 4 y conexión al STN y transformadores de potencia existentes en la subestación </w:t>
      </w:r>
      <w:r w:rsidRPr="004E6CFC">
        <w:rPr>
          <w:i/>
        </w:rPr>
        <w:t>s</w:t>
      </w:r>
    </w:p>
    <w:p w:rsidR="0094295C" w:rsidRPr="004E6CFC" w:rsidRDefault="0094295C" w:rsidP="0094295C">
      <w:pPr>
        <w:spacing w:before="120"/>
        <w:ind w:left="1985" w:hanging="1559"/>
      </w:pPr>
      <w:r w:rsidRPr="004E6CFC">
        <w:rPr>
          <w:i/>
        </w:rPr>
        <w:t>ACe</w:t>
      </w:r>
      <w:r w:rsidRPr="004E6CFC">
        <w:t>:</w:t>
      </w:r>
      <w:r w:rsidRPr="004E6CFC">
        <w:tab/>
        <w:t>Área reconocida para cualquier celda de la subestación de nivel de tensión 3 o 4.</w:t>
      </w:r>
    </w:p>
    <w:p w:rsidR="0094295C" w:rsidRPr="004E6CFC" w:rsidRDefault="0094295C" w:rsidP="0094295C">
      <w:pPr>
        <w:spacing w:before="120"/>
        <w:ind w:left="1985" w:hanging="1559"/>
      </w:pPr>
      <w:r w:rsidRPr="004E6CFC">
        <w:rPr>
          <w:i/>
        </w:rPr>
        <w:t>Ce</w:t>
      </w:r>
      <w:r w:rsidRPr="004E6CFC">
        <w:rPr>
          <w:i/>
          <w:vertAlign w:val="subscript"/>
        </w:rPr>
        <w:t>n,s</w:t>
      </w:r>
      <w:r w:rsidRPr="004E6CFC">
        <w:t>:</w:t>
      </w:r>
      <w:r w:rsidRPr="004E6CFC">
        <w:tab/>
        <w:t xml:space="preserve">Número de celdas en operación en la subestación </w:t>
      </w:r>
      <w:r w:rsidRPr="004E6CFC">
        <w:rPr>
          <w:i/>
        </w:rPr>
        <w:t>s</w:t>
      </w:r>
      <w:r w:rsidRPr="004E6CFC">
        <w:t xml:space="preserve"> con nivel de tensión </w:t>
      </w:r>
      <w:r w:rsidRPr="004E6CFC">
        <w:rPr>
          <w:i/>
        </w:rPr>
        <w:t>n</w:t>
      </w:r>
      <w:r w:rsidRPr="004E6CFC">
        <w:t xml:space="preserve"> en el lado de alta, (</w:t>
      </w:r>
      <w:r w:rsidRPr="004E6CFC">
        <w:rPr>
          <w:i/>
        </w:rPr>
        <w:t>n</w:t>
      </w:r>
      <w:r w:rsidRPr="004E6CFC">
        <w:t xml:space="preserve"> = 3, 4 o Conexión al STN). Incluyendo las celdas de respaldo reconocidas.</w:t>
      </w:r>
    </w:p>
    <w:p w:rsidR="0094295C" w:rsidRPr="004E6CFC" w:rsidRDefault="0094295C" w:rsidP="0094295C">
      <w:pPr>
        <w:spacing w:before="120"/>
        <w:ind w:left="1985" w:hanging="1559"/>
      </w:pPr>
      <w:r w:rsidRPr="004E6CFC">
        <w:rPr>
          <w:i/>
        </w:rPr>
        <w:t>CC:</w:t>
      </w:r>
      <w:r w:rsidRPr="004E6CFC">
        <w:rPr>
          <w:i/>
        </w:rPr>
        <w:tab/>
      </w:r>
      <w:r w:rsidRPr="004E6CFC">
        <w:t>Costo por metro cuadrado del edificio de control de la subestación igual a $ 2.</w:t>
      </w:r>
      <w:r>
        <w:t>676</w:t>
      </w:r>
      <w:r w:rsidRPr="004E6CFC">
        <w:t>.000/m</w:t>
      </w:r>
      <w:r w:rsidRPr="004E6CFC">
        <w:rPr>
          <w:vertAlign w:val="superscript"/>
        </w:rPr>
        <w:t>2</w:t>
      </w:r>
      <w:r w:rsidRPr="004E6CFC">
        <w:t xml:space="preserve"> ($ de la fecha de corte)</w:t>
      </w:r>
    </w:p>
    <w:p w:rsidR="0094295C" w:rsidRPr="004E6CFC" w:rsidRDefault="0094295C" w:rsidP="0094295C">
      <w:pPr>
        <w:numPr>
          <w:ilvl w:val="0"/>
          <w:numId w:val="85"/>
        </w:numPr>
        <w:adjustRightInd w:val="0"/>
        <w:spacing w:before="120" w:after="0"/>
        <w:textAlignment w:val="baseline"/>
      </w:pPr>
      <w:r w:rsidRPr="004E6CFC">
        <w:t>El OR deberá reportar el área obtenida de la aplicación de la anterior fórmula para cada subestación que cuente con casa de control.</w:t>
      </w:r>
    </w:p>
    <w:p w:rsidR="0094295C" w:rsidRPr="004E6CFC" w:rsidRDefault="0094295C" w:rsidP="0094295C">
      <w:pPr>
        <w:numPr>
          <w:ilvl w:val="0"/>
          <w:numId w:val="85"/>
        </w:numPr>
        <w:adjustRightInd w:val="0"/>
        <w:spacing w:before="120" w:after="0"/>
        <w:textAlignment w:val="baseline"/>
      </w:pPr>
      <w:r w:rsidRPr="004E6CFC">
        <w:t>Las bahías de transformación, distintas a las asociadas con los transformadores de conexión al STN, se asocian con el nivel de tensión del secundario del transformador.</w:t>
      </w:r>
    </w:p>
    <w:p w:rsidR="0094295C" w:rsidRPr="004E6CFC" w:rsidRDefault="0094295C" w:rsidP="0094295C">
      <w:pPr>
        <w:numPr>
          <w:ilvl w:val="0"/>
          <w:numId w:val="85"/>
        </w:numPr>
        <w:adjustRightInd w:val="0"/>
        <w:spacing w:before="120" w:after="0"/>
        <w:textAlignment w:val="baseline"/>
      </w:pPr>
      <w:r w:rsidRPr="004E6CFC">
        <w:lastRenderedPageBreak/>
        <w:t>El costo de los transformadores tridevanados y sus bahías asociadas, se repartirá de la siguiente manera en los Niveles de Tensión:</w:t>
      </w:r>
    </w:p>
    <w:p w:rsidR="0094295C" w:rsidRPr="004E6CFC" w:rsidRDefault="00C9592F" w:rsidP="0094295C">
      <w:pPr>
        <w:jc w:val="center"/>
      </w:pPr>
      <m:oMathPara>
        <m:oMath>
          <m:sSub>
            <m:sSubPr>
              <m:ctrlPr>
                <w:rPr>
                  <w:rFonts w:ascii="Cambria Math" w:hAnsi="Cambria Math"/>
                  <w:i/>
                </w:rPr>
              </m:ctrlPr>
            </m:sSubPr>
            <m:e>
              <m:r>
                <w:rPr>
                  <w:rFonts w:ascii="Cambria Math" w:hAnsi="Cambria Math"/>
                </w:rPr>
                <m:t>C</m:t>
              </m:r>
            </m:e>
            <m:sub>
              <m:r>
                <w:rPr>
                  <w:rFonts w:ascii="Cambria Math" w:hAnsi="Cambria Math"/>
                </w:rPr>
                <m:t>L</m:t>
              </m:r>
            </m:sub>
          </m:sSub>
          <m:r>
            <w:rPr>
              <w:rFonts w:ascii="Cambria Math" w:hAnsi="Cambria Math"/>
            </w:rPr>
            <m:t>=CTRF*</m:t>
          </m:r>
          <m:f>
            <m:fPr>
              <m:ctrlPr>
                <w:rPr>
                  <w:rFonts w:ascii="Cambria Math" w:hAnsi="Cambria Math"/>
                  <w:i/>
                </w:rPr>
              </m:ctrlPr>
            </m:fPr>
            <m:num>
              <m:sSub>
                <m:sSubPr>
                  <m:ctrlPr>
                    <w:rPr>
                      <w:rFonts w:ascii="Cambria Math" w:hAnsi="Cambria Math"/>
                      <w:i/>
                    </w:rPr>
                  </m:ctrlPr>
                </m:sSubPr>
                <m:e>
                  <m:r>
                    <w:rPr>
                      <w:rFonts w:ascii="Cambria Math" w:hAnsi="Cambria Math"/>
                    </w:rPr>
                    <m:t>P</m:t>
                  </m:r>
                </m:e>
                <m:sub>
                  <m:r>
                    <w:rPr>
                      <w:rFonts w:ascii="Cambria Math" w:hAnsi="Cambria Math"/>
                    </w:rPr>
                    <m:t>L</m:t>
                  </m:r>
                </m:sub>
              </m:sSub>
            </m:num>
            <m:den>
              <m:d>
                <m:dPr>
                  <m:ctrlPr>
                    <w:rPr>
                      <w:rFonts w:ascii="Cambria Math" w:hAnsi="Cambria Math"/>
                      <w:i/>
                    </w:rPr>
                  </m:ctrlPr>
                </m:dPr>
                <m:e>
                  <m:sSub>
                    <m:sSubPr>
                      <m:ctrlPr>
                        <w:rPr>
                          <w:rFonts w:ascii="Cambria Math" w:hAnsi="Cambria Math"/>
                          <w:i/>
                        </w:rPr>
                      </m:ctrlPr>
                    </m:sSubPr>
                    <m:e>
                      <m:r>
                        <w:rPr>
                          <w:rFonts w:ascii="Cambria Math" w:hAnsi="Cambria Math"/>
                        </w:rPr>
                        <m:t>P</m:t>
                      </m:r>
                    </m:e>
                    <m:sub>
                      <m:r>
                        <w:rPr>
                          <w:rFonts w:ascii="Cambria Math" w:hAnsi="Cambria Math"/>
                        </w:rPr>
                        <m:t>L</m:t>
                      </m:r>
                    </m:sub>
                  </m:sSub>
                  <m:r>
                    <w:rPr>
                      <w:rFonts w:ascii="Cambria Math" w:hAnsi="Cambria Math"/>
                    </w:rPr>
                    <m:t>+</m:t>
                  </m:r>
                  <m:sSub>
                    <m:sSubPr>
                      <m:ctrlPr>
                        <w:rPr>
                          <w:rFonts w:ascii="Cambria Math" w:hAnsi="Cambria Math"/>
                          <w:i/>
                        </w:rPr>
                      </m:ctrlPr>
                    </m:sSubPr>
                    <m:e>
                      <m:r>
                        <w:rPr>
                          <w:rFonts w:ascii="Cambria Math" w:hAnsi="Cambria Math"/>
                        </w:rPr>
                        <m:t>P</m:t>
                      </m:r>
                    </m:e>
                    <m:sub>
                      <m:r>
                        <w:rPr>
                          <w:rFonts w:ascii="Cambria Math" w:hAnsi="Cambria Math"/>
                        </w:rPr>
                        <m:t>T</m:t>
                      </m:r>
                    </m:sub>
                  </m:sSub>
                </m:e>
              </m:d>
            </m:den>
          </m:f>
          <m:r>
            <w:rPr>
              <w:rFonts w:ascii="Cambria Math" w:hAnsi="Cambria Math"/>
            </w:rPr>
            <m:t>+CB*</m:t>
          </m:r>
          <m:f>
            <m:fPr>
              <m:ctrlPr>
                <w:rPr>
                  <w:rFonts w:ascii="Cambria Math" w:hAnsi="Cambria Math"/>
                  <w:i/>
                </w:rPr>
              </m:ctrlPr>
            </m:fPr>
            <m:num>
              <m:sSub>
                <m:sSubPr>
                  <m:ctrlPr>
                    <w:rPr>
                      <w:rFonts w:ascii="Cambria Math" w:hAnsi="Cambria Math"/>
                      <w:i/>
                    </w:rPr>
                  </m:ctrlPr>
                </m:sSubPr>
                <m:e>
                  <m:r>
                    <w:rPr>
                      <w:rFonts w:ascii="Cambria Math" w:hAnsi="Cambria Math"/>
                    </w:rPr>
                    <m:t>P</m:t>
                  </m:r>
                </m:e>
                <m:sub>
                  <m:r>
                    <w:rPr>
                      <w:rFonts w:ascii="Cambria Math" w:hAnsi="Cambria Math"/>
                    </w:rPr>
                    <m:t>L</m:t>
                  </m:r>
                </m:sub>
              </m:sSub>
            </m:num>
            <m:den>
              <m:d>
                <m:dPr>
                  <m:ctrlPr>
                    <w:rPr>
                      <w:rFonts w:ascii="Cambria Math" w:hAnsi="Cambria Math"/>
                      <w:i/>
                    </w:rPr>
                  </m:ctrlPr>
                </m:dPr>
                <m:e>
                  <m:sSub>
                    <m:sSubPr>
                      <m:ctrlPr>
                        <w:rPr>
                          <w:rFonts w:ascii="Cambria Math" w:hAnsi="Cambria Math"/>
                          <w:i/>
                        </w:rPr>
                      </m:ctrlPr>
                    </m:sSubPr>
                    <m:e>
                      <m:r>
                        <w:rPr>
                          <w:rFonts w:ascii="Cambria Math" w:hAnsi="Cambria Math"/>
                        </w:rPr>
                        <m:t>P</m:t>
                      </m:r>
                    </m:e>
                    <m:sub>
                      <m:r>
                        <w:rPr>
                          <w:rFonts w:ascii="Cambria Math" w:hAnsi="Cambria Math"/>
                        </w:rPr>
                        <m:t>L</m:t>
                      </m:r>
                    </m:sub>
                  </m:sSub>
                  <m:r>
                    <w:rPr>
                      <w:rFonts w:ascii="Cambria Math" w:hAnsi="Cambria Math"/>
                    </w:rPr>
                    <m:t>+</m:t>
                  </m:r>
                  <m:sSub>
                    <m:sSubPr>
                      <m:ctrlPr>
                        <w:rPr>
                          <w:rFonts w:ascii="Cambria Math" w:hAnsi="Cambria Math"/>
                          <w:i/>
                        </w:rPr>
                      </m:ctrlPr>
                    </m:sSubPr>
                    <m:e>
                      <m:r>
                        <w:rPr>
                          <w:rFonts w:ascii="Cambria Math" w:hAnsi="Cambria Math"/>
                        </w:rPr>
                        <m:t>P</m:t>
                      </m:r>
                    </m:e>
                    <m:sub>
                      <m:r>
                        <w:rPr>
                          <w:rFonts w:ascii="Cambria Math" w:hAnsi="Cambria Math"/>
                        </w:rPr>
                        <m:t>T</m:t>
                      </m:r>
                    </m:sub>
                  </m:sSub>
                </m:e>
              </m:d>
            </m:den>
          </m:f>
        </m:oMath>
      </m:oMathPara>
    </w:p>
    <w:p w:rsidR="0094295C" w:rsidRPr="004E6CFC" w:rsidRDefault="00C9592F" w:rsidP="0094295C">
      <w:pPr>
        <w:jc w:val="center"/>
      </w:pPr>
      <m:oMathPara>
        <m:oMath>
          <m:sSub>
            <m:sSubPr>
              <m:ctrlPr>
                <w:rPr>
                  <w:rFonts w:ascii="Cambria Math" w:hAnsi="Cambria Math"/>
                  <w:i/>
                </w:rPr>
              </m:ctrlPr>
            </m:sSubPr>
            <m:e>
              <m:r>
                <w:rPr>
                  <w:rFonts w:ascii="Cambria Math" w:hAnsi="Cambria Math"/>
                </w:rPr>
                <m:t>C</m:t>
              </m:r>
            </m:e>
            <m:sub>
              <m:r>
                <w:rPr>
                  <w:rFonts w:ascii="Cambria Math" w:hAnsi="Cambria Math"/>
                </w:rPr>
                <m:t>T</m:t>
              </m:r>
            </m:sub>
          </m:sSub>
          <m:r>
            <w:rPr>
              <w:rFonts w:ascii="Cambria Math" w:hAnsi="Cambria Math"/>
            </w:rPr>
            <m:t>=CTRF*</m:t>
          </m:r>
          <m:f>
            <m:fPr>
              <m:ctrlPr>
                <w:rPr>
                  <w:rFonts w:ascii="Cambria Math" w:hAnsi="Cambria Math"/>
                  <w:i/>
                </w:rPr>
              </m:ctrlPr>
            </m:fPr>
            <m:num>
              <m:sSub>
                <m:sSubPr>
                  <m:ctrlPr>
                    <w:rPr>
                      <w:rFonts w:ascii="Cambria Math" w:hAnsi="Cambria Math"/>
                      <w:i/>
                    </w:rPr>
                  </m:ctrlPr>
                </m:sSubPr>
                <m:e>
                  <m:r>
                    <w:rPr>
                      <w:rFonts w:ascii="Cambria Math" w:hAnsi="Cambria Math"/>
                    </w:rPr>
                    <m:t>P</m:t>
                  </m:r>
                </m:e>
                <m:sub>
                  <m:r>
                    <w:rPr>
                      <w:rFonts w:ascii="Cambria Math" w:hAnsi="Cambria Math"/>
                    </w:rPr>
                    <m:t>T</m:t>
                  </m:r>
                </m:sub>
              </m:sSub>
            </m:num>
            <m:den>
              <m:d>
                <m:dPr>
                  <m:ctrlPr>
                    <w:rPr>
                      <w:rFonts w:ascii="Cambria Math" w:hAnsi="Cambria Math"/>
                      <w:i/>
                    </w:rPr>
                  </m:ctrlPr>
                </m:dPr>
                <m:e>
                  <m:sSub>
                    <m:sSubPr>
                      <m:ctrlPr>
                        <w:rPr>
                          <w:rFonts w:ascii="Cambria Math" w:hAnsi="Cambria Math"/>
                          <w:i/>
                        </w:rPr>
                      </m:ctrlPr>
                    </m:sSubPr>
                    <m:e>
                      <m:r>
                        <w:rPr>
                          <w:rFonts w:ascii="Cambria Math" w:hAnsi="Cambria Math"/>
                        </w:rPr>
                        <m:t>P</m:t>
                      </m:r>
                    </m:e>
                    <m:sub>
                      <m:r>
                        <w:rPr>
                          <w:rFonts w:ascii="Cambria Math" w:hAnsi="Cambria Math"/>
                        </w:rPr>
                        <m:t>L</m:t>
                      </m:r>
                    </m:sub>
                  </m:sSub>
                  <m:r>
                    <w:rPr>
                      <w:rFonts w:ascii="Cambria Math" w:hAnsi="Cambria Math"/>
                    </w:rPr>
                    <m:t>+</m:t>
                  </m:r>
                  <m:sSub>
                    <m:sSubPr>
                      <m:ctrlPr>
                        <w:rPr>
                          <w:rFonts w:ascii="Cambria Math" w:hAnsi="Cambria Math"/>
                          <w:i/>
                        </w:rPr>
                      </m:ctrlPr>
                    </m:sSubPr>
                    <m:e>
                      <m:r>
                        <w:rPr>
                          <w:rFonts w:ascii="Cambria Math" w:hAnsi="Cambria Math"/>
                        </w:rPr>
                        <m:t>P</m:t>
                      </m:r>
                    </m:e>
                    <m:sub>
                      <m:r>
                        <w:rPr>
                          <w:rFonts w:ascii="Cambria Math" w:hAnsi="Cambria Math"/>
                        </w:rPr>
                        <m:t>T</m:t>
                      </m:r>
                    </m:sub>
                  </m:sSub>
                </m:e>
              </m:d>
            </m:den>
          </m:f>
          <m:r>
            <w:rPr>
              <w:rFonts w:ascii="Cambria Math" w:hAnsi="Cambria Math"/>
            </w:rPr>
            <m:t>+CB*</m:t>
          </m:r>
          <m:f>
            <m:fPr>
              <m:ctrlPr>
                <w:rPr>
                  <w:rFonts w:ascii="Cambria Math" w:hAnsi="Cambria Math"/>
                  <w:i/>
                </w:rPr>
              </m:ctrlPr>
            </m:fPr>
            <m:num>
              <m:sSub>
                <m:sSubPr>
                  <m:ctrlPr>
                    <w:rPr>
                      <w:rFonts w:ascii="Cambria Math" w:hAnsi="Cambria Math"/>
                      <w:i/>
                    </w:rPr>
                  </m:ctrlPr>
                </m:sSubPr>
                <m:e>
                  <m:r>
                    <w:rPr>
                      <w:rFonts w:ascii="Cambria Math" w:hAnsi="Cambria Math"/>
                    </w:rPr>
                    <m:t>P</m:t>
                  </m:r>
                </m:e>
                <m:sub>
                  <m:r>
                    <w:rPr>
                      <w:rFonts w:ascii="Cambria Math" w:hAnsi="Cambria Math"/>
                    </w:rPr>
                    <m:t>T</m:t>
                  </m:r>
                </m:sub>
              </m:sSub>
            </m:num>
            <m:den>
              <m:d>
                <m:dPr>
                  <m:ctrlPr>
                    <w:rPr>
                      <w:rFonts w:ascii="Cambria Math" w:hAnsi="Cambria Math"/>
                      <w:i/>
                    </w:rPr>
                  </m:ctrlPr>
                </m:dPr>
                <m:e>
                  <m:sSub>
                    <m:sSubPr>
                      <m:ctrlPr>
                        <w:rPr>
                          <w:rFonts w:ascii="Cambria Math" w:hAnsi="Cambria Math"/>
                          <w:i/>
                        </w:rPr>
                      </m:ctrlPr>
                    </m:sSubPr>
                    <m:e>
                      <m:r>
                        <w:rPr>
                          <w:rFonts w:ascii="Cambria Math" w:hAnsi="Cambria Math"/>
                        </w:rPr>
                        <m:t>P</m:t>
                      </m:r>
                    </m:e>
                    <m:sub>
                      <m:r>
                        <w:rPr>
                          <w:rFonts w:ascii="Cambria Math" w:hAnsi="Cambria Math"/>
                        </w:rPr>
                        <m:t>L</m:t>
                      </m:r>
                    </m:sub>
                  </m:sSub>
                  <m:r>
                    <w:rPr>
                      <w:rFonts w:ascii="Cambria Math" w:hAnsi="Cambria Math"/>
                    </w:rPr>
                    <m:t>+</m:t>
                  </m:r>
                  <m:sSub>
                    <m:sSubPr>
                      <m:ctrlPr>
                        <w:rPr>
                          <w:rFonts w:ascii="Cambria Math" w:hAnsi="Cambria Math"/>
                          <w:i/>
                        </w:rPr>
                      </m:ctrlPr>
                    </m:sSubPr>
                    <m:e>
                      <m:r>
                        <w:rPr>
                          <w:rFonts w:ascii="Cambria Math" w:hAnsi="Cambria Math"/>
                        </w:rPr>
                        <m:t>P</m:t>
                      </m:r>
                    </m:e>
                    <m:sub>
                      <m:r>
                        <w:rPr>
                          <w:rFonts w:ascii="Cambria Math" w:hAnsi="Cambria Math"/>
                        </w:rPr>
                        <m:t>T</m:t>
                      </m:r>
                    </m:sub>
                  </m:sSub>
                </m:e>
              </m:d>
            </m:den>
          </m:f>
        </m:oMath>
      </m:oMathPara>
    </w:p>
    <w:p w:rsidR="0094295C" w:rsidRPr="004E6CFC" w:rsidRDefault="0094295C" w:rsidP="0094295C">
      <w:pPr>
        <w:keepNext/>
        <w:ind w:left="709"/>
      </w:pPr>
      <w:r w:rsidRPr="004E6CFC">
        <w:t>Donde:</w:t>
      </w:r>
    </w:p>
    <w:p w:rsidR="0094295C" w:rsidRPr="004E6CFC" w:rsidRDefault="0094295C" w:rsidP="0094295C">
      <w:pPr>
        <w:ind w:left="2124" w:hanging="1416"/>
      </w:pPr>
      <w:r w:rsidRPr="004E6CFC">
        <w:rPr>
          <w:i/>
          <w:iCs/>
        </w:rPr>
        <w:t>C</w:t>
      </w:r>
      <w:r w:rsidRPr="004E6CFC">
        <w:rPr>
          <w:i/>
          <w:iCs/>
          <w:vertAlign w:val="subscript"/>
        </w:rPr>
        <w:t>L</w:t>
      </w:r>
      <w:r w:rsidRPr="004E6CFC">
        <w:t>:</w:t>
      </w:r>
      <w:r w:rsidRPr="004E6CFC">
        <w:tab/>
        <w:t xml:space="preserve">Costo del transformador tridevanado y de sus bahías de transformación, asignable al Nivel de Tensión </w:t>
      </w:r>
      <w:r w:rsidRPr="004E6CFC">
        <w:rPr>
          <w:i/>
          <w:iCs/>
        </w:rPr>
        <w:t>L</w:t>
      </w:r>
      <w:r w:rsidRPr="004E6CFC">
        <w:t xml:space="preserve"> (secundario).</w:t>
      </w:r>
    </w:p>
    <w:p w:rsidR="0094295C" w:rsidRPr="004E6CFC" w:rsidRDefault="0094295C" w:rsidP="0094295C">
      <w:pPr>
        <w:ind w:left="2124" w:hanging="1416"/>
      </w:pPr>
      <w:r w:rsidRPr="004E6CFC">
        <w:rPr>
          <w:i/>
          <w:iCs/>
        </w:rPr>
        <w:t>C</w:t>
      </w:r>
      <w:r w:rsidRPr="004E6CFC">
        <w:rPr>
          <w:i/>
          <w:iCs/>
          <w:vertAlign w:val="subscript"/>
        </w:rPr>
        <w:t>T</w:t>
      </w:r>
      <w:r w:rsidRPr="004E6CFC">
        <w:t>:</w:t>
      </w:r>
      <w:r w:rsidRPr="004E6CFC">
        <w:tab/>
        <w:t xml:space="preserve">Costo del transformador tridevanado y de sus bahías de transformación, asignable al Nivel de Tensión </w:t>
      </w:r>
      <w:r w:rsidRPr="004E6CFC">
        <w:rPr>
          <w:i/>
          <w:iCs/>
        </w:rPr>
        <w:t>T</w:t>
      </w:r>
      <w:r w:rsidRPr="004E6CFC">
        <w:t xml:space="preserve"> (terciario).</w:t>
      </w:r>
    </w:p>
    <w:p w:rsidR="0094295C" w:rsidRPr="004E6CFC" w:rsidRDefault="0094295C" w:rsidP="0094295C">
      <w:pPr>
        <w:tabs>
          <w:tab w:val="left" w:pos="2127"/>
        </w:tabs>
        <w:ind w:firstLine="708"/>
      </w:pPr>
      <w:r w:rsidRPr="004E6CFC">
        <w:rPr>
          <w:i/>
          <w:iCs/>
        </w:rPr>
        <w:t>CTRF</w:t>
      </w:r>
      <w:r w:rsidRPr="004E6CFC">
        <w:t>:</w:t>
      </w:r>
      <w:r w:rsidRPr="004E6CFC">
        <w:tab/>
        <w:t xml:space="preserve">Costo del transformador tridevanado </w:t>
      </w:r>
    </w:p>
    <w:p w:rsidR="0094295C" w:rsidRPr="004E6CFC" w:rsidRDefault="0094295C" w:rsidP="0094295C">
      <w:pPr>
        <w:ind w:left="2124" w:hanging="1416"/>
      </w:pPr>
      <w:r w:rsidRPr="004E6CFC">
        <w:rPr>
          <w:i/>
          <w:iCs/>
        </w:rPr>
        <w:t>P</w:t>
      </w:r>
      <w:r w:rsidRPr="004E6CFC">
        <w:rPr>
          <w:i/>
          <w:iCs/>
          <w:vertAlign w:val="subscript"/>
        </w:rPr>
        <w:t>L</w:t>
      </w:r>
      <w:r w:rsidRPr="004E6CFC">
        <w:t>:</w:t>
      </w:r>
      <w:r w:rsidRPr="004E6CFC">
        <w:tab/>
        <w:t xml:space="preserve">Potencia nominal del devanado secundario (Nivel de Tensión </w:t>
      </w:r>
      <w:r w:rsidRPr="004E6CFC">
        <w:rPr>
          <w:i/>
          <w:iCs/>
        </w:rPr>
        <w:t>L</w:t>
      </w:r>
      <w:r w:rsidRPr="004E6CFC">
        <w:t>)</w:t>
      </w:r>
    </w:p>
    <w:p w:rsidR="0094295C" w:rsidRPr="004E6CFC" w:rsidRDefault="0094295C" w:rsidP="0094295C">
      <w:pPr>
        <w:tabs>
          <w:tab w:val="left" w:pos="2127"/>
        </w:tabs>
        <w:ind w:firstLine="708"/>
      </w:pPr>
      <w:r w:rsidRPr="004E6CFC">
        <w:rPr>
          <w:i/>
          <w:iCs/>
        </w:rPr>
        <w:t>P</w:t>
      </w:r>
      <w:r w:rsidRPr="004E6CFC">
        <w:rPr>
          <w:i/>
          <w:iCs/>
          <w:vertAlign w:val="subscript"/>
        </w:rPr>
        <w:t>T</w:t>
      </w:r>
      <w:r w:rsidRPr="004E6CFC">
        <w:t>:</w:t>
      </w:r>
      <w:r>
        <w:tab/>
      </w:r>
      <w:r w:rsidRPr="004E6CFC">
        <w:t>Potencia nominal del devanado terciario</w:t>
      </w:r>
    </w:p>
    <w:p w:rsidR="0094295C" w:rsidRPr="004E6CFC" w:rsidRDefault="0094295C" w:rsidP="0094295C">
      <w:pPr>
        <w:ind w:left="2124" w:hanging="1416"/>
      </w:pPr>
      <w:r w:rsidRPr="004E6CFC">
        <w:rPr>
          <w:i/>
          <w:iCs/>
        </w:rPr>
        <w:t>CB</w:t>
      </w:r>
      <w:r w:rsidRPr="004E6CFC">
        <w:t>:</w:t>
      </w:r>
      <w:r w:rsidRPr="004E6CFC">
        <w:tab/>
        <w:t>Costo de la Bahía de Transformación del lado de alta tensión del transformador tridevanado.</w:t>
      </w:r>
    </w:p>
    <w:p w:rsidR="0094295C" w:rsidRDefault="0094295C" w:rsidP="0094295C">
      <w:pPr>
        <w:numPr>
          <w:ilvl w:val="0"/>
          <w:numId w:val="85"/>
        </w:numPr>
        <w:adjustRightInd w:val="0"/>
        <w:spacing w:before="120" w:after="0"/>
        <w:textAlignment w:val="baseline"/>
      </w:pPr>
      <w:r>
        <w:t>No se definen UC de compensación reactiva para los niveles de tensión 3 y 4, los equipos de compensación que se instalen en el sistema deberán presentarse como unidades constructivas especiales siguiendo los lineamientos que para tal fin se establecen en este capítulo</w:t>
      </w:r>
    </w:p>
    <w:p w:rsidR="0094295C" w:rsidRDefault="0094295C" w:rsidP="0094295C">
      <w:pPr>
        <w:numPr>
          <w:ilvl w:val="0"/>
          <w:numId w:val="85"/>
        </w:numPr>
        <w:adjustRightInd w:val="0"/>
        <w:spacing w:before="120" w:after="0"/>
        <w:textAlignment w:val="baseline"/>
      </w:pPr>
      <w:r>
        <w:t>Los sistemas de información geográfica, GIS, deben ser solicitados como unidades constructivas especiales siguiendo los lineamientos que para tal fin se establecen en este capítulo</w:t>
      </w:r>
    </w:p>
    <w:p w:rsidR="0094295C" w:rsidRDefault="0094295C" w:rsidP="0094295C">
      <w:pPr>
        <w:numPr>
          <w:ilvl w:val="0"/>
          <w:numId w:val="85"/>
        </w:numPr>
        <w:adjustRightInd w:val="0"/>
        <w:spacing w:before="120" w:after="0"/>
        <w:textAlignment w:val="baseline"/>
      </w:pPr>
      <w:r>
        <w:t xml:space="preserve">Para las estaciones maestras de los centros de control se deberá seguir el procedimiento de las unidades constructivas especiales, como máximo se reconocerá hasta un valor del doble de las unidades constructivas que aparecen en la </w:t>
      </w:r>
      <w:r>
        <w:fldChar w:fldCharType="begin"/>
      </w:r>
      <w:r>
        <w:instrText xml:space="preserve"> REF _Ref504977857 \h </w:instrText>
      </w:r>
      <w:r>
        <w:fldChar w:fldCharType="separate"/>
      </w:r>
      <w:r w:rsidR="00737178" w:rsidRPr="004E6CFC">
        <w:t xml:space="preserve">Tabla </w:t>
      </w:r>
      <w:r w:rsidR="00737178">
        <w:rPr>
          <w:noProof/>
        </w:rPr>
        <w:t>21</w:t>
      </w:r>
      <w:r>
        <w:fldChar w:fldCharType="end"/>
      </w:r>
    </w:p>
    <w:p w:rsidR="0094295C" w:rsidRPr="004E6CFC" w:rsidRDefault="0094295C" w:rsidP="0094295C">
      <w:pPr>
        <w:numPr>
          <w:ilvl w:val="0"/>
          <w:numId w:val="85"/>
        </w:numPr>
        <w:adjustRightInd w:val="0"/>
        <w:spacing w:before="120" w:after="0"/>
        <w:textAlignment w:val="baseline"/>
      </w:pPr>
      <w:r w:rsidRPr="004E6CFC">
        <w:t xml:space="preserve">En consideración a los estándares de calidad del servicio que debe cumplir el OR, se permite remunerar una celda de reserva existente por cada 6 celdas que estén en operación en las subestaciones donde se solicite el reconocimiento de dichos activos. </w:t>
      </w:r>
    </w:p>
    <w:p w:rsidR="0094295C" w:rsidRPr="004E6CFC" w:rsidRDefault="0094295C" w:rsidP="0094295C">
      <w:pPr>
        <w:ind w:left="339"/>
      </w:pPr>
      <w:r w:rsidRPr="004E6CFC">
        <w:rPr>
          <w:rFonts w:cs="Bookman Old Style"/>
        </w:rPr>
        <w:t>Cuando se encuentre que la asimilación de activos a UC efectuadas por los OR</w:t>
      </w:r>
      <w:r w:rsidRPr="004E6CFC">
        <w:t xml:space="preserve"> no se ajusta a los elementos y cantidades establecidas para la UC, porque los elementos existentes representan menos del 70 % del valor de la UC asimilada, la Comisión podrá valorar de manera independiente estos elementos.</w:t>
      </w:r>
    </w:p>
    <w:p w:rsidR="0094295C" w:rsidRPr="004E6CFC" w:rsidRDefault="0094295C" w:rsidP="006178BD">
      <w:pPr>
        <w:pStyle w:val="Ttulo2"/>
      </w:pPr>
      <w:bookmarkStart w:id="1079" w:name="_Toc408493229"/>
      <w:bookmarkStart w:id="1080" w:name="_Toc440029175"/>
      <w:bookmarkStart w:id="1081" w:name="_Toc443655762"/>
      <w:bookmarkStart w:id="1082" w:name="_Toc445214152"/>
      <w:bookmarkStart w:id="1083" w:name="_Toc476824972"/>
      <w:bookmarkStart w:id="1084" w:name="_Toc505336024"/>
      <w:r w:rsidRPr="004E6CFC">
        <w:lastRenderedPageBreak/>
        <w:t>UC asociadas a líneas</w:t>
      </w:r>
      <w:bookmarkEnd w:id="1079"/>
      <w:bookmarkEnd w:id="1080"/>
      <w:bookmarkEnd w:id="1081"/>
      <w:bookmarkEnd w:id="1082"/>
      <w:bookmarkEnd w:id="1083"/>
      <w:bookmarkEnd w:id="1084"/>
    </w:p>
    <w:p w:rsidR="0094295C" w:rsidRPr="004E6CFC" w:rsidRDefault="0094295C" w:rsidP="0094295C">
      <w:pPr>
        <w:pStyle w:val="Prrafodelista"/>
        <w:numPr>
          <w:ilvl w:val="0"/>
          <w:numId w:val="86"/>
        </w:numPr>
        <w:spacing w:before="120" w:after="0"/>
      </w:pPr>
      <w:r w:rsidRPr="004E6CFC">
        <w:t xml:space="preserve">Para líneas subterráneas de niveles de tensión 4, 3 y 2 el OR debe reportar solamente una UC de canalización y por separado las respectivas UC de conductores de cada nivel de tensión. </w:t>
      </w:r>
    </w:p>
    <w:p w:rsidR="0094295C" w:rsidRPr="004E6CFC" w:rsidRDefault="0094295C" w:rsidP="0094295C">
      <w:pPr>
        <w:pStyle w:val="Sangradetextonormal"/>
        <w:numPr>
          <w:ilvl w:val="0"/>
          <w:numId w:val="86"/>
        </w:numPr>
      </w:pPr>
      <w:r w:rsidRPr="004E6CFC">
        <w:t>Para las UC de líneas aéreas de nivel de tensión 2, 3 y 4 se deben reportar las estructuras de suspensión o de retención, las cuales ya incluyen el montaje, obra civil e ingeniería, así como todos los accesorios, puesta a tierra y los elementos requeridos para su normal funcionamiento. Adicional a lo anterior, se deberá declarar el conductor correspondiente, dependiendo de si se trata de líneas aéreas, compactas o subterráneas. Los conductores de redes subterráneas aislados a 44 kV deben reportarse como UC de conductor de 35 kV y se les reconocerá un ajuste del 17 %. Para esto se debe reportar el nivel de aislamiento real.</w:t>
      </w:r>
    </w:p>
    <w:p w:rsidR="0094295C" w:rsidRPr="004E6CFC" w:rsidRDefault="0094295C" w:rsidP="0094295C">
      <w:pPr>
        <w:pStyle w:val="Sangradetextonormal"/>
        <w:numPr>
          <w:ilvl w:val="0"/>
          <w:numId w:val="86"/>
        </w:numPr>
      </w:pPr>
      <w:r w:rsidRPr="004E6CFC">
        <w:t>Para las líneas de niveles de tensión 4, 3 y 2 se deberán reportar los apoyos georreferenciados y seleccionar el tipo de conductor correspondiente de los tramos de la línea.</w:t>
      </w:r>
    </w:p>
    <w:p w:rsidR="0094295C" w:rsidRPr="004E6CFC" w:rsidRDefault="0094295C" w:rsidP="0094295C">
      <w:pPr>
        <w:pStyle w:val="Sangradetextonormal"/>
        <w:numPr>
          <w:ilvl w:val="0"/>
          <w:numId w:val="86"/>
        </w:numPr>
      </w:pPr>
      <w:r w:rsidRPr="004E6CFC">
        <w:t>El costo anual equivalente de las UC correspondientes a la estación maestra de control, se distribuirá en igual proporción entre los niveles de tensión 4, 3 y 2.</w:t>
      </w:r>
    </w:p>
    <w:p w:rsidR="0094295C" w:rsidRPr="004E6CFC" w:rsidRDefault="0094295C" w:rsidP="0094295C">
      <w:pPr>
        <w:pStyle w:val="Sangradetextonormal"/>
        <w:numPr>
          <w:ilvl w:val="0"/>
          <w:numId w:val="86"/>
        </w:numPr>
      </w:pPr>
      <w:r w:rsidRPr="004E6CFC">
        <w:t xml:space="preserve">La parte correspondiente de control y protección asociada a las bahías de línea y de transformación se </w:t>
      </w:r>
      <w:r>
        <w:t>encuentran en la UC de control.</w:t>
      </w:r>
    </w:p>
    <w:p w:rsidR="0094295C" w:rsidRPr="004E6CFC" w:rsidRDefault="0094295C" w:rsidP="0094295C">
      <w:pPr>
        <w:pStyle w:val="Sangradetextonormal"/>
        <w:numPr>
          <w:ilvl w:val="0"/>
          <w:numId w:val="86"/>
        </w:numPr>
      </w:pPr>
      <w:r w:rsidRPr="004E6CFC">
        <w:t xml:space="preserve">Se define el control de las subestaciones dependiendo del número de bahías que opera la subestación </w:t>
      </w:r>
    </w:p>
    <w:p w:rsidR="0094295C" w:rsidRPr="004E6CFC" w:rsidRDefault="0094295C" w:rsidP="0094295C">
      <w:pPr>
        <w:pStyle w:val="Sangradetextonormal"/>
        <w:numPr>
          <w:ilvl w:val="0"/>
          <w:numId w:val="86"/>
        </w:numPr>
      </w:pPr>
      <w:r w:rsidRPr="004E6CFC">
        <w:t>Se define el valor de la estación de control maestra, de acuerdo con sus funcionalidades</w:t>
      </w:r>
    </w:p>
    <w:p w:rsidR="0094295C" w:rsidRPr="004E6CFC" w:rsidRDefault="0094295C" w:rsidP="0094295C">
      <w:pPr>
        <w:pStyle w:val="Sangradetextonormal"/>
        <w:numPr>
          <w:ilvl w:val="0"/>
          <w:numId w:val="86"/>
        </w:numPr>
      </w:pPr>
      <w:r w:rsidRPr="004E6CFC">
        <w:rPr>
          <w:rFonts w:cs="Bookman Old Style"/>
        </w:rPr>
        <w:t>Cuando se encuentre que la asimilación de activos a UC efectuadas por los OR</w:t>
      </w:r>
      <w:r w:rsidRPr="004E6CFC">
        <w:t xml:space="preserve"> no se ajusta a los elementos y cantidades establecidas para la UC, porque los elementos existentes representan menos del 70 % del valor de la UC asimilada, la Comisión podrá valorar de manera independiente estos elementos.</w:t>
      </w:r>
    </w:p>
    <w:p w:rsidR="0094295C" w:rsidRPr="004E6CFC" w:rsidRDefault="0094295C" w:rsidP="0094295C">
      <w:pPr>
        <w:pStyle w:val="Sangradetextonormal"/>
        <w:numPr>
          <w:ilvl w:val="0"/>
          <w:numId w:val="86"/>
        </w:numPr>
      </w:pPr>
      <w:r w:rsidRPr="004E6CFC">
        <w:t xml:space="preserve">Se define el factor FUi, que corresponde a la porción de la unidad constructiva, UC, que se repone </w:t>
      </w:r>
    </w:p>
    <w:p w:rsidR="0094295C" w:rsidRDefault="0094295C" w:rsidP="0094295C">
      <w:r w:rsidRPr="004E6CFC">
        <w:t>En este listado se establecen los costos de referencia para cada UC, para las UC de transformadores y equipos de compensación se establece adicionalmente el costo unitario de instalación.</w:t>
      </w:r>
    </w:p>
    <w:p w:rsidR="0094295C" w:rsidRPr="004E6CFC" w:rsidRDefault="0094295C" w:rsidP="0094295C">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8</w:t>
      </w:r>
      <w:r w:rsidRPr="004E6CFC">
        <w:fldChar w:fldCharType="end"/>
      </w:r>
      <w:r w:rsidRPr="004E6CFC">
        <w:t xml:space="preserve"> UC de módulos de transformador de conexión al STN y Otros</w:t>
      </w:r>
    </w:p>
    <w:tbl>
      <w:tblPr>
        <w:tblW w:w="9014" w:type="dxa"/>
        <w:jc w:val="center"/>
        <w:tblCellMar>
          <w:left w:w="70" w:type="dxa"/>
          <w:right w:w="70" w:type="dxa"/>
        </w:tblCellMar>
        <w:tblLook w:val="04A0" w:firstRow="1" w:lastRow="0" w:firstColumn="1" w:lastColumn="0" w:noHBand="0" w:noVBand="1"/>
      </w:tblPr>
      <w:tblGrid>
        <w:gridCol w:w="850"/>
        <w:gridCol w:w="6803"/>
        <w:gridCol w:w="1361"/>
      </w:tblGrid>
      <w:tr w:rsidR="0094295C" w:rsidRPr="004E6CFC" w:rsidTr="0094295C">
        <w:trPr>
          <w:trHeight w:val="624"/>
          <w:tblHeader/>
          <w:jc w:val="center"/>
        </w:trPr>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rFonts w:cs="Calibri"/>
                <w:color w:val="000000"/>
                <w:sz w:val="16"/>
                <w:szCs w:val="18"/>
                <w:lang w:val="es-CO" w:eastAsia="es-CO"/>
              </w:rPr>
            </w:pPr>
            <w:r w:rsidRPr="004E6CFC">
              <w:rPr>
                <w:rFonts w:cs="Calibri"/>
                <w:color w:val="000000"/>
                <w:sz w:val="16"/>
                <w:szCs w:val="18"/>
                <w:lang w:val="es-CO" w:eastAsia="es-CO"/>
              </w:rPr>
              <w:t>UC</w:t>
            </w:r>
          </w:p>
        </w:tc>
        <w:tc>
          <w:tcPr>
            <w:tcW w:w="6803" w:type="dxa"/>
            <w:tcBorders>
              <w:top w:val="single" w:sz="4" w:space="0" w:color="auto"/>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rFonts w:cs="Calibri"/>
                <w:color w:val="000000"/>
                <w:sz w:val="16"/>
                <w:szCs w:val="18"/>
                <w:lang w:val="es-CO" w:eastAsia="es-CO"/>
              </w:rPr>
            </w:pPr>
            <w:r w:rsidRPr="004E6CFC">
              <w:rPr>
                <w:rFonts w:cs="Calibri"/>
                <w:color w:val="000000"/>
                <w:sz w:val="16"/>
                <w:szCs w:val="18"/>
                <w:lang w:val="es-CO" w:eastAsia="es-CO"/>
              </w:rPr>
              <w:t>DESCRIPCIÓN</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rFonts w:cs="Calibri"/>
                <w:color w:val="000000"/>
                <w:sz w:val="16"/>
                <w:szCs w:val="18"/>
                <w:lang w:val="es-CO" w:eastAsia="es-CO"/>
              </w:rPr>
            </w:pPr>
            <w:r w:rsidRPr="004E6CFC">
              <w:rPr>
                <w:rFonts w:cs="Calibri"/>
                <w:color w:val="000000"/>
                <w:sz w:val="16"/>
                <w:szCs w:val="18"/>
                <w:lang w:val="es-CO" w:eastAsia="es-CO"/>
              </w:rPr>
              <w:t>VALOR INSTALADO</w:t>
            </w:r>
            <w:r w:rsidRPr="004E6CFC">
              <w:rPr>
                <w:rFonts w:cs="Calibri"/>
                <w:color w:val="000000"/>
                <w:sz w:val="16"/>
                <w:szCs w:val="18"/>
                <w:lang w:val="es-CO" w:eastAsia="es-CO"/>
              </w:rPr>
              <w:br/>
              <w:t>[$ dic 201</w:t>
            </w:r>
            <w:r>
              <w:rPr>
                <w:rFonts w:cs="Calibri"/>
                <w:color w:val="000000"/>
                <w:sz w:val="16"/>
                <w:szCs w:val="18"/>
                <w:lang w:val="es-CO" w:eastAsia="es-CO"/>
              </w:rPr>
              <w:t>7</w:t>
            </w:r>
            <w:r w:rsidRPr="004E6CFC">
              <w:rPr>
                <w:rFonts w:cs="Calibri"/>
                <w:color w:val="000000"/>
                <w:sz w:val="16"/>
                <w:szCs w:val="18"/>
                <w:lang w:val="es-CO" w:eastAsia="es-CO"/>
              </w:rPr>
              <w:t>]</w:t>
            </w:r>
          </w:p>
        </w:tc>
      </w:tr>
      <w:tr w:rsidR="0094295C" w:rsidRPr="004E6CFC" w:rsidTr="0094295C">
        <w:trPr>
          <w:trHeight w:val="170"/>
          <w:jc w:val="center"/>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40" w:after="40"/>
              <w:jc w:val="left"/>
              <w:rPr>
                <w:color w:val="000000"/>
                <w:sz w:val="16"/>
                <w:szCs w:val="16"/>
                <w:lang w:val="es-CO" w:eastAsia="es-CO"/>
              </w:rPr>
            </w:pPr>
            <w:r w:rsidRPr="004E6CFC">
              <w:rPr>
                <w:color w:val="000000"/>
                <w:sz w:val="16"/>
                <w:szCs w:val="16"/>
              </w:rPr>
              <w:t>N5S2</w:t>
            </w:r>
          </w:p>
        </w:tc>
        <w:tc>
          <w:tcPr>
            <w:tcW w:w="6803"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40" w:after="40"/>
              <w:jc w:val="left"/>
              <w:rPr>
                <w:color w:val="000000"/>
                <w:sz w:val="16"/>
                <w:szCs w:val="16"/>
              </w:rPr>
            </w:pPr>
            <w:r w:rsidRPr="004E6CFC">
              <w:rPr>
                <w:color w:val="000000"/>
                <w:sz w:val="16"/>
                <w:szCs w:val="16"/>
              </w:rPr>
              <w:t>Bahía de transformador - configuración barra sencilla - tipo convencional</w:t>
            </w:r>
          </w:p>
        </w:tc>
        <w:tc>
          <w:tcPr>
            <w:tcW w:w="1361" w:type="dxa"/>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40" w:after="40"/>
              <w:jc w:val="right"/>
              <w:rPr>
                <w:color w:val="000000"/>
                <w:sz w:val="16"/>
                <w:szCs w:val="16"/>
              </w:rPr>
            </w:pPr>
            <w:r>
              <w:rPr>
                <w:color w:val="000000"/>
                <w:sz w:val="16"/>
                <w:szCs w:val="16"/>
              </w:rPr>
              <w:t xml:space="preserve">795.285.000 </w:t>
            </w:r>
          </w:p>
        </w:tc>
      </w:tr>
      <w:tr w:rsidR="0094295C" w:rsidRPr="004E6CFC" w:rsidTr="0094295C">
        <w:trPr>
          <w:trHeight w:val="255"/>
          <w:jc w:val="center"/>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40" w:after="40"/>
              <w:jc w:val="left"/>
              <w:rPr>
                <w:color w:val="000000"/>
                <w:sz w:val="16"/>
                <w:szCs w:val="16"/>
              </w:rPr>
            </w:pPr>
            <w:r w:rsidRPr="004E6CFC">
              <w:rPr>
                <w:color w:val="000000"/>
                <w:sz w:val="16"/>
                <w:szCs w:val="16"/>
              </w:rPr>
              <w:t>N5S4</w:t>
            </w:r>
          </w:p>
        </w:tc>
        <w:tc>
          <w:tcPr>
            <w:tcW w:w="6803"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40" w:after="40"/>
              <w:jc w:val="left"/>
              <w:rPr>
                <w:color w:val="000000"/>
                <w:sz w:val="16"/>
                <w:szCs w:val="16"/>
              </w:rPr>
            </w:pPr>
            <w:r w:rsidRPr="004E6CFC">
              <w:rPr>
                <w:color w:val="000000"/>
                <w:sz w:val="16"/>
                <w:szCs w:val="16"/>
              </w:rPr>
              <w:t>Bahía de transformador - configuración barra principal y transferencia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40" w:after="40"/>
              <w:jc w:val="right"/>
              <w:rPr>
                <w:color w:val="000000"/>
                <w:sz w:val="16"/>
                <w:szCs w:val="16"/>
              </w:rPr>
            </w:pPr>
            <w:r>
              <w:rPr>
                <w:color w:val="000000"/>
                <w:sz w:val="16"/>
                <w:szCs w:val="16"/>
              </w:rPr>
              <w:t xml:space="preserve">1.097.773.000 </w:t>
            </w:r>
          </w:p>
        </w:tc>
      </w:tr>
      <w:tr w:rsidR="0094295C" w:rsidRPr="004E6CFC" w:rsidTr="0094295C">
        <w:trPr>
          <w:trHeight w:val="255"/>
          <w:jc w:val="center"/>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40" w:after="40"/>
              <w:jc w:val="left"/>
              <w:rPr>
                <w:color w:val="000000"/>
                <w:sz w:val="16"/>
                <w:szCs w:val="16"/>
              </w:rPr>
            </w:pPr>
            <w:r w:rsidRPr="004E6CFC">
              <w:rPr>
                <w:color w:val="000000"/>
                <w:sz w:val="16"/>
                <w:szCs w:val="16"/>
              </w:rPr>
              <w:t>N5S6</w:t>
            </w:r>
          </w:p>
        </w:tc>
        <w:tc>
          <w:tcPr>
            <w:tcW w:w="6803"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40" w:after="40"/>
              <w:jc w:val="left"/>
              <w:rPr>
                <w:color w:val="000000"/>
                <w:sz w:val="16"/>
                <w:szCs w:val="16"/>
              </w:rPr>
            </w:pPr>
            <w:r w:rsidRPr="004E6CFC">
              <w:rPr>
                <w:color w:val="000000"/>
                <w:sz w:val="16"/>
                <w:szCs w:val="16"/>
              </w:rPr>
              <w:t>Bahía de transformador - configuración barra doble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40" w:after="40"/>
              <w:jc w:val="right"/>
              <w:rPr>
                <w:color w:val="000000"/>
                <w:sz w:val="16"/>
                <w:szCs w:val="16"/>
              </w:rPr>
            </w:pPr>
            <w:r>
              <w:rPr>
                <w:color w:val="000000"/>
                <w:sz w:val="16"/>
                <w:szCs w:val="16"/>
              </w:rPr>
              <w:t xml:space="preserve">1.022.513.000 </w:t>
            </w:r>
          </w:p>
        </w:tc>
      </w:tr>
      <w:tr w:rsidR="0094295C" w:rsidRPr="004E6CFC" w:rsidTr="0094295C">
        <w:trPr>
          <w:trHeight w:val="510"/>
          <w:jc w:val="center"/>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40" w:after="40"/>
              <w:jc w:val="left"/>
              <w:rPr>
                <w:color w:val="000000"/>
                <w:sz w:val="16"/>
                <w:szCs w:val="16"/>
              </w:rPr>
            </w:pPr>
            <w:r w:rsidRPr="004E6CFC">
              <w:rPr>
                <w:color w:val="000000"/>
                <w:sz w:val="16"/>
                <w:szCs w:val="16"/>
              </w:rPr>
              <w:lastRenderedPageBreak/>
              <w:t>N5S8</w:t>
            </w:r>
          </w:p>
        </w:tc>
        <w:tc>
          <w:tcPr>
            <w:tcW w:w="6803"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40" w:after="40"/>
              <w:jc w:val="left"/>
              <w:rPr>
                <w:color w:val="000000"/>
                <w:sz w:val="16"/>
                <w:szCs w:val="16"/>
              </w:rPr>
            </w:pPr>
            <w:r w:rsidRPr="004E6CFC">
              <w:rPr>
                <w:color w:val="000000"/>
                <w:sz w:val="16"/>
                <w:szCs w:val="16"/>
              </w:rPr>
              <w:t>Bahía de transformador - configuración barra doble con seccionador de transferencia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40" w:after="40"/>
              <w:jc w:val="right"/>
              <w:rPr>
                <w:color w:val="000000"/>
                <w:sz w:val="16"/>
                <w:szCs w:val="16"/>
              </w:rPr>
            </w:pPr>
            <w:r>
              <w:rPr>
                <w:color w:val="000000"/>
                <w:sz w:val="16"/>
                <w:szCs w:val="16"/>
              </w:rPr>
              <w:t xml:space="preserve">1.314.962.000 </w:t>
            </w:r>
          </w:p>
        </w:tc>
      </w:tr>
      <w:tr w:rsidR="0094295C" w:rsidRPr="004E6CFC" w:rsidTr="0094295C">
        <w:trPr>
          <w:trHeight w:val="255"/>
          <w:jc w:val="center"/>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40" w:after="40"/>
              <w:jc w:val="left"/>
              <w:rPr>
                <w:color w:val="000000"/>
                <w:sz w:val="16"/>
                <w:szCs w:val="16"/>
              </w:rPr>
            </w:pPr>
            <w:r w:rsidRPr="004E6CFC">
              <w:rPr>
                <w:color w:val="000000"/>
                <w:sz w:val="16"/>
                <w:szCs w:val="16"/>
              </w:rPr>
              <w:t>N5S10</w:t>
            </w:r>
          </w:p>
        </w:tc>
        <w:tc>
          <w:tcPr>
            <w:tcW w:w="6803"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40" w:after="40"/>
              <w:jc w:val="left"/>
              <w:rPr>
                <w:color w:val="000000"/>
                <w:sz w:val="16"/>
                <w:szCs w:val="16"/>
              </w:rPr>
            </w:pPr>
            <w:r w:rsidRPr="004E6CFC">
              <w:rPr>
                <w:color w:val="000000"/>
                <w:sz w:val="16"/>
                <w:szCs w:val="16"/>
              </w:rPr>
              <w:t>Bahía de transformador - configuración barra doble con by pass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40" w:after="40"/>
              <w:jc w:val="right"/>
              <w:rPr>
                <w:color w:val="000000"/>
                <w:sz w:val="16"/>
                <w:szCs w:val="16"/>
              </w:rPr>
            </w:pPr>
            <w:r>
              <w:rPr>
                <w:color w:val="000000"/>
                <w:sz w:val="16"/>
                <w:szCs w:val="16"/>
              </w:rPr>
              <w:t xml:space="preserve">1.271.366.000 </w:t>
            </w:r>
          </w:p>
        </w:tc>
      </w:tr>
      <w:tr w:rsidR="0094295C" w:rsidRPr="004E6CFC" w:rsidTr="0094295C">
        <w:trPr>
          <w:trHeight w:val="255"/>
          <w:jc w:val="center"/>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40" w:after="40"/>
              <w:jc w:val="left"/>
              <w:rPr>
                <w:color w:val="000000"/>
                <w:sz w:val="16"/>
                <w:szCs w:val="16"/>
              </w:rPr>
            </w:pPr>
            <w:r w:rsidRPr="004E6CFC">
              <w:rPr>
                <w:color w:val="000000"/>
                <w:sz w:val="16"/>
                <w:szCs w:val="16"/>
              </w:rPr>
              <w:t>N5S16</w:t>
            </w:r>
          </w:p>
        </w:tc>
        <w:tc>
          <w:tcPr>
            <w:tcW w:w="6803"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40" w:after="40"/>
              <w:jc w:val="left"/>
              <w:rPr>
                <w:color w:val="000000"/>
                <w:sz w:val="16"/>
                <w:szCs w:val="16"/>
              </w:rPr>
            </w:pPr>
            <w:r w:rsidRPr="004E6CFC">
              <w:rPr>
                <w:color w:val="000000"/>
                <w:sz w:val="16"/>
                <w:szCs w:val="16"/>
              </w:rPr>
              <w:t>Bahía de transformador - configuración barra doble - tipo encapsulada(SF6)</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40" w:after="40"/>
              <w:jc w:val="right"/>
              <w:rPr>
                <w:color w:val="000000"/>
                <w:sz w:val="16"/>
                <w:szCs w:val="16"/>
              </w:rPr>
            </w:pPr>
            <w:r w:rsidRPr="00037084">
              <w:rPr>
                <w:color w:val="000000"/>
                <w:sz w:val="16"/>
                <w:szCs w:val="16"/>
              </w:rPr>
              <w:t>4.</w:t>
            </w:r>
            <w:r>
              <w:rPr>
                <w:color w:val="000000"/>
                <w:sz w:val="16"/>
                <w:szCs w:val="16"/>
              </w:rPr>
              <w:t>487.418</w:t>
            </w:r>
            <w:r w:rsidRPr="00037084">
              <w:rPr>
                <w:color w:val="000000"/>
                <w:sz w:val="16"/>
                <w:szCs w:val="16"/>
              </w:rPr>
              <w:t>.000</w:t>
            </w:r>
          </w:p>
        </w:tc>
      </w:tr>
    </w:tbl>
    <w:p w:rsidR="0094295C" w:rsidRPr="004E6CFC" w:rsidRDefault="0094295C" w:rsidP="0094295C">
      <w:pPr>
        <w:pStyle w:val="Descripcin"/>
      </w:pPr>
      <w:r w:rsidRPr="004E6CFC">
        <w:t xml:space="preserve"> Tabla </w:t>
      </w:r>
      <w:r w:rsidRPr="004E6CFC">
        <w:fldChar w:fldCharType="begin"/>
      </w:r>
      <w:r w:rsidRPr="004E6CFC">
        <w:instrText xml:space="preserve"> SEQ Tabla \* ARABIC </w:instrText>
      </w:r>
      <w:r w:rsidRPr="004E6CFC">
        <w:fldChar w:fldCharType="separate"/>
      </w:r>
      <w:r w:rsidR="00737178">
        <w:rPr>
          <w:noProof/>
        </w:rPr>
        <w:t>9</w:t>
      </w:r>
      <w:r w:rsidRPr="004E6CFC">
        <w:fldChar w:fldCharType="end"/>
      </w:r>
      <w:r w:rsidRPr="004E6CFC">
        <w:t xml:space="preserve"> UC de equipos de subestación de nivel de tensión 4</w:t>
      </w:r>
    </w:p>
    <w:tbl>
      <w:tblPr>
        <w:tblW w:w="90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50"/>
        <w:gridCol w:w="6803"/>
        <w:gridCol w:w="1361"/>
      </w:tblGrid>
      <w:tr w:rsidR="0094295C" w:rsidRPr="004E6CFC" w:rsidTr="00F43E69">
        <w:trPr>
          <w:trHeight w:val="720"/>
          <w:tblHeader/>
          <w:jc w:val="center"/>
        </w:trPr>
        <w:tc>
          <w:tcPr>
            <w:tcW w:w="850" w:type="dxa"/>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UC</w:t>
            </w:r>
          </w:p>
        </w:tc>
        <w:tc>
          <w:tcPr>
            <w:tcW w:w="6803" w:type="dxa"/>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DESCRIPCIÓN</w:t>
            </w:r>
          </w:p>
        </w:tc>
        <w:tc>
          <w:tcPr>
            <w:tcW w:w="1361" w:type="dxa"/>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VALOR INSTALADO</w:t>
            </w:r>
            <w:r>
              <w:rPr>
                <w:color w:val="000000"/>
                <w:sz w:val="16"/>
                <w:szCs w:val="16"/>
              </w:rPr>
              <w:br/>
              <w:t>[$ dic 2017]</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N4S1</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línea - configuración barra sencilla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558.336.000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N4S2</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transformador - configuración barra sencilla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518.134.000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N4S3</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línea - configuración barra doble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664.890.000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N4S4</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transformador - configuración barra doble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664.523.000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N4S5</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línea - configuración barra doble con by pass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855.350.000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N4S6</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transformador - configuración barra doble con by pass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851.003.000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N4S7</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línea - configuración barra principal y transferencia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721.233.000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N4S8</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transformador - configuración barra principal y transferencia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684.691.000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N4S9</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línea - configuración interruptor y medio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672.186.000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N4S10</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transformador - configuración interruptor y medio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672.043.000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N4S11</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línea - configuración en anillo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656.343.000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N4S12</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transformador - configuración en anillo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735.313.000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N4S13</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línea - configuración barra sencilla - tipo encapsulada (SF6)</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1.436.970.000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N4S14</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transformador - configuración barra sencilla - tipo encapsulada(SF6)</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1.397.135.000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N4S15</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línea - configuración barra doble - tipo encapsulada (SF6)</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1.438.534.000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N4S16</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transformador - configuración barra doble - tipo encapsulada(SF6)</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1.398.699.000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N4S20</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tipo 1 - configuración barra sencilla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162.380.000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N4S21</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tipo 2 - configuración barra sencilla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212.892.000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N4S22</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tipo 3 - configuración barra sencilla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261.839.000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N4S23</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tipo 4 - configuración barra sencilla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310.350.000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N4S24</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tipo 1 - configuración barra doble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189.363.000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N4S25</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tipo 2 - configuración barra doble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260.590.000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N4S26</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tipo 3 - configuración barra doble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384.615.000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N4S27</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tipo 4 - configuración barra doble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455.842.000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N4S28</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tipo 1 - configuración barra doble con by pass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158.075.000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N4S29</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tipo 2 - configuración barra doble con by pass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229.302.000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N4S30</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tipo 3 - configuración barra doble con by pass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353.328.000</w:t>
            </w:r>
          </w:p>
        </w:tc>
      </w:tr>
      <w:tr w:rsidR="0094295C" w:rsidRPr="004E6CFC" w:rsidTr="00F43E69">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N4S31</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tipo 4 - configuración barra doble con by pass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424.555.000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N4S32</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tipo 1 - configuración barra principal y transferencia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156.024.000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N4S33</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tipo 2 - configuración barra principal y transferencia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224.888.000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N4S34</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tipo 3 - configuración barra principal y transferencia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346.551.000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N4S35</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tipo 4 - configuración barra principal y transferencia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415.415.000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N4S36</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tipo 2 - configuración interruptor y medio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322.010.000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N4S37</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tipo 3 - configuración interruptor y medio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513.083.000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N4S38</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tipo 4 - configuración interruptor y medio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617.690.000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N4S41</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común/bahía tipo 1 (1 a 4 bahías) - tipo convencional - cualquier configuración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454.234.000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lastRenderedPageBreak/>
              <w:t>N4S42</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común/bahía tipo 2 (5 a 8 bahías) - tipo convencional - cualquier configuración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367.265.000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N4S43</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común/bahía tipo 3 (9 a 12 bahías) - tipo convencional - cualquier configuración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330.559.000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N4S44</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común/bahía tipo 4 (</w:t>
            </w:r>
            <w:r w:rsidR="00C4621D">
              <w:rPr>
                <w:color w:val="000000"/>
                <w:sz w:val="16"/>
                <w:szCs w:val="16"/>
              </w:rPr>
              <w:t>más</w:t>
            </w:r>
            <w:r>
              <w:rPr>
                <w:color w:val="000000"/>
                <w:sz w:val="16"/>
                <w:szCs w:val="16"/>
              </w:rPr>
              <w:t xml:space="preserve"> de 12 bahías) - tipo convencional - cualquier configuración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312.251.000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N4S46</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Campo móvil encapsulado nivel 4</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2.414.575.000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N4S47</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maniobra - (seccionamiento de barras sin interruptor)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264.443.000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N4S49</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línea - configuración barra doble con seccionador de transferencia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863.661.000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N4S50</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transformador - configuración barra doble con seccionador de transferencia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862.733.000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N4S51</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Corte central configuración interruptor y medio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476.737.000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N4S52</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transferencia configuración barra principal y transferencia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353.487.000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N4S53</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acople configuraciones con doble barra</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515.435.000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N4S54</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seccionamiento configuraciones barra sencilla</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353.145.000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N4S55</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seccionamiento configuraciones con doble barra</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633.337.000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N4S56</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maniobra - tipo encapsulada (SF6)</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1.132.458.000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N4S57</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tipo 1 - configuración barra doble con seccionador de transferencia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88.373.000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N4S58</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tipo 2 - configuración barra doble con seccionador de transferencia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126.219.000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N4S59</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tipo 3 - configuración barra doble con seccionador de transferencia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183.482.000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N4S60</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tipo 4 - configuración barra doble con seccionador de transferencia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221.328.000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N4S61</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común/bahía tipo 1 (1 a 4 bahías) - tipo encapsulada - cualquier configuración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277.655.000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N4S62</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común/bahía tipo 2 (5 a 8 bahías) - tipo encapsulada - cualquier configuración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226.001.000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N4S63</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común/bahía tipo 3 (9 a 12 bahías) - tipo encapsulada - cualquier configuración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204.992.000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N4S64</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común/bahía tipo 4 (más de 12 bahías) - tipo encapsulada - cualquier configuración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196.343.000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N4S65</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compensación paralela en línea fija - cualquier configuración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737.026.000</w:t>
            </w:r>
          </w:p>
        </w:tc>
      </w:tr>
      <w:tr w:rsidR="0094295C" w:rsidRPr="004E6CFC" w:rsidTr="00F43E69">
        <w:trPr>
          <w:trHeight w:val="276"/>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N4S66</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compensación paralela en línea maniobrable - cualquier configuración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723.034.000</w:t>
            </w:r>
          </w:p>
        </w:tc>
      </w:tr>
    </w:tbl>
    <w:p w:rsidR="0094295C" w:rsidRPr="004E6CFC" w:rsidRDefault="0094295C" w:rsidP="0094295C">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10</w:t>
      </w:r>
      <w:r w:rsidRPr="004E6CFC">
        <w:fldChar w:fldCharType="end"/>
      </w:r>
      <w:r w:rsidRPr="004E6CFC">
        <w:t xml:space="preserve"> UC de equipos de subestación de nivel de tensión 3</w:t>
      </w:r>
    </w:p>
    <w:tbl>
      <w:tblPr>
        <w:tblW w:w="90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50"/>
        <w:gridCol w:w="6803"/>
        <w:gridCol w:w="1361"/>
      </w:tblGrid>
      <w:tr w:rsidR="0094295C" w:rsidRPr="004E6CFC" w:rsidTr="00637A3F">
        <w:trPr>
          <w:trHeight w:val="794"/>
          <w:tblHeader/>
          <w:jc w:val="center"/>
        </w:trPr>
        <w:tc>
          <w:tcPr>
            <w:tcW w:w="850" w:type="dxa"/>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UC</w:t>
            </w:r>
          </w:p>
        </w:tc>
        <w:tc>
          <w:tcPr>
            <w:tcW w:w="6803" w:type="dxa"/>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DESCRIPCIÓN</w:t>
            </w:r>
          </w:p>
        </w:tc>
        <w:tc>
          <w:tcPr>
            <w:tcW w:w="1361" w:type="dxa"/>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VALOR INSTALADO</w:t>
            </w:r>
            <w:r>
              <w:rPr>
                <w:color w:val="000000"/>
                <w:sz w:val="16"/>
                <w:szCs w:val="16"/>
              </w:rPr>
              <w:br/>
              <w:t>[$ dic 2017]</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N3S1</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línea - configuración barra sencilla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261.078.000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N3S2</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transformador - configuración barra sencilla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241.884.000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N3S3</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línea - configuración barra doble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317.642.000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N3S4</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transformador - configuración barra doble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317.515.000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N3S5</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línea - configuración barra principal y transferencia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320.391.000</w:t>
            </w:r>
          </w:p>
        </w:tc>
      </w:tr>
      <w:tr w:rsidR="0094295C" w:rsidRPr="004E6CFC" w:rsidTr="00637A3F">
        <w:trPr>
          <w:trHeight w:val="240"/>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N3S6</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transformador - configuración barra principal y transferencia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291.389.000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N3S7</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línea - configuración barra sencilla - tipo encapsulada (SF6)</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614.746.000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N3S8</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transformador - configuración barra sencilla - tipo encapsulada (SF6)</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586.610.000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N3S9</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línea - configuración barra doble - tipo encapsulada (SF6)</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614.746.000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N3S10</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transformador - configuración barra doble - tipo encapsulada (SF6)</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586.610.000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N3S11</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Celda de llegada o salida - subestación tipo interior-aire</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260.919.000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N3S13</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llegada o salida  - subestación convencional reducida</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129.375.000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N3S17</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llegada o salida - subestación reducida o rural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23.990.000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N3S19</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acople - tipo convencional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221.101.000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lastRenderedPageBreak/>
              <w:t>N3S20</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Bahía de acople - tipo encapsulada (SF6)</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479.473.000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N3S24</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 xml:space="preserve">Módulo de barraje - barra sencilla - tipo convencional - tipo 1 </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56.580.000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N3S25</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 xml:space="preserve">Módulo de barraje - barra sencilla - tipo convencional - tipo 2 </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80.313.000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N3S26</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 xml:space="preserve">Módulo de barraje - barra sencilla - tipo convencional - tipo 3 </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80.369.000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N3S27</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 barra doble - tipo 1</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63.204.000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N3S28</w:t>
            </w:r>
          </w:p>
        </w:tc>
        <w:tc>
          <w:tcPr>
            <w:tcW w:w="6803" w:type="dxa"/>
            <w:shd w:val="clear" w:color="000000" w:fill="FFFFFF"/>
            <w:vAlign w:val="center"/>
            <w:hideMark/>
          </w:tcPr>
          <w:p w:rsidR="0094295C" w:rsidRPr="004E6CFC" w:rsidRDefault="00C4621D" w:rsidP="0094295C">
            <w:pPr>
              <w:spacing w:before="0" w:after="0"/>
              <w:jc w:val="left"/>
              <w:rPr>
                <w:color w:val="000000"/>
                <w:sz w:val="16"/>
                <w:szCs w:val="16"/>
                <w:lang w:val="es-CO" w:eastAsia="es-CO"/>
              </w:rPr>
            </w:pPr>
            <w:r>
              <w:rPr>
                <w:color w:val="000000"/>
                <w:sz w:val="16"/>
                <w:szCs w:val="16"/>
              </w:rPr>
              <w:t>Módulo</w:t>
            </w:r>
            <w:r w:rsidR="0094295C">
              <w:rPr>
                <w:color w:val="000000"/>
                <w:sz w:val="16"/>
                <w:szCs w:val="16"/>
              </w:rPr>
              <w:t xml:space="preserve"> de barraje - barra doble - tipo 2</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118.990.000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N3S29</w:t>
            </w:r>
          </w:p>
        </w:tc>
        <w:tc>
          <w:tcPr>
            <w:tcW w:w="6803" w:type="dxa"/>
            <w:shd w:val="clear" w:color="000000" w:fill="FFFFFF"/>
            <w:vAlign w:val="center"/>
            <w:hideMark/>
          </w:tcPr>
          <w:p w:rsidR="0094295C" w:rsidRPr="004E6CFC" w:rsidRDefault="00C4621D" w:rsidP="0094295C">
            <w:pPr>
              <w:spacing w:before="0" w:after="0"/>
              <w:jc w:val="left"/>
              <w:rPr>
                <w:color w:val="000000"/>
                <w:sz w:val="16"/>
                <w:szCs w:val="16"/>
                <w:lang w:val="es-CO" w:eastAsia="es-CO"/>
              </w:rPr>
            </w:pPr>
            <w:r>
              <w:rPr>
                <w:color w:val="000000"/>
                <w:sz w:val="16"/>
                <w:szCs w:val="16"/>
              </w:rPr>
              <w:t>Módulo</w:t>
            </w:r>
            <w:r w:rsidR="0094295C">
              <w:rPr>
                <w:color w:val="000000"/>
                <w:sz w:val="16"/>
                <w:szCs w:val="16"/>
              </w:rPr>
              <w:t xml:space="preserve"> de barraje - barra doble - tipo 3</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146.938.000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N3S30</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 barra principal y transferencia - tipo convencional - tipo 1</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63.204.000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N3S31</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 barra principal y transferencia - tipo convencional - tipo 2</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118.990.000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N3S32</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de barraje - barra principal y transferencia - tipo convencional - tipo 3</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146.938.000</w:t>
            </w:r>
          </w:p>
        </w:tc>
      </w:tr>
      <w:tr w:rsidR="0094295C" w:rsidRPr="004E6CFC" w:rsidTr="00637A3F">
        <w:trPr>
          <w:trHeight w:val="480"/>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N3S34</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común/bahía - tipo 1 (1 a 3 bahías) tipo convencional o encapsulada exterior</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113.423.000</w:t>
            </w:r>
          </w:p>
        </w:tc>
      </w:tr>
      <w:tr w:rsidR="0094295C" w:rsidRPr="004E6CFC" w:rsidTr="00637A3F">
        <w:trPr>
          <w:trHeight w:val="480"/>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N3S35</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común/bahía - tipo 2 (4 a 6 bahías) tipo convencional o encapsulada exterior</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87.758.000</w:t>
            </w:r>
          </w:p>
        </w:tc>
      </w:tr>
      <w:tr w:rsidR="0094295C" w:rsidRPr="004E6CFC" w:rsidTr="00637A3F">
        <w:trPr>
          <w:trHeight w:val="480"/>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N3S36</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común/bahía - tipo 3 (más de  6 bahías) tipo convencional o encapsulada exterior</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85.925.000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N3S37</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común/bahía - tipo 4 - tipo interior</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41.345.000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N3S39</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Subestación móvil 30 MVA</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2.981.523.000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N3S40</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Subestación móvil 15 MVA</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2.316.649.000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N3S41</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Subestación móvil 21 MVA</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2.300.652.000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N3S42</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 xml:space="preserve">Subestación móvil 7.5 MVA </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821.661.000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N3S43</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Subestación simplificada (rural)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98.871.000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N3S60</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Módulo común - tipo 5 - subestación convencional reducida</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44.397.000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N3S61</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Gabinete de llegada o salida - subestación tipo interior-SF6 - barra sencilla</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336.896.000</w:t>
            </w:r>
          </w:p>
        </w:tc>
      </w:tr>
      <w:tr w:rsidR="0094295C" w:rsidRPr="004E6CFC" w:rsidTr="00637A3F">
        <w:trPr>
          <w:trHeight w:val="283"/>
          <w:jc w:val="center"/>
        </w:trPr>
        <w:tc>
          <w:tcPr>
            <w:tcW w:w="850"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N3S62</w:t>
            </w:r>
          </w:p>
        </w:tc>
        <w:tc>
          <w:tcPr>
            <w:tcW w:w="6803" w:type="dxa"/>
            <w:shd w:val="clear" w:color="000000" w:fill="FFFFFF"/>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Cables de salida de circuito -  subestación tipo interior</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39.037.000</w:t>
            </w:r>
          </w:p>
        </w:tc>
      </w:tr>
    </w:tbl>
    <w:p w:rsidR="0094295C" w:rsidRPr="004E6CFC" w:rsidRDefault="0094295C" w:rsidP="0094295C">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11</w:t>
      </w:r>
      <w:r w:rsidRPr="004E6CFC">
        <w:fldChar w:fldCharType="end"/>
      </w:r>
      <w:r w:rsidRPr="004E6CFC">
        <w:t xml:space="preserve"> UC de equipos de subestación de nivel de tensión 2.</w:t>
      </w:r>
    </w:p>
    <w:tbl>
      <w:tblPr>
        <w:tblW w:w="90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50"/>
        <w:gridCol w:w="6803"/>
        <w:gridCol w:w="1361"/>
      </w:tblGrid>
      <w:tr w:rsidR="0094295C" w:rsidRPr="004E6CFC" w:rsidTr="00F43E69">
        <w:trPr>
          <w:trHeight w:val="794"/>
          <w:tblHeader/>
          <w:jc w:val="center"/>
        </w:trPr>
        <w:tc>
          <w:tcPr>
            <w:tcW w:w="850" w:type="dxa"/>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UC</w:t>
            </w:r>
          </w:p>
        </w:tc>
        <w:tc>
          <w:tcPr>
            <w:tcW w:w="6803" w:type="dxa"/>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DESCRIPCIÓN</w:t>
            </w:r>
          </w:p>
        </w:tc>
        <w:tc>
          <w:tcPr>
            <w:tcW w:w="1361" w:type="dxa"/>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VALOR INSTALADO</w:t>
            </w:r>
            <w:r>
              <w:rPr>
                <w:color w:val="000000"/>
                <w:sz w:val="16"/>
                <w:szCs w:val="16"/>
              </w:rPr>
              <w:br/>
              <w:t>[$ dic 2017]</w:t>
            </w:r>
          </w:p>
        </w:tc>
      </w:tr>
      <w:tr w:rsidR="0094295C" w:rsidRPr="004E6CFC" w:rsidTr="00F43E69">
        <w:trPr>
          <w:trHeight w:val="240"/>
          <w:jc w:val="center"/>
        </w:trPr>
        <w:tc>
          <w:tcPr>
            <w:tcW w:w="850" w:type="dxa"/>
            <w:shd w:val="clear" w:color="auto" w:fill="auto"/>
            <w:noWrap/>
            <w:vAlign w:val="center"/>
            <w:hideMark/>
          </w:tcPr>
          <w:p w:rsidR="0094295C" w:rsidRPr="008F2F24" w:rsidRDefault="0094295C" w:rsidP="0094295C">
            <w:pPr>
              <w:spacing w:before="0" w:after="0"/>
              <w:jc w:val="left"/>
              <w:rPr>
                <w:color w:val="000000"/>
                <w:sz w:val="16"/>
                <w:szCs w:val="16"/>
              </w:rPr>
            </w:pPr>
            <w:r w:rsidRPr="008F2F24">
              <w:rPr>
                <w:color w:val="000000"/>
                <w:sz w:val="16"/>
                <w:szCs w:val="16"/>
              </w:rPr>
              <w:t>N2S1</w:t>
            </w:r>
          </w:p>
        </w:tc>
        <w:tc>
          <w:tcPr>
            <w:tcW w:w="6803" w:type="dxa"/>
            <w:shd w:val="clear" w:color="auto" w:fill="auto"/>
            <w:vAlign w:val="center"/>
            <w:hideMark/>
          </w:tcPr>
          <w:p w:rsidR="0094295C" w:rsidRPr="008F2F24" w:rsidRDefault="0094295C" w:rsidP="0094295C">
            <w:pPr>
              <w:spacing w:before="0" w:after="0"/>
              <w:jc w:val="left"/>
              <w:rPr>
                <w:color w:val="000000"/>
                <w:sz w:val="16"/>
                <w:szCs w:val="16"/>
              </w:rPr>
            </w:pPr>
            <w:r w:rsidRPr="008F2F24">
              <w:rPr>
                <w:color w:val="000000"/>
                <w:sz w:val="16"/>
                <w:szCs w:val="16"/>
              </w:rPr>
              <w:t>Bahía de línea - configuración barra sencilla - tipo convencional</w:t>
            </w:r>
          </w:p>
        </w:tc>
        <w:tc>
          <w:tcPr>
            <w:tcW w:w="1361" w:type="dxa"/>
            <w:shd w:val="clear" w:color="auto" w:fill="auto"/>
            <w:noWrap/>
            <w:vAlign w:val="center"/>
            <w:hideMark/>
          </w:tcPr>
          <w:p w:rsidR="0094295C" w:rsidRPr="008F2F24" w:rsidRDefault="0094295C" w:rsidP="0094295C">
            <w:pPr>
              <w:spacing w:before="0" w:after="0"/>
              <w:jc w:val="right"/>
              <w:rPr>
                <w:color w:val="000000"/>
                <w:sz w:val="16"/>
                <w:szCs w:val="16"/>
              </w:rPr>
            </w:pPr>
            <w:r w:rsidRPr="008F2F24">
              <w:rPr>
                <w:color w:val="000000"/>
                <w:sz w:val="16"/>
                <w:szCs w:val="16"/>
              </w:rPr>
              <w:t>227.716.000</w:t>
            </w:r>
          </w:p>
        </w:tc>
      </w:tr>
      <w:tr w:rsidR="0094295C" w:rsidRPr="004E6CFC" w:rsidTr="00F43E69">
        <w:trPr>
          <w:trHeight w:val="240"/>
          <w:jc w:val="center"/>
        </w:trPr>
        <w:tc>
          <w:tcPr>
            <w:tcW w:w="850" w:type="dxa"/>
            <w:shd w:val="clear" w:color="auto" w:fill="auto"/>
            <w:noWrap/>
            <w:vAlign w:val="center"/>
            <w:hideMark/>
          </w:tcPr>
          <w:p w:rsidR="0094295C" w:rsidRPr="008F2F24" w:rsidRDefault="0094295C" w:rsidP="0094295C">
            <w:pPr>
              <w:spacing w:before="0" w:after="0"/>
              <w:jc w:val="left"/>
              <w:rPr>
                <w:color w:val="000000"/>
                <w:sz w:val="16"/>
                <w:szCs w:val="16"/>
              </w:rPr>
            </w:pPr>
            <w:r w:rsidRPr="008F2F24">
              <w:rPr>
                <w:color w:val="000000"/>
                <w:sz w:val="16"/>
                <w:szCs w:val="16"/>
              </w:rPr>
              <w:t>N2S2</w:t>
            </w:r>
          </w:p>
        </w:tc>
        <w:tc>
          <w:tcPr>
            <w:tcW w:w="6803" w:type="dxa"/>
            <w:shd w:val="clear" w:color="auto" w:fill="auto"/>
            <w:vAlign w:val="center"/>
            <w:hideMark/>
          </w:tcPr>
          <w:p w:rsidR="0094295C" w:rsidRPr="008F2F24" w:rsidRDefault="0094295C" w:rsidP="0094295C">
            <w:pPr>
              <w:spacing w:before="0" w:after="0"/>
              <w:jc w:val="left"/>
              <w:rPr>
                <w:color w:val="000000"/>
                <w:sz w:val="16"/>
                <w:szCs w:val="16"/>
              </w:rPr>
            </w:pPr>
            <w:r w:rsidRPr="008F2F24">
              <w:rPr>
                <w:color w:val="000000"/>
                <w:sz w:val="16"/>
                <w:szCs w:val="16"/>
              </w:rPr>
              <w:t>Bahía de transformador - configuración barra sencilla - tipo convencional</w:t>
            </w:r>
          </w:p>
        </w:tc>
        <w:tc>
          <w:tcPr>
            <w:tcW w:w="1361" w:type="dxa"/>
            <w:shd w:val="clear" w:color="auto" w:fill="auto"/>
            <w:noWrap/>
            <w:vAlign w:val="center"/>
            <w:hideMark/>
          </w:tcPr>
          <w:p w:rsidR="0094295C" w:rsidRPr="008F2F24" w:rsidRDefault="0094295C" w:rsidP="0094295C">
            <w:pPr>
              <w:spacing w:before="0" w:after="0"/>
              <w:jc w:val="right"/>
              <w:rPr>
                <w:color w:val="000000"/>
                <w:sz w:val="16"/>
                <w:szCs w:val="16"/>
              </w:rPr>
            </w:pPr>
            <w:r w:rsidRPr="008F2F24">
              <w:rPr>
                <w:color w:val="000000"/>
                <w:sz w:val="16"/>
                <w:szCs w:val="16"/>
              </w:rPr>
              <w:t>178.793.000</w:t>
            </w:r>
          </w:p>
        </w:tc>
      </w:tr>
      <w:tr w:rsidR="0094295C" w:rsidRPr="004E6CFC" w:rsidTr="00F43E69">
        <w:trPr>
          <w:trHeight w:val="240"/>
          <w:jc w:val="center"/>
        </w:trPr>
        <w:tc>
          <w:tcPr>
            <w:tcW w:w="850" w:type="dxa"/>
            <w:shd w:val="clear" w:color="auto" w:fill="auto"/>
            <w:noWrap/>
            <w:vAlign w:val="center"/>
            <w:hideMark/>
          </w:tcPr>
          <w:p w:rsidR="0094295C" w:rsidRPr="008F2F24" w:rsidRDefault="0094295C" w:rsidP="0094295C">
            <w:pPr>
              <w:spacing w:before="0" w:after="0"/>
              <w:jc w:val="left"/>
              <w:rPr>
                <w:color w:val="000000"/>
                <w:sz w:val="16"/>
                <w:szCs w:val="16"/>
              </w:rPr>
            </w:pPr>
            <w:r w:rsidRPr="008F2F24">
              <w:rPr>
                <w:color w:val="000000"/>
                <w:sz w:val="16"/>
                <w:szCs w:val="16"/>
              </w:rPr>
              <w:t>N2S3</w:t>
            </w:r>
          </w:p>
        </w:tc>
        <w:tc>
          <w:tcPr>
            <w:tcW w:w="6803" w:type="dxa"/>
            <w:shd w:val="clear" w:color="auto" w:fill="auto"/>
            <w:vAlign w:val="center"/>
            <w:hideMark/>
          </w:tcPr>
          <w:p w:rsidR="0094295C" w:rsidRPr="008F2F24" w:rsidRDefault="0094295C" w:rsidP="0094295C">
            <w:pPr>
              <w:spacing w:before="0" w:after="0"/>
              <w:jc w:val="left"/>
              <w:rPr>
                <w:color w:val="000000"/>
                <w:sz w:val="16"/>
                <w:szCs w:val="16"/>
              </w:rPr>
            </w:pPr>
            <w:r w:rsidRPr="008F2F24">
              <w:rPr>
                <w:color w:val="000000"/>
                <w:sz w:val="16"/>
                <w:szCs w:val="16"/>
              </w:rPr>
              <w:t>Bahía de línea - configuración barra doble - tipo convencional</w:t>
            </w:r>
          </w:p>
        </w:tc>
        <w:tc>
          <w:tcPr>
            <w:tcW w:w="1361" w:type="dxa"/>
            <w:shd w:val="clear" w:color="auto" w:fill="auto"/>
            <w:noWrap/>
            <w:vAlign w:val="center"/>
            <w:hideMark/>
          </w:tcPr>
          <w:p w:rsidR="0094295C" w:rsidRPr="008F2F24" w:rsidRDefault="0094295C" w:rsidP="0094295C">
            <w:pPr>
              <w:spacing w:before="0" w:after="0"/>
              <w:jc w:val="right"/>
              <w:rPr>
                <w:color w:val="000000"/>
                <w:sz w:val="16"/>
                <w:szCs w:val="16"/>
              </w:rPr>
            </w:pPr>
            <w:r w:rsidRPr="008F2F24">
              <w:rPr>
                <w:color w:val="000000"/>
                <w:sz w:val="16"/>
                <w:szCs w:val="16"/>
              </w:rPr>
              <w:t>278.297.000</w:t>
            </w:r>
          </w:p>
        </w:tc>
      </w:tr>
      <w:tr w:rsidR="0094295C" w:rsidRPr="004E6CFC" w:rsidTr="00F43E69">
        <w:trPr>
          <w:trHeight w:val="240"/>
          <w:jc w:val="center"/>
        </w:trPr>
        <w:tc>
          <w:tcPr>
            <w:tcW w:w="850" w:type="dxa"/>
            <w:shd w:val="clear" w:color="auto" w:fill="auto"/>
            <w:noWrap/>
            <w:vAlign w:val="center"/>
            <w:hideMark/>
          </w:tcPr>
          <w:p w:rsidR="0094295C" w:rsidRPr="008F2F24" w:rsidRDefault="0094295C" w:rsidP="0094295C">
            <w:pPr>
              <w:spacing w:before="0" w:after="0"/>
              <w:jc w:val="left"/>
              <w:rPr>
                <w:color w:val="000000"/>
                <w:sz w:val="16"/>
                <w:szCs w:val="16"/>
              </w:rPr>
            </w:pPr>
            <w:r w:rsidRPr="008F2F24">
              <w:rPr>
                <w:color w:val="000000"/>
                <w:sz w:val="16"/>
                <w:szCs w:val="16"/>
              </w:rPr>
              <w:t>N2S4</w:t>
            </w:r>
          </w:p>
        </w:tc>
        <w:tc>
          <w:tcPr>
            <w:tcW w:w="6803" w:type="dxa"/>
            <w:shd w:val="clear" w:color="auto" w:fill="auto"/>
            <w:vAlign w:val="center"/>
            <w:hideMark/>
          </w:tcPr>
          <w:p w:rsidR="0094295C" w:rsidRPr="008F2F24" w:rsidRDefault="0094295C" w:rsidP="0094295C">
            <w:pPr>
              <w:spacing w:before="0" w:after="0"/>
              <w:jc w:val="left"/>
              <w:rPr>
                <w:color w:val="000000"/>
                <w:sz w:val="16"/>
                <w:szCs w:val="16"/>
              </w:rPr>
            </w:pPr>
            <w:r w:rsidRPr="008F2F24">
              <w:rPr>
                <w:color w:val="000000"/>
                <w:sz w:val="16"/>
                <w:szCs w:val="16"/>
              </w:rPr>
              <w:t>Bahía de transformador - configuración barra doble - tipo convencional</w:t>
            </w:r>
          </w:p>
        </w:tc>
        <w:tc>
          <w:tcPr>
            <w:tcW w:w="1361" w:type="dxa"/>
            <w:shd w:val="clear" w:color="auto" w:fill="auto"/>
            <w:noWrap/>
            <w:vAlign w:val="center"/>
            <w:hideMark/>
          </w:tcPr>
          <w:p w:rsidR="0094295C" w:rsidRPr="008F2F24" w:rsidRDefault="0094295C" w:rsidP="0094295C">
            <w:pPr>
              <w:spacing w:before="0" w:after="0"/>
              <w:jc w:val="right"/>
              <w:rPr>
                <w:color w:val="000000"/>
                <w:sz w:val="16"/>
                <w:szCs w:val="16"/>
              </w:rPr>
            </w:pPr>
            <w:r w:rsidRPr="008F2F24">
              <w:rPr>
                <w:color w:val="000000"/>
                <w:sz w:val="16"/>
                <w:szCs w:val="16"/>
              </w:rPr>
              <w:t>281.220.000</w:t>
            </w:r>
          </w:p>
        </w:tc>
      </w:tr>
      <w:tr w:rsidR="0094295C" w:rsidRPr="004E6CFC" w:rsidTr="00F43E69">
        <w:trPr>
          <w:trHeight w:val="240"/>
          <w:jc w:val="center"/>
        </w:trPr>
        <w:tc>
          <w:tcPr>
            <w:tcW w:w="850" w:type="dxa"/>
            <w:shd w:val="clear" w:color="auto" w:fill="auto"/>
            <w:noWrap/>
            <w:vAlign w:val="center"/>
            <w:hideMark/>
          </w:tcPr>
          <w:p w:rsidR="0094295C" w:rsidRPr="008F2F24" w:rsidRDefault="0094295C" w:rsidP="0094295C">
            <w:pPr>
              <w:spacing w:before="0" w:after="0"/>
              <w:jc w:val="left"/>
              <w:rPr>
                <w:color w:val="000000"/>
                <w:sz w:val="16"/>
                <w:szCs w:val="16"/>
              </w:rPr>
            </w:pPr>
            <w:r w:rsidRPr="008F2F24">
              <w:rPr>
                <w:color w:val="000000"/>
                <w:sz w:val="16"/>
                <w:szCs w:val="16"/>
              </w:rPr>
              <w:t>N2S5</w:t>
            </w:r>
          </w:p>
        </w:tc>
        <w:tc>
          <w:tcPr>
            <w:tcW w:w="6803" w:type="dxa"/>
            <w:shd w:val="clear" w:color="auto" w:fill="auto"/>
            <w:vAlign w:val="center"/>
            <w:hideMark/>
          </w:tcPr>
          <w:p w:rsidR="0094295C" w:rsidRPr="008F2F24" w:rsidRDefault="0094295C" w:rsidP="0094295C">
            <w:pPr>
              <w:spacing w:before="0" w:after="0"/>
              <w:jc w:val="left"/>
              <w:rPr>
                <w:color w:val="000000"/>
                <w:sz w:val="16"/>
                <w:szCs w:val="16"/>
              </w:rPr>
            </w:pPr>
            <w:r w:rsidRPr="008F2F24">
              <w:rPr>
                <w:color w:val="000000"/>
                <w:sz w:val="16"/>
                <w:szCs w:val="16"/>
              </w:rPr>
              <w:t>Bahía de línea - configuración barra principal y transferencia - tipo convencional</w:t>
            </w:r>
          </w:p>
        </w:tc>
        <w:tc>
          <w:tcPr>
            <w:tcW w:w="1361" w:type="dxa"/>
            <w:shd w:val="clear" w:color="auto" w:fill="auto"/>
            <w:noWrap/>
            <w:vAlign w:val="center"/>
            <w:hideMark/>
          </w:tcPr>
          <w:p w:rsidR="0094295C" w:rsidRPr="008F2F24" w:rsidRDefault="0094295C" w:rsidP="0094295C">
            <w:pPr>
              <w:spacing w:before="0" w:after="0"/>
              <w:jc w:val="right"/>
              <w:rPr>
                <w:color w:val="000000"/>
                <w:sz w:val="16"/>
                <w:szCs w:val="16"/>
              </w:rPr>
            </w:pPr>
            <w:r w:rsidRPr="008F2F24">
              <w:rPr>
                <w:color w:val="000000"/>
                <w:sz w:val="16"/>
                <w:szCs w:val="16"/>
              </w:rPr>
              <w:t>281.194.000</w:t>
            </w:r>
          </w:p>
        </w:tc>
      </w:tr>
      <w:tr w:rsidR="0094295C" w:rsidRPr="004E6CFC" w:rsidTr="00F43E69">
        <w:trPr>
          <w:trHeight w:val="480"/>
          <w:jc w:val="center"/>
        </w:trPr>
        <w:tc>
          <w:tcPr>
            <w:tcW w:w="850" w:type="dxa"/>
            <w:shd w:val="clear" w:color="auto" w:fill="auto"/>
            <w:noWrap/>
            <w:vAlign w:val="center"/>
            <w:hideMark/>
          </w:tcPr>
          <w:p w:rsidR="0094295C" w:rsidRPr="004E6CFC" w:rsidRDefault="0094295C" w:rsidP="0094295C">
            <w:pPr>
              <w:spacing w:before="0" w:after="0"/>
              <w:contextualSpacing/>
              <w:jc w:val="left"/>
              <w:rPr>
                <w:sz w:val="16"/>
                <w:szCs w:val="16"/>
                <w:lang w:val="es-CO" w:eastAsia="es-CO"/>
              </w:rPr>
            </w:pPr>
            <w:r>
              <w:rPr>
                <w:sz w:val="16"/>
                <w:szCs w:val="16"/>
              </w:rPr>
              <w:t>N2S6</w:t>
            </w:r>
          </w:p>
        </w:tc>
        <w:tc>
          <w:tcPr>
            <w:tcW w:w="6803" w:type="dxa"/>
            <w:shd w:val="clear" w:color="auto" w:fill="auto"/>
            <w:vAlign w:val="center"/>
            <w:hideMark/>
          </w:tcPr>
          <w:p w:rsidR="0094295C" w:rsidRPr="004E6CFC" w:rsidRDefault="0094295C" w:rsidP="0094295C">
            <w:pPr>
              <w:spacing w:before="0" w:after="0"/>
              <w:contextualSpacing/>
              <w:jc w:val="left"/>
              <w:rPr>
                <w:sz w:val="16"/>
                <w:szCs w:val="16"/>
                <w:lang w:val="es-CO" w:eastAsia="es-CO"/>
              </w:rPr>
            </w:pPr>
            <w:r>
              <w:rPr>
                <w:sz w:val="16"/>
                <w:szCs w:val="16"/>
              </w:rPr>
              <w:t>Bahía de transformador - configuración barra principal y transferencia - tipo convencional</w:t>
            </w:r>
          </w:p>
        </w:tc>
        <w:tc>
          <w:tcPr>
            <w:tcW w:w="1361" w:type="dxa"/>
            <w:shd w:val="clear" w:color="auto" w:fill="auto"/>
            <w:noWrap/>
            <w:vAlign w:val="center"/>
            <w:hideMark/>
          </w:tcPr>
          <w:p w:rsidR="0094295C" w:rsidRPr="004E6CFC" w:rsidRDefault="0094295C" w:rsidP="0094295C">
            <w:pPr>
              <w:spacing w:before="0" w:after="0"/>
              <w:contextualSpacing/>
              <w:jc w:val="right"/>
              <w:rPr>
                <w:sz w:val="16"/>
                <w:szCs w:val="16"/>
                <w:lang w:val="es-CO" w:eastAsia="es-CO"/>
              </w:rPr>
            </w:pPr>
            <w:r>
              <w:rPr>
                <w:sz w:val="16"/>
                <w:szCs w:val="16"/>
              </w:rPr>
              <w:t>284.177.000</w:t>
            </w:r>
          </w:p>
        </w:tc>
      </w:tr>
      <w:tr w:rsidR="0094295C" w:rsidRPr="004E6CFC" w:rsidTr="00F43E69">
        <w:trPr>
          <w:trHeight w:val="191"/>
          <w:jc w:val="center"/>
        </w:trPr>
        <w:tc>
          <w:tcPr>
            <w:tcW w:w="850" w:type="dxa"/>
            <w:shd w:val="clear" w:color="auto" w:fill="auto"/>
            <w:noWrap/>
            <w:vAlign w:val="center"/>
          </w:tcPr>
          <w:p w:rsidR="0094295C" w:rsidRPr="004E6CFC" w:rsidRDefault="0094295C" w:rsidP="0094295C">
            <w:pPr>
              <w:spacing w:before="0" w:after="0"/>
              <w:contextualSpacing/>
              <w:jc w:val="left"/>
              <w:rPr>
                <w:sz w:val="16"/>
                <w:szCs w:val="16"/>
                <w:lang w:val="es-CO" w:eastAsia="es-CO"/>
              </w:rPr>
            </w:pPr>
            <w:r>
              <w:rPr>
                <w:sz w:val="16"/>
                <w:szCs w:val="16"/>
              </w:rPr>
              <w:t>N2S7</w:t>
            </w:r>
          </w:p>
        </w:tc>
        <w:tc>
          <w:tcPr>
            <w:tcW w:w="6803" w:type="dxa"/>
            <w:shd w:val="clear" w:color="auto" w:fill="auto"/>
            <w:vAlign w:val="center"/>
          </w:tcPr>
          <w:p w:rsidR="0094295C" w:rsidRPr="004E6CFC" w:rsidRDefault="0094295C" w:rsidP="0094295C">
            <w:pPr>
              <w:spacing w:before="0" w:after="0"/>
              <w:contextualSpacing/>
              <w:jc w:val="left"/>
              <w:rPr>
                <w:sz w:val="16"/>
                <w:szCs w:val="16"/>
                <w:lang w:val="es-CO" w:eastAsia="es-CO"/>
              </w:rPr>
            </w:pPr>
            <w:r>
              <w:rPr>
                <w:sz w:val="16"/>
                <w:szCs w:val="16"/>
              </w:rPr>
              <w:t>Bahía de línea - subestación reducida</w:t>
            </w:r>
          </w:p>
        </w:tc>
        <w:tc>
          <w:tcPr>
            <w:tcW w:w="1361" w:type="dxa"/>
            <w:shd w:val="clear" w:color="auto" w:fill="auto"/>
            <w:noWrap/>
            <w:vAlign w:val="center"/>
          </w:tcPr>
          <w:p w:rsidR="0094295C" w:rsidRPr="004E6CFC" w:rsidRDefault="0094295C" w:rsidP="0094295C">
            <w:pPr>
              <w:spacing w:before="0" w:after="0"/>
              <w:contextualSpacing/>
              <w:jc w:val="right"/>
              <w:rPr>
                <w:sz w:val="16"/>
                <w:szCs w:val="16"/>
                <w:lang w:val="es-CO" w:eastAsia="es-CO"/>
              </w:rPr>
            </w:pPr>
            <w:r>
              <w:rPr>
                <w:sz w:val="16"/>
                <w:szCs w:val="16"/>
              </w:rPr>
              <w:t>84.103.000</w:t>
            </w:r>
          </w:p>
        </w:tc>
      </w:tr>
      <w:tr w:rsidR="0094295C" w:rsidRPr="004E6CFC" w:rsidTr="00F43E69">
        <w:trPr>
          <w:trHeight w:val="240"/>
          <w:jc w:val="center"/>
        </w:trPr>
        <w:tc>
          <w:tcPr>
            <w:tcW w:w="850"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N2S8</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Bahía de acople o seccionamiento (configuraciones en que aplica) - tipo convencional</w:t>
            </w:r>
          </w:p>
        </w:tc>
        <w:tc>
          <w:tcPr>
            <w:tcW w:w="1361" w:type="dxa"/>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221.565.000</w:t>
            </w:r>
          </w:p>
        </w:tc>
      </w:tr>
      <w:tr w:rsidR="0094295C" w:rsidRPr="004E6CFC" w:rsidTr="00F43E69">
        <w:trPr>
          <w:trHeight w:val="240"/>
          <w:jc w:val="center"/>
        </w:trPr>
        <w:tc>
          <w:tcPr>
            <w:tcW w:w="850"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N2S9</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Celda de salida de circuito - subestación tipo interior</w:t>
            </w:r>
          </w:p>
        </w:tc>
        <w:tc>
          <w:tcPr>
            <w:tcW w:w="1361" w:type="dxa"/>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100.599.000</w:t>
            </w:r>
          </w:p>
        </w:tc>
      </w:tr>
      <w:tr w:rsidR="0094295C" w:rsidRPr="004E6CFC" w:rsidTr="00F43E69">
        <w:trPr>
          <w:trHeight w:val="240"/>
          <w:jc w:val="center"/>
        </w:trPr>
        <w:tc>
          <w:tcPr>
            <w:tcW w:w="850"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N2S10</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Celda de llegada de transformador - barra sencilla - subestación tipo interior-aire</w:t>
            </w:r>
          </w:p>
        </w:tc>
        <w:tc>
          <w:tcPr>
            <w:tcW w:w="1361" w:type="dxa"/>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100.599.000</w:t>
            </w:r>
          </w:p>
        </w:tc>
      </w:tr>
      <w:tr w:rsidR="0094295C" w:rsidRPr="004E6CFC" w:rsidTr="00F43E69">
        <w:trPr>
          <w:trHeight w:val="240"/>
          <w:jc w:val="center"/>
        </w:trPr>
        <w:tc>
          <w:tcPr>
            <w:tcW w:w="850"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N2S11</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Celda de interconexión o de acople - barra sencilla - subestación tipo interior-aire</w:t>
            </w:r>
          </w:p>
        </w:tc>
        <w:tc>
          <w:tcPr>
            <w:tcW w:w="1361" w:type="dxa"/>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100.599.000</w:t>
            </w:r>
          </w:p>
        </w:tc>
      </w:tr>
      <w:tr w:rsidR="0094295C" w:rsidRPr="004E6CFC" w:rsidTr="00F43E69">
        <w:trPr>
          <w:trHeight w:val="240"/>
          <w:jc w:val="center"/>
        </w:trPr>
        <w:tc>
          <w:tcPr>
            <w:tcW w:w="850"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N2S12</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Celda de medida o auxiliares - barra sencilla - subestación tipo interior-aire</w:t>
            </w:r>
          </w:p>
        </w:tc>
        <w:tc>
          <w:tcPr>
            <w:tcW w:w="1361" w:type="dxa"/>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49.624.000</w:t>
            </w:r>
          </w:p>
        </w:tc>
      </w:tr>
      <w:tr w:rsidR="0094295C" w:rsidRPr="004E6CFC" w:rsidTr="00F43E69">
        <w:trPr>
          <w:trHeight w:val="240"/>
          <w:jc w:val="center"/>
        </w:trPr>
        <w:tc>
          <w:tcPr>
            <w:tcW w:w="850"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N2S14</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Cables llegada transformador -  subestación tipo interior-aire</w:t>
            </w:r>
          </w:p>
        </w:tc>
        <w:tc>
          <w:tcPr>
            <w:tcW w:w="1361" w:type="dxa"/>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85.610.000</w:t>
            </w:r>
          </w:p>
        </w:tc>
      </w:tr>
      <w:tr w:rsidR="0094295C" w:rsidRPr="004E6CFC" w:rsidTr="00F43E69">
        <w:trPr>
          <w:trHeight w:val="240"/>
          <w:jc w:val="center"/>
        </w:trPr>
        <w:tc>
          <w:tcPr>
            <w:tcW w:w="850"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N2S15</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Celda de salida de circuito - doble barra - subestación tipo interior-aire</w:t>
            </w:r>
          </w:p>
        </w:tc>
        <w:tc>
          <w:tcPr>
            <w:tcW w:w="1361" w:type="dxa"/>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100.599.000</w:t>
            </w:r>
          </w:p>
        </w:tc>
      </w:tr>
      <w:tr w:rsidR="0094295C" w:rsidRPr="004E6CFC" w:rsidTr="00F43E69">
        <w:trPr>
          <w:trHeight w:val="240"/>
          <w:jc w:val="center"/>
        </w:trPr>
        <w:tc>
          <w:tcPr>
            <w:tcW w:w="850"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N2S16</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Celda de llegada de transformador - doble barra - subestación tipo interior-aire</w:t>
            </w:r>
          </w:p>
        </w:tc>
        <w:tc>
          <w:tcPr>
            <w:tcW w:w="1361" w:type="dxa"/>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100.599.000</w:t>
            </w:r>
          </w:p>
        </w:tc>
      </w:tr>
      <w:tr w:rsidR="0094295C" w:rsidRPr="004E6CFC" w:rsidTr="00F43E69">
        <w:trPr>
          <w:trHeight w:val="240"/>
          <w:jc w:val="center"/>
        </w:trPr>
        <w:tc>
          <w:tcPr>
            <w:tcW w:w="850"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N2S17</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Celda de interconexión o de acople - doble barra - subestación tipo interior-aire</w:t>
            </w:r>
          </w:p>
        </w:tc>
        <w:tc>
          <w:tcPr>
            <w:tcW w:w="1361" w:type="dxa"/>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100.599.000</w:t>
            </w:r>
          </w:p>
        </w:tc>
      </w:tr>
      <w:tr w:rsidR="0094295C" w:rsidRPr="004E6CFC" w:rsidTr="00F43E69">
        <w:trPr>
          <w:trHeight w:val="240"/>
          <w:jc w:val="center"/>
        </w:trPr>
        <w:tc>
          <w:tcPr>
            <w:tcW w:w="850"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N2S18</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Celda de medida o auxiliares - doble barra - subestación tipo interior-aire</w:t>
            </w:r>
          </w:p>
        </w:tc>
        <w:tc>
          <w:tcPr>
            <w:tcW w:w="1361" w:type="dxa"/>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49.446.000</w:t>
            </w:r>
          </w:p>
        </w:tc>
      </w:tr>
      <w:tr w:rsidR="0094295C" w:rsidRPr="004E6CFC" w:rsidTr="00F43E69">
        <w:trPr>
          <w:trHeight w:val="240"/>
          <w:jc w:val="center"/>
        </w:trPr>
        <w:tc>
          <w:tcPr>
            <w:tcW w:w="850"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N2S20</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Módulo de barraje - barra sencilla tipo 1</w:t>
            </w:r>
          </w:p>
        </w:tc>
        <w:tc>
          <w:tcPr>
            <w:tcW w:w="1361" w:type="dxa"/>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49.786.000</w:t>
            </w:r>
          </w:p>
        </w:tc>
      </w:tr>
      <w:tr w:rsidR="0094295C" w:rsidRPr="004E6CFC" w:rsidTr="00F43E69">
        <w:trPr>
          <w:trHeight w:val="240"/>
          <w:jc w:val="center"/>
        </w:trPr>
        <w:tc>
          <w:tcPr>
            <w:tcW w:w="850"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N2S21</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Módulo de barraje - barra sencilla tipo 2</w:t>
            </w:r>
          </w:p>
        </w:tc>
        <w:tc>
          <w:tcPr>
            <w:tcW w:w="1361" w:type="dxa"/>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70.931.000</w:t>
            </w:r>
          </w:p>
        </w:tc>
      </w:tr>
      <w:tr w:rsidR="0094295C" w:rsidRPr="004E6CFC" w:rsidTr="00F43E69">
        <w:trPr>
          <w:trHeight w:val="240"/>
          <w:jc w:val="center"/>
        </w:trPr>
        <w:tc>
          <w:tcPr>
            <w:tcW w:w="850"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N2S22</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Módulo de barraje - barra sencilla tipo 3</w:t>
            </w:r>
          </w:p>
        </w:tc>
        <w:tc>
          <w:tcPr>
            <w:tcW w:w="1361" w:type="dxa"/>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70.980.000</w:t>
            </w:r>
          </w:p>
        </w:tc>
      </w:tr>
      <w:tr w:rsidR="0094295C" w:rsidRPr="004E6CFC" w:rsidTr="00F43E69">
        <w:trPr>
          <w:trHeight w:val="240"/>
          <w:jc w:val="center"/>
        </w:trPr>
        <w:tc>
          <w:tcPr>
            <w:tcW w:w="850"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N2S23</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Módulo de barraje - barra doble tipo 1</w:t>
            </w:r>
          </w:p>
        </w:tc>
        <w:tc>
          <w:tcPr>
            <w:tcW w:w="1361" w:type="dxa"/>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56.761.000</w:t>
            </w:r>
          </w:p>
        </w:tc>
      </w:tr>
      <w:tr w:rsidR="0094295C" w:rsidRPr="004E6CFC" w:rsidTr="00F43E69">
        <w:trPr>
          <w:trHeight w:val="240"/>
          <w:jc w:val="center"/>
        </w:trPr>
        <w:tc>
          <w:tcPr>
            <w:tcW w:w="850"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lastRenderedPageBreak/>
              <w:t>N2S24</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Módulo de barraje - barra doble tipo 2</w:t>
            </w:r>
          </w:p>
        </w:tc>
        <w:tc>
          <w:tcPr>
            <w:tcW w:w="1361" w:type="dxa"/>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107.702.000</w:t>
            </w:r>
          </w:p>
        </w:tc>
      </w:tr>
      <w:tr w:rsidR="0094295C" w:rsidRPr="004E6CFC" w:rsidTr="00F43E69">
        <w:trPr>
          <w:trHeight w:val="240"/>
          <w:jc w:val="center"/>
        </w:trPr>
        <w:tc>
          <w:tcPr>
            <w:tcW w:w="850"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N2S25</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Módulo de barraje - barra doble tipo 3</w:t>
            </w:r>
          </w:p>
        </w:tc>
        <w:tc>
          <w:tcPr>
            <w:tcW w:w="1361" w:type="dxa"/>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133.221.000</w:t>
            </w:r>
          </w:p>
        </w:tc>
      </w:tr>
      <w:tr w:rsidR="0094295C" w:rsidRPr="004E6CFC" w:rsidTr="00F43E69">
        <w:trPr>
          <w:trHeight w:val="240"/>
          <w:jc w:val="center"/>
        </w:trPr>
        <w:tc>
          <w:tcPr>
            <w:tcW w:w="850"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N2S26</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Módulo de barraje - barra principal y transferencia - tipo 1</w:t>
            </w:r>
          </w:p>
        </w:tc>
        <w:tc>
          <w:tcPr>
            <w:tcW w:w="1361" w:type="dxa"/>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56.761.000</w:t>
            </w:r>
          </w:p>
        </w:tc>
      </w:tr>
      <w:tr w:rsidR="0094295C" w:rsidRPr="004E6CFC" w:rsidTr="00F43E69">
        <w:trPr>
          <w:trHeight w:val="240"/>
          <w:jc w:val="center"/>
        </w:trPr>
        <w:tc>
          <w:tcPr>
            <w:tcW w:w="850"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N2S27</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Módulo de barraje - barra principal y transferencia - tipo 2</w:t>
            </w:r>
          </w:p>
        </w:tc>
        <w:tc>
          <w:tcPr>
            <w:tcW w:w="1361" w:type="dxa"/>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107.702.000</w:t>
            </w:r>
          </w:p>
        </w:tc>
      </w:tr>
      <w:tr w:rsidR="0094295C" w:rsidRPr="004E6CFC" w:rsidTr="00F43E69">
        <w:trPr>
          <w:trHeight w:val="240"/>
          <w:jc w:val="center"/>
        </w:trPr>
        <w:tc>
          <w:tcPr>
            <w:tcW w:w="850"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N2S28</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Módulo de barraje - barra principal y transferencia - tipo 3</w:t>
            </w:r>
          </w:p>
        </w:tc>
        <w:tc>
          <w:tcPr>
            <w:tcW w:w="1361" w:type="dxa"/>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133.221.000</w:t>
            </w:r>
          </w:p>
        </w:tc>
      </w:tr>
      <w:tr w:rsidR="0094295C" w:rsidRPr="004E6CFC" w:rsidTr="00F43E69">
        <w:trPr>
          <w:trHeight w:val="240"/>
          <w:jc w:val="center"/>
        </w:trPr>
        <w:tc>
          <w:tcPr>
            <w:tcW w:w="850"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N2S60</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Gabinete de salida - subestación aislada en SF6 - barra sencilla</w:t>
            </w:r>
          </w:p>
        </w:tc>
        <w:tc>
          <w:tcPr>
            <w:tcW w:w="1361" w:type="dxa"/>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223.191.000</w:t>
            </w:r>
          </w:p>
        </w:tc>
      </w:tr>
      <w:tr w:rsidR="0094295C" w:rsidRPr="004E6CFC" w:rsidTr="00F43E69">
        <w:trPr>
          <w:trHeight w:val="240"/>
          <w:jc w:val="center"/>
        </w:trPr>
        <w:tc>
          <w:tcPr>
            <w:tcW w:w="850"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N2S61</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Módulo común/bahía - tipo 1 (1 a 3 bahías) tipo convencional o encapsulada exterior</w:t>
            </w:r>
          </w:p>
        </w:tc>
        <w:tc>
          <w:tcPr>
            <w:tcW w:w="1361" w:type="dxa"/>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73.167.000</w:t>
            </w:r>
          </w:p>
        </w:tc>
      </w:tr>
      <w:tr w:rsidR="0094295C" w:rsidRPr="004E6CFC" w:rsidTr="00F43E69">
        <w:trPr>
          <w:trHeight w:val="240"/>
          <w:jc w:val="center"/>
        </w:trPr>
        <w:tc>
          <w:tcPr>
            <w:tcW w:w="850"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N2S62</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Módulo común/bahía - tipo 2 (4 a 6 bahías) tipo convencional o encapsulada exterior</w:t>
            </w:r>
          </w:p>
        </w:tc>
        <w:tc>
          <w:tcPr>
            <w:tcW w:w="1361" w:type="dxa"/>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58.337.000</w:t>
            </w:r>
          </w:p>
        </w:tc>
      </w:tr>
      <w:tr w:rsidR="0094295C" w:rsidRPr="004E6CFC" w:rsidTr="00F43E69">
        <w:trPr>
          <w:trHeight w:val="480"/>
          <w:jc w:val="center"/>
        </w:trPr>
        <w:tc>
          <w:tcPr>
            <w:tcW w:w="850"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N2S63</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Módulo común/bahía - tipo 3 (más de 6 bahías) tipo convencional o encapsulada exterior</w:t>
            </w:r>
          </w:p>
        </w:tc>
        <w:tc>
          <w:tcPr>
            <w:tcW w:w="1361" w:type="dxa"/>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56.926.000</w:t>
            </w:r>
          </w:p>
        </w:tc>
      </w:tr>
      <w:tr w:rsidR="0094295C" w:rsidRPr="004E6CFC" w:rsidTr="00F43E69">
        <w:trPr>
          <w:trHeight w:val="240"/>
          <w:jc w:val="center"/>
        </w:trPr>
        <w:tc>
          <w:tcPr>
            <w:tcW w:w="850"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N2S64</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Módulo común/bahía - tipo 4 - tipo interior</w:t>
            </w:r>
          </w:p>
        </w:tc>
        <w:tc>
          <w:tcPr>
            <w:tcW w:w="1361" w:type="dxa"/>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40.513.000</w:t>
            </w:r>
          </w:p>
        </w:tc>
      </w:tr>
    </w:tbl>
    <w:p w:rsidR="0094295C" w:rsidRPr="004E6CFC" w:rsidRDefault="0094295C" w:rsidP="0094295C">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12</w:t>
      </w:r>
      <w:r w:rsidRPr="004E6CFC">
        <w:fldChar w:fldCharType="end"/>
      </w:r>
      <w:r w:rsidRPr="004E6CFC">
        <w:t xml:space="preserve"> Unidades constructivas de líneas de nivel de tensión 4</w:t>
      </w:r>
    </w:p>
    <w:tbl>
      <w:tblPr>
        <w:tblW w:w="90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50"/>
        <w:gridCol w:w="6803"/>
        <w:gridCol w:w="1360"/>
      </w:tblGrid>
      <w:tr w:rsidR="0094295C" w:rsidRPr="004E6CFC" w:rsidTr="00637A3F">
        <w:trPr>
          <w:trHeight w:val="794"/>
          <w:tblHeader/>
          <w:jc w:val="center"/>
        </w:trPr>
        <w:tc>
          <w:tcPr>
            <w:tcW w:w="850" w:type="dxa"/>
            <w:shd w:val="clear" w:color="auto" w:fill="auto"/>
            <w:noWrap/>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UC</w:t>
            </w:r>
          </w:p>
        </w:tc>
        <w:tc>
          <w:tcPr>
            <w:tcW w:w="6803" w:type="dxa"/>
            <w:shd w:val="clear" w:color="auto" w:fill="auto"/>
            <w:noWrap/>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 xml:space="preserve">DESCRIPCIÓN </w:t>
            </w:r>
          </w:p>
        </w:tc>
        <w:tc>
          <w:tcPr>
            <w:tcW w:w="1360" w:type="dxa"/>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VALOR INSTALADO</w:t>
            </w:r>
            <w:r>
              <w:rPr>
                <w:color w:val="000000"/>
                <w:sz w:val="16"/>
                <w:szCs w:val="16"/>
              </w:rPr>
              <w:br/>
              <w:t>[$ dic 2017]</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N4L60</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Estructura de concreto de 25 m línea aérea desnuda - circuito sencillo – suspensión</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46.108.000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N4L61</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Estructura de concreto de 25 m línea aérea desnuda - circuito sencillo - retención</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54.549.000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N4L62</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Estructura de concreto de 25 m línea aérea desnuda - circuito doble - suspensión</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54.473.000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N4L63</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Estructura de concreto de 25 m línea aérea desnuda - circuito doble - retención</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75.828.000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N4L64</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Poste metálico de 27 m línea aérea desnuda - circuito sencillo - suspensión</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56.776.000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N4L65</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Poste metálico de 27 m línea aérea desnuda - circuito sencillo - retención</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91.862.000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N4L66</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Poste metálico de 27 m línea aérea desnuda - circuito doble - suspensión</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77.640.000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N4L67</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Poste metálico de 27 m línea aérea desnuda - circuito doble - retención</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117.090.000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N4L68</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Torre metálica línea aérea desnuda - circuito sencillo - suspensión</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59.748.000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N4L69</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Torre metálica línea aérea desnuda - circuito sencillo - retención</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102.298.000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N4L70</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Torre metálica línea aérea desnuda - circuito doble - suspensión</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74.138.000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N4L71</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Torre metálica línea aérea desnuda - circuito doble - retención</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124.011.000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N4L72</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Poste metálico de 29 m– línea aérea compacta - circuito sencillo - suspensión</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47.864.000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N4L73</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Poste metálico de 29 m– línea aérea compacta - circuito sencillo - retención</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82.050.000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N4L74</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Poste metálico de 29 m– línea aérea compacta - circuito doble - suspensión</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65.629.000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N4L75</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Poste metálico de 29 m– línea aérea compacta - circuito doble- retención</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105.828.000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N4L76</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 xml:space="preserve">Banco de ductos - línea </w:t>
            </w:r>
            <w:r w:rsidR="00C4621D">
              <w:rPr>
                <w:color w:val="000000"/>
                <w:sz w:val="16"/>
                <w:szCs w:val="16"/>
              </w:rPr>
              <w:t>subterránea</w:t>
            </w:r>
            <w:r>
              <w:rPr>
                <w:color w:val="000000"/>
                <w:sz w:val="16"/>
                <w:szCs w:val="16"/>
              </w:rPr>
              <w:t xml:space="preserve"> - Circuito sencillo</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2.160.007.000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N4L77</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 xml:space="preserve">Banco de ductos - línea </w:t>
            </w:r>
            <w:r w:rsidR="00C4621D">
              <w:rPr>
                <w:color w:val="000000"/>
                <w:sz w:val="16"/>
                <w:szCs w:val="16"/>
              </w:rPr>
              <w:t>subterránea</w:t>
            </w:r>
            <w:r>
              <w:rPr>
                <w:color w:val="000000"/>
                <w:sz w:val="16"/>
                <w:szCs w:val="16"/>
              </w:rPr>
              <w:t xml:space="preserve"> - Circuito doble</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2.296.884.000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N4L78</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Box-Culvert - línea subter</w:t>
            </w:r>
            <w:r w:rsidR="00C4621D">
              <w:rPr>
                <w:color w:val="000000"/>
                <w:sz w:val="16"/>
                <w:szCs w:val="16"/>
              </w:rPr>
              <w:t>r</w:t>
            </w:r>
            <w:r>
              <w:rPr>
                <w:color w:val="000000"/>
                <w:sz w:val="16"/>
                <w:szCs w:val="16"/>
              </w:rPr>
              <w:t>ánea - Circuito sencillo</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2.842.182.000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N4L79</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 xml:space="preserve">Box-Culvert - línea </w:t>
            </w:r>
            <w:r w:rsidR="00C4621D">
              <w:rPr>
                <w:color w:val="000000"/>
                <w:sz w:val="16"/>
                <w:szCs w:val="16"/>
              </w:rPr>
              <w:t>subterránea</w:t>
            </w:r>
            <w:r>
              <w:rPr>
                <w:color w:val="000000"/>
                <w:sz w:val="16"/>
                <w:szCs w:val="16"/>
              </w:rPr>
              <w:t xml:space="preserve"> - Circuito doble</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3.447.623.000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N4L80</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desnudo ACSR 266 kcmil</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39.329.000</w:t>
            </w:r>
          </w:p>
        </w:tc>
      </w:tr>
      <w:tr w:rsidR="0094295C" w:rsidRPr="004E6CFC" w:rsidTr="00637A3F">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N4L81</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desnudo ACSR 336 kcmil</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45.054.000</w:t>
            </w:r>
          </w:p>
        </w:tc>
      </w:tr>
      <w:tr w:rsidR="0094295C" w:rsidRPr="004E6CFC" w:rsidTr="00637A3F">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N4L82</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desnudo ACSR 397 kcmil</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50.434.000</w:t>
            </w:r>
          </w:p>
        </w:tc>
      </w:tr>
      <w:tr w:rsidR="0094295C" w:rsidRPr="004E6CFC" w:rsidTr="00637A3F">
        <w:trPr>
          <w:trHeight w:val="300"/>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N4L83</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desnudo  ACSR 477 kcmil</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57.697.000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N4L84</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desnudo ACSR 605 kcmil</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72.744.000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N4L85</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desnudo ACSR 795 kcmil</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90.172.000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N4L86</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Cable para red compacta XLPE 800 mm</w:t>
            </w:r>
            <w:r>
              <w:rPr>
                <w:color w:val="000000"/>
                <w:sz w:val="16"/>
                <w:szCs w:val="16"/>
                <w:vertAlign w:val="superscript"/>
              </w:rPr>
              <w:t>2</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1.330.618.000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N4L87</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Cable para red compacta XLPE 1000 mm</w:t>
            </w:r>
            <w:r>
              <w:rPr>
                <w:color w:val="000000"/>
                <w:sz w:val="16"/>
                <w:szCs w:val="16"/>
                <w:vertAlign w:val="superscript"/>
              </w:rPr>
              <w:t>2</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1.729.846.000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N4L88</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Cable para red compacta XLPE 1200 mm</w:t>
            </w:r>
            <w:r>
              <w:rPr>
                <w:color w:val="000000"/>
                <w:sz w:val="16"/>
                <w:szCs w:val="16"/>
                <w:vertAlign w:val="superscript"/>
              </w:rPr>
              <w:t>2</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2.129.075.000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N4L89</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Cable de guarda</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4.163.000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N4L91</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Sistema de puesta a tierra diseño típico para torre</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1.642.000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lastRenderedPageBreak/>
              <w:t>N4L92</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Sistema de puesta a tierra diseño típico para poste</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1.502.000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N4L93</w:t>
            </w:r>
          </w:p>
        </w:tc>
        <w:tc>
          <w:tcPr>
            <w:tcW w:w="6803" w:type="dxa"/>
            <w:shd w:val="clear" w:color="auto" w:fill="auto"/>
            <w:noWrap/>
            <w:vAlign w:val="center"/>
            <w:hideMark/>
          </w:tcPr>
          <w:p w:rsidR="0094295C" w:rsidRPr="00607A12" w:rsidRDefault="0094295C" w:rsidP="0094295C">
            <w:pPr>
              <w:spacing w:before="0" w:after="0"/>
              <w:jc w:val="left"/>
              <w:rPr>
                <w:color w:val="000000"/>
                <w:sz w:val="16"/>
                <w:szCs w:val="16"/>
                <w:lang w:val="en-US" w:eastAsia="es-CO"/>
              </w:rPr>
            </w:pPr>
            <w:r w:rsidRPr="00607A12">
              <w:rPr>
                <w:color w:val="000000"/>
                <w:sz w:val="16"/>
                <w:szCs w:val="16"/>
                <w:lang w:val="en-US"/>
              </w:rPr>
              <w:t>Cable de fibra óptica  All-Dielectric Self-Supporting (ADSS) monomodo</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30.407.000</w:t>
            </w:r>
          </w:p>
        </w:tc>
      </w:tr>
      <w:tr w:rsidR="0094295C" w:rsidRPr="004E6CFC" w:rsidTr="00637A3F">
        <w:trPr>
          <w:trHeight w:val="288"/>
          <w:jc w:val="center"/>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N4L94</w:t>
            </w:r>
          </w:p>
        </w:tc>
        <w:tc>
          <w:tcPr>
            <w:tcW w:w="6803"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Fibra óptica tipo adosada</w:t>
            </w:r>
          </w:p>
        </w:tc>
        <w:tc>
          <w:tcPr>
            <w:tcW w:w="1360"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64.020.000</w:t>
            </w:r>
          </w:p>
        </w:tc>
      </w:tr>
    </w:tbl>
    <w:p w:rsidR="0094295C" w:rsidRPr="004E6CFC" w:rsidRDefault="0094295C" w:rsidP="0094295C">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13</w:t>
      </w:r>
      <w:r w:rsidRPr="004E6CFC">
        <w:fldChar w:fldCharType="end"/>
      </w:r>
      <w:r w:rsidRPr="004E6CFC">
        <w:t xml:space="preserve"> UC de líneas de nivel de tensión 3.</w:t>
      </w:r>
    </w:p>
    <w:tbl>
      <w:tblPr>
        <w:tblW w:w="90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50"/>
        <w:gridCol w:w="6803"/>
        <w:gridCol w:w="1361"/>
      </w:tblGrid>
      <w:tr w:rsidR="0094295C" w:rsidRPr="004E6CFC" w:rsidTr="00637A3F">
        <w:trPr>
          <w:trHeight w:val="794"/>
          <w:tblHeader/>
        </w:trPr>
        <w:tc>
          <w:tcPr>
            <w:tcW w:w="850" w:type="dxa"/>
            <w:shd w:val="clear" w:color="auto" w:fill="auto"/>
            <w:noWrap/>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UC</w:t>
            </w:r>
          </w:p>
        </w:tc>
        <w:tc>
          <w:tcPr>
            <w:tcW w:w="6803" w:type="dxa"/>
            <w:shd w:val="clear" w:color="auto" w:fill="auto"/>
            <w:noWrap/>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 xml:space="preserve">DESCRIPCIÓN </w:t>
            </w:r>
          </w:p>
        </w:tc>
        <w:tc>
          <w:tcPr>
            <w:tcW w:w="1361" w:type="dxa"/>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 xml:space="preserve">VALOR INSTALADO </w:t>
            </w:r>
            <w:r>
              <w:rPr>
                <w:color w:val="000000"/>
                <w:sz w:val="16"/>
                <w:szCs w:val="16"/>
              </w:rPr>
              <w:br/>
              <w:t>[$ dic 2017]</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N3L60</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Poste de concreto de 14 m 750 kg Poste simple - Circuito sencillo - suspensión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3.943.000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N3L61</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Poste de concreto de 14 m 750 kg Poste simple - Circuito sencillo - retención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6.953.000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N3L62</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Poste de concreto de 14 m 750 kg  Poste simple - Circuito doble  - suspensión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4.940.000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N3L63</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Poste de concreto de 14 m 750 kg  Poste simple - Circuito doble - retención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7.034.000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N3L64</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Poste de concreto de 14 m 750 kg Postes en H - Circuito sencillo - suspensión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7.482.000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N3L65</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Poste de concreto de 14 m 750 kg Postes en H - Circuito sencillo  - retención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11.952.000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N3L66</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Poste de concreto de 14 m 750 kg Postes en H - Circuito doble - suspensión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8.703.000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N3L67</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Poste de concreto de 14 m 750 kg Postes en H - Circuito doble - retención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13.898.000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N3L68</w:t>
            </w:r>
          </w:p>
        </w:tc>
        <w:tc>
          <w:tcPr>
            <w:tcW w:w="6803" w:type="dxa"/>
            <w:shd w:val="clear" w:color="auto" w:fill="auto"/>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Estructura de concreto   (2000 kg  27m) - retención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23.603.000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N3L69</w:t>
            </w:r>
          </w:p>
        </w:tc>
        <w:tc>
          <w:tcPr>
            <w:tcW w:w="6803" w:type="dxa"/>
            <w:shd w:val="clear" w:color="auto" w:fill="auto"/>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Estructura de concreto   (3000 kg 27 m) - suspensión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30.714.000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N3L70</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Torrecilla - Circuito sencillo - suspensión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22.616.000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N3L71</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Torrecilla - Circuito sencillo - retención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22.616.000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N3L72</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Torrecilla de - Circuito doble - suspensión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23.685.000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N3L73</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Torrecilla de - Circuito doble - retención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29.763.000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N3L74</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Poste de PRFV de 14 m 750 kg- Poste simple - Circuito sencillo - suspensión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13.426.000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N3L75</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Poste de PRFV de 14 m 750 kg- Poste simple - Circuito sencillo - retención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16.435.000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N3L76</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Poste de PRFV  de 14 m 750 kg- Poste simple - Circuito doble - suspensión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14.422.000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N3L77</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Poste de PRFV  de 14 m 750 kg- Poste simple - Circuito doble - retención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18.292.000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N3L78</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Poste de PRFV de 14 m 750 kg- Postes en H - Circuito sencillo - suspensión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26.446.000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N3L79</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Poste de PRFV de 14 m 750 kg- Postes en H - Circuito sencillo - retención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30.916.000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N3L80</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Poste de PRFV  de 14 m 750 kg- Postes en H - Circuito doble - suspensión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27.592.000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N3L81</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Poste de PRFV  de 14 m 750 kg- Postes en H - Circuito doble - retención</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32.863.000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N3L82</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Canalización 4*6"</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512.465.000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N3L83</w:t>
            </w:r>
          </w:p>
        </w:tc>
        <w:tc>
          <w:tcPr>
            <w:tcW w:w="6803" w:type="dxa"/>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Canalización 6*6"</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659.760.000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N3L84</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ACSR 2 AWG</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15.170.000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N3L85</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ACSR 1 AWG</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16.206.000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N3L86</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ACSR 1/0 AWG</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17.638.000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N3L87</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ACSR 2/0 AWG</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19.471.000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N3L88</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ACSR 3/0 AWG</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21.878.000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N3L89</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ACSR 4/0 AWG</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25.204.000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N3L90</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ACSR 336 kcmil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35.012.000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N3L91</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semiaislado 4 AWG</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14.491.000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N3L92</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semiaislado 2 AWG</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17.923.000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N3L93</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semiaislado 1 AWG</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21.100.000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N3L94</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semiaislado 1/0 AWG</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26.209.000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N3L95</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semiaislado 2/0 AWG</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33.813.000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N3L96</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semiaislado 3/0 AWG</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45.389.000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N3L97</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semiaislado 4/0 AWG</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63.988.000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N3L98</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semiaislado 266 kcmil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208.008.000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N3L99</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semiaislado 336 kcmil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250.326.000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N3L100</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semiaislado 477 kcmil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363.887.000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N3L101</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semiaislado 795 kcmil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664.808.000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N3L102</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EPR 1/0 AWG</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170.662.000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N3L103</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EPR 2/0 AWG</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187.366.000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N3L104</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EPR 3/0 AWG</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208.311.000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N3L105</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EPR 4/0 AWG</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233.672.000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lastRenderedPageBreak/>
              <w:t>N3L106</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EPR 250 kcmil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276.723.000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N3L107</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EPR 300 kcmil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305.108.000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N3L108</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EPR 350 kcmil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333.290.000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N3L109</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EPR 400 kcmil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367.944.000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N3L110</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EPR 500 kcmil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422.824.000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N3L111</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EPR 600 kcmil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479.210.000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N3L112</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EPR 750 kcmil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558.974.000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N3L113</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de cobre aislado XLP o  EPR, 35 kV- 2 AWG</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222.995.000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N3L114</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de cobre aislado XLP o  EPR, 35 kV- 2/0 AWG</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233.828.000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N3L115</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de cobre aislado XLP o  EPR, 35 kV- 3/0 AWG</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246.777.000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N3L116</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de cobre aislado XLP o  EPR, 35 kV- 4/0 AWG</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261.654.000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N3L117</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de cobre aislado XLP o  EPR, 35 kV- 250 kcmil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282.576.000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N3L118</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de cobre aislado XLP o  EPR, 35 kV- 300 kcmil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297.326.000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N3L119</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de cobre aislado XLP o  EPR, 35 kV- 350 kcmil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311.340.000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N3L120</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de cobre aislado XLP o  EPR, 35 kV- 400 kcmil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332.629.000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N3L121</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de cobre aislado XLP o  EPR, 35 kV- 500 kcmil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357.310.000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N3L122</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de cobre aislado XLP o  EPR, 35 kV- 600 kcmil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381.154.000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N3L123</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km de conductor (3 fases)  de cobre aislado XLP o  EPR, 35 kV- 750 kcmil</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412.759.000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N3L124</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Cable de Guarda</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3.655.000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N3L125</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Sistema de puesta a tierra diseño típico para torre</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1.642.000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N3L126</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Sistema de puesta a tierra diseño típico para poste</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376.000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N3L127</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Poste metálico de 14 m 750 kg</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3.699.000</w:t>
            </w:r>
          </w:p>
        </w:tc>
      </w:tr>
      <w:tr w:rsidR="0094295C" w:rsidRPr="004E6CFC" w:rsidTr="00637A3F">
        <w:trPr>
          <w:trHeight w:val="240"/>
        </w:trPr>
        <w:tc>
          <w:tcPr>
            <w:tcW w:w="850" w:type="dxa"/>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N3L128</w:t>
            </w:r>
          </w:p>
        </w:tc>
        <w:tc>
          <w:tcPr>
            <w:tcW w:w="6803" w:type="dxa"/>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Poste metálico de 14 m 1050 kg</w:t>
            </w:r>
          </w:p>
        </w:tc>
        <w:tc>
          <w:tcPr>
            <w:tcW w:w="1361" w:type="dxa"/>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5.747.000</w:t>
            </w:r>
          </w:p>
        </w:tc>
      </w:tr>
    </w:tbl>
    <w:p w:rsidR="0094295C" w:rsidRPr="004E6CFC" w:rsidRDefault="0094295C" w:rsidP="0094295C">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14</w:t>
      </w:r>
      <w:r w:rsidRPr="004E6CFC">
        <w:fldChar w:fldCharType="end"/>
      </w:r>
      <w:r w:rsidRPr="004E6CFC">
        <w:t xml:space="preserve"> UC de líneas de nivel de tensión 2.</w:t>
      </w:r>
    </w:p>
    <w:tbl>
      <w:tblPr>
        <w:tblW w:w="9014" w:type="dxa"/>
        <w:tblCellMar>
          <w:left w:w="70" w:type="dxa"/>
          <w:right w:w="70" w:type="dxa"/>
        </w:tblCellMar>
        <w:tblLook w:val="04A0" w:firstRow="1" w:lastRow="0" w:firstColumn="1" w:lastColumn="0" w:noHBand="0" w:noVBand="1"/>
      </w:tblPr>
      <w:tblGrid>
        <w:gridCol w:w="850"/>
        <w:gridCol w:w="6803"/>
        <w:gridCol w:w="1361"/>
      </w:tblGrid>
      <w:tr w:rsidR="0094295C" w:rsidRPr="004E6CFC" w:rsidTr="0094295C">
        <w:trPr>
          <w:trHeight w:val="794"/>
          <w:tblHeader/>
        </w:trPr>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UC</w:t>
            </w:r>
          </w:p>
        </w:tc>
        <w:tc>
          <w:tcPr>
            <w:tcW w:w="6803" w:type="dxa"/>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 xml:space="preserve">DESCRIPCIÓN </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VALOR INSTALADO</w:t>
            </w:r>
            <w:r>
              <w:rPr>
                <w:color w:val="000000"/>
                <w:sz w:val="16"/>
                <w:szCs w:val="16"/>
              </w:rPr>
              <w:br/>
              <w:t>[$ dic 2017]</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N2L70</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Poste de concreto de 12 m 510 kg - suspensión</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3.215.000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N2L71</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Poste de concreto de 12 m 1050 kg - retención</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4.226.000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N2L72</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 xml:space="preserve">Poste de concreto de 12 m 750 kg - retención </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4.086.000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N2L73</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Poste de PRFV de 12 m 510 kg - suspensión</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5.315.000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N2L74</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Poste de PRFV de 12 m 1050 kg - retención</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7.383.000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N2L75</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 xml:space="preserve">Poste de PRFV de 12 m 750 kg - retención </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6.029.000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N2L76</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Canalización urbana 2x4"</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369.585.000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N2L77</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Canalización urbana 4x4"</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525.751.000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N2L78</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Canalización urbana 6x4"</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550.569.000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N2L79</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Canalización urbana 6x4" y 3x6"</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828.685.000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N2L80</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ACSR 4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10.968.000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N2L81</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ACSR 2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12.347.000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N2L82</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ACSR 1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13.383.000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N2L83</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ACSR 1/0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14.814.000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N2L84</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ACSR 2/0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16.647.000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N2L85</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ACSR 3/0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21.807.000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N2L86</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ACSR 4/0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25.134.000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N2L87</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ACSR 266 kcmil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29.314.000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N2L88</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ACSR 336 kcmil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34.942.000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N2L89</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ACSR 397 kcmil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40.231.000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N2L90</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ACSR 477 kcmil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47.372.000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N2L91</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ACSR 605 kcmil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55.555.000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N2L92</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ACSR 795 kcmil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72.689.000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lastRenderedPageBreak/>
              <w:t>N2L93</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semiaislado 4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11.668.000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N2L94</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semiaislado 2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15.099.000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N2L95</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semiaislado 1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18.277.000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N2L96</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semiaislado 1/0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23.386.000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N2L97</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semiaislado 2/0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30.990.000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N2L98</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semiaislado 3/0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54.035.000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N2L99</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semiaislado 4/0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72.635.000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N2L100</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semiaislado 266 kcmil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99.764.000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N2L101</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semiaislado 336 kcmil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142.081.000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N2L102</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semiaislado 477 kcmil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255.642.000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N2L103</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semiaislado 795 kcmil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556.564.000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N2L104</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cobre 2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50.629.000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N2L105</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cobre 1/0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63.813.000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N2L106</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cobre 2/0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70.839.000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N2L107</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EPR 2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141.574.000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N2L108</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EPR 1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146.874.000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N2L109</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EPR 1/0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153.109.000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N2L110</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EPR 2/0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160.129.000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N2L111</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EPR 3/0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170.883.000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N2L112</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EPR 4/0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179.806.000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N2L113</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EPR 250 kcmil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188.373.000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N2L114</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EPR 300 kcmil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196.640.000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N2L115</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EPR 350 kcmil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204.216.000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N2L116</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EPR 400 kcmil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211.219.000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N2L117</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EPR 500 kcmil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223.874.000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N2L118</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EPR 600 kcmil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235.460.000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N2L119</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EPR 750 kcmil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253.195.000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N2L120</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aluminio 2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61.657.000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N2L121</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aluminio 1/0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73.820.000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N2L122</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aluminio 4/0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112.173.000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N2L123</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aluminio 500 kcmil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167.631.000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N2L124</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aluminio 750 kcmil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225.110.000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N2L125</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de cobre aislado XLP o  EPR, 15 kV- 4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180.956.000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N2L126</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de cobre aislado XLP o  EPR, 15 kV- 2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186.256.000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N2L127</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de cobre aislado XLP o  EPR, 15 kV- 1/0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192.490.000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N2L128</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de cobre aislado XLP o  EPR, 15 kV- 2/0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199.510.000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N2L129</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de cobre aislado XLP o  EPR, 15 kV- 3/0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207.720.000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N2L130</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de cobre aislado XLP o  EPR, 15 kV- 4/0 AWG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216.643.000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N2L131</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de cobre aislado XLP o  EPR, 15 kV- 300 Kcmil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225.210.000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N2L132</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de cobre aislado XLP o  EPR, 15 kV- 350 Kcmil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233.477.000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N2L133</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de cobre aislado XLP o  EPR, 15 kV- 400 Kcmil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241.053.000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N2L134</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AAAC aislado XLP o  EPR, 15 kV- 500 Kcmil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248.056.000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N2L135</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 (3 fases)  AAAC aislado XLP o  EPR, 15 kV- 750 Kcmil</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260.711.000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N2L136</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Cable de Guarda</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2.960.000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N2L137</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Sistema de puesta a tierra diseño típico</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270.000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N2L138</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Poste metálico de 12 m 750 kg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3.778.000</w:t>
            </w:r>
          </w:p>
        </w:tc>
      </w:tr>
      <w:tr w:rsidR="0094295C" w:rsidRPr="004E6CFC" w:rsidTr="0094295C">
        <w:trPr>
          <w:trHeight w:val="276"/>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N2L139</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Poste metálico de 12 m 1050 kg</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5.111.000</w:t>
            </w:r>
          </w:p>
        </w:tc>
      </w:tr>
    </w:tbl>
    <w:p w:rsidR="0094295C" w:rsidRPr="004E6CFC" w:rsidRDefault="0094295C" w:rsidP="0094295C">
      <w:pPr>
        <w:pStyle w:val="Descripcin"/>
      </w:pPr>
      <w:r w:rsidRPr="004E6CFC">
        <w:lastRenderedPageBreak/>
        <w:t xml:space="preserve">Tabla </w:t>
      </w:r>
      <w:r w:rsidRPr="004E6CFC">
        <w:fldChar w:fldCharType="begin"/>
      </w:r>
      <w:r w:rsidRPr="004E6CFC">
        <w:instrText xml:space="preserve"> SEQ Tabla \* ARABIC </w:instrText>
      </w:r>
      <w:r w:rsidRPr="004E6CFC">
        <w:fldChar w:fldCharType="separate"/>
      </w:r>
      <w:r w:rsidR="00737178">
        <w:rPr>
          <w:noProof/>
        </w:rPr>
        <w:t>15</w:t>
      </w:r>
      <w:r w:rsidRPr="004E6CFC">
        <w:fldChar w:fldCharType="end"/>
      </w:r>
      <w:r w:rsidRPr="004E6CFC">
        <w:t xml:space="preserve"> UC de transformadores de conexión al STN</w:t>
      </w:r>
    </w:p>
    <w:tbl>
      <w:tblPr>
        <w:tblW w:w="9127" w:type="dxa"/>
        <w:tblCellMar>
          <w:left w:w="70" w:type="dxa"/>
          <w:right w:w="70" w:type="dxa"/>
        </w:tblCellMar>
        <w:tblLook w:val="04A0" w:firstRow="1" w:lastRow="0" w:firstColumn="1" w:lastColumn="0" w:noHBand="0" w:noVBand="1"/>
      </w:tblPr>
      <w:tblGrid>
        <w:gridCol w:w="850"/>
        <w:gridCol w:w="5669"/>
        <w:gridCol w:w="1304"/>
        <w:gridCol w:w="1304"/>
      </w:tblGrid>
      <w:tr w:rsidR="0094295C" w:rsidRPr="004E6CFC" w:rsidTr="0094295C">
        <w:trPr>
          <w:trHeight w:val="794"/>
          <w:tblHeader/>
        </w:trPr>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UC</w:t>
            </w:r>
          </w:p>
        </w:tc>
        <w:tc>
          <w:tcPr>
            <w:tcW w:w="5669" w:type="dxa"/>
            <w:tcBorders>
              <w:top w:val="single" w:sz="4" w:space="0" w:color="auto"/>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DESCRIPCIÓN</w:t>
            </w:r>
          </w:p>
        </w:tc>
        <w:tc>
          <w:tcPr>
            <w:tcW w:w="1304" w:type="dxa"/>
            <w:tcBorders>
              <w:top w:val="single" w:sz="4" w:space="0" w:color="auto"/>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COSTO INSTALACIÓN</w:t>
            </w:r>
            <w:r>
              <w:rPr>
                <w:color w:val="000000"/>
                <w:sz w:val="16"/>
                <w:szCs w:val="16"/>
              </w:rPr>
              <w:br/>
              <w:t>[$ dic 2017]</w:t>
            </w:r>
          </w:p>
        </w:tc>
        <w:tc>
          <w:tcPr>
            <w:tcW w:w="1304" w:type="dxa"/>
            <w:tcBorders>
              <w:top w:val="single" w:sz="4" w:space="0" w:color="auto"/>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VALOR UNITARIO</w:t>
            </w:r>
            <w:r>
              <w:rPr>
                <w:color w:val="000000"/>
                <w:sz w:val="16"/>
                <w:szCs w:val="16"/>
              </w:rPr>
              <w:br/>
              <w:t xml:space="preserve">[$/MVA </w:t>
            </w:r>
            <w:r>
              <w:rPr>
                <w:color w:val="000000"/>
                <w:sz w:val="16"/>
                <w:szCs w:val="16"/>
              </w:rPr>
              <w:br/>
              <w:t>dic 2017</w:t>
            </w:r>
          </w:p>
        </w:tc>
      </w:tr>
      <w:tr w:rsidR="0094295C" w:rsidRPr="004E6CFC" w:rsidTr="0094295C">
        <w:trPr>
          <w:trHeight w:val="480"/>
        </w:trPr>
        <w:tc>
          <w:tcPr>
            <w:tcW w:w="850" w:type="dxa"/>
            <w:tcBorders>
              <w:top w:val="nil"/>
              <w:left w:val="single" w:sz="4" w:space="0" w:color="auto"/>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N6T1</w:t>
            </w:r>
          </w:p>
        </w:tc>
        <w:tc>
          <w:tcPr>
            <w:tcW w:w="5669" w:type="dxa"/>
            <w:tcBorders>
              <w:top w:val="nil"/>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sz w:val="16"/>
                <w:szCs w:val="16"/>
                <w:lang w:val="es-CO" w:eastAsia="es-CO"/>
              </w:rPr>
            </w:pPr>
            <w:r>
              <w:rPr>
                <w:sz w:val="16"/>
                <w:szCs w:val="16"/>
              </w:rPr>
              <w:t>Autotransformador monofásico (OLTC) lado de alta en el 500 kV capacidad final 50 MVA a 100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678.157.000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25.456.000</w:t>
            </w:r>
          </w:p>
        </w:tc>
      </w:tr>
      <w:tr w:rsidR="0094295C" w:rsidRPr="004E6CFC" w:rsidTr="0094295C">
        <w:trPr>
          <w:trHeight w:val="480"/>
        </w:trPr>
        <w:tc>
          <w:tcPr>
            <w:tcW w:w="850" w:type="dxa"/>
            <w:tcBorders>
              <w:top w:val="nil"/>
              <w:left w:val="single" w:sz="4" w:space="0" w:color="auto"/>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N6T2</w:t>
            </w:r>
          </w:p>
        </w:tc>
        <w:tc>
          <w:tcPr>
            <w:tcW w:w="5669" w:type="dxa"/>
            <w:tcBorders>
              <w:top w:val="nil"/>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sz w:val="16"/>
                <w:szCs w:val="16"/>
                <w:lang w:val="es-CO" w:eastAsia="es-CO"/>
              </w:rPr>
            </w:pPr>
            <w:r>
              <w:rPr>
                <w:sz w:val="16"/>
                <w:szCs w:val="16"/>
              </w:rPr>
              <w:t>Autotransformador monofásico (OLTC) lado de alta en el 500 kV capacidad final 100 MVA a 150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899.502.000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27.300.000</w:t>
            </w:r>
          </w:p>
        </w:tc>
      </w:tr>
      <w:tr w:rsidR="0094295C" w:rsidRPr="004E6CFC" w:rsidTr="0094295C">
        <w:trPr>
          <w:trHeight w:val="480"/>
        </w:trPr>
        <w:tc>
          <w:tcPr>
            <w:tcW w:w="850" w:type="dxa"/>
            <w:tcBorders>
              <w:top w:val="nil"/>
              <w:left w:val="single" w:sz="4" w:space="0" w:color="auto"/>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N6T3</w:t>
            </w:r>
          </w:p>
        </w:tc>
        <w:tc>
          <w:tcPr>
            <w:tcW w:w="5669" w:type="dxa"/>
            <w:tcBorders>
              <w:top w:val="nil"/>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sz w:val="16"/>
                <w:szCs w:val="16"/>
                <w:lang w:val="es-CO" w:eastAsia="es-CO"/>
              </w:rPr>
            </w:pPr>
            <w:r>
              <w:rPr>
                <w:sz w:val="16"/>
                <w:szCs w:val="16"/>
              </w:rPr>
              <w:t>Autotransformador monofásico (OLTC) lado de alta en el 500 kV capacidad final mayor o igual a 150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1.265.741.000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29.741.000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N5T1</w:t>
            </w:r>
          </w:p>
        </w:tc>
        <w:tc>
          <w:tcPr>
            <w:tcW w:w="5669" w:type="dxa"/>
            <w:tcBorders>
              <w:top w:val="nil"/>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sz w:val="16"/>
                <w:szCs w:val="16"/>
                <w:lang w:val="es-CO" w:eastAsia="es-CO"/>
              </w:rPr>
            </w:pPr>
            <w:r>
              <w:rPr>
                <w:sz w:val="16"/>
                <w:szCs w:val="16"/>
              </w:rPr>
              <w:t>Transformador trifásico (OLTC) de conexión al STN capacidad final de hasta 10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239.250.000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71.059.000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N5T2</w:t>
            </w:r>
          </w:p>
        </w:tc>
        <w:tc>
          <w:tcPr>
            <w:tcW w:w="5669" w:type="dxa"/>
            <w:tcBorders>
              <w:top w:val="nil"/>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sz w:val="16"/>
                <w:szCs w:val="16"/>
                <w:lang w:val="es-CO" w:eastAsia="es-CO"/>
              </w:rPr>
            </w:pPr>
            <w:r>
              <w:rPr>
                <w:sz w:val="16"/>
                <w:szCs w:val="16"/>
              </w:rPr>
              <w:t>Transformador trifásico (OLTC) de conexión al STN capacidad final de 11 a 20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266.661.000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62.984.000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N5T3</w:t>
            </w:r>
          </w:p>
        </w:tc>
        <w:tc>
          <w:tcPr>
            <w:tcW w:w="5669" w:type="dxa"/>
            <w:tcBorders>
              <w:top w:val="nil"/>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sz w:val="16"/>
                <w:szCs w:val="16"/>
                <w:lang w:val="es-CO" w:eastAsia="es-CO"/>
              </w:rPr>
            </w:pPr>
            <w:r>
              <w:rPr>
                <w:sz w:val="16"/>
                <w:szCs w:val="16"/>
              </w:rPr>
              <w:t>Transformador trifásico (OLTC) de conexión al STN capacidad final de 21 a 40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335.011.000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57.708.000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N5T4</w:t>
            </w:r>
          </w:p>
        </w:tc>
        <w:tc>
          <w:tcPr>
            <w:tcW w:w="5669" w:type="dxa"/>
            <w:tcBorders>
              <w:top w:val="nil"/>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sz w:val="16"/>
                <w:szCs w:val="16"/>
                <w:lang w:val="es-CO" w:eastAsia="es-CO"/>
              </w:rPr>
            </w:pPr>
            <w:r>
              <w:rPr>
                <w:sz w:val="16"/>
                <w:szCs w:val="16"/>
              </w:rPr>
              <w:t>Transformador trifásico (OLTC) de conexión al STN capacidad final de 41 a 50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447.444.000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54.591.000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N5T5</w:t>
            </w:r>
          </w:p>
        </w:tc>
        <w:tc>
          <w:tcPr>
            <w:tcW w:w="5669" w:type="dxa"/>
            <w:tcBorders>
              <w:top w:val="nil"/>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sz w:val="16"/>
                <w:szCs w:val="16"/>
                <w:lang w:val="es-CO" w:eastAsia="es-CO"/>
              </w:rPr>
            </w:pPr>
            <w:r>
              <w:rPr>
                <w:sz w:val="16"/>
                <w:szCs w:val="16"/>
              </w:rPr>
              <w:t>Transformador trifásico (OLTC) de conexión al STN capacidad final de 51 a 60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482.056.000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53.042.000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N5T6</w:t>
            </w:r>
          </w:p>
        </w:tc>
        <w:tc>
          <w:tcPr>
            <w:tcW w:w="5669" w:type="dxa"/>
            <w:tcBorders>
              <w:top w:val="nil"/>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sz w:val="16"/>
                <w:szCs w:val="16"/>
                <w:lang w:val="es-CO" w:eastAsia="es-CO"/>
              </w:rPr>
            </w:pPr>
            <w:r>
              <w:rPr>
                <w:sz w:val="16"/>
                <w:szCs w:val="16"/>
              </w:rPr>
              <w:t>Transformador trifásico (OLTC) de conexión al STN capacidad final de 61 a 90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542.489.000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50.644.000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N5T7</w:t>
            </w:r>
          </w:p>
        </w:tc>
        <w:tc>
          <w:tcPr>
            <w:tcW w:w="5669" w:type="dxa"/>
            <w:tcBorders>
              <w:top w:val="nil"/>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sz w:val="16"/>
                <w:szCs w:val="16"/>
                <w:lang w:val="es-CO" w:eastAsia="es-CO"/>
              </w:rPr>
            </w:pPr>
            <w:r>
              <w:rPr>
                <w:sz w:val="16"/>
                <w:szCs w:val="16"/>
              </w:rPr>
              <w:t>Transformador trifásico (OLTC) de conexión al STN capacidad final de 91 a 100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594.951.000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48.812.000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N5T8</w:t>
            </w:r>
          </w:p>
        </w:tc>
        <w:tc>
          <w:tcPr>
            <w:tcW w:w="5669" w:type="dxa"/>
            <w:tcBorders>
              <w:top w:val="nil"/>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sz w:val="16"/>
                <w:szCs w:val="16"/>
                <w:lang w:val="es-CO" w:eastAsia="es-CO"/>
              </w:rPr>
            </w:pPr>
            <w:r>
              <w:rPr>
                <w:sz w:val="16"/>
                <w:szCs w:val="16"/>
              </w:rPr>
              <w:t>Transformador trifásico (OLTC) de conexión al STN capacidad final de 101 a 120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630.619.000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47.675.000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N5T9</w:t>
            </w:r>
          </w:p>
        </w:tc>
        <w:tc>
          <w:tcPr>
            <w:tcW w:w="5669" w:type="dxa"/>
            <w:tcBorders>
              <w:top w:val="nil"/>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sz w:val="16"/>
                <w:szCs w:val="16"/>
                <w:lang w:val="es-CO" w:eastAsia="es-CO"/>
              </w:rPr>
            </w:pPr>
            <w:r>
              <w:rPr>
                <w:sz w:val="16"/>
                <w:szCs w:val="16"/>
              </w:rPr>
              <w:t>Transformador trifásico (OLTC) de conexión al STN capacidad final de 121 a 150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684.899.000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46.085.000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N5T10</w:t>
            </w:r>
          </w:p>
        </w:tc>
        <w:tc>
          <w:tcPr>
            <w:tcW w:w="5669" w:type="dxa"/>
            <w:tcBorders>
              <w:top w:val="nil"/>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sz w:val="16"/>
                <w:szCs w:val="16"/>
                <w:lang w:val="es-CO" w:eastAsia="es-CO"/>
              </w:rPr>
            </w:pPr>
            <w:r>
              <w:rPr>
                <w:sz w:val="16"/>
                <w:szCs w:val="16"/>
              </w:rPr>
              <w:t>Transformador trifásico (OLTC) de conexión al STN capacidad final de 151 a 180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743.645.000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44.527.000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N5T11</w:t>
            </w:r>
          </w:p>
        </w:tc>
        <w:tc>
          <w:tcPr>
            <w:tcW w:w="5669" w:type="dxa"/>
            <w:tcBorders>
              <w:top w:val="nil"/>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sz w:val="16"/>
                <w:szCs w:val="16"/>
                <w:lang w:val="es-CO" w:eastAsia="es-CO"/>
              </w:rPr>
            </w:pPr>
            <w:r>
              <w:rPr>
                <w:sz w:val="16"/>
                <w:szCs w:val="16"/>
              </w:rPr>
              <w:t>AutoTransformador monofásico (OLTC) de conexión al STN capacidad final hasta 20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331.529.000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63.029.000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N5T12</w:t>
            </w:r>
          </w:p>
        </w:tc>
        <w:tc>
          <w:tcPr>
            <w:tcW w:w="5669" w:type="dxa"/>
            <w:tcBorders>
              <w:top w:val="nil"/>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sz w:val="16"/>
                <w:szCs w:val="16"/>
                <w:lang w:val="es-CO" w:eastAsia="es-CO"/>
              </w:rPr>
            </w:pPr>
            <w:r>
              <w:rPr>
                <w:sz w:val="16"/>
                <w:szCs w:val="16"/>
              </w:rPr>
              <w:t>AutoTransformador monofásico (OLTC) de conexión al STN capacidad final de 21 a 40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379.407.000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57.177.000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N5T13</w:t>
            </w:r>
          </w:p>
        </w:tc>
        <w:tc>
          <w:tcPr>
            <w:tcW w:w="5669" w:type="dxa"/>
            <w:tcBorders>
              <w:top w:val="nil"/>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sz w:val="16"/>
                <w:szCs w:val="16"/>
                <w:lang w:val="es-CO" w:eastAsia="es-CO"/>
              </w:rPr>
            </w:pPr>
            <w:r>
              <w:rPr>
                <w:sz w:val="16"/>
                <w:szCs w:val="16"/>
              </w:rPr>
              <w:t>AutoTransformador monofásico (OLTC) de conexión al STN capacidad final de 41 a 50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436.539.000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50.650.000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N5T14</w:t>
            </w:r>
          </w:p>
        </w:tc>
        <w:tc>
          <w:tcPr>
            <w:tcW w:w="5669" w:type="dxa"/>
            <w:tcBorders>
              <w:top w:val="nil"/>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sz w:val="16"/>
                <w:szCs w:val="16"/>
                <w:lang w:val="es-CO" w:eastAsia="es-CO"/>
              </w:rPr>
            </w:pPr>
            <w:r>
              <w:rPr>
                <w:sz w:val="16"/>
                <w:szCs w:val="16"/>
              </w:rPr>
              <w:t>AutoTransformador monofásico (OLTC) de conexión al STN capacidad final de 51 a 60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469.890.000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48.972.000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N5T15</w:t>
            </w:r>
          </w:p>
        </w:tc>
        <w:tc>
          <w:tcPr>
            <w:tcW w:w="5669" w:type="dxa"/>
            <w:tcBorders>
              <w:top w:val="nil"/>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sz w:val="16"/>
                <w:szCs w:val="16"/>
                <w:lang w:val="es-CO" w:eastAsia="es-CO"/>
              </w:rPr>
            </w:pPr>
            <w:r>
              <w:rPr>
                <w:sz w:val="16"/>
                <w:szCs w:val="16"/>
              </w:rPr>
              <w:t>AutoTransformador monofásico (OLTC) de conexión al STN capacidad final de 61 a 90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527.913.000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46.374.000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N5T16</w:t>
            </w:r>
          </w:p>
        </w:tc>
        <w:tc>
          <w:tcPr>
            <w:tcW w:w="5669" w:type="dxa"/>
            <w:tcBorders>
              <w:top w:val="nil"/>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sz w:val="16"/>
                <w:szCs w:val="16"/>
                <w:lang w:val="es-CO" w:eastAsia="es-CO"/>
              </w:rPr>
            </w:pPr>
            <w:r>
              <w:rPr>
                <w:sz w:val="16"/>
                <w:szCs w:val="16"/>
              </w:rPr>
              <w:t>AutoTransformador monofásico (OLTC) de conexión al STN capacidad final de 91 a 100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578.058.000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44.390.000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N5T17</w:t>
            </w:r>
          </w:p>
        </w:tc>
        <w:tc>
          <w:tcPr>
            <w:tcW w:w="5669" w:type="dxa"/>
            <w:tcBorders>
              <w:top w:val="nil"/>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sz w:val="16"/>
                <w:szCs w:val="16"/>
                <w:lang w:val="es-CO" w:eastAsia="es-CO"/>
              </w:rPr>
            </w:pPr>
            <w:r>
              <w:rPr>
                <w:sz w:val="16"/>
                <w:szCs w:val="16"/>
              </w:rPr>
              <w:t>AutoTransformador monofásico (OLTC) de conexión al STN capacidad final de 101 a 120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612.028.000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43.159.000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N5T18</w:t>
            </w:r>
          </w:p>
        </w:tc>
        <w:tc>
          <w:tcPr>
            <w:tcW w:w="5669" w:type="dxa"/>
            <w:tcBorders>
              <w:top w:val="nil"/>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sz w:val="16"/>
                <w:szCs w:val="16"/>
                <w:lang w:val="es-CO" w:eastAsia="es-CO"/>
              </w:rPr>
            </w:pPr>
            <w:r>
              <w:rPr>
                <w:sz w:val="16"/>
                <w:szCs w:val="16"/>
              </w:rPr>
              <w:t>AutoTransformador monofásico (OLTC) de conexión al STN capacidad final de 121 a 150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663.525.000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41.437.000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N5T19</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tridevanado trifásico (OLTC) de conexión al STN capacidad final de hasta 20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312.012.000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100.014.000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N5T20</w:t>
            </w:r>
          </w:p>
        </w:tc>
        <w:tc>
          <w:tcPr>
            <w:tcW w:w="5669" w:type="dxa"/>
            <w:tcBorders>
              <w:top w:val="nil"/>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sz w:val="16"/>
                <w:szCs w:val="16"/>
                <w:lang w:val="es-CO" w:eastAsia="es-CO"/>
              </w:rPr>
            </w:pPr>
            <w:r>
              <w:rPr>
                <w:sz w:val="16"/>
                <w:szCs w:val="16"/>
              </w:rPr>
              <w:t>Transformador tridevanado trifásico (OLTC) de conexión al STN capacidad final de 21 a 40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352.707.000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76.144.000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N5T21</w:t>
            </w:r>
          </w:p>
        </w:tc>
        <w:tc>
          <w:tcPr>
            <w:tcW w:w="5669" w:type="dxa"/>
            <w:tcBorders>
              <w:top w:val="nil"/>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sz w:val="16"/>
                <w:szCs w:val="16"/>
                <w:lang w:val="es-CO" w:eastAsia="es-CO"/>
              </w:rPr>
            </w:pPr>
            <w:r>
              <w:rPr>
                <w:sz w:val="16"/>
                <w:szCs w:val="16"/>
              </w:rPr>
              <w:t>Transformador tridevanado trifásico (OLTC) de conexión al STN capacidad final de 41 a 50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466.899.000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65.014.000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N5T22</w:t>
            </w:r>
          </w:p>
        </w:tc>
        <w:tc>
          <w:tcPr>
            <w:tcW w:w="5669" w:type="dxa"/>
            <w:tcBorders>
              <w:top w:val="nil"/>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sz w:val="16"/>
                <w:szCs w:val="16"/>
                <w:lang w:val="es-CO" w:eastAsia="es-CO"/>
              </w:rPr>
            </w:pPr>
            <w:r>
              <w:rPr>
                <w:sz w:val="16"/>
                <w:szCs w:val="16"/>
              </w:rPr>
              <w:t>Transformador tridevanado trifásico (OLTC) de conexión al STN capacidad final de 51 a 60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502.829.000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62.154.000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N5T23</w:t>
            </w:r>
          </w:p>
        </w:tc>
        <w:tc>
          <w:tcPr>
            <w:tcW w:w="5669" w:type="dxa"/>
            <w:tcBorders>
              <w:top w:val="nil"/>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sz w:val="16"/>
                <w:szCs w:val="16"/>
                <w:lang w:val="es-CO" w:eastAsia="es-CO"/>
              </w:rPr>
            </w:pPr>
            <w:r>
              <w:rPr>
                <w:sz w:val="16"/>
                <w:szCs w:val="16"/>
              </w:rPr>
              <w:t>Transformador tridevanado trifásico (OLTC) de conexión al STN capacidad final de 61 a 90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565.128.000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57.724.000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N5T24</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tridevanado trifásico (OLTC) de conexión al STN capacidad final de 91 a 120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643.094.000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52.908.000</w:t>
            </w:r>
          </w:p>
        </w:tc>
      </w:tr>
      <w:tr w:rsidR="0094295C" w:rsidRPr="004E6CFC" w:rsidTr="0094295C">
        <w:trPr>
          <w:trHeight w:val="219"/>
        </w:trPr>
        <w:tc>
          <w:tcPr>
            <w:tcW w:w="850" w:type="dxa"/>
            <w:tcBorders>
              <w:top w:val="nil"/>
              <w:left w:val="single" w:sz="4" w:space="0" w:color="auto"/>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N5T25</w:t>
            </w:r>
          </w:p>
        </w:tc>
        <w:tc>
          <w:tcPr>
            <w:tcW w:w="5669" w:type="dxa"/>
            <w:tcBorders>
              <w:top w:val="nil"/>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left"/>
              <w:rPr>
                <w:sz w:val="16"/>
                <w:szCs w:val="16"/>
                <w:lang w:val="es-CO" w:eastAsia="es-CO"/>
              </w:rPr>
            </w:pPr>
            <w:r>
              <w:rPr>
                <w:sz w:val="16"/>
                <w:szCs w:val="16"/>
              </w:rPr>
              <w:t xml:space="preserve">Transformador tridevanado trifásico (OLTC) de conexión al STN capacidad final de </w:t>
            </w:r>
            <w:r w:rsidR="00C4621D">
              <w:rPr>
                <w:sz w:val="16"/>
                <w:szCs w:val="16"/>
              </w:rPr>
              <w:t>más</w:t>
            </w:r>
            <w:r>
              <w:rPr>
                <w:sz w:val="16"/>
                <w:szCs w:val="16"/>
              </w:rPr>
              <w:t xml:space="preserve"> de 121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674.251.000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49.306.000</w:t>
            </w:r>
          </w:p>
        </w:tc>
      </w:tr>
    </w:tbl>
    <w:p w:rsidR="0094295C" w:rsidRPr="004E6CFC" w:rsidRDefault="0094295C" w:rsidP="0094295C">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16</w:t>
      </w:r>
      <w:r w:rsidRPr="004E6CFC">
        <w:fldChar w:fldCharType="end"/>
      </w:r>
      <w:r w:rsidRPr="004E6CFC">
        <w:t xml:space="preserve"> UC de transformadores de potencia de niveles de tensión 4, 3 y 2</w:t>
      </w:r>
    </w:p>
    <w:tbl>
      <w:tblPr>
        <w:tblW w:w="9127" w:type="dxa"/>
        <w:tblCellMar>
          <w:left w:w="70" w:type="dxa"/>
          <w:right w:w="70" w:type="dxa"/>
        </w:tblCellMar>
        <w:tblLook w:val="04A0" w:firstRow="1" w:lastRow="0" w:firstColumn="1" w:lastColumn="0" w:noHBand="0" w:noVBand="1"/>
      </w:tblPr>
      <w:tblGrid>
        <w:gridCol w:w="850"/>
        <w:gridCol w:w="5669"/>
        <w:gridCol w:w="1304"/>
        <w:gridCol w:w="1304"/>
      </w:tblGrid>
      <w:tr w:rsidR="0094295C" w:rsidRPr="004E6CFC" w:rsidTr="0094295C">
        <w:trPr>
          <w:trHeight w:val="794"/>
          <w:tblHeader/>
        </w:trPr>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UC</w:t>
            </w:r>
          </w:p>
        </w:tc>
        <w:tc>
          <w:tcPr>
            <w:tcW w:w="5669" w:type="dxa"/>
            <w:tcBorders>
              <w:top w:val="single" w:sz="4" w:space="0" w:color="auto"/>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DESCRIPCIÓN</w:t>
            </w:r>
          </w:p>
        </w:tc>
        <w:tc>
          <w:tcPr>
            <w:tcW w:w="1304" w:type="dxa"/>
            <w:tcBorders>
              <w:top w:val="single" w:sz="4" w:space="0" w:color="auto"/>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COSTO INSTALACIÓN</w:t>
            </w:r>
            <w:r>
              <w:rPr>
                <w:color w:val="000000"/>
                <w:sz w:val="16"/>
                <w:szCs w:val="16"/>
              </w:rPr>
              <w:br/>
              <w:t>[$ dic 2017]</w:t>
            </w:r>
          </w:p>
        </w:tc>
        <w:tc>
          <w:tcPr>
            <w:tcW w:w="1304" w:type="dxa"/>
            <w:tcBorders>
              <w:top w:val="single" w:sz="4" w:space="0" w:color="auto"/>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VALOR UNITARIO</w:t>
            </w:r>
            <w:r>
              <w:rPr>
                <w:color w:val="000000"/>
                <w:sz w:val="16"/>
                <w:szCs w:val="16"/>
              </w:rPr>
              <w:br/>
              <w:t xml:space="preserve">[$/MVA </w:t>
            </w:r>
            <w:r>
              <w:rPr>
                <w:color w:val="000000"/>
                <w:sz w:val="16"/>
                <w:szCs w:val="16"/>
              </w:rPr>
              <w:br/>
              <w:t>dic 2017]</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N4T1</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trifásico (OLTC) lado de alta en el nivel 4 capacidad final hasta 5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173.802.000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123.704.000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N4T2</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trifásico (OLTC) lado de alta en el nivel 4 capacidad final de 5 a 10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180.170.000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96.484.000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lastRenderedPageBreak/>
              <w:t>N4T3</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trifásico (OLTC) lado de alta en el nivel 4 capacidad final de 11 a 15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204.477.000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83.010.000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N4T4</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trifásico (OLTC) lado de alta en el nivel 4 capacidad final de 16 a 20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224.880.000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73.979.000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N4T5</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trifásico (OLTC) lado de alta en el nivel 4 capacidad final de 21 a 30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249.450.000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64.312.000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N4T6</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trifásico (OLTC) lado de alta en el nivel 4 capacidad final de 31 a 40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278.964.000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55.131.000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N4T7</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trifásico (OLTC) lado de alta en el nivel 4 capacidad final de 41 a 50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303.583.000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48.243.000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N4T8</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trifásico (OLTC) lado de alta en el nivel 4 capacidad final de 51 a 60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324.690.000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42.730.000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N4T9</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trifásico (OLTC) lado de alta en el nivel 4 capacidad final de 61 a 80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364.204.000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38.345.000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N4T10</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trifásico (OLTC) lado de alta en el nivel 4 capacidad final de 81 a 100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394.282.000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32.582.000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N4T11</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trifásico (OLTC) lado de alta en el nivel 4 capacidad final mayor a 100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424.320.000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26.390.000</w:t>
            </w:r>
          </w:p>
        </w:tc>
      </w:tr>
      <w:tr w:rsidR="0094295C" w:rsidRPr="004E6CFC" w:rsidTr="0094295C">
        <w:trPr>
          <w:trHeight w:val="48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N4T12</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tridevanado trifásico (OLTC) lado de alta en el nivel 4 capacidad final hasta 5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180.047.000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138.933.000</w:t>
            </w:r>
          </w:p>
        </w:tc>
      </w:tr>
      <w:tr w:rsidR="0094295C" w:rsidRPr="004E6CFC" w:rsidTr="0094295C">
        <w:trPr>
          <w:trHeight w:val="48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N4T13</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tridevanado trifásico (OLTC) lado de alta en el nivel 4 capacidad final de 6 a 10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189.604.000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111.801.000</w:t>
            </w:r>
          </w:p>
        </w:tc>
      </w:tr>
      <w:tr w:rsidR="0094295C" w:rsidRPr="004E6CFC" w:rsidTr="0094295C">
        <w:trPr>
          <w:trHeight w:val="48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N4T14</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tridevanado trifásico (OLTC) lado de alta en el nivel 4 capacidad final de 11 a 20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222.286.000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93.613.000</w:t>
            </w:r>
          </w:p>
        </w:tc>
      </w:tr>
      <w:tr w:rsidR="0094295C" w:rsidRPr="004E6CFC" w:rsidTr="0094295C">
        <w:trPr>
          <w:trHeight w:val="48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N4T15</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tridevanado trifásico (OLTC) lado de alta en el nivel 4 capacidad final de 21 a 30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261.229.000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76.956.000</w:t>
            </w:r>
          </w:p>
        </w:tc>
      </w:tr>
      <w:tr w:rsidR="0094295C" w:rsidRPr="004E6CFC" w:rsidTr="0094295C">
        <w:trPr>
          <w:trHeight w:val="48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N4T16</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tridevanado trifásico (OLTC) lado de alta en el nivel 4 capacidad final de 31 a 40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292.425.000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65.887.000</w:t>
            </w:r>
          </w:p>
        </w:tc>
      </w:tr>
      <w:tr w:rsidR="0094295C" w:rsidRPr="004E6CFC" w:rsidTr="0094295C">
        <w:trPr>
          <w:trHeight w:val="48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N4T17</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tridevanado trifásico (OLTC) lado de alta en el nivel 4 capacidad final de 41 a 50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318.360.000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57.583.000</w:t>
            </w:r>
          </w:p>
        </w:tc>
      </w:tr>
      <w:tr w:rsidR="0094295C" w:rsidRPr="004E6CFC" w:rsidTr="0094295C">
        <w:trPr>
          <w:trHeight w:val="48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N4T18</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tridevanado trifásico (OLTC) lado de alta en el nivel 4 capacidad final de 51 a 60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340.509.000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50.936.000</w:t>
            </w:r>
          </w:p>
        </w:tc>
      </w:tr>
      <w:tr w:rsidR="0094295C" w:rsidRPr="004E6CFC" w:rsidTr="0094295C">
        <w:trPr>
          <w:trHeight w:val="48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N4T19</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 xml:space="preserve">Transformador tridevanado trifásico (OLTC) lado de alta en el nivel 4 capacidad final </w:t>
            </w:r>
            <w:r w:rsidR="004842F4">
              <w:rPr>
                <w:sz w:val="16"/>
                <w:szCs w:val="16"/>
              </w:rPr>
              <w:t>más</w:t>
            </w:r>
            <w:r>
              <w:rPr>
                <w:sz w:val="16"/>
                <w:szCs w:val="16"/>
              </w:rPr>
              <w:t xml:space="preserve"> de 60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410.540.000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43.170.000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N3T1</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trifásico (NLTC) lado de alta en el nivel 3 capacidad final de 0.5 a 2.5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67.602.000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69.219.000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N3T2</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trifásico (NLTC) lado de alta en el nivel 3 capacidad final de 2.6 a 6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76.962.000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61.188.000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N3T3</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trifásico (OLTC) lado de alta en el nivel 3 capacidad final de 6.1 a 10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90.319.000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56.407.000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N3T4</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trifásico (OLTC) lado de alta en el nivel 3 capacidad final de 11 a 15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106.019.000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52.752.000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N3T5</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trifásico (OLTC) lado de alta en el nivel 3 capacidad final de 16 a 20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119.530.000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50.271.000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N3T6</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trifásico (OLTC) lado de alta en el nivel 3 capacidad final de 21 a 30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136.199.000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47.615.000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N3T7</w:t>
            </w:r>
          </w:p>
        </w:tc>
        <w:tc>
          <w:tcPr>
            <w:tcW w:w="5669"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sz w:val="16"/>
                <w:szCs w:val="16"/>
                <w:lang w:val="es-CO" w:eastAsia="es-CO"/>
              </w:rPr>
            </w:pPr>
            <w:r>
              <w:rPr>
                <w:sz w:val="16"/>
                <w:szCs w:val="16"/>
              </w:rPr>
              <w:t>Transformador trifásico (OLTC) lado de alta en el nivel 3 capacidad final mayor a 31 MVA</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146.130.000</w:t>
            </w:r>
          </w:p>
        </w:tc>
        <w:tc>
          <w:tcPr>
            <w:tcW w:w="1304"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sz w:val="16"/>
                <w:szCs w:val="16"/>
                <w:lang w:val="es-CO" w:eastAsia="es-CO"/>
              </w:rPr>
            </w:pPr>
            <w:r>
              <w:rPr>
                <w:sz w:val="16"/>
                <w:szCs w:val="16"/>
              </w:rPr>
              <w:t>44.182.000</w:t>
            </w:r>
          </w:p>
        </w:tc>
      </w:tr>
    </w:tbl>
    <w:p w:rsidR="0094295C" w:rsidRPr="004E6CFC" w:rsidRDefault="0094295C" w:rsidP="0094295C">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17</w:t>
      </w:r>
      <w:r w:rsidRPr="004E6CFC">
        <w:fldChar w:fldCharType="end"/>
      </w:r>
      <w:r w:rsidRPr="004E6CFC">
        <w:t xml:space="preserve"> UC de equipos de nivel de tensión 4.</w:t>
      </w:r>
    </w:p>
    <w:tbl>
      <w:tblPr>
        <w:tblW w:w="6840" w:type="dxa"/>
        <w:jc w:val="center"/>
        <w:tblCellMar>
          <w:left w:w="70" w:type="dxa"/>
          <w:right w:w="70" w:type="dxa"/>
        </w:tblCellMar>
        <w:tblLook w:val="04A0" w:firstRow="1" w:lastRow="0" w:firstColumn="1" w:lastColumn="0" w:noHBand="0" w:noVBand="1"/>
      </w:tblPr>
      <w:tblGrid>
        <w:gridCol w:w="820"/>
        <w:gridCol w:w="4720"/>
        <w:gridCol w:w="1300"/>
      </w:tblGrid>
      <w:tr w:rsidR="0094295C" w:rsidRPr="004E6CFC" w:rsidTr="0094295C">
        <w:trPr>
          <w:trHeight w:val="567"/>
          <w:jc w:val="center"/>
        </w:trPr>
        <w:tc>
          <w:tcPr>
            <w:tcW w:w="820" w:type="dxa"/>
            <w:tcBorders>
              <w:top w:val="single" w:sz="4" w:space="0" w:color="auto"/>
              <w:left w:val="single" w:sz="4" w:space="0" w:color="auto"/>
              <w:bottom w:val="nil"/>
              <w:right w:val="single" w:sz="4" w:space="0" w:color="auto"/>
            </w:tcBorders>
            <w:shd w:val="clear" w:color="auto" w:fill="auto"/>
            <w:noWrap/>
            <w:vAlign w:val="center"/>
            <w:hideMark/>
          </w:tcPr>
          <w:p w:rsidR="0094295C" w:rsidRPr="004E6CFC" w:rsidRDefault="0094295C" w:rsidP="0094295C">
            <w:pPr>
              <w:spacing w:before="0" w:after="0"/>
              <w:jc w:val="center"/>
              <w:rPr>
                <w:rFonts w:cs="Calibri"/>
                <w:color w:val="000000"/>
                <w:sz w:val="16"/>
                <w:szCs w:val="16"/>
                <w:lang w:val="es-CO" w:eastAsia="es-CO"/>
              </w:rPr>
            </w:pPr>
            <w:r>
              <w:rPr>
                <w:color w:val="000000"/>
                <w:sz w:val="16"/>
                <w:szCs w:val="16"/>
              </w:rPr>
              <w:t>UC</w:t>
            </w:r>
          </w:p>
        </w:tc>
        <w:tc>
          <w:tcPr>
            <w:tcW w:w="4720" w:type="dxa"/>
            <w:tcBorders>
              <w:top w:val="single" w:sz="4" w:space="0" w:color="auto"/>
              <w:left w:val="nil"/>
              <w:bottom w:val="nil"/>
              <w:right w:val="single" w:sz="4" w:space="0" w:color="auto"/>
            </w:tcBorders>
            <w:shd w:val="clear" w:color="auto" w:fill="auto"/>
            <w:noWrap/>
            <w:vAlign w:val="center"/>
            <w:hideMark/>
          </w:tcPr>
          <w:p w:rsidR="0094295C" w:rsidRPr="004E6CFC" w:rsidRDefault="0094295C" w:rsidP="0094295C">
            <w:pPr>
              <w:spacing w:before="0" w:after="0"/>
              <w:jc w:val="center"/>
              <w:rPr>
                <w:rFonts w:cs="Calibri"/>
                <w:color w:val="000000"/>
                <w:sz w:val="16"/>
                <w:szCs w:val="16"/>
                <w:lang w:val="es-CO" w:eastAsia="es-CO"/>
              </w:rPr>
            </w:pPr>
            <w:r>
              <w:rPr>
                <w:color w:val="000000"/>
                <w:sz w:val="16"/>
                <w:szCs w:val="16"/>
              </w:rPr>
              <w:t xml:space="preserve">DESCRIPCIÓN </w:t>
            </w:r>
          </w:p>
        </w:tc>
        <w:tc>
          <w:tcPr>
            <w:tcW w:w="1300" w:type="dxa"/>
            <w:tcBorders>
              <w:top w:val="single" w:sz="4" w:space="0" w:color="auto"/>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rFonts w:cs="Calibri"/>
                <w:color w:val="000000"/>
                <w:sz w:val="16"/>
                <w:szCs w:val="16"/>
                <w:lang w:val="es-CO" w:eastAsia="es-CO"/>
              </w:rPr>
            </w:pPr>
            <w:r>
              <w:rPr>
                <w:color w:val="000000"/>
                <w:sz w:val="16"/>
                <w:szCs w:val="16"/>
              </w:rPr>
              <w:t>VALOR INSTALADO</w:t>
            </w:r>
            <w:r>
              <w:rPr>
                <w:color w:val="000000"/>
                <w:sz w:val="16"/>
                <w:szCs w:val="16"/>
              </w:rPr>
              <w:br/>
              <w:t>[$ dic 2017]</w:t>
            </w:r>
          </w:p>
        </w:tc>
      </w:tr>
      <w:tr w:rsidR="0094295C" w:rsidRPr="004E6CFC" w:rsidTr="0094295C">
        <w:trPr>
          <w:trHeight w:val="255"/>
          <w:jc w:val="center"/>
        </w:trPr>
        <w:tc>
          <w:tcPr>
            <w:tcW w:w="8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rFonts w:cs="Calibri"/>
                <w:color w:val="000000"/>
                <w:sz w:val="16"/>
                <w:szCs w:val="16"/>
                <w:lang w:val="es-CO" w:eastAsia="es-CO"/>
              </w:rPr>
            </w:pPr>
            <w:r>
              <w:rPr>
                <w:color w:val="000000"/>
                <w:sz w:val="16"/>
                <w:szCs w:val="16"/>
              </w:rPr>
              <w:t>N4EQ2</w:t>
            </w:r>
          </w:p>
        </w:tc>
        <w:tc>
          <w:tcPr>
            <w:tcW w:w="4720" w:type="dxa"/>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rFonts w:cs="Calibri"/>
                <w:color w:val="000000"/>
                <w:sz w:val="16"/>
                <w:szCs w:val="16"/>
                <w:lang w:val="es-CO" w:eastAsia="es-CO"/>
              </w:rPr>
            </w:pPr>
            <w:r>
              <w:rPr>
                <w:color w:val="000000"/>
                <w:sz w:val="16"/>
                <w:szCs w:val="16"/>
              </w:rPr>
              <w:t>Transformador de tensión - N4</w:t>
            </w:r>
          </w:p>
        </w:tc>
        <w:tc>
          <w:tcPr>
            <w:tcW w:w="130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33.882.000</w:t>
            </w:r>
          </w:p>
        </w:tc>
      </w:tr>
      <w:tr w:rsidR="0094295C" w:rsidRPr="004E6CFC" w:rsidTr="0094295C">
        <w:trPr>
          <w:trHeight w:val="255"/>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rFonts w:cs="Calibri"/>
                <w:color w:val="000000"/>
                <w:sz w:val="16"/>
                <w:szCs w:val="16"/>
                <w:lang w:val="es-CO" w:eastAsia="es-CO"/>
              </w:rPr>
            </w:pPr>
            <w:r>
              <w:rPr>
                <w:color w:val="000000"/>
                <w:sz w:val="16"/>
                <w:szCs w:val="16"/>
              </w:rPr>
              <w:t>N4EQ4</w:t>
            </w:r>
          </w:p>
        </w:tc>
        <w:tc>
          <w:tcPr>
            <w:tcW w:w="472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rFonts w:cs="Calibri"/>
                <w:color w:val="000000"/>
                <w:sz w:val="16"/>
                <w:szCs w:val="16"/>
                <w:lang w:val="es-CO" w:eastAsia="es-CO"/>
              </w:rPr>
            </w:pPr>
            <w:r>
              <w:rPr>
                <w:color w:val="000000"/>
                <w:sz w:val="16"/>
                <w:szCs w:val="16"/>
              </w:rPr>
              <w:t>Unidad de calidad de potencia (PQ) CREG 024 de 2005</w:t>
            </w:r>
          </w:p>
        </w:tc>
        <w:tc>
          <w:tcPr>
            <w:tcW w:w="130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rFonts w:cs="Calibri"/>
                <w:color w:val="000000"/>
                <w:sz w:val="16"/>
                <w:szCs w:val="16"/>
                <w:lang w:val="es-CO" w:eastAsia="es-CO"/>
              </w:rPr>
            </w:pPr>
            <w:r>
              <w:rPr>
                <w:color w:val="000000"/>
                <w:sz w:val="16"/>
                <w:szCs w:val="16"/>
              </w:rPr>
              <w:t>23.943.000</w:t>
            </w:r>
          </w:p>
        </w:tc>
      </w:tr>
    </w:tbl>
    <w:p w:rsidR="0094295C" w:rsidRPr="004E6CFC" w:rsidRDefault="0094295C" w:rsidP="0094295C">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18</w:t>
      </w:r>
      <w:r w:rsidRPr="004E6CFC">
        <w:fldChar w:fldCharType="end"/>
      </w:r>
      <w:r w:rsidRPr="004E6CFC">
        <w:t xml:space="preserve"> UC de equipos de nivel de tensión 3.</w:t>
      </w:r>
    </w:p>
    <w:tbl>
      <w:tblPr>
        <w:tblW w:w="7020" w:type="dxa"/>
        <w:jc w:val="center"/>
        <w:tblCellMar>
          <w:left w:w="70" w:type="dxa"/>
          <w:right w:w="70" w:type="dxa"/>
        </w:tblCellMar>
        <w:tblLook w:val="04A0" w:firstRow="1" w:lastRow="0" w:firstColumn="1" w:lastColumn="0" w:noHBand="0" w:noVBand="1"/>
      </w:tblPr>
      <w:tblGrid>
        <w:gridCol w:w="820"/>
        <w:gridCol w:w="4860"/>
        <w:gridCol w:w="1340"/>
      </w:tblGrid>
      <w:tr w:rsidR="0094295C" w:rsidRPr="00181511" w:rsidTr="0094295C">
        <w:trPr>
          <w:trHeight w:val="720"/>
          <w:tblHeader/>
          <w:jc w:val="center"/>
        </w:trPr>
        <w:tc>
          <w:tcPr>
            <w:tcW w:w="820" w:type="dxa"/>
            <w:tcBorders>
              <w:top w:val="single" w:sz="4" w:space="0" w:color="auto"/>
              <w:left w:val="single" w:sz="4" w:space="0" w:color="auto"/>
              <w:bottom w:val="nil"/>
              <w:right w:val="single" w:sz="4" w:space="0" w:color="auto"/>
            </w:tcBorders>
            <w:shd w:val="clear" w:color="auto" w:fill="auto"/>
            <w:noWrap/>
            <w:vAlign w:val="center"/>
            <w:hideMark/>
          </w:tcPr>
          <w:p w:rsidR="0094295C" w:rsidRPr="00181511" w:rsidRDefault="0094295C" w:rsidP="0094295C">
            <w:pPr>
              <w:spacing w:before="0" w:after="0"/>
              <w:jc w:val="center"/>
              <w:rPr>
                <w:color w:val="000000"/>
                <w:sz w:val="16"/>
                <w:szCs w:val="16"/>
                <w:lang w:val="es-CO" w:eastAsia="es-CO"/>
              </w:rPr>
            </w:pPr>
            <w:r w:rsidRPr="00181511">
              <w:rPr>
                <w:color w:val="000000"/>
                <w:sz w:val="16"/>
                <w:szCs w:val="16"/>
              </w:rPr>
              <w:t>UC</w:t>
            </w:r>
          </w:p>
        </w:tc>
        <w:tc>
          <w:tcPr>
            <w:tcW w:w="4860" w:type="dxa"/>
            <w:tcBorders>
              <w:top w:val="single" w:sz="4" w:space="0" w:color="auto"/>
              <w:left w:val="nil"/>
              <w:bottom w:val="nil"/>
              <w:right w:val="single" w:sz="4" w:space="0" w:color="auto"/>
            </w:tcBorders>
            <w:shd w:val="clear" w:color="auto" w:fill="auto"/>
            <w:noWrap/>
            <w:vAlign w:val="center"/>
            <w:hideMark/>
          </w:tcPr>
          <w:p w:rsidR="0094295C" w:rsidRPr="00181511" w:rsidRDefault="0094295C" w:rsidP="0094295C">
            <w:pPr>
              <w:spacing w:before="0" w:after="0"/>
              <w:jc w:val="center"/>
              <w:rPr>
                <w:color w:val="000000"/>
                <w:sz w:val="16"/>
                <w:szCs w:val="16"/>
                <w:lang w:val="es-CO" w:eastAsia="es-CO"/>
              </w:rPr>
            </w:pPr>
            <w:r w:rsidRPr="00181511">
              <w:rPr>
                <w:color w:val="000000"/>
                <w:sz w:val="16"/>
                <w:szCs w:val="16"/>
              </w:rPr>
              <w:t xml:space="preserve">DESCRIPCIÓN </w:t>
            </w:r>
          </w:p>
        </w:tc>
        <w:tc>
          <w:tcPr>
            <w:tcW w:w="1340" w:type="dxa"/>
            <w:tcBorders>
              <w:top w:val="single" w:sz="4" w:space="0" w:color="auto"/>
              <w:left w:val="nil"/>
              <w:bottom w:val="single" w:sz="4" w:space="0" w:color="auto"/>
              <w:right w:val="single" w:sz="4" w:space="0" w:color="auto"/>
            </w:tcBorders>
            <w:shd w:val="clear" w:color="auto" w:fill="auto"/>
            <w:vAlign w:val="center"/>
            <w:hideMark/>
          </w:tcPr>
          <w:p w:rsidR="0094295C" w:rsidRPr="00181511" w:rsidRDefault="0094295C" w:rsidP="0094295C">
            <w:pPr>
              <w:spacing w:before="0" w:after="0"/>
              <w:jc w:val="center"/>
              <w:rPr>
                <w:color w:val="000000"/>
                <w:sz w:val="16"/>
                <w:szCs w:val="16"/>
                <w:lang w:val="es-CO" w:eastAsia="es-CO"/>
              </w:rPr>
            </w:pPr>
            <w:r w:rsidRPr="00181511">
              <w:rPr>
                <w:color w:val="000000"/>
                <w:sz w:val="16"/>
                <w:szCs w:val="16"/>
              </w:rPr>
              <w:t>VALOR INSTALADO</w:t>
            </w:r>
            <w:r w:rsidRPr="00181511">
              <w:rPr>
                <w:color w:val="000000"/>
                <w:sz w:val="16"/>
                <w:szCs w:val="16"/>
              </w:rPr>
              <w:br/>
              <w:t>[$ dic 2017]</w:t>
            </w:r>
          </w:p>
        </w:tc>
      </w:tr>
      <w:tr w:rsidR="0094295C" w:rsidRPr="00181511" w:rsidTr="0094295C">
        <w:trPr>
          <w:trHeight w:val="240"/>
          <w:jc w:val="center"/>
        </w:trPr>
        <w:tc>
          <w:tcPr>
            <w:tcW w:w="8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N3EQ1</w:t>
            </w:r>
          </w:p>
        </w:tc>
        <w:tc>
          <w:tcPr>
            <w:tcW w:w="4860" w:type="dxa"/>
            <w:tcBorders>
              <w:top w:val="single" w:sz="4" w:space="0" w:color="auto"/>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Equipo de medida - N3</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right"/>
              <w:rPr>
                <w:color w:val="000000"/>
                <w:sz w:val="16"/>
                <w:szCs w:val="16"/>
                <w:lang w:val="es-CO" w:eastAsia="es-CO"/>
              </w:rPr>
            </w:pPr>
            <w:r w:rsidRPr="00181511">
              <w:rPr>
                <w:color w:val="000000"/>
                <w:sz w:val="16"/>
                <w:szCs w:val="16"/>
              </w:rPr>
              <w:t>1.071.000</w:t>
            </w:r>
          </w:p>
        </w:tc>
      </w:tr>
      <w:tr w:rsidR="0094295C" w:rsidRPr="00181511"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N3EQ2</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Juego cuchillas de operación sin carga - N3</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right"/>
              <w:rPr>
                <w:color w:val="000000"/>
                <w:sz w:val="16"/>
                <w:szCs w:val="16"/>
                <w:lang w:val="es-CO" w:eastAsia="es-CO"/>
              </w:rPr>
            </w:pPr>
            <w:r w:rsidRPr="00181511">
              <w:rPr>
                <w:color w:val="000000"/>
                <w:sz w:val="16"/>
                <w:szCs w:val="16"/>
              </w:rPr>
              <w:t>1.581.000</w:t>
            </w:r>
          </w:p>
        </w:tc>
      </w:tr>
      <w:tr w:rsidR="0094295C" w:rsidRPr="00181511" w:rsidTr="004842F4">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N3EQ3</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Juego pararrayos - N3</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right"/>
              <w:rPr>
                <w:color w:val="000000"/>
                <w:sz w:val="16"/>
                <w:szCs w:val="16"/>
                <w:lang w:val="es-CO" w:eastAsia="es-CO"/>
              </w:rPr>
            </w:pPr>
            <w:r w:rsidRPr="00181511">
              <w:rPr>
                <w:color w:val="000000"/>
                <w:sz w:val="16"/>
                <w:szCs w:val="16"/>
              </w:rPr>
              <w:t>1.380.000</w:t>
            </w:r>
          </w:p>
        </w:tc>
      </w:tr>
      <w:tr w:rsidR="0094295C" w:rsidRPr="00181511" w:rsidTr="004842F4">
        <w:trPr>
          <w:trHeight w:val="240"/>
          <w:jc w:val="center"/>
        </w:trPr>
        <w:tc>
          <w:tcPr>
            <w:tcW w:w="8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lastRenderedPageBreak/>
              <w:t>N3EQ4</w:t>
            </w:r>
          </w:p>
        </w:tc>
        <w:tc>
          <w:tcPr>
            <w:tcW w:w="48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Juego de seccionadores tripolar bajo carga - N3</w:t>
            </w:r>
          </w:p>
        </w:tc>
        <w:tc>
          <w:tcPr>
            <w:tcW w:w="13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right"/>
              <w:rPr>
                <w:color w:val="000000"/>
                <w:sz w:val="16"/>
                <w:szCs w:val="16"/>
                <w:lang w:val="es-CO" w:eastAsia="es-CO"/>
              </w:rPr>
            </w:pPr>
            <w:r w:rsidRPr="00181511">
              <w:rPr>
                <w:color w:val="000000"/>
                <w:sz w:val="16"/>
                <w:szCs w:val="16"/>
              </w:rPr>
              <w:t>30.202.000</w:t>
            </w:r>
          </w:p>
        </w:tc>
      </w:tr>
      <w:tr w:rsidR="0094295C" w:rsidRPr="00181511" w:rsidTr="004842F4">
        <w:trPr>
          <w:trHeight w:val="240"/>
          <w:jc w:val="center"/>
        </w:trPr>
        <w:tc>
          <w:tcPr>
            <w:tcW w:w="8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N3EQ5</w:t>
            </w:r>
          </w:p>
        </w:tc>
        <w:tc>
          <w:tcPr>
            <w:tcW w:w="4860" w:type="dxa"/>
            <w:tcBorders>
              <w:top w:val="single" w:sz="4" w:space="0" w:color="auto"/>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Reconectador - N3</w:t>
            </w:r>
          </w:p>
        </w:tc>
        <w:tc>
          <w:tcPr>
            <w:tcW w:w="1340" w:type="dxa"/>
            <w:tcBorders>
              <w:top w:val="single" w:sz="4" w:space="0" w:color="auto"/>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right"/>
              <w:rPr>
                <w:color w:val="000000"/>
                <w:sz w:val="16"/>
                <w:szCs w:val="16"/>
                <w:lang w:val="es-CO" w:eastAsia="es-CO"/>
              </w:rPr>
            </w:pPr>
            <w:r w:rsidRPr="00181511">
              <w:rPr>
                <w:color w:val="000000"/>
                <w:sz w:val="16"/>
                <w:szCs w:val="16"/>
              </w:rPr>
              <w:t>60.774.000</w:t>
            </w:r>
          </w:p>
        </w:tc>
      </w:tr>
      <w:tr w:rsidR="0094295C" w:rsidRPr="00181511"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N3EQ6</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Regulador - N3</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right"/>
              <w:rPr>
                <w:color w:val="000000"/>
                <w:sz w:val="16"/>
                <w:szCs w:val="16"/>
                <w:lang w:val="es-CO" w:eastAsia="es-CO"/>
              </w:rPr>
            </w:pPr>
            <w:r w:rsidRPr="00181511">
              <w:rPr>
                <w:color w:val="000000"/>
                <w:sz w:val="16"/>
                <w:szCs w:val="16"/>
              </w:rPr>
              <w:t>210.805.000</w:t>
            </w:r>
          </w:p>
        </w:tc>
      </w:tr>
      <w:tr w:rsidR="0094295C" w:rsidRPr="00181511"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N3EQ7</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Seccionalizador manual bajo carga - N3</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right"/>
              <w:rPr>
                <w:color w:val="000000"/>
                <w:sz w:val="16"/>
                <w:szCs w:val="16"/>
                <w:lang w:val="es-CO" w:eastAsia="es-CO"/>
              </w:rPr>
            </w:pPr>
            <w:r w:rsidRPr="00181511">
              <w:rPr>
                <w:color w:val="000000"/>
                <w:sz w:val="16"/>
                <w:szCs w:val="16"/>
              </w:rPr>
              <w:t>24.970.000</w:t>
            </w:r>
          </w:p>
        </w:tc>
      </w:tr>
      <w:tr w:rsidR="0094295C" w:rsidRPr="00181511"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N3EQ8</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Seccionalizador eléctrico (motorizado) - N3</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right"/>
              <w:rPr>
                <w:color w:val="000000"/>
                <w:sz w:val="16"/>
                <w:szCs w:val="16"/>
                <w:lang w:val="es-CO" w:eastAsia="es-CO"/>
              </w:rPr>
            </w:pPr>
            <w:r w:rsidRPr="00181511">
              <w:rPr>
                <w:color w:val="000000"/>
                <w:sz w:val="16"/>
                <w:szCs w:val="16"/>
              </w:rPr>
              <w:t>24.970.000</w:t>
            </w:r>
          </w:p>
        </w:tc>
      </w:tr>
      <w:tr w:rsidR="0094295C" w:rsidRPr="00181511"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N3EQ9</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Transición aérea - subterránea - N3</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right"/>
              <w:rPr>
                <w:color w:val="000000"/>
                <w:sz w:val="16"/>
                <w:szCs w:val="16"/>
                <w:lang w:val="es-CO" w:eastAsia="es-CO"/>
              </w:rPr>
            </w:pPr>
            <w:r w:rsidRPr="00181511">
              <w:rPr>
                <w:color w:val="000000"/>
                <w:sz w:val="16"/>
                <w:szCs w:val="16"/>
              </w:rPr>
              <w:t>2.540.000</w:t>
            </w:r>
          </w:p>
        </w:tc>
      </w:tr>
      <w:tr w:rsidR="0094295C" w:rsidRPr="00181511"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N3EQ10</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Transformador de puesta a tierra</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right"/>
              <w:rPr>
                <w:color w:val="000000"/>
                <w:sz w:val="16"/>
                <w:szCs w:val="16"/>
                <w:lang w:val="es-CO" w:eastAsia="es-CO"/>
              </w:rPr>
            </w:pPr>
            <w:r w:rsidRPr="00181511">
              <w:rPr>
                <w:color w:val="000000"/>
                <w:sz w:val="16"/>
                <w:szCs w:val="16"/>
              </w:rPr>
              <w:t>140.528.000</w:t>
            </w:r>
          </w:p>
        </w:tc>
      </w:tr>
      <w:tr w:rsidR="0094295C" w:rsidRPr="00181511"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N3EQ11</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Transformador de tensión - N3</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right"/>
              <w:rPr>
                <w:color w:val="000000"/>
                <w:sz w:val="16"/>
                <w:szCs w:val="16"/>
                <w:lang w:val="es-CO" w:eastAsia="es-CO"/>
              </w:rPr>
            </w:pPr>
            <w:r w:rsidRPr="00181511">
              <w:rPr>
                <w:color w:val="000000"/>
                <w:sz w:val="16"/>
                <w:szCs w:val="16"/>
              </w:rPr>
              <w:t>5.908.000</w:t>
            </w:r>
          </w:p>
        </w:tc>
      </w:tr>
      <w:tr w:rsidR="0094295C" w:rsidRPr="00181511"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N3EQ14</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Unidad de calidad de potencia (PQ) CREG 024 de 2005</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right"/>
              <w:rPr>
                <w:color w:val="000000"/>
                <w:sz w:val="16"/>
                <w:szCs w:val="16"/>
                <w:lang w:val="es-CO" w:eastAsia="es-CO"/>
              </w:rPr>
            </w:pPr>
            <w:r w:rsidRPr="00181511">
              <w:rPr>
                <w:color w:val="000000"/>
                <w:sz w:val="16"/>
                <w:szCs w:val="16"/>
              </w:rPr>
              <w:t>23.943.000</w:t>
            </w:r>
          </w:p>
        </w:tc>
      </w:tr>
      <w:tr w:rsidR="0094295C" w:rsidRPr="00181511"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N3EQ22</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Juego cortacircuitos - N3</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right"/>
              <w:rPr>
                <w:color w:val="000000"/>
                <w:sz w:val="16"/>
                <w:szCs w:val="16"/>
                <w:lang w:val="es-CO" w:eastAsia="es-CO"/>
              </w:rPr>
            </w:pPr>
            <w:r w:rsidRPr="00181511">
              <w:rPr>
                <w:color w:val="000000"/>
                <w:sz w:val="16"/>
                <w:szCs w:val="16"/>
              </w:rPr>
              <w:t>1.693.000</w:t>
            </w:r>
          </w:p>
        </w:tc>
      </w:tr>
      <w:tr w:rsidR="0094295C" w:rsidRPr="00181511"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N3EQ23</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Juego pararrayos (44 kV - N3</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right"/>
              <w:rPr>
                <w:color w:val="000000"/>
                <w:sz w:val="16"/>
                <w:szCs w:val="16"/>
                <w:lang w:val="es-CO" w:eastAsia="es-CO"/>
              </w:rPr>
            </w:pPr>
            <w:r w:rsidRPr="00181511">
              <w:rPr>
                <w:color w:val="000000"/>
                <w:sz w:val="16"/>
                <w:szCs w:val="16"/>
              </w:rPr>
              <w:t>3.073.000</w:t>
            </w:r>
          </w:p>
        </w:tc>
      </w:tr>
      <w:tr w:rsidR="0094295C" w:rsidRPr="00181511"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N3EQ24</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Transición aérea - subterránea (44 kV) - N3</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right"/>
              <w:rPr>
                <w:color w:val="000000"/>
                <w:sz w:val="16"/>
                <w:szCs w:val="16"/>
                <w:lang w:val="es-CO" w:eastAsia="es-CO"/>
              </w:rPr>
            </w:pPr>
            <w:r w:rsidRPr="00181511">
              <w:rPr>
                <w:color w:val="000000"/>
                <w:sz w:val="16"/>
                <w:szCs w:val="16"/>
              </w:rPr>
              <w:t>3.170.000</w:t>
            </w:r>
          </w:p>
        </w:tc>
      </w:tr>
      <w:tr w:rsidR="0094295C" w:rsidRPr="00181511"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N3EQ25</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 xml:space="preserve">Indicador falla </w:t>
            </w:r>
            <w:r w:rsidR="004842F4" w:rsidRPr="00181511">
              <w:rPr>
                <w:color w:val="000000"/>
                <w:sz w:val="16"/>
                <w:szCs w:val="16"/>
              </w:rPr>
              <w:t>subterráneo</w:t>
            </w:r>
            <w:r w:rsidRPr="00181511">
              <w:rPr>
                <w:color w:val="000000"/>
                <w:sz w:val="16"/>
                <w:szCs w:val="16"/>
              </w:rPr>
              <w:t xml:space="preserve"> - N3</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right"/>
              <w:rPr>
                <w:color w:val="000000"/>
                <w:sz w:val="16"/>
                <w:szCs w:val="16"/>
                <w:lang w:val="es-CO" w:eastAsia="es-CO"/>
              </w:rPr>
            </w:pPr>
            <w:r w:rsidRPr="00181511">
              <w:rPr>
                <w:color w:val="000000"/>
                <w:sz w:val="16"/>
                <w:szCs w:val="16"/>
              </w:rPr>
              <w:t>3.604.000</w:t>
            </w:r>
          </w:p>
        </w:tc>
      </w:tr>
      <w:tr w:rsidR="0094295C" w:rsidRPr="00181511"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N3EQ26</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Transformador de tensión (pedestal) - N3</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right"/>
              <w:rPr>
                <w:color w:val="000000"/>
                <w:sz w:val="16"/>
                <w:szCs w:val="16"/>
                <w:lang w:val="es-CO" w:eastAsia="es-CO"/>
              </w:rPr>
            </w:pPr>
            <w:r w:rsidRPr="00181511">
              <w:rPr>
                <w:color w:val="000000"/>
                <w:sz w:val="16"/>
                <w:szCs w:val="16"/>
              </w:rPr>
              <w:t>8.636.000</w:t>
            </w:r>
          </w:p>
        </w:tc>
      </w:tr>
      <w:tr w:rsidR="0094295C" w:rsidRPr="00181511"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N3EQ27</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left"/>
              <w:rPr>
                <w:color w:val="000000"/>
                <w:sz w:val="16"/>
                <w:szCs w:val="16"/>
                <w:lang w:val="es-CO" w:eastAsia="es-CO"/>
              </w:rPr>
            </w:pPr>
            <w:r w:rsidRPr="00181511">
              <w:rPr>
                <w:color w:val="000000"/>
                <w:sz w:val="16"/>
                <w:szCs w:val="16"/>
              </w:rPr>
              <w:t>Transformador de corriente - N3</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181511" w:rsidRDefault="0094295C" w:rsidP="0094295C">
            <w:pPr>
              <w:spacing w:before="0" w:after="0"/>
              <w:jc w:val="right"/>
              <w:rPr>
                <w:color w:val="000000"/>
                <w:sz w:val="16"/>
                <w:szCs w:val="16"/>
                <w:lang w:val="es-CO" w:eastAsia="es-CO"/>
              </w:rPr>
            </w:pPr>
            <w:r w:rsidRPr="00181511">
              <w:rPr>
                <w:color w:val="000000"/>
                <w:sz w:val="16"/>
                <w:szCs w:val="16"/>
              </w:rPr>
              <w:t>6.765.000</w:t>
            </w:r>
          </w:p>
        </w:tc>
      </w:tr>
    </w:tbl>
    <w:p w:rsidR="0094295C" w:rsidRPr="004E6CFC" w:rsidRDefault="0094295C" w:rsidP="0094295C">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19</w:t>
      </w:r>
      <w:r w:rsidRPr="004E6CFC">
        <w:fldChar w:fldCharType="end"/>
      </w:r>
      <w:r w:rsidRPr="004E6CFC">
        <w:t xml:space="preserve"> UC de equipos de nivel de tensión 2.</w:t>
      </w:r>
    </w:p>
    <w:tbl>
      <w:tblPr>
        <w:tblW w:w="7020" w:type="dxa"/>
        <w:jc w:val="center"/>
        <w:tblCellMar>
          <w:left w:w="70" w:type="dxa"/>
          <w:right w:w="70" w:type="dxa"/>
        </w:tblCellMar>
        <w:tblLook w:val="04A0" w:firstRow="1" w:lastRow="0" w:firstColumn="1" w:lastColumn="0" w:noHBand="0" w:noVBand="1"/>
      </w:tblPr>
      <w:tblGrid>
        <w:gridCol w:w="820"/>
        <w:gridCol w:w="4860"/>
        <w:gridCol w:w="1340"/>
      </w:tblGrid>
      <w:tr w:rsidR="0094295C" w:rsidRPr="004E6CFC" w:rsidTr="0094295C">
        <w:trPr>
          <w:trHeight w:val="720"/>
          <w:tblHeader/>
          <w:jc w:val="center"/>
        </w:trPr>
        <w:tc>
          <w:tcPr>
            <w:tcW w:w="8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UC</w:t>
            </w:r>
          </w:p>
        </w:tc>
        <w:tc>
          <w:tcPr>
            <w:tcW w:w="4860" w:type="dxa"/>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 xml:space="preserve">DESCRIPCIÓN </w:t>
            </w:r>
          </w:p>
        </w:tc>
        <w:tc>
          <w:tcPr>
            <w:tcW w:w="1340" w:type="dxa"/>
            <w:tcBorders>
              <w:top w:val="single" w:sz="4" w:space="0" w:color="auto"/>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VALOR INSTALADO</w:t>
            </w:r>
            <w:r>
              <w:rPr>
                <w:color w:val="000000"/>
                <w:sz w:val="16"/>
                <w:szCs w:val="16"/>
              </w:rPr>
              <w:br/>
              <w:t>[$ dic 2017]</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N2EQ1</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Barraje de derivación subterráneo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3.199.000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N2EQ2</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Caja de maniobra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21.684.000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N2EQ3</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Control de bancos de capacitores</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44.429.000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N2EQ4</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Banco de condensadores montaje en poste 150 kVAr</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10.061.000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N2EQ5</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Banco de condensadores montaje en poste 300 kVAr</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19.187.000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N2EQ6</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Banco de condensadores montaje en poste 450 kVAr</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28.312.000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N2EQ7</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Banco de condensadores montaje en poste 600 kVAr</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37.437.000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N2EQ8</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Banco de condensadores montaje en poste 900 kVAr</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55.688.000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N2EQ9</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Cortacircuitos monopolar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484.000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N2EQ10</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Equipo de medida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1.023.000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N2EQ11</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Indicador falla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1.124.000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N2EQ12</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Juego cortacircuitos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1.200.000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N2EQ13</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Juego cuchillas de operación sin carga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1.003.000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N2EQ14</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Pararrayos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482.000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N2EQ15</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Juego pararrayos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962.000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N2EQ16</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Juego de seccionadores tripolar bajo carga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27.881.000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N2EQ18</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Regulador de voltaje trifásicos de distribución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197.054.000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N2EQ19</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Regulador de voltaje monofásico hasta 50 kVA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31.678.000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N2EQ20</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Regulador de voltaje monofásico hasta 150 kVA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39.037.000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N2EQ21</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Regulador de voltaje monofásico hasta 276 kVA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48.929.000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N2EQ22</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Regulador de voltaje monofásico hasta 500 kVA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78.916.000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N2EQ23</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Regulador de voltaje monofásico hasta 1000 kVA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122.089.000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N2EQ24</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Seccionador monopolar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655.000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N2EQ25</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Seccionador trifásico vacío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1.060.000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N2EQ26</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Seccionalizador con control inteligente, 400 A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24.698.000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N2EQ27</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Seccionalizador eléctrico en SF6, 400 A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20.843.000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N2EQ28</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Seccionalizador motorizado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24.174.000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N2EQ29</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Seccionalizador manual (bajo carga), 400 A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20.319.000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N2EQ30</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Interruptor en aire bajo carga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10.329.000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N2EQ31</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Transición aérea - subterránea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1.260.000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N2EQ34</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Unidad de calidad de potencia (PQ) CREG 024 de 2005</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23.943.000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N2EQ35</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Reconectador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45.399.000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N2EQ36</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Interruptor de transferencia en SF6 -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68.018.000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N2EQ37</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Transformador de puesta a tierra</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140.528.000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N2EQ38</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Transformador de tensión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5.571.000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lastRenderedPageBreak/>
              <w:t>N2EQ39</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Transformador de tensión (pedestal)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7.121.000</w:t>
            </w:r>
          </w:p>
        </w:tc>
      </w:tr>
      <w:tr w:rsidR="0094295C" w:rsidRPr="004E6CFC" w:rsidTr="0094295C">
        <w:trPr>
          <w:trHeight w:val="240"/>
          <w:jc w:val="center"/>
        </w:trPr>
        <w:tc>
          <w:tcPr>
            <w:tcW w:w="82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N2EQ40</w:t>
            </w:r>
          </w:p>
        </w:tc>
        <w:tc>
          <w:tcPr>
            <w:tcW w:w="486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Transformador de corriente - N2</w:t>
            </w:r>
          </w:p>
        </w:tc>
        <w:tc>
          <w:tcPr>
            <w:tcW w:w="1340"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color w:val="000000"/>
                <w:sz w:val="16"/>
                <w:szCs w:val="16"/>
                <w:lang w:val="es-CO" w:eastAsia="es-CO"/>
              </w:rPr>
            </w:pPr>
            <w:r>
              <w:rPr>
                <w:color w:val="000000"/>
                <w:sz w:val="16"/>
                <w:szCs w:val="16"/>
              </w:rPr>
              <w:t>3.570.000</w:t>
            </w:r>
          </w:p>
        </w:tc>
      </w:tr>
    </w:tbl>
    <w:p w:rsidR="0094295C" w:rsidRPr="004E6CFC" w:rsidRDefault="0094295C" w:rsidP="0094295C">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20</w:t>
      </w:r>
      <w:r w:rsidRPr="004E6CFC">
        <w:fldChar w:fldCharType="end"/>
      </w:r>
      <w:r w:rsidRPr="004E6CFC">
        <w:t xml:space="preserve"> Unidades constructivas de control, protección y comunicaciones</w:t>
      </w:r>
    </w:p>
    <w:tbl>
      <w:tblPr>
        <w:tblW w:w="7823" w:type="dxa"/>
        <w:jc w:val="center"/>
        <w:tblCellMar>
          <w:left w:w="70" w:type="dxa"/>
          <w:right w:w="70" w:type="dxa"/>
        </w:tblCellMar>
        <w:tblLook w:val="04A0" w:firstRow="1" w:lastRow="0" w:firstColumn="1" w:lastColumn="0" w:noHBand="0" w:noVBand="1"/>
      </w:tblPr>
      <w:tblGrid>
        <w:gridCol w:w="850"/>
        <w:gridCol w:w="5669"/>
        <w:gridCol w:w="1304"/>
      </w:tblGrid>
      <w:tr w:rsidR="0094295C" w:rsidRPr="004E6CFC" w:rsidTr="0094295C">
        <w:trPr>
          <w:trHeight w:val="680"/>
          <w:tblHeader/>
          <w:jc w:val="center"/>
        </w:trPr>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 xml:space="preserve">UC </w:t>
            </w:r>
          </w:p>
        </w:tc>
        <w:tc>
          <w:tcPr>
            <w:tcW w:w="5669" w:type="dxa"/>
            <w:tcBorders>
              <w:top w:val="single" w:sz="4" w:space="0" w:color="auto"/>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Descripción</w:t>
            </w:r>
          </w:p>
        </w:tc>
        <w:tc>
          <w:tcPr>
            <w:tcW w:w="1304" w:type="dxa"/>
            <w:tcBorders>
              <w:top w:val="single" w:sz="4" w:space="0" w:color="auto"/>
              <w:left w:val="nil"/>
              <w:bottom w:val="single" w:sz="4" w:space="0" w:color="auto"/>
              <w:right w:val="single" w:sz="4" w:space="0" w:color="auto"/>
            </w:tcBorders>
            <w:shd w:val="clear" w:color="auto" w:fill="auto"/>
            <w:vAlign w:val="bottom"/>
            <w:hideMark/>
          </w:tcPr>
          <w:p w:rsidR="0094295C" w:rsidRPr="004E6CFC" w:rsidRDefault="0094295C" w:rsidP="0094295C">
            <w:pPr>
              <w:spacing w:before="0" w:after="0"/>
              <w:jc w:val="center"/>
              <w:rPr>
                <w:color w:val="000000"/>
                <w:sz w:val="16"/>
                <w:szCs w:val="16"/>
                <w:lang w:val="es-CO" w:eastAsia="es-CO"/>
              </w:rPr>
            </w:pPr>
            <w:r>
              <w:rPr>
                <w:color w:val="000000"/>
                <w:sz w:val="16"/>
                <w:szCs w:val="16"/>
              </w:rPr>
              <w:t>VALOR INSTALADO</w:t>
            </w:r>
            <w:r>
              <w:rPr>
                <w:color w:val="000000"/>
                <w:sz w:val="16"/>
                <w:szCs w:val="16"/>
              </w:rPr>
              <w:br/>
              <w:t>[$ dic 2017]</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N6P2</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Control y protección Bahía de Transformador - 500 kV</w:t>
            </w:r>
          </w:p>
        </w:tc>
        <w:tc>
          <w:tcPr>
            <w:tcW w:w="1304"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220.813.000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N6P6</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Control y Protección del Transformador - 500 kV</w:t>
            </w:r>
          </w:p>
        </w:tc>
        <w:tc>
          <w:tcPr>
            <w:tcW w:w="1304"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129.752.000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N5P2</w:t>
            </w:r>
          </w:p>
        </w:tc>
        <w:tc>
          <w:tcPr>
            <w:tcW w:w="5669"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Control y protección Bahía de Transformador - 230 kV</w:t>
            </w:r>
          </w:p>
        </w:tc>
        <w:tc>
          <w:tcPr>
            <w:tcW w:w="1304"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217.168.000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N5P7</w:t>
            </w:r>
          </w:p>
        </w:tc>
        <w:tc>
          <w:tcPr>
            <w:tcW w:w="5669"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Control y Protección del Transformador - 230 kV</w:t>
            </w:r>
          </w:p>
        </w:tc>
        <w:tc>
          <w:tcPr>
            <w:tcW w:w="1304"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121.428.000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N4P1</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Control y protección Bahía de Línea - N4</w:t>
            </w:r>
          </w:p>
        </w:tc>
        <w:tc>
          <w:tcPr>
            <w:tcW w:w="1304"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133.249.000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N4P2</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 xml:space="preserve">Control y protección Bahía de Transformador - N4 </w:t>
            </w:r>
          </w:p>
        </w:tc>
        <w:tc>
          <w:tcPr>
            <w:tcW w:w="1304"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138.198.000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N4P3</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 xml:space="preserve">Control y protección Bahía de Transf, Acopl, Corte Central - N4 </w:t>
            </w:r>
          </w:p>
        </w:tc>
        <w:tc>
          <w:tcPr>
            <w:tcW w:w="1304"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101.006.000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N4P4</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 xml:space="preserve">Control y protección </w:t>
            </w:r>
            <w:r w:rsidR="004842F4">
              <w:rPr>
                <w:sz w:val="16"/>
                <w:szCs w:val="16"/>
              </w:rPr>
              <w:t>Bahía</w:t>
            </w:r>
            <w:r>
              <w:rPr>
                <w:sz w:val="16"/>
                <w:szCs w:val="16"/>
              </w:rPr>
              <w:t xml:space="preserve"> de Seccionamiento - N4</w:t>
            </w:r>
          </w:p>
        </w:tc>
        <w:tc>
          <w:tcPr>
            <w:tcW w:w="1304"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59.731.000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N4P5</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Protección Diferencial de Barras Tipo 1,2 - N4</w:t>
            </w:r>
          </w:p>
        </w:tc>
        <w:tc>
          <w:tcPr>
            <w:tcW w:w="1304"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101.128.000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N4P6</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Protección Diferencial de Barras Tipo 3,4 - N4</w:t>
            </w:r>
          </w:p>
        </w:tc>
        <w:tc>
          <w:tcPr>
            <w:tcW w:w="1304"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116.062.000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N3P1</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Control y protección Bahía de Línea - N3</w:t>
            </w:r>
          </w:p>
        </w:tc>
        <w:tc>
          <w:tcPr>
            <w:tcW w:w="1304"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88.902.000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N3P2</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Control y protección Bahía de Transformador - N3</w:t>
            </w:r>
          </w:p>
        </w:tc>
        <w:tc>
          <w:tcPr>
            <w:tcW w:w="1304"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88.902.000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N3P3</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Control y protección Bahía de Transf, Acopl, Corte Central  - N3</w:t>
            </w:r>
          </w:p>
        </w:tc>
        <w:tc>
          <w:tcPr>
            <w:tcW w:w="1304"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82.310.000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N3P4</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 xml:space="preserve">Control y protección </w:t>
            </w:r>
            <w:r w:rsidR="004842F4">
              <w:rPr>
                <w:sz w:val="16"/>
                <w:szCs w:val="16"/>
              </w:rPr>
              <w:t>Bahía</w:t>
            </w:r>
            <w:r>
              <w:rPr>
                <w:sz w:val="16"/>
                <w:szCs w:val="16"/>
              </w:rPr>
              <w:t xml:space="preserve"> Secc - N3</w:t>
            </w:r>
          </w:p>
        </w:tc>
        <w:tc>
          <w:tcPr>
            <w:tcW w:w="1304"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56.278.000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N3P5</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Protección Diferencial de Barras Tipo 1,2 - N3</w:t>
            </w:r>
          </w:p>
        </w:tc>
        <w:tc>
          <w:tcPr>
            <w:tcW w:w="1304"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86.583.000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N3P6</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Protección Diferencial de Barras Tipo 3 - N3</w:t>
            </w:r>
          </w:p>
        </w:tc>
        <w:tc>
          <w:tcPr>
            <w:tcW w:w="1304"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101.517.000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N2P1</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Control y protección Bahía - N2</w:t>
            </w:r>
          </w:p>
        </w:tc>
        <w:tc>
          <w:tcPr>
            <w:tcW w:w="1304"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right"/>
              <w:rPr>
                <w:sz w:val="16"/>
                <w:szCs w:val="16"/>
                <w:lang w:val="es-CO" w:eastAsia="es-CO"/>
              </w:rPr>
            </w:pPr>
            <w:r>
              <w:rPr>
                <w:sz w:val="16"/>
                <w:szCs w:val="16"/>
              </w:rPr>
              <w:t>38.432.000</w:t>
            </w:r>
          </w:p>
        </w:tc>
      </w:tr>
    </w:tbl>
    <w:p w:rsidR="0094295C" w:rsidRPr="004E6CFC" w:rsidRDefault="0094295C" w:rsidP="0094295C">
      <w:pPr>
        <w:pStyle w:val="Descripcin"/>
      </w:pPr>
      <w:bookmarkStart w:id="1085" w:name="_Ref504977857"/>
      <w:r w:rsidRPr="004E6CFC">
        <w:t xml:space="preserve">Tabla </w:t>
      </w:r>
      <w:r w:rsidRPr="004E6CFC">
        <w:fldChar w:fldCharType="begin"/>
      </w:r>
      <w:r w:rsidRPr="004E6CFC">
        <w:instrText xml:space="preserve"> SEQ Tabla \* ARABIC </w:instrText>
      </w:r>
      <w:r w:rsidRPr="004E6CFC">
        <w:fldChar w:fldCharType="separate"/>
      </w:r>
      <w:r w:rsidR="00737178">
        <w:rPr>
          <w:noProof/>
        </w:rPr>
        <w:t>21</w:t>
      </w:r>
      <w:r w:rsidRPr="004E6CFC">
        <w:fldChar w:fldCharType="end"/>
      </w:r>
      <w:bookmarkEnd w:id="1085"/>
      <w:r w:rsidRPr="004E6CFC">
        <w:t xml:space="preserve"> Control de subestación y Estación Maestra</w:t>
      </w:r>
    </w:p>
    <w:tbl>
      <w:tblPr>
        <w:tblW w:w="9038" w:type="dxa"/>
        <w:tblCellMar>
          <w:left w:w="70" w:type="dxa"/>
          <w:right w:w="70" w:type="dxa"/>
        </w:tblCellMar>
        <w:tblLook w:val="04A0" w:firstRow="1" w:lastRow="0" w:firstColumn="1" w:lastColumn="0" w:noHBand="0" w:noVBand="1"/>
      </w:tblPr>
      <w:tblGrid>
        <w:gridCol w:w="850"/>
        <w:gridCol w:w="6803"/>
        <w:gridCol w:w="1385"/>
      </w:tblGrid>
      <w:tr w:rsidR="0094295C" w:rsidRPr="004E6CFC" w:rsidTr="0094295C">
        <w:trPr>
          <w:trHeight w:val="794"/>
          <w:tblHeader/>
        </w:trPr>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 xml:space="preserve">UC </w:t>
            </w:r>
          </w:p>
        </w:tc>
        <w:tc>
          <w:tcPr>
            <w:tcW w:w="6803" w:type="dxa"/>
            <w:tcBorders>
              <w:top w:val="single" w:sz="4" w:space="0" w:color="auto"/>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Descripción</w:t>
            </w:r>
          </w:p>
        </w:tc>
        <w:tc>
          <w:tcPr>
            <w:tcW w:w="1385" w:type="dxa"/>
            <w:tcBorders>
              <w:top w:val="single" w:sz="4" w:space="0" w:color="auto"/>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VALOR INSTALADO</w:t>
            </w:r>
            <w:r>
              <w:rPr>
                <w:color w:val="000000"/>
                <w:sz w:val="16"/>
                <w:szCs w:val="16"/>
              </w:rPr>
              <w:br/>
              <w:t>[$ dic 2017]</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N0P1</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Control subestación Tipo 1 (1-2 Bahías) ($/bahía)</w:t>
            </w:r>
          </w:p>
        </w:tc>
        <w:tc>
          <w:tcPr>
            <w:tcW w:w="1385"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125.195.000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N0P2</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Control subestación Tipo 2  (3-4 Bahías) ($/bahía)</w:t>
            </w:r>
          </w:p>
        </w:tc>
        <w:tc>
          <w:tcPr>
            <w:tcW w:w="1385"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93.345.000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N0P3</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Control subestación Tipo 3 (5-8 Bahías) ($/bahía)</w:t>
            </w:r>
          </w:p>
        </w:tc>
        <w:tc>
          <w:tcPr>
            <w:tcW w:w="1385"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84.778.000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N0P4</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Control subestación Tipo 4 (9-12 Bahías) ($/bahía)</w:t>
            </w:r>
          </w:p>
        </w:tc>
        <w:tc>
          <w:tcPr>
            <w:tcW w:w="1385"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79.339.000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N0P5</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Control subestación Tipo 5 (Más de 13 Bahías) ($/bahía)</w:t>
            </w:r>
          </w:p>
        </w:tc>
        <w:tc>
          <w:tcPr>
            <w:tcW w:w="1385"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73.180.000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N0P6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Centro de control tipo 1 (SCADA)</w:t>
            </w:r>
          </w:p>
        </w:tc>
        <w:tc>
          <w:tcPr>
            <w:tcW w:w="1385"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1.513.672.000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N0P7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Centro de control tipo 2 (SCADA+EMS Operativo)</w:t>
            </w:r>
          </w:p>
        </w:tc>
        <w:tc>
          <w:tcPr>
            <w:tcW w:w="1385"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5.330.826.000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N0P8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Centro de control tipo 2 (SCADA+DMS Operativo)</w:t>
            </w:r>
          </w:p>
        </w:tc>
        <w:tc>
          <w:tcPr>
            <w:tcW w:w="1385"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5.085.449.000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N0P9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Centro de control tipo 2 (SCADA+EMS + DMS Operativo)</w:t>
            </w:r>
          </w:p>
        </w:tc>
        <w:tc>
          <w:tcPr>
            <w:tcW w:w="1385"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8.470.431.000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N0P10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Centro de control tipo 3 (SCADA + EMS completa)</w:t>
            </w:r>
          </w:p>
        </w:tc>
        <w:tc>
          <w:tcPr>
            <w:tcW w:w="1385"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9.856.875.000</w:t>
            </w:r>
          </w:p>
        </w:tc>
      </w:tr>
      <w:tr w:rsidR="0094295C" w:rsidRPr="004E6CFC" w:rsidTr="0094295C">
        <w:trPr>
          <w:trHeight w:val="240"/>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N0P11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Centro de control tipo 4 (SCADA+DMS Completo+OMS+CMS)</w:t>
            </w:r>
          </w:p>
        </w:tc>
        <w:tc>
          <w:tcPr>
            <w:tcW w:w="1385"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11.611.325.000</w:t>
            </w:r>
          </w:p>
        </w:tc>
      </w:tr>
      <w:tr w:rsidR="0094295C" w:rsidRPr="004E6CFC" w:rsidTr="0094295C">
        <w:trPr>
          <w:trHeight w:val="238"/>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N0P12</w:t>
            </w:r>
          </w:p>
        </w:tc>
        <w:tc>
          <w:tcPr>
            <w:tcW w:w="6803" w:type="dxa"/>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color w:val="000000"/>
                <w:sz w:val="16"/>
                <w:szCs w:val="16"/>
                <w:lang w:val="es-CO" w:eastAsia="es-CO"/>
              </w:rPr>
            </w:pPr>
            <w:r>
              <w:rPr>
                <w:color w:val="000000"/>
                <w:sz w:val="16"/>
                <w:szCs w:val="16"/>
              </w:rPr>
              <w:t>Centro de control tipo 4 (SCADA+EMS-Completo+DMS Completo+OMS+CMS)</w:t>
            </w:r>
          </w:p>
        </w:tc>
        <w:tc>
          <w:tcPr>
            <w:tcW w:w="1385"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15.411.241.000</w:t>
            </w:r>
          </w:p>
        </w:tc>
      </w:tr>
      <w:tr w:rsidR="0094295C" w:rsidRPr="004E6CFC" w:rsidTr="0094295C">
        <w:trPr>
          <w:trHeight w:val="264"/>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N0P13</w:t>
            </w:r>
          </w:p>
        </w:tc>
        <w:tc>
          <w:tcPr>
            <w:tcW w:w="6803"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sz w:val="16"/>
                <w:szCs w:val="16"/>
                <w:lang w:val="es-CO" w:eastAsia="es-CO"/>
              </w:rPr>
            </w:pPr>
            <w:r>
              <w:rPr>
                <w:sz w:val="16"/>
                <w:szCs w:val="16"/>
              </w:rPr>
              <w:t>Casa de control cualquier nivel de tensión ($/m</w:t>
            </w:r>
            <w:r>
              <w:rPr>
                <w:sz w:val="16"/>
                <w:szCs w:val="16"/>
                <w:vertAlign w:val="superscript"/>
              </w:rPr>
              <w:t>2</w:t>
            </w:r>
            <w:r>
              <w:rPr>
                <w:sz w:val="16"/>
                <w:szCs w:val="16"/>
              </w:rPr>
              <w:t>)</w:t>
            </w:r>
          </w:p>
        </w:tc>
        <w:tc>
          <w:tcPr>
            <w:tcW w:w="1385"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2.676.000</w:t>
            </w:r>
          </w:p>
        </w:tc>
      </w:tr>
    </w:tbl>
    <w:p w:rsidR="0094295C" w:rsidRPr="004E6CFC" w:rsidRDefault="0094295C" w:rsidP="0094295C">
      <w:pPr>
        <w:pStyle w:val="Descripcin"/>
        <w:widowControl/>
        <w:spacing w:line="240" w:lineRule="auto"/>
      </w:pPr>
      <w:r w:rsidRPr="004E6CFC">
        <w:t xml:space="preserve">Tabla </w:t>
      </w:r>
      <w:r w:rsidRPr="004E6CFC">
        <w:fldChar w:fldCharType="begin"/>
      </w:r>
      <w:r w:rsidRPr="004E6CFC">
        <w:instrText xml:space="preserve"> SEQ Tabla \* ARABIC </w:instrText>
      </w:r>
      <w:r w:rsidRPr="004E6CFC">
        <w:fldChar w:fldCharType="separate"/>
      </w:r>
      <w:r w:rsidR="00737178">
        <w:rPr>
          <w:noProof/>
        </w:rPr>
        <w:t>22</w:t>
      </w:r>
      <w:r w:rsidRPr="004E6CFC">
        <w:fldChar w:fldCharType="end"/>
      </w:r>
      <w:r w:rsidRPr="004E6CFC">
        <w:t xml:space="preserve"> Áreas reconocidas por componente para el edificio de control de las subestaciones</w:t>
      </w:r>
    </w:p>
    <w:tbl>
      <w:tblPr>
        <w:tblW w:w="5638" w:type="dxa"/>
        <w:jc w:val="center"/>
        <w:tblCellMar>
          <w:left w:w="70" w:type="dxa"/>
          <w:right w:w="70" w:type="dxa"/>
        </w:tblCellMar>
        <w:tblLook w:val="04A0" w:firstRow="1" w:lastRow="0" w:firstColumn="1" w:lastColumn="0" w:noHBand="0" w:noVBand="1"/>
      </w:tblPr>
      <w:tblGrid>
        <w:gridCol w:w="3539"/>
        <w:gridCol w:w="2099"/>
      </w:tblGrid>
      <w:tr w:rsidR="0094295C" w:rsidRPr="004E6CFC" w:rsidTr="0094295C">
        <w:trPr>
          <w:trHeight w:val="624"/>
          <w:tblHeader/>
          <w:jc w:val="center"/>
        </w:trPr>
        <w:tc>
          <w:tcPr>
            <w:tcW w:w="35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keepNext/>
              <w:spacing w:before="0" w:after="0"/>
              <w:contextualSpacing/>
              <w:jc w:val="center"/>
              <w:rPr>
                <w:rFonts w:cs="Arial"/>
                <w:sz w:val="18"/>
                <w:szCs w:val="16"/>
                <w:lang w:val="es-CO" w:eastAsia="es-CO"/>
              </w:rPr>
            </w:pPr>
            <w:r w:rsidRPr="004E6CFC">
              <w:rPr>
                <w:sz w:val="16"/>
                <w:szCs w:val="16"/>
              </w:rPr>
              <w:t>ITEM</w:t>
            </w:r>
          </w:p>
        </w:tc>
        <w:tc>
          <w:tcPr>
            <w:tcW w:w="2099" w:type="dxa"/>
            <w:tcBorders>
              <w:top w:val="single" w:sz="4" w:space="0" w:color="auto"/>
              <w:left w:val="nil"/>
              <w:bottom w:val="single" w:sz="4" w:space="0" w:color="auto"/>
              <w:right w:val="single" w:sz="4" w:space="0" w:color="auto"/>
            </w:tcBorders>
            <w:shd w:val="clear" w:color="auto" w:fill="auto"/>
            <w:vAlign w:val="center"/>
            <w:hideMark/>
          </w:tcPr>
          <w:p w:rsidR="0094295C" w:rsidRPr="004E6CFC" w:rsidRDefault="0094295C" w:rsidP="0094295C">
            <w:pPr>
              <w:keepNext/>
              <w:spacing w:before="0" w:after="0"/>
              <w:contextualSpacing/>
              <w:jc w:val="center"/>
              <w:rPr>
                <w:rFonts w:cs="Arial"/>
                <w:sz w:val="18"/>
                <w:szCs w:val="16"/>
                <w:lang w:val="es-CO" w:eastAsia="es-CO"/>
              </w:rPr>
            </w:pPr>
            <w:r w:rsidRPr="004E6CFC">
              <w:rPr>
                <w:sz w:val="16"/>
                <w:szCs w:val="16"/>
              </w:rPr>
              <w:t>AREA RECONOCIDA [m</w:t>
            </w:r>
            <w:r w:rsidRPr="004E6CFC">
              <w:rPr>
                <w:sz w:val="16"/>
                <w:szCs w:val="16"/>
                <w:vertAlign w:val="superscript"/>
              </w:rPr>
              <w:t>2</w:t>
            </w:r>
            <w:r w:rsidRPr="004E6CFC">
              <w:rPr>
                <w:sz w:val="16"/>
                <w:szCs w:val="16"/>
              </w:rPr>
              <w:t>]</w:t>
            </w:r>
          </w:p>
        </w:tc>
      </w:tr>
      <w:tr w:rsidR="0094295C" w:rsidRPr="004E6CFC" w:rsidTr="0094295C">
        <w:trPr>
          <w:trHeight w:val="20"/>
          <w:jc w:val="center"/>
        </w:trPr>
        <w:tc>
          <w:tcPr>
            <w:tcW w:w="3539"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40" w:after="40"/>
              <w:jc w:val="left"/>
              <w:rPr>
                <w:rFonts w:cs="Arial"/>
                <w:sz w:val="16"/>
                <w:szCs w:val="16"/>
                <w:lang w:val="es-CO" w:eastAsia="es-CO"/>
              </w:rPr>
            </w:pPr>
            <w:r w:rsidRPr="004E6CFC">
              <w:rPr>
                <w:sz w:val="16"/>
                <w:szCs w:val="16"/>
              </w:rPr>
              <w:t>ÁREAS GENERALES S/E NIVEL 4 - AG</w:t>
            </w:r>
            <w:r w:rsidRPr="004E6CFC">
              <w:rPr>
                <w:sz w:val="16"/>
                <w:szCs w:val="16"/>
                <w:vertAlign w:val="subscript"/>
              </w:rPr>
              <w:t>4,s</w:t>
            </w:r>
          </w:p>
        </w:tc>
        <w:tc>
          <w:tcPr>
            <w:tcW w:w="2099"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40" w:after="40"/>
              <w:ind w:right="57"/>
              <w:jc w:val="center"/>
              <w:rPr>
                <w:rFonts w:cs="Arial"/>
                <w:sz w:val="16"/>
                <w:szCs w:val="16"/>
                <w:lang w:val="es-CO" w:eastAsia="es-CO"/>
              </w:rPr>
            </w:pPr>
            <w:r w:rsidRPr="004E6CFC">
              <w:rPr>
                <w:color w:val="000000"/>
                <w:sz w:val="16"/>
                <w:szCs w:val="16"/>
              </w:rPr>
              <w:t>75,00</w:t>
            </w:r>
          </w:p>
        </w:tc>
      </w:tr>
      <w:tr w:rsidR="0094295C" w:rsidRPr="004E6CFC" w:rsidTr="0094295C">
        <w:trPr>
          <w:trHeight w:val="20"/>
          <w:jc w:val="center"/>
        </w:trPr>
        <w:tc>
          <w:tcPr>
            <w:tcW w:w="3539"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40" w:after="40"/>
              <w:jc w:val="left"/>
              <w:rPr>
                <w:rFonts w:cs="Arial"/>
                <w:sz w:val="16"/>
                <w:szCs w:val="16"/>
                <w:lang w:val="es-CO" w:eastAsia="es-CO"/>
              </w:rPr>
            </w:pPr>
            <w:r w:rsidRPr="004E6CFC">
              <w:rPr>
                <w:sz w:val="16"/>
                <w:szCs w:val="16"/>
              </w:rPr>
              <w:t>ÁREAS GENERALES S/E NIVEL 3 - AG</w:t>
            </w:r>
            <w:r w:rsidRPr="004E6CFC">
              <w:rPr>
                <w:sz w:val="16"/>
                <w:szCs w:val="16"/>
                <w:vertAlign w:val="subscript"/>
              </w:rPr>
              <w:t>3,s</w:t>
            </w:r>
          </w:p>
        </w:tc>
        <w:tc>
          <w:tcPr>
            <w:tcW w:w="2099"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40" w:after="40"/>
              <w:ind w:right="57"/>
              <w:jc w:val="center"/>
              <w:rPr>
                <w:rFonts w:cs="Arial"/>
                <w:sz w:val="16"/>
                <w:szCs w:val="16"/>
                <w:lang w:val="es-CO" w:eastAsia="es-CO"/>
              </w:rPr>
            </w:pPr>
            <w:r w:rsidRPr="004E6CFC">
              <w:rPr>
                <w:color w:val="000000"/>
                <w:sz w:val="16"/>
                <w:szCs w:val="16"/>
              </w:rPr>
              <w:t>56,25</w:t>
            </w:r>
          </w:p>
        </w:tc>
      </w:tr>
      <w:tr w:rsidR="0094295C" w:rsidRPr="004E6CFC" w:rsidTr="0094295C">
        <w:trPr>
          <w:trHeight w:val="20"/>
          <w:jc w:val="center"/>
        </w:trPr>
        <w:tc>
          <w:tcPr>
            <w:tcW w:w="3539" w:type="dxa"/>
            <w:tcBorders>
              <w:top w:val="nil"/>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40" w:after="40"/>
              <w:jc w:val="left"/>
              <w:rPr>
                <w:rFonts w:cs="Arial"/>
                <w:sz w:val="16"/>
                <w:szCs w:val="16"/>
                <w:lang w:val="es-CO" w:eastAsia="es-CO"/>
              </w:rPr>
            </w:pPr>
            <w:r w:rsidRPr="004E6CFC">
              <w:rPr>
                <w:sz w:val="16"/>
                <w:szCs w:val="16"/>
              </w:rPr>
              <w:t>BAHÍA - ABh</w:t>
            </w:r>
          </w:p>
        </w:tc>
        <w:tc>
          <w:tcPr>
            <w:tcW w:w="2099"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40" w:after="40"/>
              <w:ind w:right="57"/>
              <w:jc w:val="center"/>
              <w:rPr>
                <w:rFonts w:cs="Arial"/>
                <w:sz w:val="16"/>
                <w:szCs w:val="16"/>
                <w:lang w:val="es-CO" w:eastAsia="es-CO"/>
              </w:rPr>
            </w:pPr>
            <w:r w:rsidRPr="004E6CFC">
              <w:rPr>
                <w:color w:val="000000"/>
                <w:sz w:val="16"/>
                <w:szCs w:val="16"/>
              </w:rPr>
              <w:t>11,25</w:t>
            </w:r>
          </w:p>
        </w:tc>
      </w:tr>
      <w:tr w:rsidR="0094295C" w:rsidRPr="004E6CFC" w:rsidTr="0094295C">
        <w:trPr>
          <w:trHeight w:val="20"/>
          <w:jc w:val="center"/>
        </w:trPr>
        <w:tc>
          <w:tcPr>
            <w:tcW w:w="35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295C" w:rsidRPr="004E6CFC" w:rsidRDefault="0094295C" w:rsidP="0094295C">
            <w:pPr>
              <w:spacing w:before="40" w:after="40"/>
              <w:jc w:val="left"/>
              <w:rPr>
                <w:rFonts w:cs="Arial"/>
                <w:sz w:val="16"/>
                <w:szCs w:val="16"/>
                <w:lang w:val="es-CO" w:eastAsia="es-CO"/>
              </w:rPr>
            </w:pPr>
            <w:r w:rsidRPr="004E6CFC">
              <w:rPr>
                <w:sz w:val="16"/>
                <w:szCs w:val="16"/>
              </w:rPr>
              <w:t>CELDA  -ACe</w:t>
            </w:r>
          </w:p>
        </w:tc>
        <w:tc>
          <w:tcPr>
            <w:tcW w:w="2099" w:type="dxa"/>
            <w:tcBorders>
              <w:top w:val="single" w:sz="4" w:space="0" w:color="auto"/>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40" w:after="40"/>
              <w:ind w:right="57"/>
              <w:jc w:val="center"/>
              <w:rPr>
                <w:rFonts w:cs="Arial"/>
                <w:sz w:val="16"/>
                <w:szCs w:val="16"/>
                <w:lang w:val="es-CO" w:eastAsia="es-CO"/>
              </w:rPr>
            </w:pPr>
            <w:r w:rsidRPr="004E6CFC">
              <w:rPr>
                <w:color w:val="000000"/>
                <w:sz w:val="16"/>
                <w:szCs w:val="16"/>
              </w:rPr>
              <w:t>7,50</w:t>
            </w:r>
          </w:p>
        </w:tc>
      </w:tr>
    </w:tbl>
    <w:p w:rsidR="0094295C" w:rsidRPr="004E6CFC" w:rsidRDefault="0094295C" w:rsidP="0094295C">
      <w:pPr>
        <w:pStyle w:val="Descripcin"/>
        <w:widowControl/>
        <w:spacing w:line="240" w:lineRule="auto"/>
      </w:pPr>
      <w:r w:rsidRPr="004E6CFC">
        <w:lastRenderedPageBreak/>
        <w:t xml:space="preserve">Tabla </w:t>
      </w:r>
      <w:r w:rsidRPr="004E6CFC">
        <w:fldChar w:fldCharType="begin"/>
      </w:r>
      <w:r w:rsidRPr="004E6CFC">
        <w:instrText xml:space="preserve"> SEQ Tabla \* ARABIC </w:instrText>
      </w:r>
      <w:r w:rsidRPr="004E6CFC">
        <w:fldChar w:fldCharType="separate"/>
      </w:r>
      <w:r w:rsidR="00737178">
        <w:rPr>
          <w:noProof/>
        </w:rPr>
        <w:t>23</w:t>
      </w:r>
      <w:r w:rsidRPr="004E6CFC">
        <w:fldChar w:fldCharType="end"/>
      </w:r>
      <w:r w:rsidRPr="004E6CFC">
        <w:t xml:space="preserve"> Áreas reconocidas por componente para el edificio de control de la </w:t>
      </w:r>
      <w:r>
        <w:t>estación maestra</w:t>
      </w:r>
    </w:p>
    <w:tbl>
      <w:tblPr>
        <w:tblW w:w="9476" w:type="dxa"/>
        <w:tblCellMar>
          <w:left w:w="70" w:type="dxa"/>
          <w:right w:w="70" w:type="dxa"/>
        </w:tblCellMar>
        <w:tblLook w:val="04A0" w:firstRow="1" w:lastRow="0" w:firstColumn="1" w:lastColumn="0" w:noHBand="0" w:noVBand="1"/>
      </w:tblPr>
      <w:tblGrid>
        <w:gridCol w:w="1269"/>
        <w:gridCol w:w="340"/>
        <w:gridCol w:w="339"/>
        <w:gridCol w:w="400"/>
        <w:gridCol w:w="740"/>
        <w:gridCol w:w="1055"/>
        <w:gridCol w:w="999"/>
        <w:gridCol w:w="1171"/>
        <w:gridCol w:w="1101"/>
        <w:gridCol w:w="1020"/>
        <w:gridCol w:w="1042"/>
      </w:tblGrid>
      <w:tr w:rsidR="0094295C" w:rsidRPr="00BB65BA" w:rsidTr="0094295C">
        <w:trPr>
          <w:trHeight w:val="397"/>
        </w:trPr>
        <w:tc>
          <w:tcPr>
            <w:tcW w:w="1269" w:type="dxa"/>
            <w:vMerge w:val="restart"/>
            <w:tcBorders>
              <w:top w:val="nil"/>
              <w:left w:val="nil"/>
            </w:tcBorders>
            <w:shd w:val="clear" w:color="auto" w:fill="auto"/>
            <w:noWrap/>
            <w:vAlign w:val="bottom"/>
          </w:tcPr>
          <w:p w:rsidR="0094295C" w:rsidRPr="00BB65BA" w:rsidRDefault="0094295C" w:rsidP="0094295C">
            <w:pPr>
              <w:spacing w:before="0" w:after="0"/>
              <w:jc w:val="left"/>
              <w:rPr>
                <w:rFonts w:ascii="Times New Roman" w:hAnsi="Times New Roman"/>
                <w:sz w:val="14"/>
                <w:szCs w:val="20"/>
                <w:lang w:val="es-CO" w:eastAsia="es-CO"/>
              </w:rPr>
            </w:pPr>
          </w:p>
        </w:tc>
        <w:tc>
          <w:tcPr>
            <w:tcW w:w="340" w:type="dxa"/>
            <w:tcBorders>
              <w:bottom w:val="single" w:sz="4" w:space="0" w:color="auto"/>
            </w:tcBorders>
            <w:shd w:val="clear" w:color="auto" w:fill="auto"/>
            <w:vAlign w:val="center"/>
          </w:tcPr>
          <w:p w:rsidR="0094295C" w:rsidRPr="00BB65BA" w:rsidRDefault="0094295C" w:rsidP="0094295C">
            <w:pPr>
              <w:spacing w:before="0" w:after="0"/>
              <w:ind w:left="-65"/>
              <w:jc w:val="center"/>
              <w:rPr>
                <w:sz w:val="14"/>
                <w:szCs w:val="16"/>
                <w:lang w:val="es-CO" w:eastAsia="es-CO"/>
              </w:rPr>
            </w:pPr>
          </w:p>
        </w:tc>
        <w:tc>
          <w:tcPr>
            <w:tcW w:w="339" w:type="dxa"/>
            <w:tcBorders>
              <w:bottom w:val="single" w:sz="4" w:space="0" w:color="auto"/>
            </w:tcBorders>
            <w:shd w:val="clear" w:color="auto" w:fill="auto"/>
            <w:vAlign w:val="center"/>
          </w:tcPr>
          <w:p w:rsidR="0094295C" w:rsidRPr="00BB65BA" w:rsidRDefault="0094295C" w:rsidP="0094295C">
            <w:pPr>
              <w:spacing w:before="0" w:after="0"/>
              <w:jc w:val="center"/>
              <w:rPr>
                <w:sz w:val="14"/>
                <w:szCs w:val="16"/>
                <w:lang w:val="es-CO" w:eastAsia="es-CO"/>
              </w:rPr>
            </w:pPr>
          </w:p>
        </w:tc>
        <w:tc>
          <w:tcPr>
            <w:tcW w:w="400" w:type="dxa"/>
            <w:tcBorders>
              <w:bottom w:val="single" w:sz="4" w:space="0" w:color="auto"/>
              <w:right w:val="single" w:sz="4" w:space="0" w:color="auto"/>
            </w:tcBorders>
            <w:shd w:val="clear" w:color="auto" w:fill="auto"/>
            <w:vAlign w:val="center"/>
          </w:tcPr>
          <w:p w:rsidR="0094295C" w:rsidRPr="00BB65BA" w:rsidRDefault="0094295C" w:rsidP="0094295C">
            <w:pPr>
              <w:spacing w:before="0" w:after="0"/>
              <w:ind w:left="-54"/>
              <w:jc w:val="center"/>
              <w:rPr>
                <w:sz w:val="14"/>
                <w:szCs w:val="16"/>
                <w:lang w:val="es-CO" w:eastAsia="es-CO"/>
              </w:rPr>
            </w:pP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tcPr>
          <w:p w:rsidR="0094295C" w:rsidRPr="00BB65BA" w:rsidRDefault="0094295C" w:rsidP="0094295C">
            <w:pPr>
              <w:spacing w:before="0" w:after="0"/>
              <w:ind w:left="-11" w:right="-1"/>
              <w:jc w:val="center"/>
              <w:rPr>
                <w:sz w:val="14"/>
                <w:szCs w:val="16"/>
                <w:lang w:val="es-CO" w:eastAsia="es-CO"/>
              </w:rPr>
            </w:pPr>
            <w:r>
              <w:rPr>
                <w:b/>
                <w:bCs/>
                <w:sz w:val="16"/>
                <w:szCs w:val="16"/>
              </w:rPr>
              <w:t>TIPO 1</w:t>
            </w:r>
          </w:p>
        </w:tc>
        <w:tc>
          <w:tcPr>
            <w:tcW w:w="322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94295C" w:rsidRPr="00BB65BA" w:rsidRDefault="0094295C" w:rsidP="0094295C">
            <w:pPr>
              <w:spacing w:before="0" w:after="0"/>
              <w:ind w:left="-32"/>
              <w:jc w:val="center"/>
              <w:rPr>
                <w:sz w:val="14"/>
                <w:szCs w:val="16"/>
                <w:lang w:val="es-CO" w:eastAsia="es-CO"/>
              </w:rPr>
            </w:pPr>
            <w:r>
              <w:rPr>
                <w:b/>
                <w:bCs/>
                <w:sz w:val="16"/>
                <w:szCs w:val="16"/>
              </w:rPr>
              <w:t>TIPO 2</w:t>
            </w:r>
          </w:p>
        </w:tc>
        <w:tc>
          <w:tcPr>
            <w:tcW w:w="1101" w:type="dxa"/>
            <w:tcBorders>
              <w:top w:val="single" w:sz="4" w:space="0" w:color="auto"/>
              <w:left w:val="single" w:sz="4" w:space="0" w:color="auto"/>
              <w:bottom w:val="single" w:sz="4" w:space="0" w:color="auto"/>
              <w:right w:val="single" w:sz="4" w:space="0" w:color="auto"/>
            </w:tcBorders>
            <w:shd w:val="clear" w:color="auto" w:fill="auto"/>
            <w:vAlign w:val="center"/>
          </w:tcPr>
          <w:p w:rsidR="0094295C" w:rsidRPr="00BB65BA" w:rsidRDefault="0094295C" w:rsidP="0094295C">
            <w:pPr>
              <w:spacing w:before="0" w:after="0"/>
              <w:jc w:val="center"/>
              <w:rPr>
                <w:sz w:val="14"/>
                <w:szCs w:val="16"/>
                <w:lang w:val="es-CO" w:eastAsia="es-CO"/>
              </w:rPr>
            </w:pPr>
            <w:r>
              <w:rPr>
                <w:b/>
                <w:bCs/>
                <w:sz w:val="16"/>
                <w:szCs w:val="16"/>
              </w:rPr>
              <w:t>TIPO 3</w:t>
            </w:r>
          </w:p>
        </w:tc>
        <w:tc>
          <w:tcPr>
            <w:tcW w:w="2062" w:type="dxa"/>
            <w:gridSpan w:val="2"/>
            <w:tcBorders>
              <w:top w:val="single" w:sz="4" w:space="0" w:color="auto"/>
              <w:left w:val="nil"/>
              <w:bottom w:val="single" w:sz="4" w:space="0" w:color="auto"/>
              <w:right w:val="single" w:sz="4" w:space="0" w:color="auto"/>
            </w:tcBorders>
            <w:shd w:val="clear" w:color="auto" w:fill="auto"/>
            <w:vAlign w:val="center"/>
          </w:tcPr>
          <w:p w:rsidR="0094295C" w:rsidRPr="00BB65BA" w:rsidRDefault="0094295C" w:rsidP="0094295C">
            <w:pPr>
              <w:spacing w:before="0" w:after="0"/>
              <w:ind w:left="-101"/>
              <w:jc w:val="center"/>
              <w:rPr>
                <w:sz w:val="14"/>
                <w:szCs w:val="16"/>
                <w:lang w:val="es-CO" w:eastAsia="es-CO"/>
              </w:rPr>
            </w:pPr>
            <w:r>
              <w:rPr>
                <w:b/>
                <w:bCs/>
                <w:sz w:val="16"/>
                <w:szCs w:val="16"/>
              </w:rPr>
              <w:t>TIPO 4</w:t>
            </w:r>
          </w:p>
        </w:tc>
      </w:tr>
      <w:tr w:rsidR="0094295C" w:rsidRPr="00BB65BA" w:rsidTr="0094295C">
        <w:trPr>
          <w:trHeight w:val="960"/>
        </w:trPr>
        <w:tc>
          <w:tcPr>
            <w:tcW w:w="1269" w:type="dxa"/>
            <w:vMerge/>
            <w:tcBorders>
              <w:left w:val="nil"/>
              <w:bottom w:val="single" w:sz="4" w:space="0" w:color="auto"/>
              <w:right w:val="nil"/>
            </w:tcBorders>
            <w:shd w:val="clear" w:color="auto" w:fill="auto"/>
            <w:noWrap/>
            <w:vAlign w:val="bottom"/>
            <w:hideMark/>
          </w:tcPr>
          <w:p w:rsidR="0094295C" w:rsidRPr="00BB65BA" w:rsidRDefault="0094295C" w:rsidP="0094295C">
            <w:pPr>
              <w:spacing w:before="0" w:after="0"/>
              <w:jc w:val="left"/>
              <w:rPr>
                <w:rFonts w:ascii="Times New Roman" w:hAnsi="Times New Roman"/>
                <w:sz w:val="14"/>
                <w:szCs w:val="20"/>
                <w:lang w:val="es-CO" w:eastAsia="es-CO"/>
              </w:rPr>
            </w:pPr>
          </w:p>
        </w:tc>
        <w:tc>
          <w:tcPr>
            <w:tcW w:w="3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295C" w:rsidRPr="00BB65BA" w:rsidRDefault="0094295C" w:rsidP="0094295C">
            <w:pPr>
              <w:spacing w:before="0" w:after="0"/>
              <w:ind w:left="-65"/>
              <w:jc w:val="center"/>
              <w:rPr>
                <w:sz w:val="14"/>
                <w:szCs w:val="16"/>
                <w:lang w:val="es-CO" w:eastAsia="es-CO"/>
              </w:rPr>
            </w:pPr>
            <w:r w:rsidRPr="00BB65BA">
              <w:rPr>
                <w:sz w:val="14"/>
                <w:szCs w:val="16"/>
                <w:lang w:val="es-CO" w:eastAsia="es-CO"/>
              </w:rPr>
              <w:t>L1</w:t>
            </w:r>
          </w:p>
        </w:tc>
        <w:tc>
          <w:tcPr>
            <w:tcW w:w="339" w:type="dxa"/>
            <w:tcBorders>
              <w:top w:val="single" w:sz="4" w:space="0" w:color="auto"/>
              <w:left w:val="nil"/>
              <w:bottom w:val="single" w:sz="4" w:space="0" w:color="auto"/>
              <w:right w:val="single" w:sz="4" w:space="0" w:color="auto"/>
            </w:tcBorders>
            <w:shd w:val="clear" w:color="auto" w:fill="auto"/>
            <w:vAlign w:val="center"/>
            <w:hideMark/>
          </w:tcPr>
          <w:p w:rsidR="0094295C" w:rsidRPr="00BB65BA" w:rsidRDefault="0094295C" w:rsidP="0094295C">
            <w:pPr>
              <w:spacing w:before="0" w:after="0"/>
              <w:jc w:val="center"/>
              <w:rPr>
                <w:sz w:val="14"/>
                <w:szCs w:val="16"/>
                <w:lang w:val="es-CO" w:eastAsia="es-CO"/>
              </w:rPr>
            </w:pPr>
            <w:r w:rsidRPr="00BB65BA">
              <w:rPr>
                <w:sz w:val="14"/>
                <w:szCs w:val="16"/>
                <w:lang w:val="es-CO" w:eastAsia="es-CO"/>
              </w:rPr>
              <w:t>L2</w:t>
            </w:r>
          </w:p>
        </w:tc>
        <w:tc>
          <w:tcPr>
            <w:tcW w:w="400" w:type="dxa"/>
            <w:tcBorders>
              <w:top w:val="single" w:sz="4" w:space="0" w:color="auto"/>
              <w:left w:val="nil"/>
              <w:bottom w:val="single" w:sz="4" w:space="0" w:color="auto"/>
              <w:right w:val="single" w:sz="4" w:space="0" w:color="auto"/>
            </w:tcBorders>
            <w:shd w:val="clear" w:color="auto" w:fill="auto"/>
            <w:vAlign w:val="center"/>
            <w:hideMark/>
          </w:tcPr>
          <w:p w:rsidR="0094295C" w:rsidRPr="00BB65BA" w:rsidRDefault="0094295C" w:rsidP="0094295C">
            <w:pPr>
              <w:spacing w:before="0" w:after="0"/>
              <w:ind w:left="-54"/>
              <w:jc w:val="center"/>
              <w:rPr>
                <w:sz w:val="14"/>
                <w:szCs w:val="16"/>
                <w:lang w:val="es-CO" w:eastAsia="es-CO"/>
              </w:rPr>
            </w:pPr>
            <w:r w:rsidRPr="00BB65BA">
              <w:rPr>
                <w:sz w:val="14"/>
                <w:szCs w:val="16"/>
                <w:lang w:val="es-CO" w:eastAsia="es-CO"/>
              </w:rPr>
              <w:t>Área</w:t>
            </w:r>
          </w:p>
        </w:tc>
        <w:tc>
          <w:tcPr>
            <w:tcW w:w="7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295C" w:rsidRPr="00BB65BA" w:rsidRDefault="0094295C" w:rsidP="0094295C">
            <w:pPr>
              <w:spacing w:before="0" w:after="0"/>
              <w:ind w:left="-11" w:right="-1"/>
              <w:jc w:val="center"/>
              <w:rPr>
                <w:sz w:val="14"/>
                <w:szCs w:val="16"/>
                <w:lang w:val="es-CO" w:eastAsia="es-CO"/>
              </w:rPr>
            </w:pPr>
            <w:r w:rsidRPr="00BB65BA">
              <w:rPr>
                <w:sz w:val="14"/>
                <w:szCs w:val="16"/>
                <w:lang w:val="es-CO" w:eastAsia="es-CO"/>
              </w:rPr>
              <w:t>(SCADA)</w:t>
            </w:r>
          </w:p>
        </w:tc>
        <w:tc>
          <w:tcPr>
            <w:tcW w:w="105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295C" w:rsidRPr="00BB65BA" w:rsidRDefault="0094295C" w:rsidP="0094295C">
            <w:pPr>
              <w:spacing w:before="0" w:after="0"/>
              <w:ind w:left="-32"/>
              <w:jc w:val="center"/>
              <w:rPr>
                <w:sz w:val="14"/>
                <w:szCs w:val="16"/>
                <w:lang w:val="es-CO" w:eastAsia="es-CO"/>
              </w:rPr>
            </w:pPr>
            <w:r w:rsidRPr="00BB65BA">
              <w:rPr>
                <w:sz w:val="14"/>
                <w:szCs w:val="16"/>
                <w:lang w:val="es-CO" w:eastAsia="es-CO"/>
              </w:rPr>
              <w:t>(SCADA+EMS Operativo)</w:t>
            </w:r>
          </w:p>
        </w:tc>
        <w:tc>
          <w:tcPr>
            <w:tcW w:w="999" w:type="dxa"/>
            <w:tcBorders>
              <w:top w:val="single" w:sz="4" w:space="0" w:color="auto"/>
              <w:left w:val="nil"/>
              <w:bottom w:val="single" w:sz="4" w:space="0" w:color="auto"/>
              <w:right w:val="single" w:sz="4" w:space="0" w:color="auto"/>
            </w:tcBorders>
            <w:shd w:val="clear" w:color="auto" w:fill="auto"/>
            <w:vAlign w:val="center"/>
            <w:hideMark/>
          </w:tcPr>
          <w:p w:rsidR="0094295C" w:rsidRPr="00BB65BA" w:rsidRDefault="0094295C" w:rsidP="0094295C">
            <w:pPr>
              <w:spacing w:before="0" w:after="0"/>
              <w:ind w:left="-99" w:right="-75"/>
              <w:jc w:val="center"/>
              <w:rPr>
                <w:sz w:val="14"/>
                <w:szCs w:val="16"/>
                <w:lang w:val="es-CO" w:eastAsia="es-CO"/>
              </w:rPr>
            </w:pPr>
            <w:r w:rsidRPr="00BB65BA">
              <w:rPr>
                <w:sz w:val="14"/>
                <w:szCs w:val="16"/>
                <w:lang w:val="es-CO" w:eastAsia="es-CO"/>
              </w:rPr>
              <w:t>(SCADA+DMS Operativo)</w:t>
            </w:r>
          </w:p>
        </w:tc>
        <w:tc>
          <w:tcPr>
            <w:tcW w:w="1171" w:type="dxa"/>
            <w:tcBorders>
              <w:top w:val="single" w:sz="4" w:space="0" w:color="auto"/>
              <w:left w:val="nil"/>
              <w:bottom w:val="single" w:sz="4" w:space="0" w:color="auto"/>
              <w:right w:val="single" w:sz="4" w:space="0" w:color="auto"/>
            </w:tcBorders>
            <w:shd w:val="clear" w:color="auto" w:fill="auto"/>
            <w:vAlign w:val="center"/>
            <w:hideMark/>
          </w:tcPr>
          <w:p w:rsidR="0094295C" w:rsidRDefault="0094295C" w:rsidP="0094295C">
            <w:pPr>
              <w:spacing w:before="0" w:after="0"/>
              <w:ind w:right="-52"/>
              <w:jc w:val="center"/>
              <w:rPr>
                <w:sz w:val="14"/>
                <w:szCs w:val="16"/>
                <w:lang w:val="es-CO" w:eastAsia="es-CO"/>
              </w:rPr>
            </w:pPr>
            <w:r w:rsidRPr="00BB65BA">
              <w:rPr>
                <w:sz w:val="14"/>
                <w:szCs w:val="16"/>
                <w:lang w:val="es-CO" w:eastAsia="es-CO"/>
              </w:rPr>
              <w:t>(SCADA+EMS+</w:t>
            </w:r>
          </w:p>
          <w:p w:rsidR="0094295C" w:rsidRPr="00BB65BA" w:rsidRDefault="0094295C" w:rsidP="0094295C">
            <w:pPr>
              <w:spacing w:before="0" w:after="0"/>
              <w:ind w:right="-52"/>
              <w:jc w:val="center"/>
              <w:rPr>
                <w:sz w:val="14"/>
                <w:szCs w:val="16"/>
                <w:lang w:val="es-CO" w:eastAsia="es-CO"/>
              </w:rPr>
            </w:pPr>
            <w:r w:rsidRPr="00BB65BA">
              <w:rPr>
                <w:sz w:val="14"/>
                <w:szCs w:val="16"/>
                <w:lang w:val="es-CO" w:eastAsia="es-CO"/>
              </w:rPr>
              <w:t>DMS Operativo)</w:t>
            </w:r>
          </w:p>
        </w:tc>
        <w:tc>
          <w:tcPr>
            <w:tcW w:w="110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295C" w:rsidRPr="00BB65BA" w:rsidRDefault="0094295C" w:rsidP="0094295C">
            <w:pPr>
              <w:spacing w:before="0" w:after="0"/>
              <w:jc w:val="center"/>
              <w:rPr>
                <w:sz w:val="14"/>
                <w:szCs w:val="16"/>
                <w:lang w:val="es-CO" w:eastAsia="es-CO"/>
              </w:rPr>
            </w:pPr>
            <w:r w:rsidRPr="00BB65BA">
              <w:rPr>
                <w:sz w:val="14"/>
                <w:szCs w:val="16"/>
                <w:lang w:val="es-CO" w:eastAsia="es-CO"/>
              </w:rPr>
              <w:t>SCADA+EMS-Completa</w:t>
            </w:r>
          </w:p>
        </w:tc>
        <w:tc>
          <w:tcPr>
            <w:tcW w:w="1020" w:type="dxa"/>
            <w:tcBorders>
              <w:top w:val="single" w:sz="4" w:space="0" w:color="auto"/>
              <w:left w:val="nil"/>
              <w:bottom w:val="single" w:sz="4" w:space="0" w:color="auto"/>
              <w:right w:val="single" w:sz="4" w:space="0" w:color="auto"/>
            </w:tcBorders>
            <w:shd w:val="clear" w:color="auto" w:fill="auto"/>
            <w:vAlign w:val="center"/>
            <w:hideMark/>
          </w:tcPr>
          <w:p w:rsidR="0094295C" w:rsidRDefault="0094295C" w:rsidP="0094295C">
            <w:pPr>
              <w:spacing w:before="0" w:after="0"/>
              <w:ind w:left="-155" w:right="-29"/>
              <w:jc w:val="center"/>
              <w:rPr>
                <w:sz w:val="14"/>
                <w:szCs w:val="16"/>
                <w:lang w:val="es-CO" w:eastAsia="es-CO"/>
              </w:rPr>
            </w:pPr>
            <w:r w:rsidRPr="00BB65BA">
              <w:rPr>
                <w:sz w:val="14"/>
                <w:szCs w:val="16"/>
                <w:lang w:val="es-CO" w:eastAsia="es-CO"/>
              </w:rPr>
              <w:t>(SCADA+DMS Completo+</w:t>
            </w:r>
          </w:p>
          <w:p w:rsidR="0094295C" w:rsidRDefault="0094295C" w:rsidP="0094295C">
            <w:pPr>
              <w:spacing w:before="0" w:after="0"/>
              <w:ind w:left="-155" w:right="-29"/>
              <w:jc w:val="center"/>
              <w:rPr>
                <w:sz w:val="14"/>
                <w:szCs w:val="16"/>
                <w:lang w:val="es-CO" w:eastAsia="es-CO"/>
              </w:rPr>
            </w:pPr>
            <w:r w:rsidRPr="00BB65BA">
              <w:rPr>
                <w:sz w:val="14"/>
                <w:szCs w:val="16"/>
                <w:lang w:val="es-CO" w:eastAsia="es-CO"/>
              </w:rPr>
              <w:t>OMS+</w:t>
            </w:r>
          </w:p>
          <w:p w:rsidR="0094295C" w:rsidRPr="00BB65BA" w:rsidRDefault="0094295C" w:rsidP="0094295C">
            <w:pPr>
              <w:spacing w:before="0" w:after="0"/>
              <w:ind w:left="-155" w:right="-29"/>
              <w:jc w:val="center"/>
              <w:rPr>
                <w:sz w:val="14"/>
                <w:szCs w:val="16"/>
                <w:lang w:val="es-CO" w:eastAsia="es-CO"/>
              </w:rPr>
            </w:pPr>
            <w:r w:rsidRPr="00BB65BA">
              <w:rPr>
                <w:sz w:val="14"/>
                <w:szCs w:val="16"/>
                <w:lang w:val="es-CO" w:eastAsia="es-CO"/>
              </w:rPr>
              <w:t>CMS+GIS</w:t>
            </w:r>
          </w:p>
        </w:tc>
        <w:tc>
          <w:tcPr>
            <w:tcW w:w="1042" w:type="dxa"/>
            <w:tcBorders>
              <w:top w:val="single" w:sz="4" w:space="0" w:color="auto"/>
              <w:left w:val="nil"/>
              <w:bottom w:val="single" w:sz="4" w:space="0" w:color="auto"/>
              <w:right w:val="single" w:sz="4" w:space="0" w:color="auto"/>
            </w:tcBorders>
            <w:shd w:val="clear" w:color="auto" w:fill="auto"/>
            <w:vAlign w:val="center"/>
            <w:hideMark/>
          </w:tcPr>
          <w:p w:rsidR="0094295C" w:rsidRDefault="0094295C" w:rsidP="0094295C">
            <w:pPr>
              <w:spacing w:before="0" w:after="0"/>
              <w:ind w:left="-101"/>
              <w:jc w:val="center"/>
              <w:rPr>
                <w:sz w:val="14"/>
                <w:szCs w:val="16"/>
                <w:lang w:val="es-CO" w:eastAsia="es-CO"/>
              </w:rPr>
            </w:pPr>
            <w:r w:rsidRPr="00BB65BA">
              <w:rPr>
                <w:sz w:val="14"/>
                <w:szCs w:val="16"/>
                <w:lang w:val="es-CO" w:eastAsia="es-CO"/>
              </w:rPr>
              <w:t>(SCADA+EMS-Completo+</w:t>
            </w:r>
          </w:p>
          <w:p w:rsidR="0094295C" w:rsidRDefault="0094295C" w:rsidP="0094295C">
            <w:pPr>
              <w:spacing w:before="0" w:after="0"/>
              <w:ind w:left="-101"/>
              <w:jc w:val="center"/>
              <w:rPr>
                <w:sz w:val="14"/>
                <w:szCs w:val="16"/>
                <w:lang w:val="es-CO" w:eastAsia="es-CO"/>
              </w:rPr>
            </w:pPr>
            <w:r w:rsidRPr="00BB65BA">
              <w:rPr>
                <w:sz w:val="14"/>
                <w:szCs w:val="16"/>
                <w:lang w:val="es-CO" w:eastAsia="es-CO"/>
              </w:rPr>
              <w:t>DMS Completo+</w:t>
            </w:r>
          </w:p>
          <w:p w:rsidR="0094295C" w:rsidRDefault="0094295C" w:rsidP="0094295C">
            <w:pPr>
              <w:spacing w:before="0" w:after="0"/>
              <w:ind w:left="-101"/>
              <w:jc w:val="center"/>
              <w:rPr>
                <w:sz w:val="14"/>
                <w:szCs w:val="16"/>
                <w:lang w:val="es-CO" w:eastAsia="es-CO"/>
              </w:rPr>
            </w:pPr>
            <w:r w:rsidRPr="00BB65BA">
              <w:rPr>
                <w:sz w:val="14"/>
                <w:szCs w:val="16"/>
                <w:lang w:val="es-CO" w:eastAsia="es-CO"/>
              </w:rPr>
              <w:t>OMS+CMS+</w:t>
            </w:r>
          </w:p>
          <w:p w:rsidR="0094295C" w:rsidRPr="00BB65BA" w:rsidRDefault="0094295C" w:rsidP="0094295C">
            <w:pPr>
              <w:spacing w:before="0" w:after="0"/>
              <w:ind w:left="-101"/>
              <w:jc w:val="center"/>
              <w:rPr>
                <w:sz w:val="14"/>
                <w:szCs w:val="16"/>
                <w:lang w:val="es-CO" w:eastAsia="es-CO"/>
              </w:rPr>
            </w:pPr>
            <w:r w:rsidRPr="00BB65BA">
              <w:rPr>
                <w:sz w:val="14"/>
                <w:szCs w:val="16"/>
                <w:lang w:val="es-CO" w:eastAsia="es-CO"/>
              </w:rPr>
              <w:t>GIS</w:t>
            </w:r>
          </w:p>
        </w:tc>
      </w:tr>
      <w:tr w:rsidR="0094295C" w:rsidRPr="00BB65BA" w:rsidTr="0094295C">
        <w:trPr>
          <w:trHeight w:val="240"/>
        </w:trPr>
        <w:tc>
          <w:tcPr>
            <w:tcW w:w="12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295C" w:rsidRPr="00BB65BA" w:rsidRDefault="0094295C" w:rsidP="0094295C">
            <w:pPr>
              <w:spacing w:before="0" w:after="0"/>
              <w:jc w:val="left"/>
              <w:rPr>
                <w:sz w:val="14"/>
                <w:szCs w:val="16"/>
                <w:lang w:val="es-CO" w:eastAsia="es-CO"/>
              </w:rPr>
            </w:pPr>
            <w:r w:rsidRPr="00BB65BA">
              <w:rPr>
                <w:sz w:val="14"/>
                <w:szCs w:val="16"/>
                <w:lang w:val="es-CO" w:eastAsia="es-CO"/>
              </w:rPr>
              <w:t>Sala de Control</w:t>
            </w:r>
          </w:p>
        </w:tc>
        <w:tc>
          <w:tcPr>
            <w:tcW w:w="3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65"/>
              <w:jc w:val="right"/>
              <w:rPr>
                <w:color w:val="000000"/>
                <w:sz w:val="14"/>
                <w:szCs w:val="16"/>
                <w:lang w:val="es-CO" w:eastAsia="es-CO"/>
              </w:rPr>
            </w:pPr>
            <w:r w:rsidRPr="00BB65BA">
              <w:rPr>
                <w:color w:val="000000"/>
                <w:sz w:val="14"/>
                <w:szCs w:val="16"/>
                <w:lang w:val="es-CO" w:eastAsia="es-CO"/>
              </w:rPr>
              <w:t>5</w:t>
            </w:r>
          </w:p>
        </w:tc>
        <w:tc>
          <w:tcPr>
            <w:tcW w:w="339"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jc w:val="right"/>
              <w:rPr>
                <w:color w:val="000000"/>
                <w:sz w:val="14"/>
                <w:szCs w:val="16"/>
                <w:lang w:val="es-CO" w:eastAsia="es-CO"/>
              </w:rPr>
            </w:pPr>
            <w:r w:rsidRPr="00BB65BA">
              <w:rPr>
                <w:color w:val="000000"/>
                <w:sz w:val="14"/>
                <w:szCs w:val="16"/>
                <w:lang w:val="es-CO" w:eastAsia="es-CO"/>
              </w:rPr>
              <w:t>5</w:t>
            </w:r>
          </w:p>
        </w:tc>
        <w:tc>
          <w:tcPr>
            <w:tcW w:w="40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54"/>
              <w:jc w:val="right"/>
              <w:rPr>
                <w:color w:val="000000"/>
                <w:sz w:val="14"/>
                <w:szCs w:val="16"/>
                <w:lang w:val="es-CO" w:eastAsia="es-CO"/>
              </w:rPr>
            </w:pPr>
            <w:r w:rsidRPr="00BB65BA">
              <w:rPr>
                <w:color w:val="000000"/>
                <w:sz w:val="14"/>
                <w:szCs w:val="16"/>
                <w:lang w:val="es-CO" w:eastAsia="es-CO"/>
              </w:rPr>
              <w:t>25</w:t>
            </w:r>
          </w:p>
        </w:tc>
        <w:tc>
          <w:tcPr>
            <w:tcW w:w="74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1" w:right="-1"/>
              <w:jc w:val="center"/>
              <w:rPr>
                <w:color w:val="000000"/>
                <w:sz w:val="14"/>
                <w:szCs w:val="16"/>
                <w:lang w:val="es-CO" w:eastAsia="es-CO"/>
              </w:rPr>
            </w:pPr>
            <w:r w:rsidRPr="00BB65BA">
              <w:rPr>
                <w:color w:val="000000"/>
                <w:sz w:val="14"/>
                <w:szCs w:val="16"/>
                <w:lang w:val="es-CO" w:eastAsia="es-CO"/>
              </w:rPr>
              <w:t>1</w:t>
            </w:r>
          </w:p>
        </w:tc>
        <w:tc>
          <w:tcPr>
            <w:tcW w:w="1055"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32"/>
              <w:jc w:val="center"/>
              <w:rPr>
                <w:color w:val="000000"/>
                <w:sz w:val="14"/>
                <w:szCs w:val="16"/>
                <w:lang w:val="es-CO" w:eastAsia="es-CO"/>
              </w:rPr>
            </w:pPr>
            <w:r w:rsidRPr="00BB65BA">
              <w:rPr>
                <w:color w:val="000000"/>
                <w:sz w:val="14"/>
                <w:szCs w:val="16"/>
                <w:lang w:val="es-CO" w:eastAsia="es-CO"/>
              </w:rPr>
              <w:t>1</w:t>
            </w:r>
          </w:p>
        </w:tc>
        <w:tc>
          <w:tcPr>
            <w:tcW w:w="999"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99" w:right="-75"/>
              <w:jc w:val="center"/>
              <w:rPr>
                <w:color w:val="000000"/>
                <w:sz w:val="14"/>
                <w:szCs w:val="16"/>
                <w:lang w:val="es-CO" w:eastAsia="es-CO"/>
              </w:rPr>
            </w:pPr>
            <w:r w:rsidRPr="00BB65BA">
              <w:rPr>
                <w:color w:val="000000"/>
                <w:sz w:val="14"/>
                <w:szCs w:val="16"/>
                <w:lang w:val="es-CO" w:eastAsia="es-CO"/>
              </w:rPr>
              <w:t> </w:t>
            </w:r>
          </w:p>
        </w:tc>
        <w:tc>
          <w:tcPr>
            <w:tcW w:w="1171"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right="-52"/>
              <w:jc w:val="center"/>
              <w:rPr>
                <w:color w:val="000000"/>
                <w:sz w:val="14"/>
                <w:szCs w:val="16"/>
                <w:lang w:val="es-CO" w:eastAsia="es-CO"/>
              </w:rPr>
            </w:pPr>
            <w:r w:rsidRPr="00BB65BA">
              <w:rPr>
                <w:color w:val="000000"/>
                <w:sz w:val="14"/>
                <w:szCs w:val="16"/>
                <w:lang w:val="es-CO" w:eastAsia="es-CO"/>
              </w:rPr>
              <w:t> </w:t>
            </w:r>
          </w:p>
        </w:tc>
        <w:tc>
          <w:tcPr>
            <w:tcW w:w="1101"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jc w:val="center"/>
              <w:rPr>
                <w:color w:val="000000"/>
                <w:sz w:val="14"/>
                <w:szCs w:val="16"/>
                <w:lang w:val="es-CO" w:eastAsia="es-CO"/>
              </w:rPr>
            </w:pPr>
            <w:r w:rsidRPr="00BB65BA">
              <w:rPr>
                <w:color w:val="000000"/>
                <w:sz w:val="14"/>
                <w:szCs w:val="16"/>
                <w:lang w:val="es-CO" w:eastAsia="es-CO"/>
              </w:rPr>
              <w:t> </w:t>
            </w:r>
          </w:p>
        </w:tc>
        <w:tc>
          <w:tcPr>
            <w:tcW w:w="102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55" w:right="-29"/>
              <w:jc w:val="center"/>
              <w:rPr>
                <w:color w:val="000000"/>
                <w:sz w:val="14"/>
                <w:szCs w:val="16"/>
                <w:lang w:val="es-CO" w:eastAsia="es-CO"/>
              </w:rPr>
            </w:pPr>
            <w:r w:rsidRPr="00BB65BA">
              <w:rPr>
                <w:color w:val="000000"/>
                <w:sz w:val="14"/>
                <w:szCs w:val="16"/>
                <w:lang w:val="es-CO" w:eastAsia="es-CO"/>
              </w:rPr>
              <w:t> </w:t>
            </w:r>
          </w:p>
        </w:tc>
        <w:tc>
          <w:tcPr>
            <w:tcW w:w="1042"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01"/>
              <w:jc w:val="center"/>
              <w:rPr>
                <w:color w:val="000000"/>
                <w:sz w:val="14"/>
                <w:szCs w:val="16"/>
                <w:lang w:val="es-CO" w:eastAsia="es-CO"/>
              </w:rPr>
            </w:pPr>
            <w:r w:rsidRPr="00BB65BA">
              <w:rPr>
                <w:color w:val="000000"/>
                <w:sz w:val="14"/>
                <w:szCs w:val="16"/>
                <w:lang w:val="es-CO" w:eastAsia="es-CO"/>
              </w:rPr>
              <w:t> </w:t>
            </w:r>
          </w:p>
        </w:tc>
      </w:tr>
      <w:tr w:rsidR="0094295C" w:rsidRPr="00BB65BA" w:rsidTr="0094295C">
        <w:trPr>
          <w:trHeight w:val="468"/>
        </w:trPr>
        <w:tc>
          <w:tcPr>
            <w:tcW w:w="12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295C" w:rsidRPr="00BB65BA" w:rsidRDefault="0094295C" w:rsidP="0094295C">
            <w:pPr>
              <w:spacing w:before="0" w:after="0"/>
              <w:jc w:val="left"/>
              <w:rPr>
                <w:sz w:val="14"/>
                <w:szCs w:val="16"/>
                <w:lang w:val="es-CO" w:eastAsia="es-CO"/>
              </w:rPr>
            </w:pPr>
            <w:r w:rsidRPr="00BB65BA">
              <w:rPr>
                <w:sz w:val="14"/>
                <w:szCs w:val="16"/>
                <w:lang w:val="es-CO" w:eastAsia="es-CO"/>
              </w:rPr>
              <w:t>Sala Control con Proyección</w:t>
            </w:r>
          </w:p>
        </w:tc>
        <w:tc>
          <w:tcPr>
            <w:tcW w:w="3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65"/>
              <w:jc w:val="right"/>
              <w:rPr>
                <w:color w:val="000000"/>
                <w:sz w:val="14"/>
                <w:szCs w:val="16"/>
                <w:lang w:val="es-CO" w:eastAsia="es-CO"/>
              </w:rPr>
            </w:pPr>
            <w:r w:rsidRPr="00BB65BA">
              <w:rPr>
                <w:color w:val="000000"/>
                <w:sz w:val="14"/>
                <w:szCs w:val="16"/>
                <w:lang w:val="es-CO" w:eastAsia="es-CO"/>
              </w:rPr>
              <w:t>10</w:t>
            </w:r>
          </w:p>
        </w:tc>
        <w:tc>
          <w:tcPr>
            <w:tcW w:w="339"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jc w:val="right"/>
              <w:rPr>
                <w:color w:val="000000"/>
                <w:sz w:val="14"/>
                <w:szCs w:val="16"/>
                <w:lang w:val="es-CO" w:eastAsia="es-CO"/>
              </w:rPr>
            </w:pPr>
            <w:r w:rsidRPr="00BB65BA">
              <w:rPr>
                <w:color w:val="000000"/>
                <w:sz w:val="14"/>
                <w:szCs w:val="16"/>
                <w:lang w:val="es-CO" w:eastAsia="es-CO"/>
              </w:rPr>
              <w:t>10</w:t>
            </w:r>
          </w:p>
        </w:tc>
        <w:tc>
          <w:tcPr>
            <w:tcW w:w="40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54"/>
              <w:jc w:val="right"/>
              <w:rPr>
                <w:color w:val="000000"/>
                <w:sz w:val="14"/>
                <w:szCs w:val="16"/>
                <w:lang w:val="es-CO" w:eastAsia="es-CO"/>
              </w:rPr>
            </w:pPr>
            <w:r w:rsidRPr="00BB65BA">
              <w:rPr>
                <w:color w:val="000000"/>
                <w:sz w:val="14"/>
                <w:szCs w:val="16"/>
                <w:lang w:val="es-CO" w:eastAsia="es-CO"/>
              </w:rPr>
              <w:t>100</w:t>
            </w:r>
          </w:p>
        </w:tc>
        <w:tc>
          <w:tcPr>
            <w:tcW w:w="74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1" w:right="-1"/>
              <w:jc w:val="center"/>
              <w:rPr>
                <w:color w:val="000000"/>
                <w:sz w:val="14"/>
                <w:szCs w:val="16"/>
                <w:lang w:val="es-CO" w:eastAsia="es-CO"/>
              </w:rPr>
            </w:pPr>
            <w:r w:rsidRPr="00BB65BA">
              <w:rPr>
                <w:color w:val="000000"/>
                <w:sz w:val="14"/>
                <w:szCs w:val="16"/>
                <w:lang w:val="es-CO" w:eastAsia="es-CO"/>
              </w:rPr>
              <w:t> </w:t>
            </w:r>
          </w:p>
        </w:tc>
        <w:tc>
          <w:tcPr>
            <w:tcW w:w="1055"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32"/>
              <w:jc w:val="center"/>
              <w:rPr>
                <w:color w:val="000000"/>
                <w:sz w:val="14"/>
                <w:szCs w:val="16"/>
                <w:lang w:val="es-CO" w:eastAsia="es-CO"/>
              </w:rPr>
            </w:pPr>
            <w:r w:rsidRPr="00BB65BA">
              <w:rPr>
                <w:color w:val="000000"/>
                <w:sz w:val="14"/>
                <w:szCs w:val="16"/>
                <w:lang w:val="es-CO" w:eastAsia="es-CO"/>
              </w:rPr>
              <w:t> </w:t>
            </w:r>
          </w:p>
        </w:tc>
        <w:tc>
          <w:tcPr>
            <w:tcW w:w="999"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99" w:right="-75"/>
              <w:jc w:val="center"/>
              <w:rPr>
                <w:color w:val="000000"/>
                <w:sz w:val="14"/>
                <w:szCs w:val="16"/>
                <w:lang w:val="es-CO" w:eastAsia="es-CO"/>
              </w:rPr>
            </w:pPr>
            <w:r w:rsidRPr="00BB65BA">
              <w:rPr>
                <w:color w:val="000000"/>
                <w:sz w:val="14"/>
                <w:szCs w:val="16"/>
                <w:lang w:val="es-CO" w:eastAsia="es-CO"/>
              </w:rPr>
              <w:t>1</w:t>
            </w:r>
          </w:p>
        </w:tc>
        <w:tc>
          <w:tcPr>
            <w:tcW w:w="1171"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right="-52"/>
              <w:jc w:val="center"/>
              <w:rPr>
                <w:color w:val="000000"/>
                <w:sz w:val="14"/>
                <w:szCs w:val="16"/>
                <w:lang w:val="es-CO" w:eastAsia="es-CO"/>
              </w:rPr>
            </w:pPr>
            <w:r w:rsidRPr="00BB65BA">
              <w:rPr>
                <w:color w:val="000000"/>
                <w:sz w:val="14"/>
                <w:szCs w:val="16"/>
                <w:lang w:val="es-CO" w:eastAsia="es-CO"/>
              </w:rPr>
              <w:t>1</w:t>
            </w:r>
          </w:p>
        </w:tc>
        <w:tc>
          <w:tcPr>
            <w:tcW w:w="1101"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jc w:val="center"/>
              <w:rPr>
                <w:color w:val="000000"/>
                <w:sz w:val="14"/>
                <w:szCs w:val="16"/>
                <w:lang w:val="es-CO" w:eastAsia="es-CO"/>
              </w:rPr>
            </w:pPr>
            <w:r w:rsidRPr="00BB65BA">
              <w:rPr>
                <w:color w:val="000000"/>
                <w:sz w:val="14"/>
                <w:szCs w:val="16"/>
                <w:lang w:val="es-CO" w:eastAsia="es-CO"/>
              </w:rPr>
              <w:t>1</w:t>
            </w:r>
          </w:p>
        </w:tc>
        <w:tc>
          <w:tcPr>
            <w:tcW w:w="102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55" w:right="-29"/>
              <w:jc w:val="center"/>
              <w:rPr>
                <w:color w:val="000000"/>
                <w:sz w:val="14"/>
                <w:szCs w:val="16"/>
                <w:lang w:val="es-CO" w:eastAsia="es-CO"/>
              </w:rPr>
            </w:pPr>
            <w:r w:rsidRPr="00BB65BA">
              <w:rPr>
                <w:color w:val="000000"/>
                <w:sz w:val="14"/>
                <w:szCs w:val="16"/>
                <w:lang w:val="es-CO" w:eastAsia="es-CO"/>
              </w:rPr>
              <w:t>1</w:t>
            </w:r>
          </w:p>
        </w:tc>
        <w:tc>
          <w:tcPr>
            <w:tcW w:w="1042"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01"/>
              <w:jc w:val="center"/>
              <w:rPr>
                <w:color w:val="000000"/>
                <w:sz w:val="14"/>
                <w:szCs w:val="16"/>
                <w:lang w:val="es-CO" w:eastAsia="es-CO"/>
              </w:rPr>
            </w:pPr>
            <w:r w:rsidRPr="00BB65BA">
              <w:rPr>
                <w:color w:val="000000"/>
                <w:sz w:val="14"/>
                <w:szCs w:val="16"/>
                <w:lang w:val="es-CO" w:eastAsia="es-CO"/>
              </w:rPr>
              <w:t>1</w:t>
            </w:r>
          </w:p>
        </w:tc>
      </w:tr>
      <w:tr w:rsidR="0094295C" w:rsidRPr="00BB65BA" w:rsidTr="0094295C">
        <w:trPr>
          <w:trHeight w:val="240"/>
        </w:trPr>
        <w:tc>
          <w:tcPr>
            <w:tcW w:w="12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295C" w:rsidRPr="00BB65BA" w:rsidRDefault="0094295C" w:rsidP="0094295C">
            <w:pPr>
              <w:spacing w:before="0" w:after="0"/>
              <w:jc w:val="left"/>
              <w:rPr>
                <w:sz w:val="14"/>
                <w:szCs w:val="16"/>
                <w:lang w:val="es-CO" w:eastAsia="es-CO"/>
              </w:rPr>
            </w:pPr>
            <w:r w:rsidRPr="00BB65BA">
              <w:rPr>
                <w:sz w:val="14"/>
                <w:szCs w:val="16"/>
                <w:lang w:val="es-CO" w:eastAsia="es-CO"/>
              </w:rPr>
              <w:t>Sala de Crisis</w:t>
            </w:r>
          </w:p>
        </w:tc>
        <w:tc>
          <w:tcPr>
            <w:tcW w:w="3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65"/>
              <w:jc w:val="right"/>
              <w:rPr>
                <w:color w:val="000000"/>
                <w:sz w:val="14"/>
                <w:szCs w:val="16"/>
                <w:lang w:val="es-CO" w:eastAsia="es-CO"/>
              </w:rPr>
            </w:pPr>
            <w:r w:rsidRPr="00BB65BA">
              <w:rPr>
                <w:color w:val="000000"/>
                <w:sz w:val="14"/>
                <w:szCs w:val="16"/>
                <w:lang w:val="es-CO" w:eastAsia="es-CO"/>
              </w:rPr>
              <w:t>5</w:t>
            </w:r>
          </w:p>
        </w:tc>
        <w:tc>
          <w:tcPr>
            <w:tcW w:w="339"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jc w:val="right"/>
              <w:rPr>
                <w:color w:val="000000"/>
                <w:sz w:val="14"/>
                <w:szCs w:val="16"/>
                <w:lang w:val="es-CO" w:eastAsia="es-CO"/>
              </w:rPr>
            </w:pPr>
            <w:r w:rsidRPr="00BB65BA">
              <w:rPr>
                <w:color w:val="000000"/>
                <w:sz w:val="14"/>
                <w:szCs w:val="16"/>
                <w:lang w:val="es-CO" w:eastAsia="es-CO"/>
              </w:rPr>
              <w:t>10</w:t>
            </w:r>
          </w:p>
        </w:tc>
        <w:tc>
          <w:tcPr>
            <w:tcW w:w="40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54"/>
              <w:jc w:val="right"/>
              <w:rPr>
                <w:color w:val="000000"/>
                <w:sz w:val="14"/>
                <w:szCs w:val="16"/>
                <w:lang w:val="es-CO" w:eastAsia="es-CO"/>
              </w:rPr>
            </w:pPr>
            <w:r w:rsidRPr="00BB65BA">
              <w:rPr>
                <w:color w:val="000000"/>
                <w:sz w:val="14"/>
                <w:szCs w:val="16"/>
                <w:lang w:val="es-CO" w:eastAsia="es-CO"/>
              </w:rPr>
              <w:t>50</w:t>
            </w:r>
          </w:p>
        </w:tc>
        <w:tc>
          <w:tcPr>
            <w:tcW w:w="74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1" w:right="-1"/>
              <w:jc w:val="center"/>
              <w:rPr>
                <w:color w:val="000000"/>
                <w:sz w:val="14"/>
                <w:szCs w:val="16"/>
                <w:lang w:val="es-CO" w:eastAsia="es-CO"/>
              </w:rPr>
            </w:pPr>
            <w:r w:rsidRPr="00BB65BA">
              <w:rPr>
                <w:color w:val="000000"/>
                <w:sz w:val="14"/>
                <w:szCs w:val="16"/>
                <w:lang w:val="es-CO" w:eastAsia="es-CO"/>
              </w:rPr>
              <w:t> </w:t>
            </w:r>
          </w:p>
        </w:tc>
        <w:tc>
          <w:tcPr>
            <w:tcW w:w="1055"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32"/>
              <w:jc w:val="center"/>
              <w:rPr>
                <w:color w:val="000000"/>
                <w:sz w:val="14"/>
                <w:szCs w:val="16"/>
                <w:lang w:val="es-CO" w:eastAsia="es-CO"/>
              </w:rPr>
            </w:pPr>
            <w:r w:rsidRPr="00BB65BA">
              <w:rPr>
                <w:color w:val="000000"/>
                <w:sz w:val="14"/>
                <w:szCs w:val="16"/>
                <w:lang w:val="es-CO" w:eastAsia="es-CO"/>
              </w:rPr>
              <w:t> </w:t>
            </w:r>
          </w:p>
        </w:tc>
        <w:tc>
          <w:tcPr>
            <w:tcW w:w="999"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99" w:right="-75"/>
              <w:jc w:val="center"/>
              <w:rPr>
                <w:color w:val="000000"/>
                <w:sz w:val="14"/>
                <w:szCs w:val="16"/>
                <w:lang w:val="es-CO" w:eastAsia="es-CO"/>
              </w:rPr>
            </w:pPr>
            <w:r w:rsidRPr="00BB65BA">
              <w:rPr>
                <w:color w:val="000000"/>
                <w:sz w:val="14"/>
                <w:szCs w:val="16"/>
                <w:lang w:val="es-CO" w:eastAsia="es-CO"/>
              </w:rPr>
              <w:t> </w:t>
            </w:r>
          </w:p>
        </w:tc>
        <w:tc>
          <w:tcPr>
            <w:tcW w:w="1171"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right="-52"/>
              <w:jc w:val="center"/>
              <w:rPr>
                <w:color w:val="000000"/>
                <w:sz w:val="14"/>
                <w:szCs w:val="16"/>
                <w:lang w:val="es-CO" w:eastAsia="es-CO"/>
              </w:rPr>
            </w:pPr>
            <w:r w:rsidRPr="00BB65BA">
              <w:rPr>
                <w:color w:val="000000"/>
                <w:sz w:val="14"/>
                <w:szCs w:val="16"/>
                <w:lang w:val="es-CO" w:eastAsia="es-CO"/>
              </w:rPr>
              <w:t>1</w:t>
            </w:r>
          </w:p>
        </w:tc>
        <w:tc>
          <w:tcPr>
            <w:tcW w:w="1101"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jc w:val="center"/>
              <w:rPr>
                <w:color w:val="000000"/>
                <w:sz w:val="14"/>
                <w:szCs w:val="16"/>
                <w:lang w:val="es-CO" w:eastAsia="es-CO"/>
              </w:rPr>
            </w:pPr>
            <w:r w:rsidRPr="00BB65BA">
              <w:rPr>
                <w:color w:val="000000"/>
                <w:sz w:val="14"/>
                <w:szCs w:val="16"/>
                <w:lang w:val="es-CO" w:eastAsia="es-CO"/>
              </w:rPr>
              <w:t>1</w:t>
            </w:r>
          </w:p>
        </w:tc>
        <w:tc>
          <w:tcPr>
            <w:tcW w:w="102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55" w:right="-29"/>
              <w:jc w:val="center"/>
              <w:rPr>
                <w:color w:val="000000"/>
                <w:sz w:val="14"/>
                <w:szCs w:val="16"/>
                <w:lang w:val="es-CO" w:eastAsia="es-CO"/>
              </w:rPr>
            </w:pPr>
            <w:r w:rsidRPr="00BB65BA">
              <w:rPr>
                <w:color w:val="000000"/>
                <w:sz w:val="14"/>
                <w:szCs w:val="16"/>
                <w:lang w:val="es-CO" w:eastAsia="es-CO"/>
              </w:rPr>
              <w:t>1</w:t>
            </w:r>
          </w:p>
        </w:tc>
        <w:tc>
          <w:tcPr>
            <w:tcW w:w="1042"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01"/>
              <w:jc w:val="center"/>
              <w:rPr>
                <w:color w:val="000000"/>
                <w:sz w:val="14"/>
                <w:szCs w:val="16"/>
                <w:lang w:val="es-CO" w:eastAsia="es-CO"/>
              </w:rPr>
            </w:pPr>
            <w:r w:rsidRPr="00BB65BA">
              <w:rPr>
                <w:color w:val="000000"/>
                <w:sz w:val="14"/>
                <w:szCs w:val="16"/>
                <w:lang w:val="es-CO" w:eastAsia="es-CO"/>
              </w:rPr>
              <w:t>1</w:t>
            </w:r>
          </w:p>
        </w:tc>
      </w:tr>
      <w:tr w:rsidR="0094295C" w:rsidRPr="00BB65BA" w:rsidTr="0094295C">
        <w:trPr>
          <w:trHeight w:val="240"/>
        </w:trPr>
        <w:tc>
          <w:tcPr>
            <w:tcW w:w="12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295C" w:rsidRPr="00BB65BA" w:rsidRDefault="0094295C" w:rsidP="0094295C">
            <w:pPr>
              <w:spacing w:before="0" w:after="0"/>
              <w:jc w:val="left"/>
              <w:rPr>
                <w:sz w:val="14"/>
                <w:szCs w:val="16"/>
                <w:lang w:val="es-CO" w:eastAsia="es-CO"/>
              </w:rPr>
            </w:pPr>
            <w:r w:rsidRPr="00BB65BA">
              <w:rPr>
                <w:sz w:val="14"/>
                <w:szCs w:val="16"/>
                <w:lang w:val="es-CO" w:eastAsia="es-CO"/>
              </w:rPr>
              <w:t>Oficina Coordinador</w:t>
            </w:r>
          </w:p>
        </w:tc>
        <w:tc>
          <w:tcPr>
            <w:tcW w:w="3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65"/>
              <w:jc w:val="right"/>
              <w:rPr>
                <w:color w:val="000000"/>
                <w:sz w:val="14"/>
                <w:szCs w:val="16"/>
                <w:lang w:val="es-CO" w:eastAsia="es-CO"/>
              </w:rPr>
            </w:pPr>
            <w:r w:rsidRPr="00BB65BA">
              <w:rPr>
                <w:color w:val="000000"/>
                <w:sz w:val="14"/>
                <w:szCs w:val="16"/>
                <w:lang w:val="es-CO" w:eastAsia="es-CO"/>
              </w:rPr>
              <w:t>5</w:t>
            </w:r>
          </w:p>
        </w:tc>
        <w:tc>
          <w:tcPr>
            <w:tcW w:w="339"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jc w:val="right"/>
              <w:rPr>
                <w:color w:val="000000"/>
                <w:sz w:val="14"/>
                <w:szCs w:val="16"/>
                <w:lang w:val="es-CO" w:eastAsia="es-CO"/>
              </w:rPr>
            </w:pPr>
            <w:r w:rsidRPr="00BB65BA">
              <w:rPr>
                <w:color w:val="000000"/>
                <w:sz w:val="14"/>
                <w:szCs w:val="16"/>
                <w:lang w:val="es-CO" w:eastAsia="es-CO"/>
              </w:rPr>
              <w:t>5</w:t>
            </w:r>
          </w:p>
        </w:tc>
        <w:tc>
          <w:tcPr>
            <w:tcW w:w="40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54"/>
              <w:jc w:val="right"/>
              <w:rPr>
                <w:color w:val="000000"/>
                <w:sz w:val="14"/>
                <w:szCs w:val="16"/>
                <w:lang w:val="es-CO" w:eastAsia="es-CO"/>
              </w:rPr>
            </w:pPr>
            <w:r w:rsidRPr="00BB65BA">
              <w:rPr>
                <w:color w:val="000000"/>
                <w:sz w:val="14"/>
                <w:szCs w:val="16"/>
                <w:lang w:val="es-CO" w:eastAsia="es-CO"/>
              </w:rPr>
              <w:t>25</w:t>
            </w:r>
          </w:p>
        </w:tc>
        <w:tc>
          <w:tcPr>
            <w:tcW w:w="74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1" w:right="-1"/>
              <w:jc w:val="center"/>
              <w:rPr>
                <w:color w:val="000000"/>
                <w:sz w:val="14"/>
                <w:szCs w:val="16"/>
                <w:lang w:val="es-CO" w:eastAsia="es-CO"/>
              </w:rPr>
            </w:pPr>
            <w:r w:rsidRPr="00BB65BA">
              <w:rPr>
                <w:color w:val="000000"/>
                <w:sz w:val="14"/>
                <w:szCs w:val="16"/>
                <w:lang w:val="es-CO" w:eastAsia="es-CO"/>
              </w:rPr>
              <w:t> </w:t>
            </w:r>
          </w:p>
        </w:tc>
        <w:tc>
          <w:tcPr>
            <w:tcW w:w="1055"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32"/>
              <w:jc w:val="center"/>
              <w:rPr>
                <w:color w:val="000000"/>
                <w:sz w:val="14"/>
                <w:szCs w:val="16"/>
                <w:lang w:val="es-CO" w:eastAsia="es-CO"/>
              </w:rPr>
            </w:pPr>
            <w:r w:rsidRPr="00BB65BA">
              <w:rPr>
                <w:color w:val="000000"/>
                <w:sz w:val="14"/>
                <w:szCs w:val="16"/>
                <w:lang w:val="es-CO" w:eastAsia="es-CO"/>
              </w:rPr>
              <w:t>1</w:t>
            </w:r>
          </w:p>
        </w:tc>
        <w:tc>
          <w:tcPr>
            <w:tcW w:w="999"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99" w:right="-75"/>
              <w:jc w:val="center"/>
              <w:rPr>
                <w:color w:val="000000"/>
                <w:sz w:val="14"/>
                <w:szCs w:val="16"/>
                <w:lang w:val="es-CO" w:eastAsia="es-CO"/>
              </w:rPr>
            </w:pPr>
            <w:r w:rsidRPr="00BB65BA">
              <w:rPr>
                <w:color w:val="000000"/>
                <w:sz w:val="14"/>
                <w:szCs w:val="16"/>
                <w:lang w:val="es-CO" w:eastAsia="es-CO"/>
              </w:rPr>
              <w:t>1</w:t>
            </w:r>
          </w:p>
        </w:tc>
        <w:tc>
          <w:tcPr>
            <w:tcW w:w="1171"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right="-52"/>
              <w:jc w:val="center"/>
              <w:rPr>
                <w:color w:val="000000"/>
                <w:sz w:val="14"/>
                <w:szCs w:val="16"/>
                <w:lang w:val="es-CO" w:eastAsia="es-CO"/>
              </w:rPr>
            </w:pPr>
            <w:r w:rsidRPr="00BB65BA">
              <w:rPr>
                <w:color w:val="000000"/>
                <w:sz w:val="14"/>
                <w:szCs w:val="16"/>
                <w:lang w:val="es-CO" w:eastAsia="es-CO"/>
              </w:rPr>
              <w:t>1</w:t>
            </w:r>
          </w:p>
        </w:tc>
        <w:tc>
          <w:tcPr>
            <w:tcW w:w="1101"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jc w:val="center"/>
              <w:rPr>
                <w:color w:val="000000"/>
                <w:sz w:val="14"/>
                <w:szCs w:val="16"/>
                <w:lang w:val="es-CO" w:eastAsia="es-CO"/>
              </w:rPr>
            </w:pPr>
            <w:r w:rsidRPr="00BB65BA">
              <w:rPr>
                <w:color w:val="000000"/>
                <w:sz w:val="14"/>
                <w:szCs w:val="16"/>
                <w:lang w:val="es-CO" w:eastAsia="es-CO"/>
              </w:rPr>
              <w:t>1</w:t>
            </w:r>
          </w:p>
        </w:tc>
        <w:tc>
          <w:tcPr>
            <w:tcW w:w="102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55" w:right="-29"/>
              <w:jc w:val="center"/>
              <w:rPr>
                <w:color w:val="000000"/>
                <w:sz w:val="14"/>
                <w:szCs w:val="16"/>
                <w:lang w:val="es-CO" w:eastAsia="es-CO"/>
              </w:rPr>
            </w:pPr>
            <w:r w:rsidRPr="00BB65BA">
              <w:rPr>
                <w:color w:val="000000"/>
                <w:sz w:val="14"/>
                <w:szCs w:val="16"/>
                <w:lang w:val="es-CO" w:eastAsia="es-CO"/>
              </w:rPr>
              <w:t>1</w:t>
            </w:r>
          </w:p>
        </w:tc>
        <w:tc>
          <w:tcPr>
            <w:tcW w:w="1042"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01"/>
              <w:jc w:val="center"/>
              <w:rPr>
                <w:color w:val="000000"/>
                <w:sz w:val="14"/>
                <w:szCs w:val="16"/>
                <w:lang w:val="es-CO" w:eastAsia="es-CO"/>
              </w:rPr>
            </w:pPr>
            <w:r w:rsidRPr="00BB65BA">
              <w:rPr>
                <w:color w:val="000000"/>
                <w:sz w:val="14"/>
                <w:szCs w:val="16"/>
                <w:lang w:val="es-CO" w:eastAsia="es-CO"/>
              </w:rPr>
              <w:t>1</w:t>
            </w:r>
          </w:p>
        </w:tc>
      </w:tr>
      <w:tr w:rsidR="0094295C" w:rsidRPr="00BB65BA" w:rsidTr="0094295C">
        <w:trPr>
          <w:trHeight w:val="240"/>
        </w:trPr>
        <w:tc>
          <w:tcPr>
            <w:tcW w:w="12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295C" w:rsidRPr="00BB65BA" w:rsidRDefault="0094295C" w:rsidP="0094295C">
            <w:pPr>
              <w:spacing w:before="0" w:after="0"/>
              <w:jc w:val="left"/>
              <w:rPr>
                <w:sz w:val="14"/>
                <w:szCs w:val="16"/>
                <w:lang w:val="es-CO" w:eastAsia="es-CO"/>
              </w:rPr>
            </w:pPr>
            <w:r w:rsidRPr="00BB65BA">
              <w:rPr>
                <w:sz w:val="14"/>
                <w:szCs w:val="16"/>
                <w:lang w:val="es-CO" w:eastAsia="es-CO"/>
              </w:rPr>
              <w:t>Oficina Análisis</w:t>
            </w:r>
          </w:p>
        </w:tc>
        <w:tc>
          <w:tcPr>
            <w:tcW w:w="3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65"/>
              <w:jc w:val="right"/>
              <w:rPr>
                <w:color w:val="000000"/>
                <w:sz w:val="14"/>
                <w:szCs w:val="16"/>
                <w:lang w:val="es-CO" w:eastAsia="es-CO"/>
              </w:rPr>
            </w:pPr>
            <w:r w:rsidRPr="00BB65BA">
              <w:rPr>
                <w:color w:val="000000"/>
                <w:sz w:val="14"/>
                <w:szCs w:val="16"/>
                <w:lang w:val="es-CO" w:eastAsia="es-CO"/>
              </w:rPr>
              <w:t>10</w:t>
            </w:r>
          </w:p>
        </w:tc>
        <w:tc>
          <w:tcPr>
            <w:tcW w:w="339"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jc w:val="right"/>
              <w:rPr>
                <w:color w:val="000000"/>
                <w:sz w:val="14"/>
                <w:szCs w:val="16"/>
                <w:lang w:val="es-CO" w:eastAsia="es-CO"/>
              </w:rPr>
            </w:pPr>
            <w:r w:rsidRPr="00BB65BA">
              <w:rPr>
                <w:color w:val="000000"/>
                <w:sz w:val="14"/>
                <w:szCs w:val="16"/>
                <w:lang w:val="es-CO" w:eastAsia="es-CO"/>
              </w:rPr>
              <w:t>10</w:t>
            </w:r>
          </w:p>
        </w:tc>
        <w:tc>
          <w:tcPr>
            <w:tcW w:w="40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54"/>
              <w:jc w:val="right"/>
              <w:rPr>
                <w:color w:val="000000"/>
                <w:sz w:val="14"/>
                <w:szCs w:val="16"/>
                <w:lang w:val="es-CO" w:eastAsia="es-CO"/>
              </w:rPr>
            </w:pPr>
            <w:r w:rsidRPr="00BB65BA">
              <w:rPr>
                <w:color w:val="000000"/>
                <w:sz w:val="14"/>
                <w:szCs w:val="16"/>
                <w:lang w:val="es-CO" w:eastAsia="es-CO"/>
              </w:rPr>
              <w:t>100</w:t>
            </w:r>
          </w:p>
        </w:tc>
        <w:tc>
          <w:tcPr>
            <w:tcW w:w="74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1" w:right="-1"/>
              <w:jc w:val="center"/>
              <w:rPr>
                <w:color w:val="000000"/>
                <w:sz w:val="14"/>
                <w:szCs w:val="16"/>
                <w:lang w:val="es-CO" w:eastAsia="es-CO"/>
              </w:rPr>
            </w:pPr>
            <w:r w:rsidRPr="00BB65BA">
              <w:rPr>
                <w:color w:val="000000"/>
                <w:sz w:val="14"/>
                <w:szCs w:val="16"/>
                <w:lang w:val="es-CO" w:eastAsia="es-CO"/>
              </w:rPr>
              <w:t> </w:t>
            </w:r>
          </w:p>
        </w:tc>
        <w:tc>
          <w:tcPr>
            <w:tcW w:w="1055"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32"/>
              <w:jc w:val="center"/>
              <w:rPr>
                <w:color w:val="000000"/>
                <w:sz w:val="14"/>
                <w:szCs w:val="16"/>
                <w:lang w:val="es-CO" w:eastAsia="es-CO"/>
              </w:rPr>
            </w:pPr>
            <w:r w:rsidRPr="00BB65BA">
              <w:rPr>
                <w:color w:val="000000"/>
                <w:sz w:val="14"/>
                <w:szCs w:val="16"/>
                <w:lang w:val="es-CO" w:eastAsia="es-CO"/>
              </w:rPr>
              <w:t> </w:t>
            </w:r>
          </w:p>
        </w:tc>
        <w:tc>
          <w:tcPr>
            <w:tcW w:w="999"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99" w:right="-75"/>
              <w:jc w:val="center"/>
              <w:rPr>
                <w:color w:val="000000"/>
                <w:sz w:val="14"/>
                <w:szCs w:val="16"/>
                <w:lang w:val="es-CO" w:eastAsia="es-CO"/>
              </w:rPr>
            </w:pPr>
            <w:r w:rsidRPr="00BB65BA">
              <w:rPr>
                <w:color w:val="000000"/>
                <w:sz w:val="14"/>
                <w:szCs w:val="16"/>
                <w:lang w:val="es-CO" w:eastAsia="es-CO"/>
              </w:rPr>
              <w:t>1</w:t>
            </w:r>
          </w:p>
        </w:tc>
        <w:tc>
          <w:tcPr>
            <w:tcW w:w="1171"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right="-52"/>
              <w:jc w:val="center"/>
              <w:rPr>
                <w:color w:val="000000"/>
                <w:sz w:val="14"/>
                <w:szCs w:val="16"/>
                <w:lang w:val="es-CO" w:eastAsia="es-CO"/>
              </w:rPr>
            </w:pPr>
            <w:r w:rsidRPr="00BB65BA">
              <w:rPr>
                <w:color w:val="000000"/>
                <w:sz w:val="14"/>
                <w:szCs w:val="16"/>
                <w:lang w:val="es-CO" w:eastAsia="es-CO"/>
              </w:rPr>
              <w:t>1</w:t>
            </w:r>
          </w:p>
        </w:tc>
        <w:tc>
          <w:tcPr>
            <w:tcW w:w="1101"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jc w:val="center"/>
              <w:rPr>
                <w:color w:val="000000"/>
                <w:sz w:val="14"/>
                <w:szCs w:val="16"/>
                <w:lang w:val="es-CO" w:eastAsia="es-CO"/>
              </w:rPr>
            </w:pPr>
            <w:r w:rsidRPr="00BB65BA">
              <w:rPr>
                <w:color w:val="000000"/>
                <w:sz w:val="14"/>
                <w:szCs w:val="16"/>
                <w:lang w:val="es-CO" w:eastAsia="es-CO"/>
              </w:rPr>
              <w:t>2</w:t>
            </w:r>
          </w:p>
        </w:tc>
        <w:tc>
          <w:tcPr>
            <w:tcW w:w="102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55" w:right="-29"/>
              <w:jc w:val="center"/>
              <w:rPr>
                <w:color w:val="000000"/>
                <w:sz w:val="14"/>
                <w:szCs w:val="16"/>
                <w:lang w:val="es-CO" w:eastAsia="es-CO"/>
              </w:rPr>
            </w:pPr>
            <w:r w:rsidRPr="00BB65BA">
              <w:rPr>
                <w:color w:val="000000"/>
                <w:sz w:val="14"/>
                <w:szCs w:val="16"/>
                <w:lang w:val="es-CO" w:eastAsia="es-CO"/>
              </w:rPr>
              <w:t>2</w:t>
            </w:r>
          </w:p>
        </w:tc>
        <w:tc>
          <w:tcPr>
            <w:tcW w:w="1042"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01"/>
              <w:jc w:val="center"/>
              <w:rPr>
                <w:color w:val="000000"/>
                <w:sz w:val="14"/>
                <w:szCs w:val="16"/>
                <w:lang w:val="es-CO" w:eastAsia="es-CO"/>
              </w:rPr>
            </w:pPr>
            <w:r w:rsidRPr="00BB65BA">
              <w:rPr>
                <w:color w:val="000000"/>
                <w:sz w:val="14"/>
                <w:szCs w:val="16"/>
                <w:lang w:val="es-CO" w:eastAsia="es-CO"/>
              </w:rPr>
              <w:t>2</w:t>
            </w:r>
          </w:p>
        </w:tc>
      </w:tr>
      <w:tr w:rsidR="0094295C" w:rsidRPr="00BB65BA" w:rsidTr="0094295C">
        <w:trPr>
          <w:trHeight w:val="240"/>
        </w:trPr>
        <w:tc>
          <w:tcPr>
            <w:tcW w:w="12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295C" w:rsidRPr="00BB65BA" w:rsidRDefault="0094295C" w:rsidP="0094295C">
            <w:pPr>
              <w:spacing w:before="0" w:after="0"/>
              <w:jc w:val="left"/>
              <w:rPr>
                <w:sz w:val="14"/>
                <w:szCs w:val="16"/>
                <w:lang w:val="es-CO" w:eastAsia="es-CO"/>
              </w:rPr>
            </w:pPr>
            <w:r w:rsidRPr="00BB65BA">
              <w:rPr>
                <w:sz w:val="14"/>
                <w:szCs w:val="16"/>
                <w:lang w:val="es-CO" w:eastAsia="es-CO"/>
              </w:rPr>
              <w:t>Sala Servidores</w:t>
            </w:r>
          </w:p>
        </w:tc>
        <w:tc>
          <w:tcPr>
            <w:tcW w:w="3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65"/>
              <w:jc w:val="right"/>
              <w:rPr>
                <w:color w:val="000000"/>
                <w:sz w:val="14"/>
                <w:szCs w:val="16"/>
                <w:lang w:val="es-CO" w:eastAsia="es-CO"/>
              </w:rPr>
            </w:pPr>
            <w:r w:rsidRPr="00BB65BA">
              <w:rPr>
                <w:color w:val="000000"/>
                <w:sz w:val="14"/>
                <w:szCs w:val="16"/>
                <w:lang w:val="es-CO" w:eastAsia="es-CO"/>
              </w:rPr>
              <w:t>5</w:t>
            </w:r>
          </w:p>
        </w:tc>
        <w:tc>
          <w:tcPr>
            <w:tcW w:w="339"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jc w:val="right"/>
              <w:rPr>
                <w:color w:val="000000"/>
                <w:sz w:val="14"/>
                <w:szCs w:val="16"/>
                <w:lang w:val="es-CO" w:eastAsia="es-CO"/>
              </w:rPr>
            </w:pPr>
            <w:r w:rsidRPr="00BB65BA">
              <w:rPr>
                <w:color w:val="000000"/>
                <w:sz w:val="14"/>
                <w:szCs w:val="16"/>
                <w:lang w:val="es-CO" w:eastAsia="es-CO"/>
              </w:rPr>
              <w:t>10</w:t>
            </w:r>
          </w:p>
        </w:tc>
        <w:tc>
          <w:tcPr>
            <w:tcW w:w="40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54"/>
              <w:jc w:val="right"/>
              <w:rPr>
                <w:color w:val="000000"/>
                <w:sz w:val="14"/>
                <w:szCs w:val="16"/>
                <w:lang w:val="es-CO" w:eastAsia="es-CO"/>
              </w:rPr>
            </w:pPr>
            <w:r w:rsidRPr="00BB65BA">
              <w:rPr>
                <w:color w:val="000000"/>
                <w:sz w:val="14"/>
                <w:szCs w:val="16"/>
                <w:lang w:val="es-CO" w:eastAsia="es-CO"/>
              </w:rPr>
              <w:t>50</w:t>
            </w:r>
          </w:p>
        </w:tc>
        <w:tc>
          <w:tcPr>
            <w:tcW w:w="74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1" w:right="-1"/>
              <w:jc w:val="center"/>
              <w:rPr>
                <w:color w:val="000000"/>
                <w:sz w:val="14"/>
                <w:szCs w:val="16"/>
                <w:lang w:val="es-CO" w:eastAsia="es-CO"/>
              </w:rPr>
            </w:pPr>
            <w:r w:rsidRPr="00BB65BA">
              <w:rPr>
                <w:color w:val="000000"/>
                <w:sz w:val="14"/>
                <w:szCs w:val="16"/>
                <w:lang w:val="es-CO" w:eastAsia="es-CO"/>
              </w:rPr>
              <w:t>1</w:t>
            </w:r>
          </w:p>
        </w:tc>
        <w:tc>
          <w:tcPr>
            <w:tcW w:w="1055"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32"/>
              <w:jc w:val="center"/>
              <w:rPr>
                <w:color w:val="000000"/>
                <w:sz w:val="14"/>
                <w:szCs w:val="16"/>
                <w:lang w:val="es-CO" w:eastAsia="es-CO"/>
              </w:rPr>
            </w:pPr>
            <w:r w:rsidRPr="00BB65BA">
              <w:rPr>
                <w:color w:val="000000"/>
                <w:sz w:val="14"/>
                <w:szCs w:val="16"/>
                <w:lang w:val="es-CO" w:eastAsia="es-CO"/>
              </w:rPr>
              <w:t>1</w:t>
            </w:r>
          </w:p>
        </w:tc>
        <w:tc>
          <w:tcPr>
            <w:tcW w:w="999"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99" w:right="-75"/>
              <w:jc w:val="center"/>
              <w:rPr>
                <w:color w:val="000000"/>
                <w:sz w:val="14"/>
                <w:szCs w:val="16"/>
                <w:lang w:val="es-CO" w:eastAsia="es-CO"/>
              </w:rPr>
            </w:pPr>
            <w:r w:rsidRPr="00BB65BA">
              <w:rPr>
                <w:color w:val="000000"/>
                <w:sz w:val="14"/>
                <w:szCs w:val="16"/>
                <w:lang w:val="es-CO" w:eastAsia="es-CO"/>
              </w:rPr>
              <w:t>1</w:t>
            </w:r>
          </w:p>
        </w:tc>
        <w:tc>
          <w:tcPr>
            <w:tcW w:w="1171"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right="-52"/>
              <w:jc w:val="center"/>
              <w:rPr>
                <w:color w:val="000000"/>
                <w:sz w:val="14"/>
                <w:szCs w:val="16"/>
                <w:lang w:val="es-CO" w:eastAsia="es-CO"/>
              </w:rPr>
            </w:pPr>
            <w:r w:rsidRPr="00BB65BA">
              <w:rPr>
                <w:color w:val="000000"/>
                <w:sz w:val="14"/>
                <w:szCs w:val="16"/>
                <w:lang w:val="es-CO" w:eastAsia="es-CO"/>
              </w:rPr>
              <w:t>1</w:t>
            </w:r>
          </w:p>
        </w:tc>
        <w:tc>
          <w:tcPr>
            <w:tcW w:w="1101"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jc w:val="center"/>
              <w:rPr>
                <w:color w:val="000000"/>
                <w:sz w:val="14"/>
                <w:szCs w:val="16"/>
                <w:lang w:val="es-CO" w:eastAsia="es-CO"/>
              </w:rPr>
            </w:pPr>
            <w:r w:rsidRPr="00BB65BA">
              <w:rPr>
                <w:color w:val="000000"/>
                <w:sz w:val="14"/>
                <w:szCs w:val="16"/>
                <w:lang w:val="es-CO" w:eastAsia="es-CO"/>
              </w:rPr>
              <w:t>1</w:t>
            </w:r>
          </w:p>
        </w:tc>
        <w:tc>
          <w:tcPr>
            <w:tcW w:w="102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55" w:right="-29"/>
              <w:jc w:val="center"/>
              <w:rPr>
                <w:color w:val="000000"/>
                <w:sz w:val="14"/>
                <w:szCs w:val="16"/>
                <w:lang w:val="es-CO" w:eastAsia="es-CO"/>
              </w:rPr>
            </w:pPr>
            <w:r w:rsidRPr="00BB65BA">
              <w:rPr>
                <w:color w:val="000000"/>
                <w:sz w:val="14"/>
                <w:szCs w:val="16"/>
                <w:lang w:val="es-CO" w:eastAsia="es-CO"/>
              </w:rPr>
              <w:t>1</w:t>
            </w:r>
          </w:p>
        </w:tc>
        <w:tc>
          <w:tcPr>
            <w:tcW w:w="1042"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01"/>
              <w:jc w:val="center"/>
              <w:rPr>
                <w:color w:val="000000"/>
                <w:sz w:val="14"/>
                <w:szCs w:val="16"/>
                <w:lang w:val="es-CO" w:eastAsia="es-CO"/>
              </w:rPr>
            </w:pPr>
            <w:r w:rsidRPr="00BB65BA">
              <w:rPr>
                <w:color w:val="000000"/>
                <w:sz w:val="14"/>
                <w:szCs w:val="16"/>
                <w:lang w:val="es-CO" w:eastAsia="es-CO"/>
              </w:rPr>
              <w:t>1</w:t>
            </w:r>
          </w:p>
        </w:tc>
      </w:tr>
      <w:tr w:rsidR="0094295C" w:rsidRPr="00BB65BA" w:rsidTr="0094295C">
        <w:trPr>
          <w:trHeight w:val="240"/>
        </w:trPr>
        <w:tc>
          <w:tcPr>
            <w:tcW w:w="12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295C" w:rsidRPr="00BB65BA" w:rsidRDefault="0094295C" w:rsidP="0094295C">
            <w:pPr>
              <w:spacing w:before="0" w:after="0"/>
              <w:jc w:val="left"/>
              <w:rPr>
                <w:sz w:val="14"/>
                <w:szCs w:val="16"/>
                <w:lang w:val="es-CO" w:eastAsia="es-CO"/>
              </w:rPr>
            </w:pPr>
            <w:r w:rsidRPr="00BB65BA">
              <w:rPr>
                <w:sz w:val="14"/>
                <w:szCs w:val="16"/>
                <w:lang w:val="es-CO" w:eastAsia="es-CO"/>
              </w:rPr>
              <w:t>Sala Comunicaciones</w:t>
            </w:r>
          </w:p>
        </w:tc>
        <w:tc>
          <w:tcPr>
            <w:tcW w:w="3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65"/>
              <w:jc w:val="right"/>
              <w:rPr>
                <w:color w:val="000000"/>
                <w:sz w:val="14"/>
                <w:szCs w:val="16"/>
                <w:lang w:val="es-CO" w:eastAsia="es-CO"/>
              </w:rPr>
            </w:pPr>
            <w:r w:rsidRPr="00BB65BA">
              <w:rPr>
                <w:color w:val="000000"/>
                <w:sz w:val="14"/>
                <w:szCs w:val="16"/>
                <w:lang w:val="es-CO" w:eastAsia="es-CO"/>
              </w:rPr>
              <w:t>5</w:t>
            </w:r>
          </w:p>
        </w:tc>
        <w:tc>
          <w:tcPr>
            <w:tcW w:w="339"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jc w:val="right"/>
              <w:rPr>
                <w:color w:val="000000"/>
                <w:sz w:val="14"/>
                <w:szCs w:val="16"/>
                <w:lang w:val="es-CO" w:eastAsia="es-CO"/>
              </w:rPr>
            </w:pPr>
            <w:r w:rsidRPr="00BB65BA">
              <w:rPr>
                <w:color w:val="000000"/>
                <w:sz w:val="14"/>
                <w:szCs w:val="16"/>
                <w:lang w:val="es-CO" w:eastAsia="es-CO"/>
              </w:rPr>
              <w:t>10</w:t>
            </w:r>
          </w:p>
        </w:tc>
        <w:tc>
          <w:tcPr>
            <w:tcW w:w="40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54"/>
              <w:jc w:val="right"/>
              <w:rPr>
                <w:color w:val="000000"/>
                <w:sz w:val="14"/>
                <w:szCs w:val="16"/>
                <w:lang w:val="es-CO" w:eastAsia="es-CO"/>
              </w:rPr>
            </w:pPr>
            <w:r w:rsidRPr="00BB65BA">
              <w:rPr>
                <w:color w:val="000000"/>
                <w:sz w:val="14"/>
                <w:szCs w:val="16"/>
                <w:lang w:val="es-CO" w:eastAsia="es-CO"/>
              </w:rPr>
              <w:t>50</w:t>
            </w:r>
          </w:p>
        </w:tc>
        <w:tc>
          <w:tcPr>
            <w:tcW w:w="74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1" w:right="-1"/>
              <w:jc w:val="center"/>
              <w:rPr>
                <w:color w:val="000000"/>
                <w:sz w:val="14"/>
                <w:szCs w:val="16"/>
                <w:lang w:val="es-CO" w:eastAsia="es-CO"/>
              </w:rPr>
            </w:pPr>
            <w:r w:rsidRPr="00BB65BA">
              <w:rPr>
                <w:color w:val="000000"/>
                <w:sz w:val="14"/>
                <w:szCs w:val="16"/>
                <w:lang w:val="es-CO" w:eastAsia="es-CO"/>
              </w:rPr>
              <w:t>1</w:t>
            </w:r>
          </w:p>
        </w:tc>
        <w:tc>
          <w:tcPr>
            <w:tcW w:w="1055"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32"/>
              <w:jc w:val="center"/>
              <w:rPr>
                <w:color w:val="000000"/>
                <w:sz w:val="14"/>
                <w:szCs w:val="16"/>
                <w:lang w:val="es-CO" w:eastAsia="es-CO"/>
              </w:rPr>
            </w:pPr>
            <w:r w:rsidRPr="00BB65BA">
              <w:rPr>
                <w:color w:val="000000"/>
                <w:sz w:val="14"/>
                <w:szCs w:val="16"/>
                <w:lang w:val="es-CO" w:eastAsia="es-CO"/>
              </w:rPr>
              <w:t>1</w:t>
            </w:r>
          </w:p>
        </w:tc>
        <w:tc>
          <w:tcPr>
            <w:tcW w:w="999"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99" w:right="-75"/>
              <w:jc w:val="center"/>
              <w:rPr>
                <w:color w:val="000000"/>
                <w:sz w:val="14"/>
                <w:szCs w:val="16"/>
                <w:lang w:val="es-CO" w:eastAsia="es-CO"/>
              </w:rPr>
            </w:pPr>
            <w:r w:rsidRPr="00BB65BA">
              <w:rPr>
                <w:color w:val="000000"/>
                <w:sz w:val="14"/>
                <w:szCs w:val="16"/>
                <w:lang w:val="es-CO" w:eastAsia="es-CO"/>
              </w:rPr>
              <w:t>1</w:t>
            </w:r>
          </w:p>
        </w:tc>
        <w:tc>
          <w:tcPr>
            <w:tcW w:w="1171"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right="-52"/>
              <w:jc w:val="center"/>
              <w:rPr>
                <w:color w:val="000000"/>
                <w:sz w:val="14"/>
                <w:szCs w:val="16"/>
                <w:lang w:val="es-CO" w:eastAsia="es-CO"/>
              </w:rPr>
            </w:pPr>
            <w:r w:rsidRPr="00BB65BA">
              <w:rPr>
                <w:color w:val="000000"/>
                <w:sz w:val="14"/>
                <w:szCs w:val="16"/>
                <w:lang w:val="es-CO" w:eastAsia="es-CO"/>
              </w:rPr>
              <w:t>1</w:t>
            </w:r>
          </w:p>
        </w:tc>
        <w:tc>
          <w:tcPr>
            <w:tcW w:w="1101"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jc w:val="center"/>
              <w:rPr>
                <w:color w:val="000000"/>
                <w:sz w:val="14"/>
                <w:szCs w:val="16"/>
                <w:lang w:val="es-CO" w:eastAsia="es-CO"/>
              </w:rPr>
            </w:pPr>
            <w:r w:rsidRPr="00BB65BA">
              <w:rPr>
                <w:color w:val="000000"/>
                <w:sz w:val="14"/>
                <w:szCs w:val="16"/>
                <w:lang w:val="es-CO" w:eastAsia="es-CO"/>
              </w:rPr>
              <w:t>1</w:t>
            </w:r>
          </w:p>
        </w:tc>
        <w:tc>
          <w:tcPr>
            <w:tcW w:w="102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55" w:right="-29"/>
              <w:jc w:val="center"/>
              <w:rPr>
                <w:color w:val="000000"/>
                <w:sz w:val="14"/>
                <w:szCs w:val="16"/>
                <w:lang w:val="es-CO" w:eastAsia="es-CO"/>
              </w:rPr>
            </w:pPr>
            <w:r w:rsidRPr="00BB65BA">
              <w:rPr>
                <w:color w:val="000000"/>
                <w:sz w:val="14"/>
                <w:szCs w:val="16"/>
                <w:lang w:val="es-CO" w:eastAsia="es-CO"/>
              </w:rPr>
              <w:t>1</w:t>
            </w:r>
          </w:p>
        </w:tc>
        <w:tc>
          <w:tcPr>
            <w:tcW w:w="1042"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01"/>
              <w:jc w:val="center"/>
              <w:rPr>
                <w:color w:val="000000"/>
                <w:sz w:val="14"/>
                <w:szCs w:val="16"/>
                <w:lang w:val="es-CO" w:eastAsia="es-CO"/>
              </w:rPr>
            </w:pPr>
            <w:r w:rsidRPr="00BB65BA">
              <w:rPr>
                <w:color w:val="000000"/>
                <w:sz w:val="14"/>
                <w:szCs w:val="16"/>
                <w:lang w:val="es-CO" w:eastAsia="es-CO"/>
              </w:rPr>
              <w:t>1</w:t>
            </w:r>
          </w:p>
        </w:tc>
      </w:tr>
      <w:tr w:rsidR="0094295C" w:rsidRPr="00BB65BA" w:rsidTr="0094295C">
        <w:trPr>
          <w:trHeight w:val="240"/>
        </w:trPr>
        <w:tc>
          <w:tcPr>
            <w:tcW w:w="12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295C" w:rsidRDefault="0094295C" w:rsidP="0094295C">
            <w:pPr>
              <w:spacing w:before="0" w:after="0"/>
              <w:jc w:val="left"/>
              <w:rPr>
                <w:sz w:val="14"/>
                <w:szCs w:val="16"/>
                <w:lang w:val="es-CO" w:eastAsia="es-CO"/>
              </w:rPr>
            </w:pPr>
            <w:r w:rsidRPr="00BB65BA">
              <w:rPr>
                <w:sz w:val="14"/>
                <w:szCs w:val="16"/>
                <w:lang w:val="es-CO" w:eastAsia="es-CO"/>
              </w:rPr>
              <w:t xml:space="preserve">Grupo </w:t>
            </w:r>
          </w:p>
          <w:p w:rsidR="0094295C" w:rsidRPr="00BB65BA" w:rsidRDefault="0094295C" w:rsidP="0094295C">
            <w:pPr>
              <w:spacing w:before="0" w:after="0"/>
              <w:jc w:val="left"/>
              <w:rPr>
                <w:sz w:val="14"/>
                <w:szCs w:val="16"/>
                <w:lang w:val="es-CO" w:eastAsia="es-CO"/>
              </w:rPr>
            </w:pPr>
            <w:r w:rsidRPr="00BB65BA">
              <w:rPr>
                <w:sz w:val="14"/>
                <w:szCs w:val="16"/>
                <w:lang w:val="es-CO" w:eastAsia="es-CO"/>
              </w:rPr>
              <w:t>Electrógeno</w:t>
            </w:r>
          </w:p>
        </w:tc>
        <w:tc>
          <w:tcPr>
            <w:tcW w:w="3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65"/>
              <w:jc w:val="right"/>
              <w:rPr>
                <w:color w:val="000000"/>
                <w:sz w:val="14"/>
                <w:szCs w:val="16"/>
                <w:lang w:val="es-CO" w:eastAsia="es-CO"/>
              </w:rPr>
            </w:pPr>
            <w:r w:rsidRPr="00BB65BA">
              <w:rPr>
                <w:color w:val="000000"/>
                <w:sz w:val="14"/>
                <w:szCs w:val="16"/>
                <w:lang w:val="es-CO" w:eastAsia="es-CO"/>
              </w:rPr>
              <w:t>10</w:t>
            </w:r>
          </w:p>
        </w:tc>
        <w:tc>
          <w:tcPr>
            <w:tcW w:w="339"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jc w:val="right"/>
              <w:rPr>
                <w:color w:val="000000"/>
                <w:sz w:val="14"/>
                <w:szCs w:val="16"/>
                <w:lang w:val="es-CO" w:eastAsia="es-CO"/>
              </w:rPr>
            </w:pPr>
            <w:r w:rsidRPr="00BB65BA">
              <w:rPr>
                <w:color w:val="000000"/>
                <w:sz w:val="14"/>
                <w:szCs w:val="16"/>
                <w:lang w:val="es-CO" w:eastAsia="es-CO"/>
              </w:rPr>
              <w:t>20</w:t>
            </w:r>
          </w:p>
        </w:tc>
        <w:tc>
          <w:tcPr>
            <w:tcW w:w="40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54"/>
              <w:jc w:val="right"/>
              <w:rPr>
                <w:color w:val="000000"/>
                <w:sz w:val="14"/>
                <w:szCs w:val="16"/>
                <w:lang w:val="es-CO" w:eastAsia="es-CO"/>
              </w:rPr>
            </w:pPr>
            <w:r w:rsidRPr="00BB65BA">
              <w:rPr>
                <w:color w:val="000000"/>
                <w:sz w:val="14"/>
                <w:szCs w:val="16"/>
                <w:lang w:val="es-CO" w:eastAsia="es-CO"/>
              </w:rPr>
              <w:t>200</w:t>
            </w:r>
          </w:p>
        </w:tc>
        <w:tc>
          <w:tcPr>
            <w:tcW w:w="74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1" w:right="-1"/>
              <w:jc w:val="center"/>
              <w:rPr>
                <w:color w:val="000000"/>
                <w:sz w:val="14"/>
                <w:szCs w:val="16"/>
                <w:lang w:val="es-CO" w:eastAsia="es-CO"/>
              </w:rPr>
            </w:pPr>
            <w:r w:rsidRPr="00BB65BA">
              <w:rPr>
                <w:color w:val="000000"/>
                <w:sz w:val="14"/>
                <w:szCs w:val="16"/>
                <w:lang w:val="es-CO" w:eastAsia="es-CO"/>
              </w:rPr>
              <w:t> </w:t>
            </w:r>
          </w:p>
        </w:tc>
        <w:tc>
          <w:tcPr>
            <w:tcW w:w="1055"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32"/>
              <w:jc w:val="center"/>
              <w:rPr>
                <w:color w:val="000000"/>
                <w:sz w:val="14"/>
                <w:szCs w:val="16"/>
                <w:lang w:val="es-CO" w:eastAsia="es-CO"/>
              </w:rPr>
            </w:pPr>
            <w:r w:rsidRPr="00BB65BA">
              <w:rPr>
                <w:color w:val="000000"/>
                <w:sz w:val="14"/>
                <w:szCs w:val="16"/>
                <w:lang w:val="es-CO" w:eastAsia="es-CO"/>
              </w:rPr>
              <w:t> </w:t>
            </w:r>
          </w:p>
        </w:tc>
        <w:tc>
          <w:tcPr>
            <w:tcW w:w="999"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99" w:right="-75"/>
              <w:jc w:val="center"/>
              <w:rPr>
                <w:color w:val="000000"/>
                <w:sz w:val="14"/>
                <w:szCs w:val="16"/>
                <w:lang w:val="es-CO" w:eastAsia="es-CO"/>
              </w:rPr>
            </w:pPr>
            <w:r w:rsidRPr="00BB65BA">
              <w:rPr>
                <w:color w:val="000000"/>
                <w:sz w:val="14"/>
                <w:szCs w:val="16"/>
                <w:lang w:val="es-CO" w:eastAsia="es-CO"/>
              </w:rPr>
              <w:t> </w:t>
            </w:r>
          </w:p>
        </w:tc>
        <w:tc>
          <w:tcPr>
            <w:tcW w:w="1171"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right="-52"/>
              <w:jc w:val="center"/>
              <w:rPr>
                <w:color w:val="000000"/>
                <w:sz w:val="14"/>
                <w:szCs w:val="16"/>
                <w:lang w:val="es-CO" w:eastAsia="es-CO"/>
              </w:rPr>
            </w:pPr>
            <w:r w:rsidRPr="00BB65BA">
              <w:rPr>
                <w:color w:val="000000"/>
                <w:sz w:val="14"/>
                <w:szCs w:val="16"/>
                <w:lang w:val="es-CO" w:eastAsia="es-CO"/>
              </w:rPr>
              <w:t>1</w:t>
            </w:r>
          </w:p>
        </w:tc>
        <w:tc>
          <w:tcPr>
            <w:tcW w:w="1101"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jc w:val="center"/>
              <w:rPr>
                <w:color w:val="000000"/>
                <w:sz w:val="14"/>
                <w:szCs w:val="16"/>
                <w:lang w:val="es-CO" w:eastAsia="es-CO"/>
              </w:rPr>
            </w:pPr>
            <w:r w:rsidRPr="00BB65BA">
              <w:rPr>
                <w:color w:val="000000"/>
                <w:sz w:val="14"/>
                <w:szCs w:val="16"/>
                <w:lang w:val="es-CO" w:eastAsia="es-CO"/>
              </w:rPr>
              <w:t>1</w:t>
            </w:r>
          </w:p>
        </w:tc>
        <w:tc>
          <w:tcPr>
            <w:tcW w:w="102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55" w:right="-29"/>
              <w:jc w:val="center"/>
              <w:rPr>
                <w:color w:val="000000"/>
                <w:sz w:val="14"/>
                <w:szCs w:val="16"/>
                <w:lang w:val="es-CO" w:eastAsia="es-CO"/>
              </w:rPr>
            </w:pPr>
            <w:r w:rsidRPr="00BB65BA">
              <w:rPr>
                <w:color w:val="000000"/>
                <w:sz w:val="14"/>
                <w:szCs w:val="16"/>
                <w:lang w:val="es-CO" w:eastAsia="es-CO"/>
              </w:rPr>
              <w:t>1</w:t>
            </w:r>
          </w:p>
        </w:tc>
        <w:tc>
          <w:tcPr>
            <w:tcW w:w="1042"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01"/>
              <w:jc w:val="center"/>
              <w:rPr>
                <w:color w:val="000000"/>
                <w:sz w:val="14"/>
                <w:szCs w:val="16"/>
                <w:lang w:val="es-CO" w:eastAsia="es-CO"/>
              </w:rPr>
            </w:pPr>
            <w:r w:rsidRPr="00BB65BA">
              <w:rPr>
                <w:color w:val="000000"/>
                <w:sz w:val="14"/>
                <w:szCs w:val="16"/>
                <w:lang w:val="es-CO" w:eastAsia="es-CO"/>
              </w:rPr>
              <w:t>1</w:t>
            </w:r>
          </w:p>
        </w:tc>
      </w:tr>
      <w:tr w:rsidR="0094295C" w:rsidRPr="00BB65BA" w:rsidTr="0094295C">
        <w:trPr>
          <w:trHeight w:val="240"/>
        </w:trPr>
        <w:tc>
          <w:tcPr>
            <w:tcW w:w="12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295C" w:rsidRPr="00BB65BA" w:rsidRDefault="0094295C" w:rsidP="0094295C">
            <w:pPr>
              <w:spacing w:before="0" w:after="0"/>
              <w:jc w:val="left"/>
              <w:rPr>
                <w:sz w:val="14"/>
                <w:szCs w:val="16"/>
                <w:lang w:val="es-CO" w:eastAsia="es-CO"/>
              </w:rPr>
            </w:pPr>
            <w:r w:rsidRPr="00BB65BA">
              <w:rPr>
                <w:sz w:val="14"/>
                <w:szCs w:val="16"/>
                <w:lang w:val="es-CO" w:eastAsia="es-CO"/>
              </w:rPr>
              <w:t>UPS</w:t>
            </w:r>
          </w:p>
        </w:tc>
        <w:tc>
          <w:tcPr>
            <w:tcW w:w="3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65"/>
              <w:jc w:val="right"/>
              <w:rPr>
                <w:color w:val="000000"/>
                <w:sz w:val="14"/>
                <w:szCs w:val="16"/>
                <w:lang w:val="es-CO" w:eastAsia="es-CO"/>
              </w:rPr>
            </w:pPr>
            <w:r w:rsidRPr="00BB65BA">
              <w:rPr>
                <w:color w:val="000000"/>
                <w:sz w:val="14"/>
                <w:szCs w:val="16"/>
                <w:lang w:val="es-CO" w:eastAsia="es-CO"/>
              </w:rPr>
              <w:t>10</w:t>
            </w:r>
          </w:p>
        </w:tc>
        <w:tc>
          <w:tcPr>
            <w:tcW w:w="339"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jc w:val="right"/>
              <w:rPr>
                <w:color w:val="000000"/>
                <w:sz w:val="14"/>
                <w:szCs w:val="16"/>
                <w:lang w:val="es-CO" w:eastAsia="es-CO"/>
              </w:rPr>
            </w:pPr>
            <w:r w:rsidRPr="00BB65BA">
              <w:rPr>
                <w:color w:val="000000"/>
                <w:sz w:val="14"/>
                <w:szCs w:val="16"/>
                <w:lang w:val="es-CO" w:eastAsia="es-CO"/>
              </w:rPr>
              <w:t>10</w:t>
            </w:r>
          </w:p>
        </w:tc>
        <w:tc>
          <w:tcPr>
            <w:tcW w:w="40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54"/>
              <w:jc w:val="right"/>
              <w:rPr>
                <w:color w:val="000000"/>
                <w:sz w:val="14"/>
                <w:szCs w:val="16"/>
                <w:lang w:val="es-CO" w:eastAsia="es-CO"/>
              </w:rPr>
            </w:pPr>
            <w:r w:rsidRPr="00BB65BA">
              <w:rPr>
                <w:color w:val="000000"/>
                <w:sz w:val="14"/>
                <w:szCs w:val="16"/>
                <w:lang w:val="es-CO" w:eastAsia="es-CO"/>
              </w:rPr>
              <w:t>100</w:t>
            </w:r>
          </w:p>
        </w:tc>
        <w:tc>
          <w:tcPr>
            <w:tcW w:w="74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1" w:right="-1"/>
              <w:jc w:val="center"/>
              <w:rPr>
                <w:color w:val="000000"/>
                <w:sz w:val="14"/>
                <w:szCs w:val="16"/>
                <w:lang w:val="es-CO" w:eastAsia="es-CO"/>
              </w:rPr>
            </w:pPr>
            <w:r w:rsidRPr="00BB65BA">
              <w:rPr>
                <w:color w:val="000000"/>
                <w:sz w:val="14"/>
                <w:szCs w:val="16"/>
                <w:lang w:val="es-CO" w:eastAsia="es-CO"/>
              </w:rPr>
              <w:t>1</w:t>
            </w:r>
          </w:p>
        </w:tc>
        <w:tc>
          <w:tcPr>
            <w:tcW w:w="1055"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32"/>
              <w:jc w:val="center"/>
              <w:rPr>
                <w:color w:val="000000"/>
                <w:sz w:val="14"/>
                <w:szCs w:val="16"/>
                <w:lang w:val="es-CO" w:eastAsia="es-CO"/>
              </w:rPr>
            </w:pPr>
            <w:r w:rsidRPr="00BB65BA">
              <w:rPr>
                <w:color w:val="000000"/>
                <w:sz w:val="14"/>
                <w:szCs w:val="16"/>
                <w:lang w:val="es-CO" w:eastAsia="es-CO"/>
              </w:rPr>
              <w:t>1</w:t>
            </w:r>
          </w:p>
        </w:tc>
        <w:tc>
          <w:tcPr>
            <w:tcW w:w="999"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99" w:right="-75"/>
              <w:jc w:val="center"/>
              <w:rPr>
                <w:color w:val="000000"/>
                <w:sz w:val="14"/>
                <w:szCs w:val="16"/>
                <w:lang w:val="es-CO" w:eastAsia="es-CO"/>
              </w:rPr>
            </w:pPr>
            <w:r w:rsidRPr="00BB65BA">
              <w:rPr>
                <w:color w:val="000000"/>
                <w:sz w:val="14"/>
                <w:szCs w:val="16"/>
                <w:lang w:val="es-CO" w:eastAsia="es-CO"/>
              </w:rPr>
              <w:t>1</w:t>
            </w:r>
          </w:p>
        </w:tc>
        <w:tc>
          <w:tcPr>
            <w:tcW w:w="1171"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right="-52"/>
              <w:jc w:val="center"/>
              <w:rPr>
                <w:color w:val="000000"/>
                <w:sz w:val="14"/>
                <w:szCs w:val="16"/>
                <w:lang w:val="es-CO" w:eastAsia="es-CO"/>
              </w:rPr>
            </w:pPr>
            <w:r w:rsidRPr="00BB65BA">
              <w:rPr>
                <w:color w:val="000000"/>
                <w:sz w:val="14"/>
                <w:szCs w:val="16"/>
                <w:lang w:val="es-CO" w:eastAsia="es-CO"/>
              </w:rPr>
              <w:t>1</w:t>
            </w:r>
          </w:p>
        </w:tc>
        <w:tc>
          <w:tcPr>
            <w:tcW w:w="1101"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jc w:val="center"/>
              <w:rPr>
                <w:color w:val="000000"/>
                <w:sz w:val="14"/>
                <w:szCs w:val="16"/>
                <w:lang w:val="es-CO" w:eastAsia="es-CO"/>
              </w:rPr>
            </w:pPr>
            <w:r w:rsidRPr="00BB65BA">
              <w:rPr>
                <w:color w:val="000000"/>
                <w:sz w:val="14"/>
                <w:szCs w:val="16"/>
                <w:lang w:val="es-CO" w:eastAsia="es-CO"/>
              </w:rPr>
              <w:t>1</w:t>
            </w:r>
          </w:p>
        </w:tc>
        <w:tc>
          <w:tcPr>
            <w:tcW w:w="102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55" w:right="-29"/>
              <w:jc w:val="center"/>
              <w:rPr>
                <w:color w:val="000000"/>
                <w:sz w:val="14"/>
                <w:szCs w:val="16"/>
                <w:lang w:val="es-CO" w:eastAsia="es-CO"/>
              </w:rPr>
            </w:pPr>
            <w:r w:rsidRPr="00BB65BA">
              <w:rPr>
                <w:color w:val="000000"/>
                <w:sz w:val="14"/>
                <w:szCs w:val="16"/>
                <w:lang w:val="es-CO" w:eastAsia="es-CO"/>
              </w:rPr>
              <w:t>1</w:t>
            </w:r>
          </w:p>
        </w:tc>
        <w:tc>
          <w:tcPr>
            <w:tcW w:w="1042"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01"/>
              <w:jc w:val="center"/>
              <w:rPr>
                <w:color w:val="000000"/>
                <w:sz w:val="14"/>
                <w:szCs w:val="16"/>
                <w:lang w:val="es-CO" w:eastAsia="es-CO"/>
              </w:rPr>
            </w:pPr>
            <w:r w:rsidRPr="00BB65BA">
              <w:rPr>
                <w:color w:val="000000"/>
                <w:sz w:val="14"/>
                <w:szCs w:val="16"/>
                <w:lang w:val="es-CO" w:eastAsia="es-CO"/>
              </w:rPr>
              <w:t>1</w:t>
            </w:r>
          </w:p>
        </w:tc>
      </w:tr>
      <w:tr w:rsidR="0094295C" w:rsidRPr="00BB65BA" w:rsidTr="0094295C">
        <w:trPr>
          <w:trHeight w:val="240"/>
        </w:trPr>
        <w:tc>
          <w:tcPr>
            <w:tcW w:w="12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295C" w:rsidRPr="00BB65BA" w:rsidRDefault="0094295C" w:rsidP="0094295C">
            <w:pPr>
              <w:spacing w:before="0" w:after="0"/>
              <w:jc w:val="left"/>
              <w:rPr>
                <w:sz w:val="14"/>
                <w:szCs w:val="16"/>
                <w:lang w:val="es-CO" w:eastAsia="es-CO"/>
              </w:rPr>
            </w:pPr>
            <w:r w:rsidRPr="00BB65BA">
              <w:rPr>
                <w:sz w:val="14"/>
                <w:szCs w:val="16"/>
                <w:lang w:val="es-CO" w:eastAsia="es-CO"/>
              </w:rPr>
              <w:t>Áreas anexas</w:t>
            </w:r>
          </w:p>
        </w:tc>
        <w:tc>
          <w:tcPr>
            <w:tcW w:w="34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65"/>
              <w:jc w:val="right"/>
              <w:rPr>
                <w:color w:val="000000"/>
                <w:sz w:val="14"/>
                <w:szCs w:val="16"/>
                <w:lang w:val="es-CO" w:eastAsia="es-CO"/>
              </w:rPr>
            </w:pPr>
            <w:r w:rsidRPr="00BB65BA">
              <w:rPr>
                <w:color w:val="000000"/>
                <w:sz w:val="14"/>
                <w:szCs w:val="16"/>
                <w:lang w:val="es-CO" w:eastAsia="es-CO"/>
              </w:rPr>
              <w:t>10</w:t>
            </w:r>
          </w:p>
        </w:tc>
        <w:tc>
          <w:tcPr>
            <w:tcW w:w="339"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jc w:val="right"/>
              <w:rPr>
                <w:color w:val="000000"/>
                <w:sz w:val="14"/>
                <w:szCs w:val="16"/>
                <w:lang w:val="es-CO" w:eastAsia="es-CO"/>
              </w:rPr>
            </w:pPr>
            <w:r w:rsidRPr="00BB65BA">
              <w:rPr>
                <w:color w:val="000000"/>
                <w:sz w:val="14"/>
                <w:szCs w:val="16"/>
                <w:lang w:val="es-CO" w:eastAsia="es-CO"/>
              </w:rPr>
              <w:t>10</w:t>
            </w:r>
          </w:p>
        </w:tc>
        <w:tc>
          <w:tcPr>
            <w:tcW w:w="40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54"/>
              <w:jc w:val="right"/>
              <w:rPr>
                <w:color w:val="000000"/>
                <w:sz w:val="14"/>
                <w:szCs w:val="16"/>
                <w:lang w:val="es-CO" w:eastAsia="es-CO"/>
              </w:rPr>
            </w:pPr>
            <w:r w:rsidRPr="00BB65BA">
              <w:rPr>
                <w:color w:val="000000"/>
                <w:sz w:val="14"/>
                <w:szCs w:val="16"/>
                <w:lang w:val="es-CO" w:eastAsia="es-CO"/>
              </w:rPr>
              <w:t>100</w:t>
            </w:r>
          </w:p>
        </w:tc>
        <w:tc>
          <w:tcPr>
            <w:tcW w:w="74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1" w:right="-1"/>
              <w:jc w:val="center"/>
              <w:rPr>
                <w:color w:val="000000"/>
                <w:sz w:val="14"/>
                <w:szCs w:val="16"/>
                <w:lang w:val="es-CO" w:eastAsia="es-CO"/>
              </w:rPr>
            </w:pPr>
            <w:r w:rsidRPr="00BB65BA">
              <w:rPr>
                <w:color w:val="000000"/>
                <w:sz w:val="14"/>
                <w:szCs w:val="16"/>
                <w:lang w:val="es-CO" w:eastAsia="es-CO"/>
              </w:rPr>
              <w:t> </w:t>
            </w:r>
          </w:p>
        </w:tc>
        <w:tc>
          <w:tcPr>
            <w:tcW w:w="1055"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32"/>
              <w:jc w:val="center"/>
              <w:rPr>
                <w:color w:val="000000"/>
                <w:sz w:val="14"/>
                <w:szCs w:val="16"/>
                <w:lang w:val="es-CO" w:eastAsia="es-CO"/>
              </w:rPr>
            </w:pPr>
            <w:r w:rsidRPr="00BB65BA">
              <w:rPr>
                <w:color w:val="000000"/>
                <w:sz w:val="14"/>
                <w:szCs w:val="16"/>
                <w:lang w:val="es-CO" w:eastAsia="es-CO"/>
              </w:rPr>
              <w:t> </w:t>
            </w:r>
          </w:p>
        </w:tc>
        <w:tc>
          <w:tcPr>
            <w:tcW w:w="999"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99" w:right="-75"/>
              <w:jc w:val="center"/>
              <w:rPr>
                <w:color w:val="000000"/>
                <w:sz w:val="14"/>
                <w:szCs w:val="16"/>
                <w:lang w:val="es-CO" w:eastAsia="es-CO"/>
              </w:rPr>
            </w:pPr>
            <w:r w:rsidRPr="00BB65BA">
              <w:rPr>
                <w:color w:val="000000"/>
                <w:sz w:val="14"/>
                <w:szCs w:val="16"/>
                <w:lang w:val="es-CO" w:eastAsia="es-CO"/>
              </w:rPr>
              <w:t>1</w:t>
            </w:r>
          </w:p>
        </w:tc>
        <w:tc>
          <w:tcPr>
            <w:tcW w:w="1171"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right="-52"/>
              <w:jc w:val="center"/>
              <w:rPr>
                <w:color w:val="000000"/>
                <w:sz w:val="14"/>
                <w:szCs w:val="16"/>
                <w:lang w:val="es-CO" w:eastAsia="es-CO"/>
              </w:rPr>
            </w:pPr>
            <w:r w:rsidRPr="00BB65BA">
              <w:rPr>
                <w:color w:val="000000"/>
                <w:sz w:val="14"/>
                <w:szCs w:val="16"/>
                <w:lang w:val="es-CO" w:eastAsia="es-CO"/>
              </w:rPr>
              <w:t>1</w:t>
            </w:r>
          </w:p>
        </w:tc>
        <w:tc>
          <w:tcPr>
            <w:tcW w:w="1101"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jc w:val="center"/>
              <w:rPr>
                <w:color w:val="000000"/>
                <w:sz w:val="14"/>
                <w:szCs w:val="16"/>
                <w:lang w:val="es-CO" w:eastAsia="es-CO"/>
              </w:rPr>
            </w:pPr>
            <w:r w:rsidRPr="00BB65BA">
              <w:rPr>
                <w:color w:val="000000"/>
                <w:sz w:val="14"/>
                <w:szCs w:val="16"/>
                <w:lang w:val="es-CO" w:eastAsia="es-CO"/>
              </w:rPr>
              <w:t>1</w:t>
            </w:r>
          </w:p>
        </w:tc>
        <w:tc>
          <w:tcPr>
            <w:tcW w:w="1020"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55" w:right="-29"/>
              <w:jc w:val="center"/>
              <w:rPr>
                <w:color w:val="000000"/>
                <w:sz w:val="14"/>
                <w:szCs w:val="16"/>
                <w:lang w:val="es-CO" w:eastAsia="es-CO"/>
              </w:rPr>
            </w:pPr>
            <w:r w:rsidRPr="00BB65BA">
              <w:rPr>
                <w:color w:val="000000"/>
                <w:sz w:val="14"/>
                <w:szCs w:val="16"/>
                <w:lang w:val="es-CO" w:eastAsia="es-CO"/>
              </w:rPr>
              <w:t>1</w:t>
            </w:r>
          </w:p>
        </w:tc>
        <w:tc>
          <w:tcPr>
            <w:tcW w:w="1042"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ind w:left="-101"/>
              <w:jc w:val="center"/>
              <w:rPr>
                <w:color w:val="000000"/>
                <w:sz w:val="14"/>
                <w:szCs w:val="16"/>
                <w:lang w:val="es-CO" w:eastAsia="es-CO"/>
              </w:rPr>
            </w:pPr>
            <w:r w:rsidRPr="00BB65BA">
              <w:rPr>
                <w:color w:val="000000"/>
                <w:sz w:val="14"/>
                <w:szCs w:val="16"/>
                <w:lang w:val="es-CO" w:eastAsia="es-CO"/>
              </w:rPr>
              <w:t>2</w:t>
            </w:r>
          </w:p>
        </w:tc>
      </w:tr>
      <w:tr w:rsidR="0094295C" w:rsidRPr="00BB65BA" w:rsidTr="0094295C">
        <w:trPr>
          <w:trHeight w:val="252"/>
        </w:trPr>
        <w:tc>
          <w:tcPr>
            <w:tcW w:w="126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295C" w:rsidRPr="00BB65BA" w:rsidRDefault="0094295C" w:rsidP="0094295C">
            <w:pPr>
              <w:spacing w:before="0" w:after="0"/>
              <w:jc w:val="left"/>
              <w:rPr>
                <w:sz w:val="14"/>
                <w:szCs w:val="16"/>
                <w:lang w:val="es-CO" w:eastAsia="es-CO"/>
              </w:rPr>
            </w:pPr>
            <w:r w:rsidRPr="00BB65BA">
              <w:rPr>
                <w:sz w:val="14"/>
                <w:szCs w:val="16"/>
                <w:lang w:val="es-CO" w:eastAsia="es-CO"/>
              </w:rPr>
              <w:t>Áreas Totales</w:t>
            </w:r>
          </w:p>
        </w:tc>
        <w:tc>
          <w:tcPr>
            <w:tcW w:w="340" w:type="dxa"/>
            <w:tcBorders>
              <w:top w:val="single" w:sz="4" w:space="0" w:color="auto"/>
              <w:left w:val="nil"/>
              <w:bottom w:val="single" w:sz="4" w:space="0" w:color="auto"/>
              <w:right w:val="single" w:sz="4" w:space="0" w:color="auto"/>
            </w:tcBorders>
            <w:shd w:val="clear" w:color="auto" w:fill="auto"/>
            <w:noWrap/>
            <w:vAlign w:val="bottom"/>
            <w:hideMark/>
          </w:tcPr>
          <w:p w:rsidR="0094295C" w:rsidRPr="00BB65BA" w:rsidRDefault="0094295C" w:rsidP="0094295C">
            <w:pPr>
              <w:spacing w:before="0" w:after="0"/>
              <w:ind w:left="-65"/>
              <w:jc w:val="center"/>
              <w:rPr>
                <w:b/>
                <w:bCs/>
                <w:color w:val="000000"/>
                <w:sz w:val="14"/>
                <w:szCs w:val="16"/>
                <w:lang w:val="es-CO" w:eastAsia="es-CO"/>
              </w:rPr>
            </w:pPr>
          </w:p>
        </w:tc>
        <w:tc>
          <w:tcPr>
            <w:tcW w:w="3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4295C" w:rsidRPr="00BB65BA" w:rsidRDefault="0094295C" w:rsidP="0094295C">
            <w:pPr>
              <w:spacing w:before="0" w:after="0"/>
              <w:jc w:val="center"/>
              <w:rPr>
                <w:b/>
                <w:bCs/>
                <w:color w:val="000000"/>
                <w:sz w:val="14"/>
                <w:szCs w:val="16"/>
                <w:lang w:val="es-CO" w:eastAsia="es-CO"/>
              </w:rPr>
            </w:pPr>
          </w:p>
        </w:tc>
        <w:tc>
          <w:tcPr>
            <w:tcW w:w="4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4295C" w:rsidRPr="00BB65BA" w:rsidRDefault="0094295C" w:rsidP="0094295C">
            <w:pPr>
              <w:spacing w:before="0" w:after="0"/>
              <w:ind w:left="-54"/>
              <w:jc w:val="right"/>
              <w:rPr>
                <w:rFonts w:ascii="Times New Roman" w:hAnsi="Times New Roman"/>
                <w:sz w:val="14"/>
                <w:szCs w:val="20"/>
                <w:lang w:val="es-CO" w:eastAsia="es-CO"/>
              </w:rPr>
            </w:pPr>
            <w:r w:rsidRPr="00BB65BA">
              <w:rPr>
                <w:b/>
                <w:bCs/>
                <w:color w:val="000000"/>
                <w:sz w:val="14"/>
                <w:szCs w:val="16"/>
                <w:lang w:val="es-CO" w:eastAsia="es-CO"/>
              </w:rPr>
              <w:t>m</w:t>
            </w:r>
            <w:r w:rsidRPr="00BB65BA">
              <w:rPr>
                <w:b/>
                <w:bCs/>
                <w:color w:val="000000"/>
                <w:sz w:val="14"/>
                <w:szCs w:val="16"/>
                <w:vertAlign w:val="superscript"/>
                <w:lang w:val="es-CO" w:eastAsia="es-CO"/>
              </w:rPr>
              <w:t>2</w:t>
            </w:r>
          </w:p>
        </w:tc>
        <w:tc>
          <w:tcPr>
            <w:tcW w:w="7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4295C" w:rsidRPr="00BB65BA" w:rsidRDefault="0094295C" w:rsidP="0094295C">
            <w:pPr>
              <w:spacing w:before="0" w:after="0"/>
              <w:ind w:left="-11" w:right="-1"/>
              <w:jc w:val="center"/>
              <w:rPr>
                <w:b/>
                <w:bCs/>
                <w:color w:val="000000"/>
                <w:sz w:val="14"/>
                <w:szCs w:val="16"/>
                <w:lang w:val="es-CO" w:eastAsia="es-CO"/>
              </w:rPr>
            </w:pPr>
            <w:r w:rsidRPr="00BB65BA">
              <w:rPr>
                <w:b/>
                <w:bCs/>
                <w:color w:val="000000"/>
                <w:sz w:val="14"/>
                <w:szCs w:val="16"/>
                <w:lang w:val="es-CO" w:eastAsia="es-CO"/>
              </w:rPr>
              <w:t>225</w:t>
            </w:r>
          </w:p>
        </w:tc>
        <w:tc>
          <w:tcPr>
            <w:tcW w:w="10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4295C" w:rsidRPr="00BB65BA" w:rsidRDefault="0094295C" w:rsidP="0094295C">
            <w:pPr>
              <w:spacing w:before="0" w:after="0"/>
              <w:ind w:left="-32"/>
              <w:jc w:val="center"/>
              <w:rPr>
                <w:b/>
                <w:bCs/>
                <w:color w:val="000000"/>
                <w:sz w:val="14"/>
                <w:szCs w:val="16"/>
                <w:lang w:val="es-CO" w:eastAsia="es-CO"/>
              </w:rPr>
            </w:pPr>
            <w:r w:rsidRPr="00BB65BA">
              <w:rPr>
                <w:b/>
                <w:bCs/>
                <w:color w:val="000000"/>
                <w:sz w:val="14"/>
                <w:szCs w:val="16"/>
                <w:lang w:val="es-CO" w:eastAsia="es-CO"/>
              </w:rPr>
              <w:t>250</w:t>
            </w:r>
          </w:p>
        </w:tc>
        <w:tc>
          <w:tcPr>
            <w:tcW w:w="99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4295C" w:rsidRPr="00BB65BA" w:rsidRDefault="0094295C" w:rsidP="0094295C">
            <w:pPr>
              <w:spacing w:before="0" w:after="0"/>
              <w:ind w:left="-99" w:right="-75"/>
              <w:jc w:val="center"/>
              <w:rPr>
                <w:b/>
                <w:bCs/>
                <w:color w:val="000000"/>
                <w:sz w:val="14"/>
                <w:szCs w:val="16"/>
                <w:lang w:val="es-CO" w:eastAsia="es-CO"/>
              </w:rPr>
            </w:pPr>
            <w:r w:rsidRPr="00BB65BA">
              <w:rPr>
                <w:b/>
                <w:bCs/>
                <w:color w:val="000000"/>
                <w:sz w:val="14"/>
                <w:szCs w:val="16"/>
                <w:lang w:val="es-CO" w:eastAsia="es-CO"/>
              </w:rPr>
              <w:t>525</w:t>
            </w:r>
          </w:p>
        </w:tc>
        <w:tc>
          <w:tcPr>
            <w:tcW w:w="117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4295C" w:rsidRPr="00BB65BA" w:rsidRDefault="0094295C" w:rsidP="0094295C">
            <w:pPr>
              <w:spacing w:before="0" w:after="0"/>
              <w:ind w:right="-52"/>
              <w:jc w:val="center"/>
              <w:rPr>
                <w:b/>
                <w:bCs/>
                <w:color w:val="000000"/>
                <w:sz w:val="14"/>
                <w:szCs w:val="16"/>
                <w:lang w:val="es-CO" w:eastAsia="es-CO"/>
              </w:rPr>
            </w:pPr>
            <w:r w:rsidRPr="00BB65BA">
              <w:rPr>
                <w:b/>
                <w:bCs/>
                <w:color w:val="000000"/>
                <w:sz w:val="14"/>
                <w:szCs w:val="16"/>
                <w:lang w:val="es-CO" w:eastAsia="es-CO"/>
              </w:rPr>
              <w:t>775</w:t>
            </w:r>
          </w:p>
        </w:tc>
        <w:tc>
          <w:tcPr>
            <w:tcW w:w="11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4295C" w:rsidRPr="00BB65BA" w:rsidRDefault="0094295C" w:rsidP="0094295C">
            <w:pPr>
              <w:spacing w:before="0" w:after="0"/>
              <w:jc w:val="center"/>
              <w:rPr>
                <w:b/>
                <w:bCs/>
                <w:color w:val="000000"/>
                <w:sz w:val="14"/>
                <w:szCs w:val="16"/>
                <w:lang w:val="es-CO" w:eastAsia="es-CO"/>
              </w:rPr>
            </w:pPr>
            <w:r w:rsidRPr="00BB65BA">
              <w:rPr>
                <w:b/>
                <w:bCs/>
                <w:color w:val="000000"/>
                <w:sz w:val="14"/>
                <w:szCs w:val="16"/>
                <w:lang w:val="es-CO" w:eastAsia="es-CO"/>
              </w:rPr>
              <w:t>875</w:t>
            </w:r>
          </w:p>
        </w:tc>
        <w:tc>
          <w:tcPr>
            <w:tcW w:w="10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4295C" w:rsidRPr="00BB65BA" w:rsidRDefault="0094295C" w:rsidP="0094295C">
            <w:pPr>
              <w:spacing w:before="0" w:after="0"/>
              <w:ind w:left="-155" w:right="-29"/>
              <w:jc w:val="center"/>
              <w:rPr>
                <w:b/>
                <w:bCs/>
                <w:color w:val="000000"/>
                <w:sz w:val="14"/>
                <w:szCs w:val="16"/>
                <w:lang w:val="es-CO" w:eastAsia="es-CO"/>
              </w:rPr>
            </w:pPr>
            <w:r w:rsidRPr="00BB65BA">
              <w:rPr>
                <w:b/>
                <w:bCs/>
                <w:color w:val="000000"/>
                <w:sz w:val="14"/>
                <w:szCs w:val="16"/>
                <w:lang w:val="es-CO" w:eastAsia="es-CO"/>
              </w:rPr>
              <w:t>875</w:t>
            </w:r>
          </w:p>
        </w:tc>
        <w:tc>
          <w:tcPr>
            <w:tcW w:w="10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4295C" w:rsidRPr="00BB65BA" w:rsidRDefault="0094295C" w:rsidP="0094295C">
            <w:pPr>
              <w:spacing w:before="0" w:after="0"/>
              <w:ind w:left="-101"/>
              <w:jc w:val="center"/>
              <w:rPr>
                <w:b/>
                <w:bCs/>
                <w:color w:val="000000"/>
                <w:sz w:val="14"/>
                <w:szCs w:val="16"/>
                <w:lang w:val="es-CO" w:eastAsia="es-CO"/>
              </w:rPr>
            </w:pPr>
            <w:r w:rsidRPr="00BB65BA">
              <w:rPr>
                <w:b/>
                <w:bCs/>
                <w:color w:val="000000"/>
                <w:sz w:val="14"/>
                <w:szCs w:val="16"/>
                <w:lang w:val="es-CO" w:eastAsia="es-CO"/>
              </w:rPr>
              <w:t>975</w:t>
            </w:r>
          </w:p>
        </w:tc>
      </w:tr>
    </w:tbl>
    <w:p w:rsidR="0094295C" w:rsidRPr="004E6CFC" w:rsidRDefault="0094295C" w:rsidP="0094295C">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24</w:t>
      </w:r>
      <w:r w:rsidRPr="004E6CFC">
        <w:fldChar w:fldCharType="end"/>
      </w:r>
      <w:r w:rsidRPr="004E6CFC">
        <w:t xml:space="preserve"> Áreas típicas reconocidas para terrenos de las UC</w:t>
      </w:r>
    </w:p>
    <w:p w:rsidR="0094295C" w:rsidRPr="004E6CFC" w:rsidRDefault="0094295C" w:rsidP="0094295C">
      <w:pPr>
        <w:keepNext/>
        <w:rPr>
          <w:b/>
          <w:bCs/>
          <w:color w:val="000000"/>
          <w:szCs w:val="16"/>
          <w:lang w:val="es-CO" w:eastAsia="es-CO"/>
        </w:rPr>
      </w:pPr>
      <w:r w:rsidRPr="004E6CFC">
        <w:rPr>
          <w:b/>
          <w:bCs/>
          <w:color w:val="000000"/>
          <w:szCs w:val="16"/>
          <w:lang w:val="es-CO" w:eastAsia="es-CO"/>
        </w:rPr>
        <w:t>Subestaciones convencionales nivel de tensión 4</w:t>
      </w:r>
    </w:p>
    <w:tbl>
      <w:tblPr>
        <w:tblW w:w="9376" w:type="dxa"/>
        <w:tblInd w:w="-5" w:type="dxa"/>
        <w:tblCellMar>
          <w:left w:w="70" w:type="dxa"/>
          <w:right w:w="70" w:type="dxa"/>
        </w:tblCellMar>
        <w:tblLook w:val="04A0" w:firstRow="1" w:lastRow="0" w:firstColumn="1" w:lastColumn="0" w:noHBand="0" w:noVBand="1"/>
      </w:tblPr>
      <w:tblGrid>
        <w:gridCol w:w="1797"/>
        <w:gridCol w:w="773"/>
        <w:gridCol w:w="1661"/>
        <w:gridCol w:w="1721"/>
        <w:gridCol w:w="892"/>
        <w:gridCol w:w="892"/>
        <w:gridCol w:w="892"/>
        <w:gridCol w:w="892"/>
      </w:tblGrid>
      <w:tr w:rsidR="0094295C" w:rsidRPr="006F1417" w:rsidTr="0094295C">
        <w:trPr>
          <w:trHeight w:val="960"/>
          <w:tblHeader/>
        </w:trPr>
        <w:tc>
          <w:tcPr>
            <w:tcW w:w="1797" w:type="dxa"/>
            <w:tcBorders>
              <w:top w:val="single" w:sz="4" w:space="0" w:color="auto"/>
              <w:left w:val="single" w:sz="4" w:space="0" w:color="auto"/>
              <w:bottom w:val="nil"/>
              <w:right w:val="single" w:sz="4" w:space="0" w:color="auto"/>
            </w:tcBorders>
            <w:shd w:val="clear" w:color="auto" w:fill="auto"/>
            <w:vAlign w:val="center"/>
            <w:hideMark/>
          </w:tcPr>
          <w:p w:rsidR="0094295C" w:rsidRPr="006F1417" w:rsidRDefault="0094295C" w:rsidP="0094295C">
            <w:pPr>
              <w:spacing w:before="0" w:after="0"/>
              <w:jc w:val="center"/>
              <w:rPr>
                <w:color w:val="000000"/>
                <w:sz w:val="16"/>
                <w:szCs w:val="16"/>
                <w:lang w:val="es-CO" w:eastAsia="es-CO"/>
              </w:rPr>
            </w:pPr>
            <w:r w:rsidRPr="006F1417">
              <w:rPr>
                <w:sz w:val="16"/>
                <w:szCs w:val="16"/>
              </w:rPr>
              <w:t>CONFIGURACIÓN</w:t>
            </w:r>
          </w:p>
        </w:tc>
        <w:tc>
          <w:tcPr>
            <w:tcW w:w="773" w:type="dxa"/>
            <w:tcBorders>
              <w:top w:val="single" w:sz="4" w:space="0" w:color="auto"/>
              <w:left w:val="nil"/>
              <w:bottom w:val="nil"/>
              <w:right w:val="single" w:sz="4" w:space="0" w:color="auto"/>
            </w:tcBorders>
            <w:shd w:val="clear" w:color="auto" w:fill="auto"/>
            <w:vAlign w:val="center"/>
            <w:hideMark/>
          </w:tcPr>
          <w:p w:rsidR="0094295C" w:rsidRPr="006F1417" w:rsidRDefault="0094295C" w:rsidP="0094295C">
            <w:pPr>
              <w:spacing w:before="0" w:after="0"/>
              <w:jc w:val="center"/>
              <w:rPr>
                <w:color w:val="000000"/>
                <w:sz w:val="16"/>
                <w:szCs w:val="16"/>
                <w:lang w:val="es-CO" w:eastAsia="es-CO"/>
              </w:rPr>
            </w:pPr>
            <w:r w:rsidRPr="00BB65BA">
              <w:rPr>
                <w:sz w:val="16"/>
                <w:szCs w:val="16"/>
              </w:rPr>
              <w:t>BAHÍA DE LÍNEA [m</w:t>
            </w:r>
            <w:r w:rsidRPr="003B2A5E">
              <w:rPr>
                <w:sz w:val="16"/>
                <w:szCs w:val="16"/>
                <w:vertAlign w:val="superscript"/>
              </w:rPr>
              <w:t>2</w:t>
            </w:r>
            <w:r w:rsidRPr="003B2A5E">
              <w:rPr>
                <w:sz w:val="16"/>
                <w:szCs w:val="16"/>
              </w:rPr>
              <w:t>]</w:t>
            </w:r>
          </w:p>
        </w:tc>
        <w:tc>
          <w:tcPr>
            <w:tcW w:w="1644" w:type="dxa"/>
            <w:tcBorders>
              <w:top w:val="single" w:sz="4" w:space="0" w:color="auto"/>
              <w:left w:val="nil"/>
              <w:bottom w:val="nil"/>
              <w:right w:val="single" w:sz="4" w:space="0" w:color="auto"/>
            </w:tcBorders>
            <w:shd w:val="clear" w:color="auto" w:fill="auto"/>
            <w:vAlign w:val="center"/>
            <w:hideMark/>
          </w:tcPr>
          <w:p w:rsidR="0094295C" w:rsidRPr="006F1417" w:rsidRDefault="0094295C" w:rsidP="0094295C">
            <w:pPr>
              <w:spacing w:before="0" w:after="0"/>
              <w:jc w:val="center"/>
              <w:rPr>
                <w:color w:val="000000"/>
                <w:sz w:val="16"/>
                <w:szCs w:val="16"/>
                <w:lang w:val="es-CO" w:eastAsia="es-CO"/>
              </w:rPr>
            </w:pPr>
            <w:r w:rsidRPr="006F1417">
              <w:rPr>
                <w:sz w:val="16"/>
                <w:szCs w:val="16"/>
              </w:rPr>
              <w:t>BAHÍA TRANSFORMADOR [m</w:t>
            </w:r>
            <w:r w:rsidRPr="006F1417">
              <w:rPr>
                <w:sz w:val="16"/>
                <w:szCs w:val="16"/>
                <w:vertAlign w:val="superscript"/>
              </w:rPr>
              <w:t>2</w:t>
            </w:r>
            <w:r w:rsidRPr="006F1417">
              <w:rPr>
                <w:sz w:val="16"/>
                <w:szCs w:val="16"/>
              </w:rPr>
              <w:t>]</w:t>
            </w:r>
          </w:p>
        </w:tc>
        <w:tc>
          <w:tcPr>
            <w:tcW w:w="1678" w:type="dxa"/>
            <w:tcBorders>
              <w:top w:val="single" w:sz="4" w:space="0" w:color="auto"/>
              <w:left w:val="nil"/>
              <w:bottom w:val="nil"/>
              <w:right w:val="single" w:sz="4" w:space="0" w:color="auto"/>
            </w:tcBorders>
            <w:shd w:val="clear" w:color="auto" w:fill="auto"/>
            <w:vAlign w:val="bottom"/>
            <w:hideMark/>
          </w:tcPr>
          <w:p w:rsidR="0094295C" w:rsidRPr="006F1417" w:rsidRDefault="0094295C" w:rsidP="0094295C">
            <w:pPr>
              <w:spacing w:before="0" w:after="0"/>
              <w:jc w:val="center"/>
              <w:rPr>
                <w:color w:val="000000"/>
                <w:sz w:val="16"/>
                <w:szCs w:val="16"/>
              </w:rPr>
            </w:pPr>
            <w:r w:rsidRPr="006F1417">
              <w:rPr>
                <w:color w:val="000000"/>
                <w:sz w:val="16"/>
                <w:szCs w:val="16"/>
              </w:rPr>
              <w:t>BAHÍA DE ACOPLE, SECCIONAMIENTO, TRANSFERENCIA O CORTE</w:t>
            </w:r>
          </w:p>
          <w:p w:rsidR="0094295C" w:rsidRPr="006F1417" w:rsidRDefault="0094295C" w:rsidP="0094295C">
            <w:pPr>
              <w:spacing w:before="0" w:after="0"/>
              <w:jc w:val="center"/>
              <w:rPr>
                <w:color w:val="000000"/>
                <w:sz w:val="16"/>
                <w:szCs w:val="16"/>
                <w:lang w:val="es-CO" w:eastAsia="es-CO"/>
              </w:rPr>
            </w:pPr>
            <w:r w:rsidRPr="006F1417">
              <w:rPr>
                <w:color w:val="000000"/>
                <w:sz w:val="16"/>
                <w:szCs w:val="16"/>
              </w:rPr>
              <w:t xml:space="preserve"> [m</w:t>
            </w:r>
            <w:r w:rsidRPr="006F1417">
              <w:rPr>
                <w:color w:val="000000"/>
                <w:sz w:val="16"/>
                <w:szCs w:val="16"/>
                <w:vertAlign w:val="superscript"/>
              </w:rPr>
              <w:t>2</w:t>
            </w:r>
            <w:r w:rsidRPr="006F1417">
              <w:rPr>
                <w:color w:val="000000"/>
                <w:sz w:val="16"/>
                <w:szCs w:val="16"/>
              </w:rPr>
              <w:t>]</w:t>
            </w:r>
          </w:p>
        </w:tc>
        <w:tc>
          <w:tcPr>
            <w:tcW w:w="871" w:type="dxa"/>
            <w:tcBorders>
              <w:top w:val="single" w:sz="4" w:space="0" w:color="auto"/>
              <w:left w:val="nil"/>
              <w:bottom w:val="nil"/>
              <w:right w:val="single" w:sz="4" w:space="0" w:color="auto"/>
            </w:tcBorders>
            <w:shd w:val="clear" w:color="auto" w:fill="auto"/>
            <w:vAlign w:val="center"/>
            <w:hideMark/>
          </w:tcPr>
          <w:p w:rsidR="0094295C" w:rsidRPr="006F1417" w:rsidRDefault="0094295C" w:rsidP="0094295C">
            <w:pPr>
              <w:spacing w:before="0" w:after="0"/>
              <w:jc w:val="center"/>
              <w:rPr>
                <w:color w:val="000000"/>
                <w:sz w:val="16"/>
                <w:szCs w:val="16"/>
                <w:lang w:val="es-CO" w:eastAsia="es-CO"/>
              </w:rPr>
            </w:pPr>
            <w:r w:rsidRPr="006F1417">
              <w:rPr>
                <w:sz w:val="16"/>
                <w:szCs w:val="16"/>
              </w:rPr>
              <w:t>MÓDULO COMÚN TIPO 1 [m</w:t>
            </w:r>
            <w:r w:rsidRPr="006F1417">
              <w:rPr>
                <w:sz w:val="16"/>
                <w:szCs w:val="16"/>
                <w:vertAlign w:val="superscript"/>
              </w:rPr>
              <w:t>2</w:t>
            </w:r>
            <w:r w:rsidRPr="006F1417">
              <w:rPr>
                <w:sz w:val="16"/>
                <w:szCs w:val="16"/>
              </w:rPr>
              <w:t>]</w:t>
            </w:r>
          </w:p>
        </w:tc>
        <w:tc>
          <w:tcPr>
            <w:tcW w:w="871" w:type="dxa"/>
            <w:tcBorders>
              <w:top w:val="single" w:sz="4" w:space="0" w:color="auto"/>
              <w:left w:val="nil"/>
              <w:bottom w:val="nil"/>
              <w:right w:val="single" w:sz="4" w:space="0" w:color="auto"/>
            </w:tcBorders>
            <w:shd w:val="clear" w:color="auto" w:fill="auto"/>
            <w:vAlign w:val="center"/>
            <w:hideMark/>
          </w:tcPr>
          <w:p w:rsidR="0094295C" w:rsidRPr="006F1417" w:rsidRDefault="0094295C" w:rsidP="0094295C">
            <w:pPr>
              <w:spacing w:before="0" w:after="0"/>
              <w:jc w:val="center"/>
              <w:rPr>
                <w:color w:val="000000"/>
                <w:sz w:val="16"/>
                <w:szCs w:val="16"/>
                <w:lang w:val="es-CO" w:eastAsia="es-CO"/>
              </w:rPr>
            </w:pPr>
            <w:r w:rsidRPr="006F1417">
              <w:rPr>
                <w:sz w:val="16"/>
                <w:szCs w:val="16"/>
              </w:rPr>
              <w:t>MÓDULO COMÚN TIPO 2 [m</w:t>
            </w:r>
            <w:r w:rsidRPr="006F1417">
              <w:rPr>
                <w:sz w:val="16"/>
                <w:szCs w:val="16"/>
                <w:vertAlign w:val="superscript"/>
              </w:rPr>
              <w:t>2</w:t>
            </w:r>
            <w:r w:rsidRPr="006F1417">
              <w:rPr>
                <w:sz w:val="16"/>
                <w:szCs w:val="16"/>
              </w:rPr>
              <w:t>]</w:t>
            </w:r>
          </w:p>
        </w:tc>
        <w:tc>
          <w:tcPr>
            <w:tcW w:w="871" w:type="dxa"/>
            <w:tcBorders>
              <w:top w:val="single" w:sz="4" w:space="0" w:color="auto"/>
              <w:left w:val="nil"/>
              <w:bottom w:val="nil"/>
              <w:right w:val="single" w:sz="4" w:space="0" w:color="auto"/>
            </w:tcBorders>
            <w:shd w:val="clear" w:color="auto" w:fill="auto"/>
            <w:vAlign w:val="center"/>
            <w:hideMark/>
          </w:tcPr>
          <w:p w:rsidR="0094295C" w:rsidRPr="006F1417" w:rsidRDefault="0094295C" w:rsidP="0094295C">
            <w:pPr>
              <w:spacing w:before="0" w:after="0"/>
              <w:jc w:val="center"/>
              <w:rPr>
                <w:color w:val="000000"/>
                <w:sz w:val="16"/>
                <w:szCs w:val="16"/>
                <w:lang w:val="es-CO" w:eastAsia="es-CO"/>
              </w:rPr>
            </w:pPr>
            <w:r w:rsidRPr="006F1417">
              <w:rPr>
                <w:sz w:val="16"/>
                <w:szCs w:val="16"/>
              </w:rPr>
              <w:t>MÓDULO COMÚN TIPO 3 [m</w:t>
            </w:r>
            <w:r w:rsidRPr="006F1417">
              <w:rPr>
                <w:sz w:val="16"/>
                <w:szCs w:val="16"/>
                <w:vertAlign w:val="superscript"/>
              </w:rPr>
              <w:t>2</w:t>
            </w:r>
            <w:r w:rsidRPr="006F1417">
              <w:rPr>
                <w:sz w:val="16"/>
                <w:szCs w:val="16"/>
              </w:rPr>
              <w:t>]</w:t>
            </w:r>
          </w:p>
        </w:tc>
        <w:tc>
          <w:tcPr>
            <w:tcW w:w="871" w:type="dxa"/>
            <w:tcBorders>
              <w:top w:val="single" w:sz="4" w:space="0" w:color="auto"/>
              <w:left w:val="nil"/>
              <w:bottom w:val="nil"/>
              <w:right w:val="single" w:sz="4" w:space="0" w:color="auto"/>
            </w:tcBorders>
            <w:shd w:val="clear" w:color="auto" w:fill="auto"/>
            <w:vAlign w:val="center"/>
            <w:hideMark/>
          </w:tcPr>
          <w:p w:rsidR="0094295C" w:rsidRPr="006F1417" w:rsidRDefault="0094295C" w:rsidP="0094295C">
            <w:pPr>
              <w:spacing w:before="0" w:after="0"/>
              <w:jc w:val="center"/>
              <w:rPr>
                <w:color w:val="000000"/>
                <w:sz w:val="16"/>
                <w:szCs w:val="16"/>
                <w:lang w:val="es-CO" w:eastAsia="es-CO"/>
              </w:rPr>
            </w:pPr>
            <w:r w:rsidRPr="006F1417">
              <w:rPr>
                <w:sz w:val="16"/>
                <w:szCs w:val="16"/>
              </w:rPr>
              <w:t>MÓDULO COMÚN TIPO 4 [m</w:t>
            </w:r>
            <w:r w:rsidRPr="006F1417">
              <w:rPr>
                <w:sz w:val="16"/>
                <w:szCs w:val="16"/>
                <w:vertAlign w:val="superscript"/>
              </w:rPr>
              <w:t>2</w:t>
            </w:r>
            <w:r w:rsidRPr="006F1417">
              <w:rPr>
                <w:sz w:val="16"/>
                <w:szCs w:val="16"/>
              </w:rPr>
              <w:t>]</w:t>
            </w:r>
          </w:p>
        </w:tc>
      </w:tr>
      <w:tr w:rsidR="0094295C" w:rsidRPr="006F1417" w:rsidTr="0094295C">
        <w:trPr>
          <w:trHeight w:val="240"/>
        </w:trPr>
        <w:tc>
          <w:tcPr>
            <w:tcW w:w="17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left"/>
              <w:rPr>
                <w:color w:val="000000"/>
                <w:sz w:val="16"/>
                <w:szCs w:val="16"/>
                <w:lang w:val="es-CO" w:eastAsia="es-CO"/>
              </w:rPr>
            </w:pPr>
            <w:r w:rsidRPr="006F1417">
              <w:rPr>
                <w:color w:val="000000"/>
                <w:sz w:val="16"/>
                <w:szCs w:val="16"/>
              </w:rPr>
              <w:t>Barra sencilla</w:t>
            </w:r>
          </w:p>
        </w:tc>
        <w:tc>
          <w:tcPr>
            <w:tcW w:w="773" w:type="dxa"/>
            <w:tcBorders>
              <w:top w:val="single" w:sz="4" w:space="0" w:color="auto"/>
              <w:left w:val="nil"/>
              <w:bottom w:val="single" w:sz="4" w:space="0" w:color="auto"/>
              <w:right w:val="single" w:sz="4" w:space="0" w:color="auto"/>
            </w:tcBorders>
            <w:shd w:val="clear" w:color="auto" w:fill="auto"/>
            <w:noWrap/>
            <w:vAlign w:val="center"/>
            <w:hideMark/>
          </w:tcPr>
          <w:p w:rsidR="0094295C" w:rsidRPr="003B2A5E" w:rsidRDefault="0094295C" w:rsidP="0094295C">
            <w:pPr>
              <w:spacing w:before="0" w:after="0"/>
              <w:jc w:val="center"/>
              <w:rPr>
                <w:color w:val="000000"/>
                <w:sz w:val="16"/>
                <w:szCs w:val="16"/>
                <w:lang w:val="es-CO" w:eastAsia="es-CO"/>
              </w:rPr>
            </w:pPr>
            <w:r w:rsidRPr="00BB65BA">
              <w:rPr>
                <w:color w:val="000000"/>
                <w:sz w:val="16"/>
                <w:szCs w:val="16"/>
              </w:rPr>
              <w:t>358</w:t>
            </w:r>
          </w:p>
        </w:tc>
        <w:tc>
          <w:tcPr>
            <w:tcW w:w="1644" w:type="dxa"/>
            <w:tcBorders>
              <w:top w:val="single" w:sz="4" w:space="0" w:color="auto"/>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304</w:t>
            </w:r>
          </w:p>
        </w:tc>
        <w:tc>
          <w:tcPr>
            <w:tcW w:w="1678" w:type="dxa"/>
            <w:tcBorders>
              <w:top w:val="single" w:sz="4" w:space="0" w:color="auto"/>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p>
        </w:tc>
        <w:tc>
          <w:tcPr>
            <w:tcW w:w="871" w:type="dxa"/>
            <w:tcBorders>
              <w:top w:val="single" w:sz="4" w:space="0" w:color="auto"/>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988</w:t>
            </w:r>
          </w:p>
        </w:tc>
        <w:tc>
          <w:tcPr>
            <w:tcW w:w="871" w:type="dxa"/>
            <w:tcBorders>
              <w:top w:val="single" w:sz="4" w:space="0" w:color="auto"/>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1.138</w:t>
            </w:r>
          </w:p>
        </w:tc>
        <w:tc>
          <w:tcPr>
            <w:tcW w:w="871" w:type="dxa"/>
            <w:tcBorders>
              <w:top w:val="single" w:sz="4" w:space="0" w:color="auto"/>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1.338</w:t>
            </w:r>
          </w:p>
        </w:tc>
        <w:tc>
          <w:tcPr>
            <w:tcW w:w="871" w:type="dxa"/>
            <w:tcBorders>
              <w:top w:val="single" w:sz="4" w:space="0" w:color="auto"/>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1.538</w:t>
            </w:r>
          </w:p>
        </w:tc>
      </w:tr>
      <w:tr w:rsidR="0094295C" w:rsidRPr="006F1417" w:rsidTr="0094295C">
        <w:trPr>
          <w:trHeight w:val="240"/>
        </w:trPr>
        <w:tc>
          <w:tcPr>
            <w:tcW w:w="1797" w:type="dxa"/>
            <w:tcBorders>
              <w:top w:val="nil"/>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left"/>
              <w:rPr>
                <w:color w:val="000000"/>
                <w:sz w:val="16"/>
                <w:szCs w:val="16"/>
                <w:lang w:val="es-CO" w:eastAsia="es-CO"/>
              </w:rPr>
            </w:pPr>
            <w:r w:rsidRPr="006F1417">
              <w:rPr>
                <w:color w:val="000000"/>
                <w:sz w:val="16"/>
                <w:szCs w:val="16"/>
              </w:rPr>
              <w:t>Doble Barra</w:t>
            </w:r>
          </w:p>
        </w:tc>
        <w:tc>
          <w:tcPr>
            <w:tcW w:w="773" w:type="dxa"/>
            <w:tcBorders>
              <w:top w:val="nil"/>
              <w:left w:val="nil"/>
              <w:bottom w:val="single" w:sz="4" w:space="0" w:color="auto"/>
              <w:right w:val="single" w:sz="4" w:space="0" w:color="auto"/>
            </w:tcBorders>
            <w:shd w:val="clear" w:color="auto" w:fill="auto"/>
            <w:noWrap/>
            <w:vAlign w:val="center"/>
            <w:hideMark/>
          </w:tcPr>
          <w:p w:rsidR="0094295C" w:rsidRPr="003B2A5E" w:rsidRDefault="0094295C" w:rsidP="0094295C">
            <w:pPr>
              <w:spacing w:before="0" w:after="0"/>
              <w:jc w:val="center"/>
              <w:rPr>
                <w:color w:val="000000"/>
                <w:sz w:val="16"/>
                <w:szCs w:val="16"/>
                <w:lang w:val="es-CO" w:eastAsia="es-CO"/>
              </w:rPr>
            </w:pPr>
            <w:r w:rsidRPr="00BB65BA">
              <w:rPr>
                <w:color w:val="000000"/>
                <w:sz w:val="16"/>
                <w:szCs w:val="16"/>
              </w:rPr>
              <w:t>422</w:t>
            </w:r>
          </w:p>
        </w:tc>
        <w:tc>
          <w:tcPr>
            <w:tcW w:w="1644" w:type="dxa"/>
            <w:tcBorders>
              <w:top w:val="nil"/>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469</w:t>
            </w:r>
          </w:p>
        </w:tc>
        <w:tc>
          <w:tcPr>
            <w:tcW w:w="1678" w:type="dxa"/>
            <w:tcBorders>
              <w:top w:val="nil"/>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422</w:t>
            </w:r>
          </w:p>
        </w:tc>
        <w:tc>
          <w:tcPr>
            <w:tcW w:w="871" w:type="dxa"/>
            <w:tcBorders>
              <w:top w:val="nil"/>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2.048</w:t>
            </w:r>
          </w:p>
        </w:tc>
        <w:tc>
          <w:tcPr>
            <w:tcW w:w="871" w:type="dxa"/>
            <w:tcBorders>
              <w:top w:val="nil"/>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2.810</w:t>
            </w:r>
          </w:p>
        </w:tc>
        <w:tc>
          <w:tcPr>
            <w:tcW w:w="871" w:type="dxa"/>
            <w:tcBorders>
              <w:top w:val="nil"/>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4.080</w:t>
            </w:r>
          </w:p>
        </w:tc>
        <w:tc>
          <w:tcPr>
            <w:tcW w:w="871" w:type="dxa"/>
            <w:tcBorders>
              <w:top w:val="nil"/>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4.842</w:t>
            </w:r>
          </w:p>
        </w:tc>
      </w:tr>
      <w:tr w:rsidR="0094295C" w:rsidRPr="006F1417" w:rsidTr="0094295C">
        <w:trPr>
          <w:trHeight w:val="240"/>
        </w:trPr>
        <w:tc>
          <w:tcPr>
            <w:tcW w:w="17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left"/>
              <w:rPr>
                <w:color w:val="000000"/>
                <w:sz w:val="16"/>
                <w:szCs w:val="16"/>
                <w:lang w:val="es-CO" w:eastAsia="es-CO"/>
              </w:rPr>
            </w:pPr>
            <w:r w:rsidRPr="006F1417">
              <w:rPr>
                <w:color w:val="000000"/>
                <w:sz w:val="16"/>
                <w:szCs w:val="16"/>
              </w:rPr>
              <w:t xml:space="preserve">Doble Barra </w:t>
            </w:r>
            <w:r w:rsidR="004842F4" w:rsidRPr="006F1417">
              <w:rPr>
                <w:color w:val="000000"/>
                <w:sz w:val="16"/>
                <w:szCs w:val="16"/>
              </w:rPr>
              <w:t>más</w:t>
            </w:r>
            <w:r w:rsidRPr="006F1417">
              <w:rPr>
                <w:color w:val="000000"/>
                <w:sz w:val="16"/>
                <w:szCs w:val="16"/>
              </w:rPr>
              <w:t xml:space="preserve"> Bypass</w:t>
            </w:r>
          </w:p>
        </w:tc>
        <w:tc>
          <w:tcPr>
            <w:tcW w:w="7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3B2A5E" w:rsidRDefault="0094295C" w:rsidP="0094295C">
            <w:pPr>
              <w:spacing w:before="0" w:after="0"/>
              <w:jc w:val="center"/>
              <w:rPr>
                <w:color w:val="000000"/>
                <w:sz w:val="16"/>
                <w:szCs w:val="16"/>
                <w:lang w:val="es-CO" w:eastAsia="es-CO"/>
              </w:rPr>
            </w:pPr>
            <w:r w:rsidRPr="00BB65BA">
              <w:rPr>
                <w:color w:val="000000"/>
                <w:sz w:val="16"/>
                <w:szCs w:val="16"/>
              </w:rPr>
              <w:t>422</w:t>
            </w:r>
          </w:p>
        </w:tc>
        <w:tc>
          <w:tcPr>
            <w:tcW w:w="164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469</w:t>
            </w:r>
          </w:p>
        </w:tc>
        <w:tc>
          <w:tcPr>
            <w:tcW w:w="16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422</w:t>
            </w:r>
          </w:p>
        </w:tc>
        <w:tc>
          <w:tcPr>
            <w:tcW w:w="87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2.048</w:t>
            </w:r>
          </w:p>
        </w:tc>
        <w:tc>
          <w:tcPr>
            <w:tcW w:w="87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2.810</w:t>
            </w:r>
          </w:p>
        </w:tc>
        <w:tc>
          <w:tcPr>
            <w:tcW w:w="87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4.080</w:t>
            </w:r>
          </w:p>
        </w:tc>
        <w:tc>
          <w:tcPr>
            <w:tcW w:w="87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4.842</w:t>
            </w:r>
          </w:p>
        </w:tc>
      </w:tr>
      <w:tr w:rsidR="0094295C" w:rsidRPr="006F1417" w:rsidTr="0094295C">
        <w:trPr>
          <w:trHeight w:val="240"/>
        </w:trPr>
        <w:tc>
          <w:tcPr>
            <w:tcW w:w="17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left"/>
              <w:rPr>
                <w:color w:val="000000"/>
                <w:sz w:val="16"/>
                <w:szCs w:val="16"/>
                <w:lang w:val="es-CO" w:eastAsia="es-CO"/>
              </w:rPr>
            </w:pPr>
            <w:r w:rsidRPr="006F1417">
              <w:rPr>
                <w:color w:val="000000"/>
                <w:sz w:val="16"/>
                <w:szCs w:val="16"/>
              </w:rPr>
              <w:t>Barra principal y transferencia</w:t>
            </w:r>
          </w:p>
        </w:tc>
        <w:tc>
          <w:tcPr>
            <w:tcW w:w="77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3B2A5E" w:rsidRDefault="0094295C" w:rsidP="0094295C">
            <w:pPr>
              <w:spacing w:before="0" w:after="0"/>
              <w:jc w:val="center"/>
              <w:rPr>
                <w:color w:val="000000"/>
                <w:sz w:val="16"/>
                <w:szCs w:val="16"/>
                <w:lang w:val="es-CO" w:eastAsia="es-CO"/>
              </w:rPr>
            </w:pPr>
            <w:r w:rsidRPr="00BB65BA">
              <w:rPr>
                <w:color w:val="000000"/>
                <w:sz w:val="16"/>
                <w:szCs w:val="16"/>
              </w:rPr>
              <w:t>422</w:t>
            </w:r>
          </w:p>
        </w:tc>
        <w:tc>
          <w:tcPr>
            <w:tcW w:w="164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469</w:t>
            </w:r>
          </w:p>
        </w:tc>
        <w:tc>
          <w:tcPr>
            <w:tcW w:w="167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422</w:t>
            </w:r>
          </w:p>
        </w:tc>
        <w:tc>
          <w:tcPr>
            <w:tcW w:w="87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2.048</w:t>
            </w:r>
          </w:p>
        </w:tc>
        <w:tc>
          <w:tcPr>
            <w:tcW w:w="87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2.810</w:t>
            </w:r>
          </w:p>
        </w:tc>
        <w:tc>
          <w:tcPr>
            <w:tcW w:w="87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4.080</w:t>
            </w:r>
          </w:p>
        </w:tc>
        <w:tc>
          <w:tcPr>
            <w:tcW w:w="87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4.842</w:t>
            </w:r>
          </w:p>
        </w:tc>
      </w:tr>
      <w:tr w:rsidR="0094295C" w:rsidRPr="006F1417" w:rsidTr="0094295C">
        <w:trPr>
          <w:trHeight w:val="240"/>
        </w:trPr>
        <w:tc>
          <w:tcPr>
            <w:tcW w:w="17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left"/>
              <w:rPr>
                <w:color w:val="000000"/>
                <w:sz w:val="16"/>
                <w:szCs w:val="16"/>
                <w:lang w:val="es-CO" w:eastAsia="es-CO"/>
              </w:rPr>
            </w:pPr>
            <w:r w:rsidRPr="006F1417">
              <w:rPr>
                <w:color w:val="000000"/>
                <w:sz w:val="16"/>
                <w:szCs w:val="16"/>
              </w:rPr>
              <w:t>Interruptor y medio</w:t>
            </w:r>
          </w:p>
        </w:tc>
        <w:tc>
          <w:tcPr>
            <w:tcW w:w="773" w:type="dxa"/>
            <w:tcBorders>
              <w:top w:val="single" w:sz="4" w:space="0" w:color="auto"/>
              <w:left w:val="nil"/>
              <w:bottom w:val="single" w:sz="4" w:space="0" w:color="auto"/>
              <w:right w:val="single" w:sz="4" w:space="0" w:color="auto"/>
            </w:tcBorders>
            <w:shd w:val="clear" w:color="auto" w:fill="auto"/>
            <w:noWrap/>
            <w:vAlign w:val="center"/>
            <w:hideMark/>
          </w:tcPr>
          <w:p w:rsidR="0094295C" w:rsidRPr="003B2A5E" w:rsidRDefault="0094295C" w:rsidP="0094295C">
            <w:pPr>
              <w:spacing w:before="0" w:after="0"/>
              <w:jc w:val="center"/>
              <w:rPr>
                <w:color w:val="000000"/>
                <w:sz w:val="16"/>
                <w:szCs w:val="16"/>
                <w:lang w:val="es-CO" w:eastAsia="es-CO"/>
              </w:rPr>
            </w:pPr>
            <w:r w:rsidRPr="00BB65BA">
              <w:rPr>
                <w:color w:val="000000"/>
                <w:sz w:val="16"/>
                <w:szCs w:val="16"/>
              </w:rPr>
              <w:t>298</w:t>
            </w:r>
          </w:p>
        </w:tc>
        <w:tc>
          <w:tcPr>
            <w:tcW w:w="1644" w:type="dxa"/>
            <w:tcBorders>
              <w:top w:val="single" w:sz="4" w:space="0" w:color="auto"/>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371</w:t>
            </w:r>
          </w:p>
        </w:tc>
        <w:tc>
          <w:tcPr>
            <w:tcW w:w="1678" w:type="dxa"/>
            <w:tcBorders>
              <w:top w:val="single" w:sz="4" w:space="0" w:color="auto"/>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410</w:t>
            </w:r>
          </w:p>
        </w:tc>
        <w:tc>
          <w:tcPr>
            <w:tcW w:w="871" w:type="dxa"/>
            <w:tcBorders>
              <w:top w:val="single" w:sz="4" w:space="0" w:color="auto"/>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2.458</w:t>
            </w:r>
          </w:p>
        </w:tc>
        <w:tc>
          <w:tcPr>
            <w:tcW w:w="871" w:type="dxa"/>
            <w:tcBorders>
              <w:top w:val="single" w:sz="4" w:space="0" w:color="auto"/>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3.026</w:t>
            </w:r>
          </w:p>
        </w:tc>
        <w:tc>
          <w:tcPr>
            <w:tcW w:w="871" w:type="dxa"/>
            <w:tcBorders>
              <w:top w:val="single" w:sz="4" w:space="0" w:color="auto"/>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3.258</w:t>
            </w:r>
          </w:p>
        </w:tc>
        <w:tc>
          <w:tcPr>
            <w:tcW w:w="871" w:type="dxa"/>
            <w:tcBorders>
              <w:top w:val="single" w:sz="4" w:space="0" w:color="auto"/>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3.826</w:t>
            </w:r>
          </w:p>
        </w:tc>
      </w:tr>
      <w:tr w:rsidR="0094295C" w:rsidRPr="006F1417" w:rsidTr="0094295C">
        <w:trPr>
          <w:trHeight w:val="240"/>
        </w:trPr>
        <w:tc>
          <w:tcPr>
            <w:tcW w:w="1797" w:type="dxa"/>
            <w:tcBorders>
              <w:top w:val="nil"/>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left"/>
              <w:rPr>
                <w:color w:val="000000"/>
                <w:sz w:val="16"/>
                <w:szCs w:val="16"/>
                <w:lang w:val="es-CO" w:eastAsia="es-CO"/>
              </w:rPr>
            </w:pPr>
            <w:r w:rsidRPr="006F1417">
              <w:rPr>
                <w:color w:val="000000"/>
                <w:sz w:val="16"/>
                <w:szCs w:val="16"/>
              </w:rPr>
              <w:t>Anillo</w:t>
            </w:r>
          </w:p>
        </w:tc>
        <w:tc>
          <w:tcPr>
            <w:tcW w:w="773" w:type="dxa"/>
            <w:tcBorders>
              <w:top w:val="nil"/>
              <w:left w:val="nil"/>
              <w:bottom w:val="single" w:sz="4" w:space="0" w:color="auto"/>
              <w:right w:val="single" w:sz="4" w:space="0" w:color="auto"/>
            </w:tcBorders>
            <w:shd w:val="clear" w:color="auto" w:fill="auto"/>
            <w:noWrap/>
            <w:vAlign w:val="center"/>
            <w:hideMark/>
          </w:tcPr>
          <w:p w:rsidR="0094295C" w:rsidRPr="003B2A5E" w:rsidRDefault="0094295C" w:rsidP="0094295C">
            <w:pPr>
              <w:spacing w:before="0" w:after="0"/>
              <w:jc w:val="center"/>
              <w:rPr>
                <w:color w:val="000000"/>
                <w:sz w:val="16"/>
                <w:szCs w:val="16"/>
                <w:lang w:val="es-CO" w:eastAsia="es-CO"/>
              </w:rPr>
            </w:pPr>
            <w:r w:rsidRPr="00BB65BA">
              <w:rPr>
                <w:color w:val="000000"/>
                <w:sz w:val="16"/>
                <w:szCs w:val="16"/>
              </w:rPr>
              <w:t>225</w:t>
            </w:r>
          </w:p>
        </w:tc>
        <w:tc>
          <w:tcPr>
            <w:tcW w:w="1644" w:type="dxa"/>
            <w:tcBorders>
              <w:top w:val="nil"/>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295</w:t>
            </w:r>
          </w:p>
        </w:tc>
        <w:tc>
          <w:tcPr>
            <w:tcW w:w="1678" w:type="dxa"/>
            <w:tcBorders>
              <w:top w:val="nil"/>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p>
        </w:tc>
        <w:tc>
          <w:tcPr>
            <w:tcW w:w="871" w:type="dxa"/>
            <w:tcBorders>
              <w:top w:val="nil"/>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1.280</w:t>
            </w:r>
          </w:p>
        </w:tc>
        <w:tc>
          <w:tcPr>
            <w:tcW w:w="871" w:type="dxa"/>
            <w:tcBorders>
              <w:top w:val="nil"/>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1.775</w:t>
            </w:r>
          </w:p>
        </w:tc>
        <w:tc>
          <w:tcPr>
            <w:tcW w:w="871" w:type="dxa"/>
            <w:tcBorders>
              <w:top w:val="nil"/>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2.080</w:t>
            </w:r>
          </w:p>
        </w:tc>
        <w:tc>
          <w:tcPr>
            <w:tcW w:w="871" w:type="dxa"/>
            <w:tcBorders>
              <w:top w:val="nil"/>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2.575</w:t>
            </w:r>
          </w:p>
        </w:tc>
      </w:tr>
    </w:tbl>
    <w:p w:rsidR="0094295C" w:rsidRPr="004E6CFC" w:rsidRDefault="0094295C" w:rsidP="0094295C">
      <w:pPr>
        <w:rPr>
          <w:b/>
          <w:bCs/>
          <w:color w:val="000000"/>
          <w:szCs w:val="16"/>
          <w:lang w:val="es-CO" w:eastAsia="es-CO"/>
        </w:rPr>
      </w:pPr>
      <w:r w:rsidRPr="004E6CFC">
        <w:rPr>
          <w:b/>
          <w:bCs/>
          <w:color w:val="000000"/>
          <w:szCs w:val="16"/>
          <w:lang w:val="es-CO" w:eastAsia="es-CO"/>
        </w:rPr>
        <w:t>Subestaciones encapsuladas nivel de tensión 4</w:t>
      </w:r>
    </w:p>
    <w:tbl>
      <w:tblPr>
        <w:tblW w:w="5726" w:type="dxa"/>
        <w:tblCellMar>
          <w:left w:w="70" w:type="dxa"/>
          <w:right w:w="70" w:type="dxa"/>
        </w:tblCellMar>
        <w:tblLook w:val="04A0" w:firstRow="1" w:lastRow="0" w:firstColumn="1" w:lastColumn="0" w:noHBand="0" w:noVBand="1"/>
      </w:tblPr>
      <w:tblGrid>
        <w:gridCol w:w="2324"/>
        <w:gridCol w:w="1077"/>
        <w:gridCol w:w="1661"/>
        <w:gridCol w:w="1020"/>
      </w:tblGrid>
      <w:tr w:rsidR="0094295C" w:rsidRPr="006F1417" w:rsidTr="0094295C">
        <w:trPr>
          <w:trHeight w:val="720"/>
        </w:trPr>
        <w:tc>
          <w:tcPr>
            <w:tcW w:w="2324" w:type="dxa"/>
            <w:tcBorders>
              <w:top w:val="single" w:sz="4" w:space="0" w:color="auto"/>
              <w:left w:val="single" w:sz="4" w:space="0" w:color="auto"/>
              <w:bottom w:val="nil"/>
              <w:right w:val="single" w:sz="4" w:space="0" w:color="auto"/>
            </w:tcBorders>
            <w:shd w:val="clear" w:color="auto" w:fill="auto"/>
            <w:vAlign w:val="center"/>
            <w:hideMark/>
          </w:tcPr>
          <w:p w:rsidR="0094295C" w:rsidRPr="006F1417" w:rsidRDefault="0094295C" w:rsidP="0094295C">
            <w:pPr>
              <w:spacing w:before="0" w:after="0"/>
              <w:jc w:val="left"/>
              <w:rPr>
                <w:color w:val="000000"/>
                <w:sz w:val="16"/>
                <w:szCs w:val="16"/>
                <w:lang w:val="es-CO" w:eastAsia="es-CO"/>
              </w:rPr>
            </w:pPr>
            <w:r w:rsidRPr="006F1417">
              <w:rPr>
                <w:sz w:val="16"/>
                <w:szCs w:val="16"/>
              </w:rPr>
              <w:t>CONFIGURACIÓN</w:t>
            </w:r>
          </w:p>
        </w:tc>
        <w:tc>
          <w:tcPr>
            <w:tcW w:w="1077" w:type="dxa"/>
            <w:tcBorders>
              <w:top w:val="single" w:sz="4" w:space="0" w:color="auto"/>
              <w:left w:val="nil"/>
              <w:bottom w:val="nil"/>
              <w:right w:val="single" w:sz="4" w:space="0" w:color="auto"/>
            </w:tcBorders>
            <w:shd w:val="clear" w:color="auto" w:fill="auto"/>
            <w:vAlign w:val="center"/>
            <w:hideMark/>
          </w:tcPr>
          <w:p w:rsidR="0094295C" w:rsidRPr="006F1417" w:rsidRDefault="0094295C" w:rsidP="0094295C">
            <w:pPr>
              <w:spacing w:before="0" w:after="0"/>
              <w:jc w:val="center"/>
              <w:rPr>
                <w:color w:val="000000"/>
                <w:sz w:val="16"/>
                <w:szCs w:val="16"/>
                <w:lang w:val="es-CO" w:eastAsia="es-CO"/>
              </w:rPr>
            </w:pPr>
            <w:r w:rsidRPr="00BB65BA">
              <w:rPr>
                <w:sz w:val="16"/>
                <w:szCs w:val="16"/>
              </w:rPr>
              <w:t>BAHÍA D</w:t>
            </w:r>
            <w:r w:rsidRPr="003B2A5E">
              <w:rPr>
                <w:sz w:val="16"/>
                <w:szCs w:val="16"/>
              </w:rPr>
              <w:t>E LÍNEA [m</w:t>
            </w:r>
            <w:r w:rsidRPr="006F1417">
              <w:rPr>
                <w:sz w:val="16"/>
                <w:szCs w:val="16"/>
                <w:vertAlign w:val="superscript"/>
              </w:rPr>
              <w:t>2</w:t>
            </w:r>
            <w:r w:rsidRPr="006F1417">
              <w:rPr>
                <w:sz w:val="16"/>
                <w:szCs w:val="16"/>
              </w:rPr>
              <w:t>]</w:t>
            </w:r>
          </w:p>
        </w:tc>
        <w:tc>
          <w:tcPr>
            <w:tcW w:w="1305" w:type="dxa"/>
            <w:tcBorders>
              <w:top w:val="single" w:sz="4" w:space="0" w:color="auto"/>
              <w:left w:val="nil"/>
              <w:bottom w:val="nil"/>
              <w:right w:val="single" w:sz="4" w:space="0" w:color="auto"/>
            </w:tcBorders>
            <w:shd w:val="clear" w:color="auto" w:fill="auto"/>
            <w:vAlign w:val="center"/>
            <w:hideMark/>
          </w:tcPr>
          <w:p w:rsidR="0094295C" w:rsidRPr="006F1417" w:rsidRDefault="0094295C" w:rsidP="0094295C">
            <w:pPr>
              <w:spacing w:before="0" w:after="0"/>
              <w:jc w:val="center"/>
              <w:rPr>
                <w:color w:val="000000"/>
                <w:sz w:val="16"/>
                <w:szCs w:val="16"/>
                <w:lang w:val="es-CO" w:eastAsia="es-CO"/>
              </w:rPr>
            </w:pPr>
            <w:r w:rsidRPr="006F1417">
              <w:rPr>
                <w:sz w:val="16"/>
                <w:szCs w:val="16"/>
              </w:rPr>
              <w:t>BAHÍA TRANSFORMADOR [m</w:t>
            </w:r>
            <w:r w:rsidRPr="006F1417">
              <w:rPr>
                <w:sz w:val="16"/>
                <w:szCs w:val="16"/>
                <w:vertAlign w:val="superscript"/>
              </w:rPr>
              <w:t>2</w:t>
            </w:r>
            <w:r w:rsidRPr="006F1417">
              <w:rPr>
                <w:sz w:val="16"/>
                <w:szCs w:val="16"/>
              </w:rPr>
              <w:t>]</w:t>
            </w:r>
          </w:p>
        </w:tc>
        <w:tc>
          <w:tcPr>
            <w:tcW w:w="1020" w:type="dxa"/>
            <w:tcBorders>
              <w:top w:val="single" w:sz="4" w:space="0" w:color="auto"/>
              <w:left w:val="nil"/>
              <w:bottom w:val="nil"/>
              <w:right w:val="single" w:sz="4" w:space="0" w:color="auto"/>
            </w:tcBorders>
            <w:shd w:val="clear" w:color="auto" w:fill="auto"/>
            <w:vAlign w:val="center"/>
            <w:hideMark/>
          </w:tcPr>
          <w:p w:rsidR="0094295C" w:rsidRPr="006F1417" w:rsidRDefault="0094295C" w:rsidP="0094295C">
            <w:pPr>
              <w:spacing w:before="0" w:after="0"/>
              <w:jc w:val="center"/>
              <w:rPr>
                <w:sz w:val="16"/>
                <w:szCs w:val="16"/>
              </w:rPr>
            </w:pPr>
            <w:r w:rsidRPr="006F1417">
              <w:rPr>
                <w:sz w:val="16"/>
                <w:szCs w:val="16"/>
              </w:rPr>
              <w:t>MÓDULO COMÚN</w:t>
            </w:r>
          </w:p>
          <w:p w:rsidR="0094295C" w:rsidRPr="006F1417" w:rsidRDefault="0094295C" w:rsidP="0094295C">
            <w:pPr>
              <w:spacing w:before="0" w:after="0"/>
              <w:jc w:val="center"/>
              <w:rPr>
                <w:color w:val="000000"/>
                <w:sz w:val="16"/>
                <w:szCs w:val="16"/>
                <w:lang w:val="es-CO" w:eastAsia="es-CO"/>
              </w:rPr>
            </w:pPr>
            <w:r w:rsidRPr="006F1417">
              <w:rPr>
                <w:sz w:val="16"/>
                <w:szCs w:val="16"/>
              </w:rPr>
              <w:t>[m</w:t>
            </w:r>
            <w:r w:rsidRPr="006F1417">
              <w:rPr>
                <w:sz w:val="16"/>
                <w:szCs w:val="16"/>
                <w:vertAlign w:val="superscript"/>
              </w:rPr>
              <w:t>2</w:t>
            </w:r>
            <w:r w:rsidRPr="006F1417">
              <w:rPr>
                <w:sz w:val="16"/>
                <w:szCs w:val="16"/>
              </w:rPr>
              <w:t>]</w:t>
            </w:r>
          </w:p>
        </w:tc>
      </w:tr>
      <w:tr w:rsidR="0094295C" w:rsidRPr="006F1417" w:rsidTr="0094295C">
        <w:trPr>
          <w:trHeight w:val="240"/>
        </w:trPr>
        <w:tc>
          <w:tcPr>
            <w:tcW w:w="232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left"/>
              <w:rPr>
                <w:color w:val="000000"/>
                <w:sz w:val="16"/>
                <w:szCs w:val="16"/>
                <w:lang w:val="es-CO" w:eastAsia="es-CO"/>
              </w:rPr>
            </w:pPr>
            <w:r w:rsidRPr="006F1417">
              <w:rPr>
                <w:color w:val="000000"/>
                <w:sz w:val="16"/>
                <w:szCs w:val="16"/>
              </w:rPr>
              <w:t>Barra sencilla</w:t>
            </w:r>
          </w:p>
        </w:tc>
        <w:tc>
          <w:tcPr>
            <w:tcW w:w="1077" w:type="dxa"/>
            <w:tcBorders>
              <w:top w:val="single" w:sz="4" w:space="0" w:color="auto"/>
              <w:left w:val="nil"/>
              <w:bottom w:val="single" w:sz="4" w:space="0" w:color="auto"/>
              <w:right w:val="single" w:sz="4" w:space="0" w:color="auto"/>
            </w:tcBorders>
            <w:shd w:val="clear" w:color="auto" w:fill="auto"/>
            <w:noWrap/>
            <w:vAlign w:val="center"/>
            <w:hideMark/>
          </w:tcPr>
          <w:p w:rsidR="0094295C" w:rsidRPr="003B2A5E" w:rsidRDefault="0094295C" w:rsidP="0094295C">
            <w:pPr>
              <w:spacing w:before="0" w:after="0"/>
              <w:jc w:val="center"/>
              <w:rPr>
                <w:color w:val="000000"/>
                <w:sz w:val="16"/>
                <w:szCs w:val="16"/>
                <w:lang w:val="es-CO" w:eastAsia="es-CO"/>
              </w:rPr>
            </w:pPr>
            <w:r w:rsidRPr="00BB65BA">
              <w:rPr>
                <w:color w:val="000000"/>
                <w:sz w:val="16"/>
                <w:szCs w:val="16"/>
              </w:rPr>
              <w:t>30</w:t>
            </w:r>
          </w:p>
        </w:tc>
        <w:tc>
          <w:tcPr>
            <w:tcW w:w="1305" w:type="dxa"/>
            <w:tcBorders>
              <w:top w:val="single" w:sz="4" w:space="0" w:color="auto"/>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30</w:t>
            </w:r>
          </w:p>
        </w:tc>
        <w:tc>
          <w:tcPr>
            <w:tcW w:w="1020" w:type="dxa"/>
            <w:tcBorders>
              <w:top w:val="single" w:sz="4" w:space="0" w:color="auto"/>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60</w:t>
            </w:r>
          </w:p>
        </w:tc>
      </w:tr>
      <w:tr w:rsidR="0094295C" w:rsidRPr="006F1417" w:rsidTr="0094295C">
        <w:trPr>
          <w:trHeight w:val="240"/>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left"/>
              <w:rPr>
                <w:color w:val="000000"/>
                <w:sz w:val="16"/>
                <w:szCs w:val="16"/>
                <w:lang w:val="es-CO" w:eastAsia="es-CO"/>
              </w:rPr>
            </w:pPr>
            <w:r w:rsidRPr="006F1417">
              <w:rPr>
                <w:color w:val="000000"/>
                <w:sz w:val="16"/>
                <w:szCs w:val="16"/>
              </w:rPr>
              <w:t>Doble Barra</w:t>
            </w:r>
          </w:p>
        </w:tc>
        <w:tc>
          <w:tcPr>
            <w:tcW w:w="1077" w:type="dxa"/>
            <w:tcBorders>
              <w:top w:val="nil"/>
              <w:left w:val="nil"/>
              <w:bottom w:val="single" w:sz="4" w:space="0" w:color="auto"/>
              <w:right w:val="single" w:sz="4" w:space="0" w:color="auto"/>
            </w:tcBorders>
            <w:shd w:val="clear" w:color="auto" w:fill="auto"/>
            <w:noWrap/>
            <w:vAlign w:val="center"/>
            <w:hideMark/>
          </w:tcPr>
          <w:p w:rsidR="0094295C" w:rsidRPr="003B2A5E" w:rsidRDefault="0094295C" w:rsidP="0094295C">
            <w:pPr>
              <w:spacing w:before="0" w:after="0"/>
              <w:jc w:val="center"/>
              <w:rPr>
                <w:color w:val="000000"/>
                <w:sz w:val="16"/>
                <w:szCs w:val="16"/>
                <w:lang w:val="es-CO" w:eastAsia="es-CO"/>
              </w:rPr>
            </w:pPr>
            <w:r w:rsidRPr="00BB65BA">
              <w:rPr>
                <w:color w:val="000000"/>
                <w:sz w:val="16"/>
                <w:szCs w:val="16"/>
              </w:rPr>
              <w:t>40</w:t>
            </w:r>
          </w:p>
        </w:tc>
        <w:tc>
          <w:tcPr>
            <w:tcW w:w="1305" w:type="dxa"/>
            <w:tcBorders>
              <w:top w:val="nil"/>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50</w:t>
            </w:r>
          </w:p>
        </w:tc>
        <w:tc>
          <w:tcPr>
            <w:tcW w:w="1020" w:type="dxa"/>
            <w:tcBorders>
              <w:top w:val="nil"/>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60</w:t>
            </w:r>
          </w:p>
        </w:tc>
      </w:tr>
    </w:tbl>
    <w:p w:rsidR="0094295C" w:rsidRPr="004E6CFC" w:rsidRDefault="0094295C" w:rsidP="00637A3F">
      <w:pPr>
        <w:keepNext/>
        <w:rPr>
          <w:b/>
          <w:bCs/>
          <w:color w:val="000000"/>
          <w:szCs w:val="16"/>
          <w:lang w:val="es-CO" w:eastAsia="es-CO"/>
        </w:rPr>
      </w:pPr>
      <w:r w:rsidRPr="004E6CFC">
        <w:rPr>
          <w:b/>
          <w:bCs/>
          <w:color w:val="000000"/>
          <w:szCs w:val="16"/>
          <w:lang w:val="es-CO" w:eastAsia="es-CO"/>
        </w:rPr>
        <w:t>Subestaciones nivel de tensión 3</w:t>
      </w:r>
    </w:p>
    <w:tbl>
      <w:tblPr>
        <w:tblW w:w="9468" w:type="dxa"/>
        <w:tblCellMar>
          <w:left w:w="70" w:type="dxa"/>
          <w:right w:w="70" w:type="dxa"/>
        </w:tblCellMar>
        <w:tblLook w:val="04A0" w:firstRow="1" w:lastRow="0" w:firstColumn="1" w:lastColumn="0" w:noHBand="0" w:noVBand="1"/>
      </w:tblPr>
      <w:tblGrid>
        <w:gridCol w:w="2324"/>
        <w:gridCol w:w="737"/>
        <w:gridCol w:w="1305"/>
        <w:gridCol w:w="1417"/>
        <w:gridCol w:w="737"/>
        <w:gridCol w:w="737"/>
        <w:gridCol w:w="737"/>
        <w:gridCol w:w="737"/>
        <w:gridCol w:w="737"/>
      </w:tblGrid>
      <w:tr w:rsidR="0094295C" w:rsidRPr="006F1417" w:rsidTr="0094295C">
        <w:trPr>
          <w:trHeight w:val="960"/>
        </w:trPr>
        <w:tc>
          <w:tcPr>
            <w:tcW w:w="2324" w:type="dxa"/>
            <w:tcBorders>
              <w:top w:val="single" w:sz="4" w:space="0" w:color="auto"/>
              <w:left w:val="single" w:sz="4" w:space="0" w:color="auto"/>
              <w:bottom w:val="nil"/>
              <w:right w:val="single" w:sz="4" w:space="0" w:color="auto"/>
            </w:tcBorders>
            <w:shd w:val="clear" w:color="auto" w:fill="auto"/>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 xml:space="preserve">Configuración </w:t>
            </w:r>
          </w:p>
        </w:tc>
        <w:tc>
          <w:tcPr>
            <w:tcW w:w="737" w:type="dxa"/>
            <w:tcBorders>
              <w:top w:val="single" w:sz="4" w:space="0" w:color="auto"/>
              <w:left w:val="nil"/>
              <w:bottom w:val="nil"/>
              <w:right w:val="single" w:sz="4" w:space="0" w:color="auto"/>
            </w:tcBorders>
            <w:shd w:val="clear" w:color="auto" w:fill="auto"/>
            <w:vAlign w:val="center"/>
            <w:hideMark/>
          </w:tcPr>
          <w:p w:rsidR="0094295C" w:rsidRPr="003B2A5E" w:rsidRDefault="0094295C" w:rsidP="0094295C">
            <w:pPr>
              <w:spacing w:before="0" w:after="0"/>
              <w:jc w:val="center"/>
              <w:rPr>
                <w:color w:val="000000"/>
                <w:sz w:val="16"/>
                <w:szCs w:val="16"/>
                <w:lang w:val="es-CO" w:eastAsia="es-CO"/>
              </w:rPr>
            </w:pPr>
            <w:r w:rsidRPr="00BB65BA">
              <w:rPr>
                <w:color w:val="000000"/>
                <w:sz w:val="16"/>
                <w:szCs w:val="16"/>
                <w:lang w:val="es-CO" w:eastAsia="es-CO"/>
              </w:rPr>
              <w:t xml:space="preserve">Bahía de línea </w:t>
            </w:r>
          </w:p>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[m²]</w:t>
            </w:r>
          </w:p>
        </w:tc>
        <w:tc>
          <w:tcPr>
            <w:tcW w:w="1305" w:type="dxa"/>
            <w:tcBorders>
              <w:top w:val="single" w:sz="4" w:space="0" w:color="auto"/>
              <w:left w:val="nil"/>
              <w:bottom w:val="nil"/>
              <w:right w:val="single" w:sz="4" w:space="0" w:color="auto"/>
            </w:tcBorders>
            <w:shd w:val="clear" w:color="auto" w:fill="auto"/>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Bahía de Transformador</w:t>
            </w:r>
          </w:p>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[m²]</w:t>
            </w:r>
          </w:p>
        </w:tc>
        <w:tc>
          <w:tcPr>
            <w:tcW w:w="1417" w:type="dxa"/>
            <w:tcBorders>
              <w:top w:val="single" w:sz="4" w:space="0" w:color="auto"/>
              <w:left w:val="nil"/>
              <w:bottom w:val="nil"/>
              <w:right w:val="single" w:sz="4" w:space="0" w:color="auto"/>
            </w:tcBorders>
            <w:shd w:val="clear" w:color="auto" w:fill="auto"/>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Bahía de acople, seccionamiento,  transferencia o corte</w:t>
            </w:r>
          </w:p>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[m²]</w:t>
            </w:r>
          </w:p>
        </w:tc>
        <w:tc>
          <w:tcPr>
            <w:tcW w:w="737" w:type="dxa"/>
            <w:tcBorders>
              <w:top w:val="single" w:sz="4" w:space="0" w:color="auto"/>
              <w:left w:val="nil"/>
              <w:bottom w:val="nil"/>
              <w:right w:val="single" w:sz="4" w:space="0" w:color="auto"/>
            </w:tcBorders>
            <w:shd w:val="clear" w:color="auto" w:fill="auto"/>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Modulo común tipo 1 </w:t>
            </w:r>
          </w:p>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[m²]</w:t>
            </w:r>
          </w:p>
        </w:tc>
        <w:tc>
          <w:tcPr>
            <w:tcW w:w="737" w:type="dxa"/>
            <w:tcBorders>
              <w:top w:val="single" w:sz="4" w:space="0" w:color="auto"/>
              <w:left w:val="nil"/>
              <w:bottom w:val="nil"/>
              <w:right w:val="single" w:sz="4" w:space="0" w:color="auto"/>
            </w:tcBorders>
            <w:shd w:val="clear" w:color="auto" w:fill="auto"/>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Modulo común tipo 2 </w:t>
            </w:r>
          </w:p>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[m²]</w:t>
            </w:r>
          </w:p>
        </w:tc>
        <w:tc>
          <w:tcPr>
            <w:tcW w:w="737" w:type="dxa"/>
            <w:tcBorders>
              <w:top w:val="single" w:sz="4" w:space="0" w:color="auto"/>
              <w:left w:val="nil"/>
              <w:bottom w:val="nil"/>
              <w:right w:val="single" w:sz="4" w:space="0" w:color="auto"/>
            </w:tcBorders>
            <w:shd w:val="clear" w:color="auto" w:fill="auto"/>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Modulo común tipo 3 </w:t>
            </w:r>
          </w:p>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[m²]</w:t>
            </w:r>
          </w:p>
        </w:tc>
        <w:tc>
          <w:tcPr>
            <w:tcW w:w="737" w:type="dxa"/>
            <w:tcBorders>
              <w:top w:val="single" w:sz="4" w:space="0" w:color="auto"/>
              <w:left w:val="nil"/>
              <w:bottom w:val="nil"/>
              <w:right w:val="single" w:sz="4" w:space="0" w:color="auto"/>
            </w:tcBorders>
            <w:shd w:val="clear" w:color="auto" w:fill="auto"/>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Modulo común tipo 4 </w:t>
            </w:r>
          </w:p>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[m²]</w:t>
            </w:r>
          </w:p>
        </w:tc>
        <w:tc>
          <w:tcPr>
            <w:tcW w:w="737" w:type="dxa"/>
            <w:tcBorders>
              <w:top w:val="single" w:sz="4" w:space="0" w:color="auto"/>
              <w:left w:val="nil"/>
              <w:bottom w:val="nil"/>
              <w:right w:val="single" w:sz="4" w:space="0" w:color="auto"/>
            </w:tcBorders>
            <w:shd w:val="clear" w:color="auto" w:fill="auto"/>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Modulo común tipo 5 </w:t>
            </w:r>
          </w:p>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[m²]</w:t>
            </w:r>
          </w:p>
        </w:tc>
      </w:tr>
      <w:tr w:rsidR="0094295C" w:rsidRPr="006F1417" w:rsidTr="0094295C">
        <w:trPr>
          <w:trHeight w:val="300"/>
        </w:trPr>
        <w:tc>
          <w:tcPr>
            <w:tcW w:w="232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left"/>
              <w:rPr>
                <w:color w:val="000000"/>
                <w:sz w:val="16"/>
                <w:szCs w:val="16"/>
                <w:lang w:val="es-CO" w:eastAsia="es-CO"/>
              </w:rPr>
            </w:pPr>
            <w:r w:rsidRPr="006F1417">
              <w:rPr>
                <w:color w:val="000000"/>
                <w:sz w:val="16"/>
                <w:szCs w:val="16"/>
                <w:lang w:val="es-CO" w:eastAsia="es-CO"/>
              </w:rPr>
              <w:t>Barra sencilla convencional</w:t>
            </w:r>
          </w:p>
        </w:tc>
        <w:tc>
          <w:tcPr>
            <w:tcW w:w="737" w:type="dxa"/>
            <w:tcBorders>
              <w:top w:val="single" w:sz="4" w:space="0" w:color="auto"/>
              <w:left w:val="nil"/>
              <w:bottom w:val="single" w:sz="4" w:space="0" w:color="auto"/>
              <w:right w:val="single" w:sz="4" w:space="0" w:color="auto"/>
            </w:tcBorders>
            <w:shd w:val="clear" w:color="auto" w:fill="auto"/>
            <w:noWrap/>
            <w:vAlign w:val="bottom"/>
            <w:hideMark/>
          </w:tcPr>
          <w:p w:rsidR="0094295C" w:rsidRPr="003B2A5E" w:rsidRDefault="0094295C" w:rsidP="0094295C">
            <w:pPr>
              <w:spacing w:before="0" w:after="0"/>
              <w:jc w:val="center"/>
              <w:rPr>
                <w:color w:val="000000"/>
                <w:sz w:val="16"/>
                <w:szCs w:val="16"/>
                <w:lang w:val="es-CO" w:eastAsia="es-CO"/>
              </w:rPr>
            </w:pPr>
            <w:r w:rsidRPr="00BB65BA">
              <w:rPr>
                <w:color w:val="000000"/>
                <w:sz w:val="16"/>
                <w:szCs w:val="16"/>
              </w:rPr>
              <w:t>100</w:t>
            </w:r>
          </w:p>
        </w:tc>
        <w:tc>
          <w:tcPr>
            <w:tcW w:w="1305" w:type="dxa"/>
            <w:tcBorders>
              <w:top w:val="single" w:sz="4" w:space="0" w:color="auto"/>
              <w:left w:val="nil"/>
              <w:bottom w:val="single" w:sz="4" w:space="0" w:color="auto"/>
              <w:right w:val="single" w:sz="4" w:space="0" w:color="auto"/>
            </w:tcBorders>
            <w:shd w:val="clear" w:color="auto" w:fill="auto"/>
            <w:noWrap/>
            <w:vAlign w:val="bottom"/>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100</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94295C" w:rsidRPr="006F1417" w:rsidRDefault="0094295C" w:rsidP="0094295C">
            <w:pPr>
              <w:spacing w:before="0" w:after="0"/>
              <w:jc w:val="center"/>
              <w:rPr>
                <w:color w:val="000000"/>
                <w:sz w:val="16"/>
                <w:szCs w:val="16"/>
                <w:lang w:val="es-CO" w:eastAsia="es-CO"/>
              </w:rPr>
            </w:pPr>
          </w:p>
        </w:tc>
        <w:tc>
          <w:tcPr>
            <w:tcW w:w="737"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535</w:t>
            </w:r>
          </w:p>
        </w:tc>
        <w:tc>
          <w:tcPr>
            <w:tcW w:w="737"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670</w:t>
            </w:r>
          </w:p>
        </w:tc>
        <w:tc>
          <w:tcPr>
            <w:tcW w:w="737"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760</w:t>
            </w:r>
          </w:p>
        </w:tc>
        <w:tc>
          <w:tcPr>
            <w:tcW w:w="737"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65</w:t>
            </w:r>
          </w:p>
        </w:tc>
        <w:tc>
          <w:tcPr>
            <w:tcW w:w="737"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36</w:t>
            </w:r>
          </w:p>
        </w:tc>
      </w:tr>
      <w:tr w:rsidR="0094295C" w:rsidRPr="006F1417" w:rsidTr="0094295C">
        <w:trPr>
          <w:trHeight w:val="300"/>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left"/>
              <w:rPr>
                <w:color w:val="000000"/>
                <w:sz w:val="16"/>
                <w:szCs w:val="16"/>
                <w:lang w:val="es-CO" w:eastAsia="es-CO"/>
              </w:rPr>
            </w:pPr>
            <w:r w:rsidRPr="006F1417">
              <w:rPr>
                <w:color w:val="000000"/>
                <w:sz w:val="16"/>
                <w:szCs w:val="16"/>
                <w:lang w:val="es-CO" w:eastAsia="es-CO"/>
              </w:rPr>
              <w:t>Barra sencilla encapsulada</w:t>
            </w:r>
          </w:p>
        </w:tc>
        <w:tc>
          <w:tcPr>
            <w:tcW w:w="737" w:type="dxa"/>
            <w:tcBorders>
              <w:top w:val="nil"/>
              <w:left w:val="nil"/>
              <w:bottom w:val="single" w:sz="4" w:space="0" w:color="auto"/>
              <w:right w:val="single" w:sz="4" w:space="0" w:color="auto"/>
            </w:tcBorders>
            <w:shd w:val="clear" w:color="auto" w:fill="auto"/>
            <w:noWrap/>
            <w:vAlign w:val="bottom"/>
            <w:hideMark/>
          </w:tcPr>
          <w:p w:rsidR="0094295C" w:rsidRPr="003B2A5E" w:rsidRDefault="0094295C" w:rsidP="0094295C">
            <w:pPr>
              <w:spacing w:before="0" w:after="0"/>
              <w:jc w:val="center"/>
              <w:rPr>
                <w:color w:val="000000"/>
                <w:sz w:val="16"/>
                <w:szCs w:val="16"/>
                <w:lang w:val="es-CO" w:eastAsia="es-CO"/>
              </w:rPr>
            </w:pPr>
            <w:r w:rsidRPr="00BB65BA">
              <w:rPr>
                <w:color w:val="000000"/>
                <w:sz w:val="16"/>
                <w:szCs w:val="16"/>
              </w:rPr>
              <w:t>60</w:t>
            </w:r>
          </w:p>
        </w:tc>
        <w:tc>
          <w:tcPr>
            <w:tcW w:w="1305" w:type="dxa"/>
            <w:tcBorders>
              <w:top w:val="nil"/>
              <w:left w:val="nil"/>
              <w:bottom w:val="single" w:sz="4" w:space="0" w:color="auto"/>
              <w:right w:val="single" w:sz="4" w:space="0" w:color="auto"/>
            </w:tcBorders>
            <w:shd w:val="clear" w:color="auto" w:fill="auto"/>
            <w:noWrap/>
            <w:vAlign w:val="bottom"/>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60</w:t>
            </w:r>
          </w:p>
        </w:tc>
        <w:tc>
          <w:tcPr>
            <w:tcW w:w="1417" w:type="dxa"/>
            <w:tcBorders>
              <w:top w:val="nil"/>
              <w:left w:val="nil"/>
              <w:bottom w:val="single" w:sz="4" w:space="0" w:color="auto"/>
              <w:right w:val="single" w:sz="4" w:space="0" w:color="auto"/>
            </w:tcBorders>
            <w:shd w:val="clear" w:color="auto" w:fill="auto"/>
            <w:noWrap/>
            <w:vAlign w:val="bottom"/>
            <w:hideMark/>
          </w:tcPr>
          <w:p w:rsidR="0094295C" w:rsidRPr="006F1417" w:rsidRDefault="0094295C" w:rsidP="0094295C">
            <w:pPr>
              <w:spacing w:before="0" w:after="0"/>
              <w:jc w:val="center"/>
              <w:rPr>
                <w:color w:val="000000"/>
                <w:sz w:val="16"/>
                <w:szCs w:val="16"/>
                <w:lang w:val="es-CO" w:eastAsia="es-CO"/>
              </w:rPr>
            </w:pPr>
          </w:p>
        </w:tc>
        <w:tc>
          <w:tcPr>
            <w:tcW w:w="737"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c>
          <w:tcPr>
            <w:tcW w:w="737"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c>
          <w:tcPr>
            <w:tcW w:w="737"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c>
          <w:tcPr>
            <w:tcW w:w="737"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c>
          <w:tcPr>
            <w:tcW w:w="737"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r>
      <w:tr w:rsidR="0094295C" w:rsidRPr="006F1417" w:rsidTr="0094295C">
        <w:trPr>
          <w:trHeight w:val="240"/>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left"/>
              <w:rPr>
                <w:color w:val="000000"/>
                <w:sz w:val="16"/>
                <w:szCs w:val="16"/>
                <w:lang w:val="es-CO" w:eastAsia="es-CO"/>
              </w:rPr>
            </w:pPr>
            <w:r w:rsidRPr="006F1417">
              <w:rPr>
                <w:color w:val="000000"/>
                <w:sz w:val="16"/>
                <w:szCs w:val="16"/>
                <w:lang w:val="es-CO" w:eastAsia="es-CO"/>
              </w:rPr>
              <w:t>Doble Barra convencional</w:t>
            </w:r>
          </w:p>
        </w:tc>
        <w:tc>
          <w:tcPr>
            <w:tcW w:w="737" w:type="dxa"/>
            <w:tcBorders>
              <w:top w:val="nil"/>
              <w:left w:val="nil"/>
              <w:bottom w:val="single" w:sz="4" w:space="0" w:color="auto"/>
              <w:right w:val="single" w:sz="4" w:space="0" w:color="auto"/>
            </w:tcBorders>
            <w:shd w:val="clear" w:color="auto" w:fill="auto"/>
            <w:noWrap/>
            <w:vAlign w:val="bottom"/>
            <w:hideMark/>
          </w:tcPr>
          <w:p w:rsidR="0094295C" w:rsidRPr="003B2A5E" w:rsidRDefault="0094295C" w:rsidP="0094295C">
            <w:pPr>
              <w:spacing w:before="0" w:after="0"/>
              <w:jc w:val="center"/>
              <w:rPr>
                <w:color w:val="000000"/>
                <w:sz w:val="16"/>
                <w:szCs w:val="16"/>
                <w:lang w:val="es-CO" w:eastAsia="es-CO"/>
              </w:rPr>
            </w:pPr>
            <w:r w:rsidRPr="00BB65BA">
              <w:rPr>
                <w:color w:val="000000"/>
                <w:sz w:val="16"/>
                <w:szCs w:val="16"/>
              </w:rPr>
              <w:t>100</w:t>
            </w:r>
          </w:p>
        </w:tc>
        <w:tc>
          <w:tcPr>
            <w:tcW w:w="1305" w:type="dxa"/>
            <w:tcBorders>
              <w:top w:val="nil"/>
              <w:left w:val="nil"/>
              <w:bottom w:val="single" w:sz="4" w:space="0" w:color="auto"/>
              <w:right w:val="single" w:sz="4" w:space="0" w:color="auto"/>
            </w:tcBorders>
            <w:shd w:val="clear" w:color="auto" w:fill="auto"/>
            <w:noWrap/>
            <w:vAlign w:val="bottom"/>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100</w:t>
            </w:r>
          </w:p>
        </w:tc>
        <w:tc>
          <w:tcPr>
            <w:tcW w:w="1417" w:type="dxa"/>
            <w:tcBorders>
              <w:top w:val="nil"/>
              <w:left w:val="nil"/>
              <w:bottom w:val="single" w:sz="4" w:space="0" w:color="auto"/>
              <w:right w:val="single" w:sz="4" w:space="0" w:color="auto"/>
            </w:tcBorders>
            <w:shd w:val="clear" w:color="auto" w:fill="auto"/>
            <w:noWrap/>
            <w:vAlign w:val="bottom"/>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100</w:t>
            </w:r>
          </w:p>
        </w:tc>
        <w:tc>
          <w:tcPr>
            <w:tcW w:w="737"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c>
          <w:tcPr>
            <w:tcW w:w="737"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c>
          <w:tcPr>
            <w:tcW w:w="737"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c>
          <w:tcPr>
            <w:tcW w:w="737"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c>
          <w:tcPr>
            <w:tcW w:w="737"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r>
      <w:tr w:rsidR="0094295C" w:rsidRPr="006F1417" w:rsidTr="0094295C">
        <w:trPr>
          <w:trHeight w:val="240"/>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left"/>
              <w:rPr>
                <w:color w:val="000000"/>
                <w:sz w:val="16"/>
                <w:szCs w:val="16"/>
                <w:lang w:val="es-CO" w:eastAsia="es-CO"/>
              </w:rPr>
            </w:pPr>
            <w:r w:rsidRPr="006F1417">
              <w:rPr>
                <w:color w:val="000000"/>
                <w:sz w:val="16"/>
                <w:szCs w:val="16"/>
                <w:lang w:val="es-CO" w:eastAsia="es-CO"/>
              </w:rPr>
              <w:t>Doble Barra encapsulada</w:t>
            </w:r>
          </w:p>
        </w:tc>
        <w:tc>
          <w:tcPr>
            <w:tcW w:w="737" w:type="dxa"/>
            <w:tcBorders>
              <w:top w:val="nil"/>
              <w:left w:val="nil"/>
              <w:bottom w:val="single" w:sz="4" w:space="0" w:color="auto"/>
              <w:right w:val="single" w:sz="4" w:space="0" w:color="auto"/>
            </w:tcBorders>
            <w:shd w:val="clear" w:color="auto" w:fill="auto"/>
            <w:noWrap/>
            <w:vAlign w:val="bottom"/>
            <w:hideMark/>
          </w:tcPr>
          <w:p w:rsidR="0094295C" w:rsidRPr="003B2A5E" w:rsidRDefault="0094295C" w:rsidP="0094295C">
            <w:pPr>
              <w:spacing w:before="0" w:after="0"/>
              <w:jc w:val="center"/>
              <w:rPr>
                <w:color w:val="000000"/>
                <w:sz w:val="16"/>
                <w:szCs w:val="16"/>
                <w:lang w:val="es-CO" w:eastAsia="es-CO"/>
              </w:rPr>
            </w:pPr>
            <w:r w:rsidRPr="00BB65BA">
              <w:rPr>
                <w:color w:val="000000"/>
                <w:sz w:val="16"/>
                <w:szCs w:val="16"/>
              </w:rPr>
              <w:t>60</w:t>
            </w:r>
          </w:p>
        </w:tc>
        <w:tc>
          <w:tcPr>
            <w:tcW w:w="1305" w:type="dxa"/>
            <w:tcBorders>
              <w:top w:val="nil"/>
              <w:left w:val="nil"/>
              <w:bottom w:val="single" w:sz="4" w:space="0" w:color="auto"/>
              <w:right w:val="single" w:sz="4" w:space="0" w:color="auto"/>
            </w:tcBorders>
            <w:shd w:val="clear" w:color="auto" w:fill="auto"/>
            <w:noWrap/>
            <w:vAlign w:val="bottom"/>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60</w:t>
            </w:r>
          </w:p>
        </w:tc>
        <w:tc>
          <w:tcPr>
            <w:tcW w:w="1417" w:type="dxa"/>
            <w:tcBorders>
              <w:top w:val="nil"/>
              <w:left w:val="nil"/>
              <w:bottom w:val="single" w:sz="4" w:space="0" w:color="auto"/>
              <w:right w:val="single" w:sz="4" w:space="0" w:color="auto"/>
            </w:tcBorders>
            <w:shd w:val="clear" w:color="auto" w:fill="auto"/>
            <w:noWrap/>
            <w:vAlign w:val="bottom"/>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60</w:t>
            </w:r>
          </w:p>
        </w:tc>
        <w:tc>
          <w:tcPr>
            <w:tcW w:w="737"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c>
          <w:tcPr>
            <w:tcW w:w="737"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c>
          <w:tcPr>
            <w:tcW w:w="737"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c>
          <w:tcPr>
            <w:tcW w:w="737"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c>
          <w:tcPr>
            <w:tcW w:w="737"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r>
      <w:tr w:rsidR="0094295C" w:rsidRPr="006F1417" w:rsidTr="0094295C">
        <w:trPr>
          <w:trHeight w:val="240"/>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left"/>
              <w:rPr>
                <w:color w:val="000000"/>
                <w:sz w:val="16"/>
                <w:szCs w:val="16"/>
                <w:lang w:val="es-CO" w:eastAsia="es-CO"/>
              </w:rPr>
            </w:pPr>
            <w:r w:rsidRPr="006F1417">
              <w:rPr>
                <w:color w:val="000000"/>
                <w:sz w:val="16"/>
                <w:szCs w:val="16"/>
                <w:lang w:val="es-CO" w:eastAsia="es-CO"/>
              </w:rPr>
              <w:t>Barra principal y transferencia</w:t>
            </w:r>
          </w:p>
        </w:tc>
        <w:tc>
          <w:tcPr>
            <w:tcW w:w="737" w:type="dxa"/>
            <w:tcBorders>
              <w:top w:val="nil"/>
              <w:left w:val="nil"/>
              <w:bottom w:val="single" w:sz="4" w:space="0" w:color="auto"/>
              <w:right w:val="single" w:sz="4" w:space="0" w:color="auto"/>
            </w:tcBorders>
            <w:shd w:val="clear" w:color="auto" w:fill="auto"/>
            <w:noWrap/>
            <w:vAlign w:val="bottom"/>
            <w:hideMark/>
          </w:tcPr>
          <w:p w:rsidR="0094295C" w:rsidRPr="003B2A5E" w:rsidRDefault="0094295C" w:rsidP="0094295C">
            <w:pPr>
              <w:spacing w:before="0" w:after="0"/>
              <w:jc w:val="center"/>
              <w:rPr>
                <w:color w:val="000000"/>
                <w:sz w:val="16"/>
                <w:szCs w:val="16"/>
                <w:lang w:val="es-CO" w:eastAsia="es-CO"/>
              </w:rPr>
            </w:pPr>
            <w:r w:rsidRPr="00BB65BA">
              <w:rPr>
                <w:color w:val="000000"/>
                <w:sz w:val="16"/>
                <w:szCs w:val="16"/>
              </w:rPr>
              <w:t>100</w:t>
            </w:r>
          </w:p>
        </w:tc>
        <w:tc>
          <w:tcPr>
            <w:tcW w:w="1305" w:type="dxa"/>
            <w:tcBorders>
              <w:top w:val="nil"/>
              <w:left w:val="nil"/>
              <w:bottom w:val="single" w:sz="4" w:space="0" w:color="auto"/>
              <w:right w:val="single" w:sz="4" w:space="0" w:color="auto"/>
            </w:tcBorders>
            <w:shd w:val="clear" w:color="auto" w:fill="auto"/>
            <w:noWrap/>
            <w:vAlign w:val="bottom"/>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100</w:t>
            </w:r>
          </w:p>
        </w:tc>
        <w:tc>
          <w:tcPr>
            <w:tcW w:w="1417" w:type="dxa"/>
            <w:tcBorders>
              <w:top w:val="nil"/>
              <w:left w:val="nil"/>
              <w:bottom w:val="single" w:sz="4" w:space="0" w:color="auto"/>
              <w:right w:val="single" w:sz="4" w:space="0" w:color="auto"/>
            </w:tcBorders>
            <w:shd w:val="clear" w:color="auto" w:fill="auto"/>
            <w:noWrap/>
            <w:vAlign w:val="bottom"/>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100</w:t>
            </w:r>
          </w:p>
        </w:tc>
        <w:tc>
          <w:tcPr>
            <w:tcW w:w="737"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c>
          <w:tcPr>
            <w:tcW w:w="737"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c>
          <w:tcPr>
            <w:tcW w:w="737"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c>
          <w:tcPr>
            <w:tcW w:w="737"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c>
          <w:tcPr>
            <w:tcW w:w="737"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r>
    </w:tbl>
    <w:p w:rsidR="0094295C" w:rsidRPr="004E6CFC" w:rsidRDefault="0094295C" w:rsidP="0094295C">
      <w:pPr>
        <w:keepNext/>
        <w:rPr>
          <w:b/>
          <w:bCs/>
          <w:color w:val="000000"/>
          <w:szCs w:val="16"/>
          <w:lang w:val="es-CO" w:eastAsia="es-CO"/>
        </w:rPr>
      </w:pPr>
      <w:r w:rsidRPr="004E6CFC">
        <w:rPr>
          <w:b/>
          <w:bCs/>
          <w:color w:val="000000"/>
          <w:szCs w:val="16"/>
          <w:lang w:val="es-CO" w:eastAsia="es-CO"/>
        </w:rPr>
        <w:lastRenderedPageBreak/>
        <w:t>Subestaciones nivel de tensión 2</w:t>
      </w:r>
    </w:p>
    <w:tbl>
      <w:tblPr>
        <w:tblW w:w="9267" w:type="dxa"/>
        <w:tblCellMar>
          <w:left w:w="70" w:type="dxa"/>
          <w:right w:w="70" w:type="dxa"/>
        </w:tblCellMar>
        <w:tblLook w:val="04A0" w:firstRow="1" w:lastRow="0" w:firstColumn="1" w:lastColumn="0" w:noHBand="0" w:noVBand="1"/>
      </w:tblPr>
      <w:tblGrid>
        <w:gridCol w:w="2324"/>
        <w:gridCol w:w="648"/>
        <w:gridCol w:w="1305"/>
        <w:gridCol w:w="1814"/>
        <w:gridCol w:w="794"/>
        <w:gridCol w:w="794"/>
        <w:gridCol w:w="794"/>
        <w:gridCol w:w="794"/>
      </w:tblGrid>
      <w:tr w:rsidR="0094295C" w:rsidRPr="006F1417" w:rsidTr="0094295C">
        <w:trPr>
          <w:trHeight w:val="737"/>
        </w:trPr>
        <w:tc>
          <w:tcPr>
            <w:tcW w:w="2324" w:type="dxa"/>
            <w:tcBorders>
              <w:top w:val="single" w:sz="4" w:space="0" w:color="auto"/>
              <w:left w:val="single" w:sz="4" w:space="0" w:color="auto"/>
              <w:bottom w:val="nil"/>
              <w:right w:val="single" w:sz="4" w:space="0" w:color="auto"/>
            </w:tcBorders>
            <w:shd w:val="clear" w:color="auto" w:fill="auto"/>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 xml:space="preserve">Configuración </w:t>
            </w:r>
          </w:p>
        </w:tc>
        <w:tc>
          <w:tcPr>
            <w:tcW w:w="648" w:type="dxa"/>
            <w:tcBorders>
              <w:top w:val="single" w:sz="4" w:space="0" w:color="auto"/>
              <w:left w:val="nil"/>
              <w:bottom w:val="nil"/>
              <w:right w:val="single" w:sz="4" w:space="0" w:color="auto"/>
            </w:tcBorders>
            <w:shd w:val="clear" w:color="auto" w:fill="auto"/>
            <w:vAlign w:val="center"/>
            <w:hideMark/>
          </w:tcPr>
          <w:p w:rsidR="0094295C" w:rsidRPr="003B2A5E" w:rsidRDefault="0094295C" w:rsidP="0094295C">
            <w:pPr>
              <w:spacing w:before="0" w:after="0"/>
              <w:jc w:val="center"/>
              <w:rPr>
                <w:color w:val="000000"/>
                <w:sz w:val="16"/>
                <w:szCs w:val="16"/>
                <w:lang w:val="es-CO" w:eastAsia="es-CO"/>
              </w:rPr>
            </w:pPr>
            <w:r w:rsidRPr="00BB65BA">
              <w:rPr>
                <w:color w:val="000000"/>
                <w:sz w:val="16"/>
                <w:szCs w:val="16"/>
                <w:lang w:val="es-CO" w:eastAsia="es-CO"/>
              </w:rPr>
              <w:t>Bahía de línea</w:t>
            </w:r>
          </w:p>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[m²]</w:t>
            </w:r>
          </w:p>
        </w:tc>
        <w:tc>
          <w:tcPr>
            <w:tcW w:w="1305" w:type="dxa"/>
            <w:tcBorders>
              <w:top w:val="single" w:sz="4" w:space="0" w:color="auto"/>
              <w:left w:val="nil"/>
              <w:bottom w:val="nil"/>
              <w:right w:val="single" w:sz="4" w:space="0" w:color="auto"/>
            </w:tcBorders>
            <w:shd w:val="clear" w:color="auto" w:fill="auto"/>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 xml:space="preserve">Bahía de Transformador </w:t>
            </w:r>
            <w:r w:rsidRPr="006F1417">
              <w:rPr>
                <w:color w:val="000000"/>
                <w:sz w:val="16"/>
                <w:szCs w:val="16"/>
                <w:lang w:val="es-CO" w:eastAsia="es-CO"/>
              </w:rPr>
              <w:br/>
              <w:t>[m²]</w:t>
            </w:r>
          </w:p>
        </w:tc>
        <w:tc>
          <w:tcPr>
            <w:tcW w:w="1814" w:type="dxa"/>
            <w:tcBorders>
              <w:top w:val="single" w:sz="4" w:space="0" w:color="auto"/>
              <w:left w:val="nil"/>
              <w:bottom w:val="nil"/>
              <w:right w:val="single" w:sz="4" w:space="0" w:color="auto"/>
            </w:tcBorders>
            <w:shd w:val="clear" w:color="auto" w:fill="auto"/>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Bahía de acople, seccionamiento, transferencia o corte</w:t>
            </w:r>
          </w:p>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[m²]</w:t>
            </w:r>
          </w:p>
        </w:tc>
        <w:tc>
          <w:tcPr>
            <w:tcW w:w="794" w:type="dxa"/>
            <w:tcBorders>
              <w:top w:val="single" w:sz="4" w:space="0" w:color="auto"/>
              <w:left w:val="nil"/>
              <w:bottom w:val="nil"/>
              <w:right w:val="single" w:sz="4" w:space="0" w:color="auto"/>
            </w:tcBorders>
            <w:shd w:val="clear" w:color="auto" w:fill="auto"/>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Modulo común tipo 1</w:t>
            </w:r>
          </w:p>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[m²]</w:t>
            </w:r>
          </w:p>
        </w:tc>
        <w:tc>
          <w:tcPr>
            <w:tcW w:w="794" w:type="dxa"/>
            <w:tcBorders>
              <w:top w:val="single" w:sz="4" w:space="0" w:color="auto"/>
              <w:left w:val="nil"/>
              <w:bottom w:val="nil"/>
              <w:right w:val="single" w:sz="4" w:space="0" w:color="auto"/>
            </w:tcBorders>
            <w:shd w:val="clear" w:color="auto" w:fill="auto"/>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Modulo común tipo 2</w:t>
            </w:r>
          </w:p>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[m²]</w:t>
            </w:r>
          </w:p>
        </w:tc>
        <w:tc>
          <w:tcPr>
            <w:tcW w:w="794" w:type="dxa"/>
            <w:tcBorders>
              <w:top w:val="single" w:sz="4" w:space="0" w:color="auto"/>
              <w:left w:val="nil"/>
              <w:bottom w:val="nil"/>
              <w:right w:val="single" w:sz="4" w:space="0" w:color="auto"/>
            </w:tcBorders>
            <w:shd w:val="clear" w:color="auto" w:fill="auto"/>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Modulo común tipo 3</w:t>
            </w:r>
          </w:p>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[m²]</w:t>
            </w:r>
          </w:p>
        </w:tc>
        <w:tc>
          <w:tcPr>
            <w:tcW w:w="794" w:type="dxa"/>
            <w:tcBorders>
              <w:top w:val="single" w:sz="4" w:space="0" w:color="auto"/>
              <w:left w:val="nil"/>
              <w:bottom w:val="nil"/>
              <w:right w:val="single" w:sz="4" w:space="0" w:color="auto"/>
            </w:tcBorders>
            <w:shd w:val="clear" w:color="auto" w:fill="auto"/>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Modulo común tipo 4</w:t>
            </w:r>
          </w:p>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[m²]</w:t>
            </w:r>
          </w:p>
        </w:tc>
      </w:tr>
      <w:tr w:rsidR="0094295C" w:rsidRPr="006F1417" w:rsidTr="0094295C">
        <w:trPr>
          <w:trHeight w:val="300"/>
        </w:trPr>
        <w:tc>
          <w:tcPr>
            <w:tcW w:w="232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left"/>
              <w:rPr>
                <w:color w:val="000000"/>
                <w:sz w:val="16"/>
                <w:szCs w:val="16"/>
                <w:lang w:val="es-CO" w:eastAsia="es-CO"/>
              </w:rPr>
            </w:pPr>
            <w:r w:rsidRPr="006F1417">
              <w:rPr>
                <w:color w:val="000000"/>
                <w:sz w:val="16"/>
                <w:szCs w:val="16"/>
                <w:lang w:val="es-CO" w:eastAsia="es-CO"/>
              </w:rPr>
              <w:t>Barra sencilla convencional</w:t>
            </w:r>
          </w:p>
        </w:tc>
        <w:tc>
          <w:tcPr>
            <w:tcW w:w="648" w:type="dxa"/>
            <w:tcBorders>
              <w:top w:val="single" w:sz="4" w:space="0" w:color="auto"/>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jc w:val="center"/>
              <w:rPr>
                <w:color w:val="000000"/>
                <w:sz w:val="16"/>
                <w:szCs w:val="16"/>
                <w:lang w:val="es-CO" w:eastAsia="es-CO"/>
              </w:rPr>
            </w:pPr>
            <w:r w:rsidRPr="00BB65BA">
              <w:rPr>
                <w:color w:val="000000"/>
                <w:sz w:val="16"/>
                <w:szCs w:val="16"/>
                <w:lang w:val="es-CO" w:eastAsia="es-CO"/>
              </w:rPr>
              <w:t>60</w:t>
            </w:r>
          </w:p>
        </w:tc>
        <w:tc>
          <w:tcPr>
            <w:tcW w:w="1305" w:type="dxa"/>
            <w:tcBorders>
              <w:top w:val="single" w:sz="4" w:space="0" w:color="auto"/>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60</w:t>
            </w:r>
          </w:p>
        </w:tc>
        <w:tc>
          <w:tcPr>
            <w:tcW w:w="1814" w:type="dxa"/>
            <w:tcBorders>
              <w:top w:val="single" w:sz="4" w:space="0" w:color="auto"/>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 </w:t>
            </w:r>
          </w:p>
        </w:tc>
        <w:tc>
          <w:tcPr>
            <w:tcW w:w="794"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481,5</w:t>
            </w:r>
          </w:p>
        </w:tc>
        <w:tc>
          <w:tcPr>
            <w:tcW w:w="794"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603</w:t>
            </w:r>
          </w:p>
        </w:tc>
        <w:tc>
          <w:tcPr>
            <w:tcW w:w="794"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684</w:t>
            </w:r>
          </w:p>
        </w:tc>
        <w:tc>
          <w:tcPr>
            <w:tcW w:w="794"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36</w:t>
            </w:r>
          </w:p>
        </w:tc>
      </w:tr>
      <w:tr w:rsidR="0094295C" w:rsidRPr="006F1417" w:rsidTr="0094295C">
        <w:trPr>
          <w:trHeight w:val="240"/>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left"/>
              <w:rPr>
                <w:color w:val="000000"/>
                <w:sz w:val="16"/>
                <w:szCs w:val="16"/>
                <w:lang w:val="es-CO" w:eastAsia="es-CO"/>
              </w:rPr>
            </w:pPr>
            <w:r w:rsidRPr="006F1417">
              <w:rPr>
                <w:color w:val="000000"/>
                <w:sz w:val="16"/>
                <w:szCs w:val="16"/>
                <w:lang w:val="es-CO" w:eastAsia="es-CO"/>
              </w:rPr>
              <w:t>Doble Barra convencional</w:t>
            </w:r>
          </w:p>
        </w:tc>
        <w:tc>
          <w:tcPr>
            <w:tcW w:w="648" w:type="dxa"/>
            <w:tcBorders>
              <w:top w:val="nil"/>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jc w:val="center"/>
              <w:rPr>
                <w:color w:val="000000"/>
                <w:sz w:val="16"/>
                <w:szCs w:val="16"/>
                <w:lang w:val="es-CO" w:eastAsia="es-CO"/>
              </w:rPr>
            </w:pPr>
            <w:r w:rsidRPr="00BB65BA">
              <w:rPr>
                <w:color w:val="000000"/>
                <w:sz w:val="16"/>
                <w:szCs w:val="16"/>
                <w:lang w:val="es-CO" w:eastAsia="es-CO"/>
              </w:rPr>
              <w:t>60</w:t>
            </w:r>
          </w:p>
        </w:tc>
        <w:tc>
          <w:tcPr>
            <w:tcW w:w="1305" w:type="dxa"/>
            <w:tcBorders>
              <w:top w:val="nil"/>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60</w:t>
            </w:r>
          </w:p>
        </w:tc>
        <w:tc>
          <w:tcPr>
            <w:tcW w:w="1814" w:type="dxa"/>
            <w:tcBorders>
              <w:top w:val="nil"/>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60</w:t>
            </w:r>
          </w:p>
        </w:tc>
        <w:tc>
          <w:tcPr>
            <w:tcW w:w="794"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c>
          <w:tcPr>
            <w:tcW w:w="794"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c>
          <w:tcPr>
            <w:tcW w:w="794"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c>
          <w:tcPr>
            <w:tcW w:w="794"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r>
      <w:tr w:rsidR="0094295C" w:rsidRPr="006F1417" w:rsidTr="0094295C">
        <w:trPr>
          <w:trHeight w:val="240"/>
        </w:trPr>
        <w:tc>
          <w:tcPr>
            <w:tcW w:w="2324" w:type="dxa"/>
            <w:tcBorders>
              <w:top w:val="nil"/>
              <w:left w:val="single" w:sz="4" w:space="0" w:color="auto"/>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left"/>
              <w:rPr>
                <w:color w:val="000000"/>
                <w:sz w:val="16"/>
                <w:szCs w:val="16"/>
                <w:lang w:val="es-CO" w:eastAsia="es-CO"/>
              </w:rPr>
            </w:pPr>
            <w:r w:rsidRPr="006F1417">
              <w:rPr>
                <w:color w:val="000000"/>
                <w:sz w:val="16"/>
                <w:szCs w:val="16"/>
                <w:lang w:val="es-CO" w:eastAsia="es-CO"/>
              </w:rPr>
              <w:t>Barra principal y transferencia</w:t>
            </w:r>
          </w:p>
        </w:tc>
        <w:tc>
          <w:tcPr>
            <w:tcW w:w="648" w:type="dxa"/>
            <w:tcBorders>
              <w:top w:val="nil"/>
              <w:left w:val="nil"/>
              <w:bottom w:val="single" w:sz="4" w:space="0" w:color="auto"/>
              <w:right w:val="single" w:sz="4" w:space="0" w:color="auto"/>
            </w:tcBorders>
            <w:shd w:val="clear" w:color="auto" w:fill="auto"/>
            <w:noWrap/>
            <w:vAlign w:val="center"/>
            <w:hideMark/>
          </w:tcPr>
          <w:p w:rsidR="0094295C" w:rsidRPr="00BB65BA" w:rsidRDefault="0094295C" w:rsidP="0094295C">
            <w:pPr>
              <w:spacing w:before="0" w:after="0"/>
              <w:jc w:val="center"/>
              <w:rPr>
                <w:color w:val="000000"/>
                <w:sz w:val="16"/>
                <w:szCs w:val="16"/>
                <w:lang w:val="es-CO" w:eastAsia="es-CO"/>
              </w:rPr>
            </w:pPr>
            <w:r w:rsidRPr="00BB65BA">
              <w:rPr>
                <w:color w:val="000000"/>
                <w:sz w:val="16"/>
                <w:szCs w:val="16"/>
                <w:lang w:val="es-CO" w:eastAsia="es-CO"/>
              </w:rPr>
              <w:t>60</w:t>
            </w:r>
          </w:p>
        </w:tc>
        <w:tc>
          <w:tcPr>
            <w:tcW w:w="1305" w:type="dxa"/>
            <w:tcBorders>
              <w:top w:val="nil"/>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60</w:t>
            </w:r>
          </w:p>
        </w:tc>
        <w:tc>
          <w:tcPr>
            <w:tcW w:w="1814" w:type="dxa"/>
            <w:tcBorders>
              <w:top w:val="nil"/>
              <w:left w:val="nil"/>
              <w:bottom w:val="single" w:sz="4" w:space="0" w:color="auto"/>
              <w:right w:val="single" w:sz="4" w:space="0" w:color="auto"/>
            </w:tcBorders>
            <w:shd w:val="clear" w:color="auto" w:fill="auto"/>
            <w:noWrap/>
            <w:vAlign w:val="center"/>
            <w:hideMark/>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60</w:t>
            </w:r>
          </w:p>
        </w:tc>
        <w:tc>
          <w:tcPr>
            <w:tcW w:w="794"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c>
          <w:tcPr>
            <w:tcW w:w="794"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c>
          <w:tcPr>
            <w:tcW w:w="794"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c>
          <w:tcPr>
            <w:tcW w:w="794" w:type="dxa"/>
            <w:vMerge/>
            <w:tcBorders>
              <w:top w:val="single" w:sz="4" w:space="0" w:color="auto"/>
              <w:left w:val="single" w:sz="4" w:space="0" w:color="auto"/>
              <w:bottom w:val="single" w:sz="4" w:space="0" w:color="000000"/>
              <w:right w:val="single" w:sz="4" w:space="0" w:color="auto"/>
            </w:tcBorders>
            <w:vAlign w:val="center"/>
            <w:hideMark/>
          </w:tcPr>
          <w:p w:rsidR="0094295C" w:rsidRPr="006F1417" w:rsidRDefault="0094295C" w:rsidP="0094295C">
            <w:pPr>
              <w:spacing w:before="0" w:after="0"/>
              <w:jc w:val="left"/>
              <w:rPr>
                <w:color w:val="000000"/>
                <w:sz w:val="16"/>
                <w:szCs w:val="16"/>
                <w:lang w:val="es-CO" w:eastAsia="es-CO"/>
              </w:rPr>
            </w:pPr>
          </w:p>
        </w:tc>
      </w:tr>
    </w:tbl>
    <w:p w:rsidR="0094295C" w:rsidRPr="004E6CFC" w:rsidRDefault="0094295C" w:rsidP="0094295C">
      <w:pPr>
        <w:rPr>
          <w:b/>
          <w:bCs/>
          <w:color w:val="000000"/>
          <w:szCs w:val="16"/>
          <w:lang w:val="es-CO" w:eastAsia="es-CO"/>
        </w:rPr>
      </w:pPr>
      <w:r w:rsidRPr="004E6CFC">
        <w:rPr>
          <w:b/>
          <w:bCs/>
          <w:color w:val="000000"/>
          <w:szCs w:val="16"/>
          <w:lang w:val="es-CO" w:eastAsia="es-CO"/>
        </w:rPr>
        <w:t>Transformadores</w:t>
      </w:r>
    </w:p>
    <w:tbl>
      <w:tblPr>
        <w:tblStyle w:val="Tablaconcuadrcula"/>
        <w:tblW w:w="0" w:type="auto"/>
        <w:jc w:val="center"/>
        <w:tblLook w:val="04A0" w:firstRow="1" w:lastRow="0" w:firstColumn="1" w:lastColumn="0" w:noHBand="0" w:noVBand="1"/>
      </w:tblPr>
      <w:tblGrid>
        <w:gridCol w:w="2336"/>
        <w:gridCol w:w="1757"/>
        <w:gridCol w:w="1644"/>
        <w:gridCol w:w="1644"/>
      </w:tblGrid>
      <w:tr w:rsidR="0094295C" w:rsidRPr="006F1417" w:rsidTr="0094295C">
        <w:trPr>
          <w:jc w:val="center"/>
        </w:trPr>
        <w:tc>
          <w:tcPr>
            <w:tcW w:w="2336" w:type="dxa"/>
            <w:vAlign w:val="center"/>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Configuración</w:t>
            </w:r>
          </w:p>
        </w:tc>
        <w:tc>
          <w:tcPr>
            <w:tcW w:w="1757" w:type="dxa"/>
            <w:vAlign w:val="center"/>
          </w:tcPr>
          <w:p w:rsidR="0094295C" w:rsidRPr="00BB65BA" w:rsidRDefault="0094295C" w:rsidP="0094295C">
            <w:pPr>
              <w:spacing w:before="0" w:after="0"/>
              <w:jc w:val="center"/>
              <w:rPr>
                <w:color w:val="000000"/>
                <w:sz w:val="16"/>
                <w:szCs w:val="16"/>
                <w:lang w:val="es-CO" w:eastAsia="es-CO"/>
              </w:rPr>
            </w:pPr>
            <w:r w:rsidRPr="00BB65BA">
              <w:rPr>
                <w:color w:val="000000"/>
                <w:sz w:val="16"/>
                <w:szCs w:val="16"/>
                <w:lang w:val="es-CO" w:eastAsia="es-CO"/>
              </w:rPr>
              <w:t>Conexión al STN</w:t>
            </w:r>
          </w:p>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m</w:t>
            </w:r>
            <w:r w:rsidRPr="006F1417">
              <w:rPr>
                <w:color w:val="000000"/>
                <w:sz w:val="16"/>
                <w:szCs w:val="16"/>
                <w:vertAlign w:val="superscript"/>
                <w:lang w:val="es-CO" w:eastAsia="es-CO"/>
              </w:rPr>
              <w:t>2</w:t>
            </w:r>
          </w:p>
        </w:tc>
        <w:tc>
          <w:tcPr>
            <w:tcW w:w="1644" w:type="dxa"/>
            <w:vAlign w:val="center"/>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Lado de alta en el nivel 4</w:t>
            </w:r>
          </w:p>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m</w:t>
            </w:r>
            <w:r w:rsidRPr="006F1417">
              <w:rPr>
                <w:color w:val="000000"/>
                <w:sz w:val="16"/>
                <w:szCs w:val="16"/>
                <w:vertAlign w:val="superscript"/>
                <w:lang w:val="es-CO" w:eastAsia="es-CO"/>
              </w:rPr>
              <w:t>2</w:t>
            </w:r>
          </w:p>
        </w:tc>
        <w:tc>
          <w:tcPr>
            <w:tcW w:w="1644" w:type="dxa"/>
            <w:vAlign w:val="center"/>
          </w:tcPr>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Lado de alta en el nivel 3</w:t>
            </w:r>
          </w:p>
          <w:p w:rsidR="0094295C" w:rsidRPr="006F1417" w:rsidRDefault="0094295C" w:rsidP="0094295C">
            <w:pPr>
              <w:spacing w:before="0" w:after="0"/>
              <w:jc w:val="center"/>
              <w:rPr>
                <w:color w:val="000000"/>
                <w:sz w:val="16"/>
                <w:szCs w:val="16"/>
                <w:lang w:val="es-CO" w:eastAsia="es-CO"/>
              </w:rPr>
            </w:pPr>
            <w:r w:rsidRPr="006F1417">
              <w:rPr>
                <w:color w:val="000000"/>
                <w:sz w:val="16"/>
                <w:szCs w:val="16"/>
                <w:lang w:val="es-CO" w:eastAsia="es-CO"/>
              </w:rPr>
              <w:t>m</w:t>
            </w:r>
            <w:r w:rsidRPr="006F1417">
              <w:rPr>
                <w:color w:val="000000"/>
                <w:sz w:val="16"/>
                <w:szCs w:val="16"/>
                <w:vertAlign w:val="superscript"/>
                <w:lang w:val="es-CO" w:eastAsia="es-CO"/>
              </w:rPr>
              <w:t>2</w:t>
            </w:r>
          </w:p>
        </w:tc>
      </w:tr>
      <w:tr w:rsidR="0094295C" w:rsidRPr="006F1417" w:rsidTr="0094295C">
        <w:trPr>
          <w:jc w:val="center"/>
        </w:trPr>
        <w:tc>
          <w:tcPr>
            <w:tcW w:w="2336" w:type="dxa"/>
          </w:tcPr>
          <w:p w:rsidR="0094295C" w:rsidRPr="006F1417" w:rsidRDefault="0094295C" w:rsidP="0094295C">
            <w:pPr>
              <w:spacing w:before="0" w:after="0"/>
              <w:jc w:val="left"/>
              <w:rPr>
                <w:color w:val="000000"/>
                <w:sz w:val="16"/>
                <w:szCs w:val="16"/>
                <w:lang w:val="es-CO" w:eastAsia="es-CO"/>
              </w:rPr>
            </w:pPr>
            <w:r w:rsidRPr="006F1417">
              <w:rPr>
                <w:color w:val="000000"/>
                <w:sz w:val="16"/>
                <w:szCs w:val="16"/>
                <w:lang w:val="es-CO" w:eastAsia="es-CO"/>
              </w:rPr>
              <w:t>Bancos monofásicos</w:t>
            </w:r>
          </w:p>
        </w:tc>
        <w:tc>
          <w:tcPr>
            <w:tcW w:w="1757" w:type="dxa"/>
            <w:vAlign w:val="bottom"/>
          </w:tcPr>
          <w:p w:rsidR="0094295C" w:rsidRPr="003B2A5E" w:rsidRDefault="0094295C" w:rsidP="0094295C">
            <w:pPr>
              <w:spacing w:before="0" w:after="0"/>
              <w:jc w:val="center"/>
              <w:rPr>
                <w:color w:val="000000"/>
                <w:sz w:val="16"/>
                <w:szCs w:val="16"/>
                <w:lang w:val="es-CO" w:eastAsia="es-CO"/>
              </w:rPr>
            </w:pPr>
            <w:r w:rsidRPr="00BB65BA">
              <w:rPr>
                <w:color w:val="000000"/>
                <w:sz w:val="16"/>
                <w:szCs w:val="16"/>
              </w:rPr>
              <w:t>160</w:t>
            </w:r>
          </w:p>
        </w:tc>
        <w:tc>
          <w:tcPr>
            <w:tcW w:w="1644" w:type="dxa"/>
            <w:vAlign w:val="bottom"/>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70</w:t>
            </w:r>
          </w:p>
        </w:tc>
        <w:tc>
          <w:tcPr>
            <w:tcW w:w="1644" w:type="dxa"/>
            <w:vAlign w:val="bottom"/>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20</w:t>
            </w:r>
          </w:p>
        </w:tc>
      </w:tr>
      <w:tr w:rsidR="0094295C" w:rsidRPr="006F1417" w:rsidTr="0094295C">
        <w:trPr>
          <w:jc w:val="center"/>
        </w:trPr>
        <w:tc>
          <w:tcPr>
            <w:tcW w:w="2336" w:type="dxa"/>
          </w:tcPr>
          <w:p w:rsidR="0094295C" w:rsidRPr="006F1417" w:rsidRDefault="0094295C" w:rsidP="0094295C">
            <w:pPr>
              <w:spacing w:before="0" w:after="0"/>
              <w:jc w:val="left"/>
              <w:rPr>
                <w:color w:val="000000"/>
                <w:sz w:val="16"/>
                <w:szCs w:val="16"/>
                <w:lang w:val="es-CO" w:eastAsia="es-CO"/>
              </w:rPr>
            </w:pPr>
            <w:r w:rsidRPr="006F1417">
              <w:rPr>
                <w:color w:val="000000"/>
                <w:sz w:val="16"/>
                <w:szCs w:val="16"/>
                <w:lang w:val="es-CO" w:eastAsia="es-CO"/>
              </w:rPr>
              <w:t>Transformadores trifásicos</w:t>
            </w:r>
          </w:p>
        </w:tc>
        <w:tc>
          <w:tcPr>
            <w:tcW w:w="1757" w:type="dxa"/>
            <w:vAlign w:val="bottom"/>
          </w:tcPr>
          <w:p w:rsidR="0094295C" w:rsidRPr="003B2A5E" w:rsidRDefault="0094295C" w:rsidP="0094295C">
            <w:pPr>
              <w:spacing w:before="0" w:after="0"/>
              <w:jc w:val="center"/>
              <w:rPr>
                <w:color w:val="000000"/>
                <w:sz w:val="16"/>
                <w:szCs w:val="16"/>
                <w:lang w:val="es-CO" w:eastAsia="es-CO"/>
              </w:rPr>
            </w:pPr>
            <w:r w:rsidRPr="00BB65BA">
              <w:rPr>
                <w:color w:val="000000"/>
                <w:sz w:val="16"/>
                <w:szCs w:val="16"/>
              </w:rPr>
              <w:t>60</w:t>
            </w:r>
          </w:p>
        </w:tc>
        <w:tc>
          <w:tcPr>
            <w:tcW w:w="1644" w:type="dxa"/>
            <w:vAlign w:val="bottom"/>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30</w:t>
            </w:r>
          </w:p>
        </w:tc>
        <w:tc>
          <w:tcPr>
            <w:tcW w:w="1644" w:type="dxa"/>
            <w:vAlign w:val="bottom"/>
          </w:tcPr>
          <w:p w:rsidR="0094295C" w:rsidRPr="006F1417" w:rsidRDefault="0094295C" w:rsidP="0094295C">
            <w:pPr>
              <w:spacing w:before="0" w:after="0"/>
              <w:jc w:val="center"/>
              <w:rPr>
                <w:color w:val="000000"/>
                <w:sz w:val="16"/>
                <w:szCs w:val="16"/>
                <w:lang w:val="es-CO" w:eastAsia="es-CO"/>
              </w:rPr>
            </w:pPr>
            <w:r w:rsidRPr="006F1417">
              <w:rPr>
                <w:color w:val="000000"/>
                <w:sz w:val="16"/>
                <w:szCs w:val="16"/>
              </w:rPr>
              <w:t>10</w:t>
            </w:r>
          </w:p>
        </w:tc>
      </w:tr>
    </w:tbl>
    <w:p w:rsidR="0094295C" w:rsidRPr="004E6CFC" w:rsidRDefault="0094295C" w:rsidP="0094295C">
      <w:pPr>
        <w:pStyle w:val="Ttulo2"/>
      </w:pPr>
      <w:bookmarkStart w:id="1086" w:name="_Toc445214153"/>
      <w:bookmarkStart w:id="1087" w:name="_Toc476824973"/>
      <w:bookmarkStart w:id="1088" w:name="_Toc505336025"/>
      <w:r w:rsidRPr="004E6CFC">
        <w:t>costos activos de NIVEL DE TENSIÓN 1.</w:t>
      </w:r>
      <w:bookmarkEnd w:id="1086"/>
      <w:bookmarkEnd w:id="1087"/>
      <w:bookmarkEnd w:id="1088"/>
      <w:r w:rsidRPr="004E6CFC">
        <w:t xml:space="preserve"> </w:t>
      </w:r>
    </w:p>
    <w:p w:rsidR="0094295C" w:rsidRPr="004E6CFC" w:rsidRDefault="0094295C" w:rsidP="0094295C">
      <w:r w:rsidRPr="004E6CFC">
        <w:t>En este listado se establecen los costos reconocidos para la valoración de activos de nivel de tensión 1.</w:t>
      </w:r>
    </w:p>
    <w:p w:rsidR="0094295C" w:rsidRPr="004E6CFC" w:rsidRDefault="0094295C" w:rsidP="0094295C">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25</w:t>
      </w:r>
      <w:r w:rsidRPr="004E6CFC">
        <w:fldChar w:fldCharType="end"/>
      </w:r>
      <w:r w:rsidRPr="004E6CFC">
        <w:t xml:space="preserve"> Costo apoyos nivel de tensión 1 </w:t>
      </w:r>
    </w:p>
    <w:tbl>
      <w:tblPr>
        <w:tblW w:w="9014" w:type="dxa"/>
        <w:jc w:val="center"/>
        <w:tblCellMar>
          <w:left w:w="70" w:type="dxa"/>
          <w:right w:w="70" w:type="dxa"/>
        </w:tblCellMar>
        <w:tblLook w:val="04A0" w:firstRow="1" w:lastRow="0" w:firstColumn="1" w:lastColumn="0" w:noHBand="0" w:noVBand="1"/>
      </w:tblPr>
      <w:tblGrid>
        <w:gridCol w:w="850"/>
        <w:gridCol w:w="6803"/>
        <w:gridCol w:w="1361"/>
      </w:tblGrid>
      <w:tr w:rsidR="0094295C" w:rsidRPr="004E6CFC" w:rsidTr="0094295C">
        <w:trPr>
          <w:trHeight w:val="794"/>
          <w:tblHeader/>
          <w:jc w:val="center"/>
        </w:trPr>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6642C1" w:rsidRDefault="0094295C" w:rsidP="0094295C">
            <w:pPr>
              <w:spacing w:before="0" w:after="0"/>
              <w:jc w:val="center"/>
              <w:rPr>
                <w:color w:val="000000"/>
                <w:sz w:val="16"/>
                <w:szCs w:val="16"/>
                <w:lang w:val="es-CO" w:eastAsia="es-CO"/>
              </w:rPr>
            </w:pPr>
            <w:r w:rsidRPr="006642C1">
              <w:rPr>
                <w:color w:val="000000"/>
                <w:sz w:val="16"/>
                <w:szCs w:val="16"/>
              </w:rPr>
              <w:t>UC</w:t>
            </w:r>
          </w:p>
        </w:tc>
        <w:tc>
          <w:tcPr>
            <w:tcW w:w="6803" w:type="dxa"/>
            <w:tcBorders>
              <w:top w:val="single" w:sz="4" w:space="0" w:color="auto"/>
              <w:left w:val="nil"/>
              <w:bottom w:val="single" w:sz="4" w:space="0" w:color="auto"/>
              <w:right w:val="single" w:sz="4" w:space="0" w:color="auto"/>
            </w:tcBorders>
            <w:shd w:val="clear" w:color="auto" w:fill="auto"/>
            <w:noWrap/>
            <w:vAlign w:val="center"/>
            <w:hideMark/>
          </w:tcPr>
          <w:p w:rsidR="0094295C" w:rsidRPr="006642C1" w:rsidRDefault="0094295C" w:rsidP="0094295C">
            <w:pPr>
              <w:spacing w:before="0" w:after="0"/>
              <w:jc w:val="center"/>
              <w:rPr>
                <w:color w:val="000000"/>
                <w:sz w:val="16"/>
                <w:szCs w:val="16"/>
                <w:lang w:val="es-CO" w:eastAsia="es-CO"/>
              </w:rPr>
            </w:pPr>
            <w:r w:rsidRPr="006642C1">
              <w:rPr>
                <w:color w:val="000000"/>
                <w:sz w:val="16"/>
                <w:szCs w:val="16"/>
              </w:rPr>
              <w:t xml:space="preserve">DESCRIPCIÓN </w:t>
            </w:r>
          </w:p>
        </w:tc>
        <w:tc>
          <w:tcPr>
            <w:tcW w:w="1361" w:type="dxa"/>
            <w:tcBorders>
              <w:top w:val="single" w:sz="4" w:space="0" w:color="auto"/>
              <w:left w:val="nil"/>
              <w:bottom w:val="single" w:sz="4" w:space="0" w:color="auto"/>
              <w:right w:val="single" w:sz="4" w:space="0" w:color="auto"/>
            </w:tcBorders>
            <w:shd w:val="clear" w:color="auto" w:fill="auto"/>
            <w:vAlign w:val="bottom"/>
            <w:hideMark/>
          </w:tcPr>
          <w:p w:rsidR="0094295C" w:rsidRPr="006642C1" w:rsidRDefault="0094295C" w:rsidP="0094295C">
            <w:pPr>
              <w:spacing w:before="0" w:after="0"/>
              <w:jc w:val="center"/>
              <w:rPr>
                <w:color w:val="000000"/>
                <w:sz w:val="16"/>
                <w:szCs w:val="16"/>
                <w:lang w:val="es-CO" w:eastAsia="es-CO"/>
              </w:rPr>
            </w:pPr>
            <w:r w:rsidRPr="006642C1">
              <w:rPr>
                <w:color w:val="000000"/>
                <w:sz w:val="16"/>
                <w:szCs w:val="16"/>
              </w:rPr>
              <w:t>VALOR INSTALADO</w:t>
            </w:r>
            <w:r w:rsidRPr="006642C1">
              <w:rPr>
                <w:color w:val="000000"/>
                <w:sz w:val="16"/>
                <w:szCs w:val="16"/>
              </w:rPr>
              <w:br/>
              <w:t>[$ dic 2017]</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concreto - 8 m - urbano - suspensión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654.000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concreto - 10 m - urbano - suspensión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820.000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concreto - 12 m - urbano- suspensión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1.019.000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madera - 8 m - urbano - suspensión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671.000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madera - 10 m - urbano- suspensión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813.000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madera - 12 m - urbano- suspensión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911.000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metálico - 8 m -urbano- suspensión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846.000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metálico - 10 m - urbano- suspensión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1.054.000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metálico - 12 m - urbano- suspensión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1.263.000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N1P10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fibra de vidrio - 8 m - urbano- suspensión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1.234.000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N1P11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fibra de vidrio - 10 m - urbano- suspensión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1.883.000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N1P12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fibra de vidrio - 12 m - urbano- suspensión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2.109.000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N1P13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concreto - 8 m - rural- suspensión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758.000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N1P14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concreto -10 m - rural- suspensión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925.000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N1P15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concreto - 12 m - rural- suspensión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1.123.000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N1P16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madera - 8 m - rural- suspensión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775.000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N1P17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madera - 10 m - rural- suspensión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917.000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N1P18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madera - 12 m - rural- suspensión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1.015.000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N1P19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metálico - 8 m - rural- suspensión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950.000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N1P20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metálico - 10 m - rural- suspensión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1.159.000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N1P21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metálico - 12 m - rural- suspensión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1.367.000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N1P22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fibra de vidrio - 8 m - rural- suspensión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1.338.000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N1P23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fibra de vidrio - 10 m - rural- suspensión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1.987.000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N1P24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fibra de vidrio - 12 m - rural- suspensión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2.214.000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N1P25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concreto - 8 m - urbano - retención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697.000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N1P26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concreto - 10 m - urbano - retención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864.000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N1P27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concreto - 12 m - urbano- retención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1.063.000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N1P28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madera - 8 m - urbano - retención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715.000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N1P29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madera - 10 m - urbano- retención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857.000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N1P30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madera - 12 m - urbano- retención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954.000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N1P31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metálico - 8 m -urbano- retención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1.102.000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lastRenderedPageBreak/>
              <w:t>N1P32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metálico - 10 m - urbano- retención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1.757.000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N1P33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metálico - 12 m - urbano- retención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2.412.000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N1P34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fibra de vidrio - 8 m - urbano- retención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1.277.000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N1P35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fibra de vidrio - 10 m - urbano- retención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1.927.000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N1P36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fibra de vidrio - 12 m - urbano- retención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2.153.000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N1P37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concreto - 8 m - rural- retención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801.000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N1P38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concreto -10 m - rural- retención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968.000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N1P39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concreto - 12 m - rural- retención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1.167.000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N1P40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madera - 8 m - rural- retención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819.000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N1P41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madera - 10 m - rural- retención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961.000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N1P42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madera - 12 m - rural- retención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1.058.000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N1P43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metálico - 8 m - rural- retención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1.206.000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N1P44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metálico - 10 m - rural- retención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1.861.000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N1P45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metálico - 12 m - rural- retención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2.516.000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N1P46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fibra de vidrio - 8 m - rural- retención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1.381.000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N1P47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fibra de vidrio - 10 m - rural- retención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2.031.000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N1P48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fibra de vidrio - 12 m - rural- retención - red común</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2.257.000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N1P49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concreto - 8 m - urbano - suspensión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646.000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N1P50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concreto - 10 m - urbano - suspensión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813.000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N1P51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concreto - 12 m - urbano- suspensión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1.011.000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N1P52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madera - 8 m - urbano - suspensión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663.000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N1P53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madera - 10 m - urbano- suspensión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805.000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N1P54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madera - 12 m - urbano- suspensión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903.000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N1P55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metálico - 8 m -urbano- suspensión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838.000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N1P56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metálico - 10 m - urbano- suspensión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1.047.000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N1P57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metálico - 12 m - urbano- suspensión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1.256.000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N1P58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fibra de vidrio - 8 m - urbano- suspensión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1.226.000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N1P59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fibra de vidrio - 10 m - urbano- suspensión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1.875.000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N1P60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fibra de vidrio - 12 m - urbano- suspensión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2.102.000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N1P61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concreto - 8 m - rural- suspensión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750.000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N1P62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concreto -10 m - rural- suspensión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917.000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N1P63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concreto - 12 m - rural- suspensión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1.116.000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N1P64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madera - 8 m - rural- suspensión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768.000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N1P65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madera - 10 m - rural- suspensión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909.000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N1P66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madera - 12 m - rural- suspensión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1.007.000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N1P67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metálico - 8 m - rural- suspensión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942.000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N1P68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metálico - 10 m - rural- suspensión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1.151.000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N1P69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metálico - 12 m - rural- suspensión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1.360.000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N1P70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fibra de vidrio - 8 m - rural- suspensión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1.330.000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N1P71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fibra de vidrio - 10 m - rural- suspensión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1.980.000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N1P72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fibra de vidrio - 12 m - rural- suspensión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2.206.000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N1P73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concreto - 8 m - urbano - retención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663.000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N1P74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concreto - 10 m - urbano - retención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829.000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N1P75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concreto - 12 m - urbano- retención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1.028.000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N1P76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madera - 8 m - urbano - retención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680.000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N1P77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madera - 10 m - urbano- retención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822.000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N1P78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madera - 12 m - urbano- retención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920.000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N1P79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metálico - 8 m -urbano- retención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1.067.000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N1P80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metálico - 10 m - urbano- retención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1.722.000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N1P81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metálico - 12 m - urbano- retención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2.377.000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N1P82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fibra de vidrio - 8 m - urbano- retención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1.243.000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N1P83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fibra de vidrio - 10 m - urbano- retención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1.892.000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N1P84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fibra de vidrio - 12 m - urbano- retención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2.118.000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N1P85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concreto - 8 m - rural- retención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767.000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N1P86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concreto -10 m - rural- retención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933.000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lastRenderedPageBreak/>
              <w:t>N1P87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concreto - 12 m - rural- retención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1.132.000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N1P88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madera - 8 m - rural- retención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784.000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N1P89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madera - 10 m - rural- retención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926.000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N1P90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madera - 12 m - rural- retención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1.024.000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N1P91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metálico - 8 m - rural- retención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1.171.000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N1P92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metálico - 10 m - rural- retención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1.826.000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N1P93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metálico - 12 m - rural- retención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2.481.000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N1P94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fibra de vidrio - 8 m - rural- retención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1.347.000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N1P95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fibra de vidrio - 10 m - rural- retención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1.996.000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N1P96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Poste de fibra de vidrio - 12 m - rural- retención - red trenzada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2.222.000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N1C1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 xml:space="preserve">Caja para redes </w:t>
            </w:r>
            <w:r w:rsidR="004842F4" w:rsidRPr="006642C1">
              <w:rPr>
                <w:color w:val="000000"/>
                <w:sz w:val="16"/>
                <w:szCs w:val="16"/>
              </w:rPr>
              <w:t>subterráneas</w:t>
            </w:r>
            <w:r w:rsidRPr="006642C1">
              <w:rPr>
                <w:color w:val="000000"/>
                <w:sz w:val="16"/>
                <w:szCs w:val="16"/>
              </w:rPr>
              <w:t xml:space="preserve"> tipo sencillo</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1.519.000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N1C2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 xml:space="preserve">Caja para redes </w:t>
            </w:r>
            <w:r w:rsidR="004842F4" w:rsidRPr="006642C1">
              <w:rPr>
                <w:color w:val="000000"/>
                <w:sz w:val="16"/>
                <w:szCs w:val="16"/>
              </w:rPr>
              <w:t>subterráneas</w:t>
            </w:r>
            <w:r w:rsidRPr="006642C1">
              <w:rPr>
                <w:color w:val="000000"/>
                <w:sz w:val="16"/>
                <w:szCs w:val="16"/>
              </w:rPr>
              <w:t xml:space="preserve"> tipo doble</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3.755.000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N1C3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 xml:space="preserve">Caja para redes </w:t>
            </w:r>
            <w:r w:rsidR="004842F4" w:rsidRPr="006642C1">
              <w:rPr>
                <w:color w:val="000000"/>
                <w:sz w:val="16"/>
                <w:szCs w:val="16"/>
              </w:rPr>
              <w:t>subterráneas</w:t>
            </w:r>
            <w:r w:rsidRPr="006642C1">
              <w:rPr>
                <w:color w:val="000000"/>
                <w:sz w:val="16"/>
                <w:szCs w:val="16"/>
              </w:rPr>
              <w:t xml:space="preserve"> tipo alumbrado público</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920.000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N1C4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 xml:space="preserve">Caja para redes </w:t>
            </w:r>
            <w:r w:rsidR="004842F4" w:rsidRPr="006642C1">
              <w:rPr>
                <w:color w:val="000000"/>
                <w:sz w:val="16"/>
                <w:szCs w:val="16"/>
              </w:rPr>
              <w:t>subterráneas</w:t>
            </w:r>
            <w:r w:rsidRPr="006642C1">
              <w:rPr>
                <w:color w:val="000000"/>
                <w:sz w:val="16"/>
                <w:szCs w:val="16"/>
              </w:rPr>
              <w:t xml:space="preserve"> tipo teléfono</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1.519.000</w:t>
            </w:r>
          </w:p>
        </w:tc>
      </w:tr>
    </w:tbl>
    <w:p w:rsidR="0094295C" w:rsidRPr="004E6CFC" w:rsidRDefault="0094295C" w:rsidP="0094295C">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26</w:t>
      </w:r>
      <w:r w:rsidRPr="004E6CFC">
        <w:fldChar w:fldCharType="end"/>
      </w:r>
      <w:r w:rsidRPr="004E6CFC">
        <w:t xml:space="preserve"> Costo conductores nivel de tensión 1 para red urbana</w:t>
      </w:r>
    </w:p>
    <w:tbl>
      <w:tblPr>
        <w:tblW w:w="9014" w:type="dxa"/>
        <w:jc w:val="center"/>
        <w:tblCellMar>
          <w:left w:w="70" w:type="dxa"/>
          <w:right w:w="70" w:type="dxa"/>
        </w:tblCellMar>
        <w:tblLook w:val="04A0" w:firstRow="1" w:lastRow="0" w:firstColumn="1" w:lastColumn="0" w:noHBand="0" w:noVBand="1"/>
      </w:tblPr>
      <w:tblGrid>
        <w:gridCol w:w="850"/>
        <w:gridCol w:w="6803"/>
        <w:gridCol w:w="1361"/>
      </w:tblGrid>
      <w:tr w:rsidR="0094295C" w:rsidRPr="004E6CFC" w:rsidTr="0094295C">
        <w:trPr>
          <w:trHeight w:val="794"/>
          <w:tblHeader/>
          <w:jc w:val="center"/>
        </w:trPr>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UC</w:t>
            </w:r>
          </w:p>
        </w:tc>
        <w:tc>
          <w:tcPr>
            <w:tcW w:w="6803" w:type="dxa"/>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 xml:space="preserve">DESCRIPCIÓN </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center"/>
              <w:rPr>
                <w:color w:val="000000"/>
                <w:sz w:val="16"/>
                <w:szCs w:val="16"/>
                <w:lang w:val="es-CO" w:eastAsia="es-CO"/>
              </w:rPr>
            </w:pPr>
            <w:r>
              <w:rPr>
                <w:color w:val="000000"/>
                <w:sz w:val="16"/>
                <w:szCs w:val="16"/>
              </w:rPr>
              <w:t>VALOR INSTALADO</w:t>
            </w:r>
            <w:r>
              <w:rPr>
                <w:color w:val="000000"/>
                <w:sz w:val="16"/>
                <w:szCs w:val="16"/>
              </w:rPr>
              <w:br/>
              <w:t>[$/dic 2017]</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Aislado - Aluminio - calibre &lt; 6</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702.400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aéreo urbano - Aislado - Aluminio - calibre 4</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1.294.900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Aislado - Aluminio - calibre 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1.887.300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Aislado - Aluminio - calibre 1</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2.479.800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Aislado - Aluminio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3.072.400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Aislado - Aluminio - calibre  2/0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3.664.900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Aislado - Aluminio - calibre  3/0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4.257.400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Aislado - Aluminio - calibre  4/0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4.849.800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Aislado - Aluminio - calibre 250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5.442.300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N1L10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Aislado - Aluminio - calibre  6/0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6.034.800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N1L11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Aislado - Aluminio - calibre 350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6.627.200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N1L12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Aislado - Cobre - calibre 12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1.149.000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N1L13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w:t>
            </w:r>
            <w:r w:rsidR="004842F4">
              <w:rPr>
                <w:color w:val="000000"/>
                <w:sz w:val="16"/>
                <w:szCs w:val="16"/>
              </w:rPr>
              <w:t>fase aéreo</w:t>
            </w:r>
            <w:r>
              <w:rPr>
                <w:color w:val="000000"/>
                <w:sz w:val="16"/>
                <w:szCs w:val="16"/>
              </w:rPr>
              <w:t xml:space="preserve"> urbano - Aislado - Cobre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1.758.100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N1L14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Aislado - Cobre - calibre 8</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3.180.400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N1L15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Aislado - Cobre - calibre 6</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5.945.700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N1L16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Aislado - Cobre - calibre 4</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8.711.100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N1L17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Aislado - Cobre - calibre 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11.476.400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N1L18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Aislado - Cobre - calibre 1</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14.241.800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N1L19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Aislado - Cobre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17.007.300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N1L20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Aislado - Cobre - calibre  2/0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19.772.600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N1L21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Aislado - Cobre - calibre  3/0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22.537.900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N1L22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Aislado - Cobre - calibre  4/0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25.303.300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N1L23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Aislado - Cobre - calibre 250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28.068.600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N1L24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Aislado - Cobre - calibre  6/0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30.834.000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N1L25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Aislado - Cobre - calibre 350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33.599.300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N1L26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Aislado - Cobre - calibre 400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36.364.700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N1L27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Aislado - Cobre - calibre 500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39.130.000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N1L28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4842F4">
            <w:pPr>
              <w:spacing w:before="0" w:after="0"/>
              <w:jc w:val="left"/>
              <w:rPr>
                <w:color w:val="000000"/>
                <w:sz w:val="16"/>
                <w:szCs w:val="16"/>
                <w:lang w:val="es-CO" w:eastAsia="es-CO"/>
              </w:rPr>
            </w:pPr>
            <w:r>
              <w:rPr>
                <w:color w:val="000000"/>
                <w:sz w:val="16"/>
                <w:szCs w:val="16"/>
              </w:rPr>
              <w:t>km de conductor/fase aéreo urbano - Desnudo - Aluminio - calibre 14</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925.500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N1L29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Desnudo - Aluminio - calibre 12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1.097.300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N1L30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Desnudo - Aluminio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1.269.100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N1L31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Desnudo - Aluminio - calibre 8</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1.440.800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N1L32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Desnudo - Aluminio - calibre 6</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1.612.600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N1L33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Desnudo - Aluminio - calibre 4</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1.784.400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N1L34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Desnudo - Aluminio - calibre 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1.956.100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N1L35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Desnudo - Aluminio - calibre 1</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2.127.900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N1L36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Desnudo - Aluminio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2.299.900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lastRenderedPageBreak/>
              <w:t>N1L37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Desnudo - Aluminio - calibre  2/0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2.471.600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N1L38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Desnudo - Aluminio - calibre  3/0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2.643.400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N1L39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Desnudo - Aluminio - calibre  4/0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2.815.200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N1L40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Desnudo - Aluminio - calibre  6/0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2.986.900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N1L41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4842F4">
            <w:pPr>
              <w:spacing w:before="0" w:after="0"/>
              <w:jc w:val="left"/>
              <w:rPr>
                <w:color w:val="000000"/>
                <w:sz w:val="16"/>
                <w:szCs w:val="16"/>
                <w:lang w:val="es-CO" w:eastAsia="es-CO"/>
              </w:rPr>
            </w:pPr>
            <w:r>
              <w:rPr>
                <w:color w:val="000000"/>
                <w:sz w:val="16"/>
                <w:szCs w:val="16"/>
              </w:rPr>
              <w:t>km de conductor/fase aéreo urbano - Desnudo - Aluminio - calibre 180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3.158.700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N1L42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Desnudo - Aluminio - calibre 336</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3.330.500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N1L43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Desnudo - Cobre - calibre &lt;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1.184.200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N1L44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Desnudo - Cobre - calibre 8</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1.806.900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N1L45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Desnudo - Cobre - calibre 6</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4.234.100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N1L46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Desnudo - Cobre - calibre 4</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6.661.200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N1L47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Desnudo - Cobre - calibre 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9.088.400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N1L48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Desnudo - Cobre - calibre 1</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11.515.500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N1L49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Desnudo - Cobre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13.942.800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N1L50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Desnudo - Cobre - calibre  2/0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16.370.000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N1L51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Desnudo - Cobre - calibre  6/0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18.797.100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N1L52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Desnudo - Cobre - calibre 750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21.224.300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N1L53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Trenzado - Aluminio - calibre &lt; 6</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3.336.800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N1L54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Trenzado - Aluminio - calibre 4</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5.762.100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N1L55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Trenzado - Aluminio - calibre 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8.187.300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N1L56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Trenzado - Aluminio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10.612.500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N1L57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Trenzado - Aluminio - calibre  2/0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13.037.800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N1L58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Trenzado - Aluminio - calibre  4/0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15.463.000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N1L59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Trenzado - Cobre - calibre 12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3.987.100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N1L60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Trenzado - Cobre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5.626.900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N1L61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Trenzado - Cobre - calibre 8</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8.496.500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N1L62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Trenzado - Cobre - calibre 6</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13.471.100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N1L63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Trenzado - Cobre - calibre 4</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23.247.100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N1L64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Trenzado - Cobre - calibre 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33.023.100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N1L65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Trenzado - Cobre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42.799.100</w:t>
            </w:r>
          </w:p>
        </w:tc>
      </w:tr>
      <w:tr w:rsidR="0094295C" w:rsidRPr="004E6CFC"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N1L66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left"/>
              <w:rPr>
                <w:color w:val="000000"/>
                <w:sz w:val="16"/>
                <w:szCs w:val="16"/>
                <w:lang w:val="es-CO" w:eastAsia="es-CO"/>
              </w:rPr>
            </w:pPr>
            <w:r>
              <w:rPr>
                <w:color w:val="000000"/>
                <w:sz w:val="16"/>
                <w:szCs w:val="16"/>
              </w:rPr>
              <w:t>km de conductor/fase aéreo urbano - Trenzado - Cobre - calibre  2/0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4E6CFC" w:rsidRDefault="0094295C" w:rsidP="0094295C">
            <w:pPr>
              <w:spacing w:before="0" w:after="0"/>
              <w:jc w:val="right"/>
              <w:rPr>
                <w:color w:val="000000"/>
                <w:sz w:val="16"/>
                <w:szCs w:val="16"/>
                <w:lang w:val="es-CO" w:eastAsia="es-CO"/>
              </w:rPr>
            </w:pPr>
            <w:r>
              <w:rPr>
                <w:color w:val="000000"/>
                <w:sz w:val="16"/>
                <w:szCs w:val="16"/>
              </w:rPr>
              <w:t>52.575.000</w:t>
            </w:r>
          </w:p>
        </w:tc>
      </w:tr>
    </w:tbl>
    <w:p w:rsidR="0094295C" w:rsidRPr="004E6CFC" w:rsidRDefault="0094295C" w:rsidP="0094295C">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27</w:t>
      </w:r>
      <w:r w:rsidRPr="004E6CFC">
        <w:fldChar w:fldCharType="end"/>
      </w:r>
      <w:r w:rsidRPr="004E6CFC">
        <w:t xml:space="preserve"> Costo conductores nivel de tensión 1 para red rural</w:t>
      </w:r>
    </w:p>
    <w:tbl>
      <w:tblPr>
        <w:tblW w:w="9014" w:type="dxa"/>
        <w:jc w:val="center"/>
        <w:tblCellMar>
          <w:left w:w="70" w:type="dxa"/>
          <w:right w:w="70" w:type="dxa"/>
        </w:tblCellMar>
        <w:tblLook w:val="04A0" w:firstRow="1" w:lastRow="0" w:firstColumn="1" w:lastColumn="0" w:noHBand="0" w:noVBand="1"/>
      </w:tblPr>
      <w:tblGrid>
        <w:gridCol w:w="850"/>
        <w:gridCol w:w="6803"/>
        <w:gridCol w:w="1361"/>
      </w:tblGrid>
      <w:tr w:rsidR="0094295C" w:rsidRPr="006642C1" w:rsidTr="0094295C">
        <w:trPr>
          <w:trHeight w:val="794"/>
          <w:tblHeader/>
          <w:jc w:val="center"/>
        </w:trPr>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6642C1" w:rsidRDefault="0094295C" w:rsidP="0094295C">
            <w:pPr>
              <w:spacing w:before="0" w:after="0"/>
              <w:jc w:val="center"/>
              <w:rPr>
                <w:color w:val="000000"/>
                <w:sz w:val="16"/>
                <w:szCs w:val="16"/>
                <w:lang w:val="es-CO" w:eastAsia="es-CO"/>
              </w:rPr>
            </w:pPr>
            <w:r w:rsidRPr="006642C1">
              <w:rPr>
                <w:color w:val="000000"/>
                <w:sz w:val="16"/>
                <w:szCs w:val="16"/>
              </w:rPr>
              <w:t>UC</w:t>
            </w:r>
          </w:p>
        </w:tc>
        <w:tc>
          <w:tcPr>
            <w:tcW w:w="6803" w:type="dxa"/>
            <w:tcBorders>
              <w:top w:val="single" w:sz="4" w:space="0" w:color="auto"/>
              <w:left w:val="nil"/>
              <w:bottom w:val="single" w:sz="4" w:space="0" w:color="auto"/>
              <w:right w:val="single" w:sz="4" w:space="0" w:color="auto"/>
            </w:tcBorders>
            <w:shd w:val="clear" w:color="auto" w:fill="auto"/>
            <w:noWrap/>
            <w:vAlign w:val="center"/>
            <w:hideMark/>
          </w:tcPr>
          <w:p w:rsidR="0094295C" w:rsidRPr="006642C1" w:rsidRDefault="0094295C" w:rsidP="0094295C">
            <w:pPr>
              <w:spacing w:before="0" w:after="0"/>
              <w:jc w:val="center"/>
              <w:rPr>
                <w:color w:val="000000"/>
                <w:sz w:val="16"/>
                <w:szCs w:val="16"/>
                <w:lang w:val="es-CO" w:eastAsia="es-CO"/>
              </w:rPr>
            </w:pPr>
            <w:r w:rsidRPr="006642C1">
              <w:rPr>
                <w:color w:val="000000"/>
                <w:sz w:val="16"/>
                <w:szCs w:val="16"/>
              </w:rPr>
              <w:t xml:space="preserve">DESCRIPCIÓN </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rsidR="0094295C" w:rsidRPr="006642C1" w:rsidRDefault="0094295C" w:rsidP="0094295C">
            <w:pPr>
              <w:spacing w:before="0" w:after="0"/>
              <w:jc w:val="center"/>
              <w:rPr>
                <w:color w:val="000000"/>
                <w:sz w:val="16"/>
                <w:szCs w:val="16"/>
                <w:lang w:val="es-CO" w:eastAsia="es-CO"/>
              </w:rPr>
            </w:pPr>
            <w:r w:rsidRPr="006642C1">
              <w:rPr>
                <w:color w:val="000000"/>
                <w:sz w:val="16"/>
                <w:szCs w:val="16"/>
              </w:rPr>
              <w:t>VALOR INSTALADO</w:t>
            </w:r>
            <w:r w:rsidRPr="006642C1">
              <w:rPr>
                <w:color w:val="000000"/>
                <w:sz w:val="16"/>
                <w:szCs w:val="16"/>
              </w:rPr>
              <w:br/>
              <w:t>[$/dic 2017]</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N1L67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Aluminio - calibre &lt; 6</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703.500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N1L68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Aluminio - calibre 4</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1.296.000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N1L69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Aluminio - calibre 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1.888.400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N1L70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Aluminio - calibre 1</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2.480.900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N1L71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Aluminio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3.073.800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N1L72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Aluminio - calibre  2/0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3.666.300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N1L73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Aluminio - calibre  3/0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4.258.700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N1L74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Aluminio - calibre  4/0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4.851.200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N1L75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Aluminio - calibre 250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5.443.700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N1L76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Aluminio - calibre  6/0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6.036.100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N1L77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Aluminio - calibre 350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6.628.600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N1L78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Cobre - calibre 12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1.150.100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N1L79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Cobre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1.759.200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N1L80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Cobre - calibre 8</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3.181.500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N1L81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Cobre - calibre 6</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5.946.800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N1L82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Cobre - calibre 4</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8.712.200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N1L83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Cobre - calibre 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11.477.500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N1L84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Cobre - calibre 1</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14.242.900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N1L85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Cobre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17.008.600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N1L86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Cobre - calibre  2/0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19.774.000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lastRenderedPageBreak/>
              <w:t>N1L87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Cobre - calibre  3/0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22.539.300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N1L88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Cobre - calibre  4/0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25.304.700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N1L89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Cobre - calibre 250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28.070.000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N1L90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Cobre - calibre  6/0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30.835.300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N1L91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Cobre - calibre 350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33.600.700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N1L92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Cobre - calibre 400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36.366.000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N1L93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Aislado - Cobre - calibre 500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39.131.400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N1L94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Desnudo - Aluminio - calibre 14</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926.600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N1L95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Desnudo - Aluminio - calibre 12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1.098.400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N1L96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Desnudo - Aluminio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1.270.200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N1L97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Desnudo - Aluminio - calibre 8</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1.441.900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N1L98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Desnudo - Aluminio - calibre 6</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1.613.700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N1L99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Desnudo - Aluminio - calibre 4</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1.785.500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N1L100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Desnudo - Aluminio - calibre 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1.957.200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N1L101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Desnudo - Aluminio - calibre 1</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2.129.000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N1L102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Desnudo - Aluminio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2.301.200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N1L103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Desnudo - Aluminio - calibre  2/0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2.473.000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N1L104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Desnudo - Aluminio - calibre  3/0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2.644.800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N1L105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Desnudo - Aluminio - calibre  4/0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2.816.500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N1L106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Desnudo - Aluminio - calibre  6/0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2.988.300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N1L107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Desnudo - Aluminio - calibre 180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3.160.100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N1L108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Desnudo - Aluminio - calibre 336</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3.331.800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N1L109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Desnudo - Cobre - calibre &lt;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1.185.300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N1L110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Desnudo - Cobre - calibre 8</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1.808.000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N1L111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Desnudo - Cobre - calibre 6</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4.235.200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N1L112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Desnudo - Cobre - calibre 4</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6.662.300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N1L113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Desnudo - Cobre - calibre 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9.089.500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N1L114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Desnudo - Cobre - calibre 1</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11.516.600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N1L115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Desnudo - Cobre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13.944.200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N1L116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Desnudo - Cobre - calibre  2/0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16.371.300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N1L117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Desnudo - Cobre - calibre  6/0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18.798.500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N1L118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Desnudo - Cobre - calibre 750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21.225.700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N1L119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Trenzado - Aluminio - calibre &lt; 6</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3.338.500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N1L120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Trenzado - Aluminio - calibre 4</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5.763.800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N1L121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Trenzado - Aluminio - calibre 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8.189.000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N1L122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Trenzado - Aluminio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10.614.200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N1L123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Trenzado - Aluminio - calibre  2/0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13.039.500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N1L124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Trenzado - Aluminio - calibre  4/0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15.464.700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N1L125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Trenzado - Cobre - calibre 12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3.988.800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N1L126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Trenzado - Cobre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5.628.600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N1L127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Trenzado - Cobre - calibre 8</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8.498.200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N1L128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Trenzado - Cobre - calibre 6</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13.472.800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N1L129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Trenzado - Cobre - calibre 4</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23.248.800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N1L130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Trenzado - Cobre - calibre 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33.024.800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N1L131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Trenzado - Cobre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42.800.800</w:t>
            </w:r>
          </w:p>
        </w:tc>
      </w:tr>
      <w:tr w:rsidR="0094295C" w:rsidRPr="006642C1"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N1L132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left"/>
              <w:rPr>
                <w:color w:val="000000"/>
                <w:sz w:val="16"/>
                <w:szCs w:val="16"/>
                <w:lang w:val="es-CO" w:eastAsia="es-CO"/>
              </w:rPr>
            </w:pPr>
            <w:r w:rsidRPr="006642C1">
              <w:rPr>
                <w:color w:val="000000"/>
                <w:sz w:val="16"/>
                <w:szCs w:val="16"/>
              </w:rPr>
              <w:t>km de conductor/fase aéreo rural - Trenzado - Cobre - calibre  2/0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6642C1" w:rsidRDefault="0094295C" w:rsidP="0094295C">
            <w:pPr>
              <w:spacing w:before="0" w:after="0"/>
              <w:jc w:val="right"/>
              <w:rPr>
                <w:color w:val="000000"/>
                <w:sz w:val="16"/>
                <w:szCs w:val="16"/>
                <w:lang w:val="es-CO" w:eastAsia="es-CO"/>
              </w:rPr>
            </w:pPr>
            <w:r w:rsidRPr="006642C1">
              <w:rPr>
                <w:color w:val="000000"/>
                <w:sz w:val="16"/>
                <w:szCs w:val="16"/>
              </w:rPr>
              <w:t>52.576.800</w:t>
            </w:r>
          </w:p>
        </w:tc>
      </w:tr>
    </w:tbl>
    <w:p w:rsidR="0094295C" w:rsidRPr="004E6CFC" w:rsidRDefault="0094295C" w:rsidP="0094295C">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28</w:t>
      </w:r>
      <w:r w:rsidRPr="004E6CFC">
        <w:fldChar w:fldCharType="end"/>
      </w:r>
      <w:r w:rsidRPr="004E6CFC">
        <w:t xml:space="preserve"> Costo conductores nivel de tensión 1 para red subterránea</w:t>
      </w:r>
    </w:p>
    <w:tbl>
      <w:tblPr>
        <w:tblW w:w="9014" w:type="dxa"/>
        <w:jc w:val="center"/>
        <w:tblCellMar>
          <w:left w:w="70" w:type="dxa"/>
          <w:right w:w="70" w:type="dxa"/>
        </w:tblCellMar>
        <w:tblLook w:val="04A0" w:firstRow="1" w:lastRow="0" w:firstColumn="1" w:lastColumn="0" w:noHBand="0" w:noVBand="1"/>
      </w:tblPr>
      <w:tblGrid>
        <w:gridCol w:w="850"/>
        <w:gridCol w:w="6803"/>
        <w:gridCol w:w="1361"/>
      </w:tblGrid>
      <w:tr w:rsidR="0094295C" w:rsidRPr="00F53DE6" w:rsidTr="0094295C">
        <w:trPr>
          <w:trHeight w:val="794"/>
          <w:tblHeader/>
          <w:jc w:val="center"/>
        </w:trPr>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center"/>
              <w:rPr>
                <w:color w:val="000000"/>
                <w:sz w:val="16"/>
                <w:szCs w:val="16"/>
                <w:lang w:val="es-CO" w:eastAsia="es-CO"/>
              </w:rPr>
            </w:pPr>
            <w:r w:rsidRPr="00F53DE6">
              <w:rPr>
                <w:color w:val="000000"/>
                <w:sz w:val="16"/>
                <w:szCs w:val="16"/>
              </w:rPr>
              <w:t>UC</w:t>
            </w:r>
          </w:p>
        </w:tc>
        <w:tc>
          <w:tcPr>
            <w:tcW w:w="6803" w:type="dxa"/>
            <w:tcBorders>
              <w:top w:val="single" w:sz="4" w:space="0" w:color="auto"/>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center"/>
              <w:rPr>
                <w:color w:val="000000"/>
                <w:sz w:val="16"/>
                <w:szCs w:val="16"/>
                <w:lang w:val="es-CO" w:eastAsia="es-CO"/>
              </w:rPr>
            </w:pPr>
            <w:r w:rsidRPr="00F53DE6">
              <w:rPr>
                <w:color w:val="000000"/>
                <w:sz w:val="16"/>
                <w:szCs w:val="16"/>
              </w:rPr>
              <w:t xml:space="preserve">DESCRIPCIÓN </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rsidR="0094295C" w:rsidRPr="00F53DE6" w:rsidRDefault="0094295C" w:rsidP="0094295C">
            <w:pPr>
              <w:spacing w:before="0" w:after="0"/>
              <w:jc w:val="center"/>
              <w:rPr>
                <w:color w:val="000000"/>
                <w:sz w:val="16"/>
                <w:szCs w:val="16"/>
                <w:lang w:val="es-CO" w:eastAsia="es-CO"/>
              </w:rPr>
            </w:pPr>
            <w:r w:rsidRPr="00F53DE6">
              <w:rPr>
                <w:color w:val="000000"/>
                <w:sz w:val="16"/>
                <w:szCs w:val="16"/>
              </w:rPr>
              <w:t>VALOR INSTALADO</w:t>
            </w:r>
            <w:r w:rsidRPr="00F53DE6">
              <w:rPr>
                <w:color w:val="000000"/>
                <w:sz w:val="16"/>
                <w:szCs w:val="16"/>
              </w:rPr>
              <w:br/>
              <w:t>[$/dic 2017]</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N1L133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Aluminio - calibre &lt; 6</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702.300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N1L134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Aluminio - calibre 4</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1.294.800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N1L135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Aluminio - calibre 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1.887.200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N1L136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Aluminio - calibre 1</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2.479.700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lastRenderedPageBreak/>
              <w:t>N1L137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Aluminio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3.072.400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N1L138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Aluminio - calibre  2/0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3.664.800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N1L139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Aluminio - calibre  3/0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4.257.300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N1L140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Aluminio - calibre  4/0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4.849.800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N1L141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Aluminio - calibre 250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5.442.200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N1L142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Aluminio - calibre  6/0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6.034.700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N1L143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Aluminio - calibre 350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6.627.200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N1L144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Cobre - calibre 12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1.148.900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N1L145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Cobre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1.758.000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N1L146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Cobre - calibre 8</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3.180.300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N1L147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Cobre - calibre 6</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5.945.700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N1L148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Cobre - calibre 4</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8.711.000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N1L149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Cobre - calibre 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11.476.300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N1L150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Cobre - calibre 1</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14.241.700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N1L151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Cobre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17.007.200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N1L152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Cobre - calibre  2/0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19.772.500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N1L153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Cobre - calibre  3/0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22.537.900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N1L154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Cobre - calibre  4/0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25.303.200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N1L155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Cobre - calibre 250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28.068.600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N1L156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Cobre - calibre  6/0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30.833.900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N1L157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Cobre - calibre 350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33.599.300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N1L158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Cobre - calibre 400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36.364.600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N1L159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Aislado - Cobre - calibre 500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39.129.900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N1L160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Desnudo - Aluminio - calibre 14</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925.400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N1L161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Desnudo - Aluminio - calibre 12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1.097.200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N1L162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Desnudo - Aluminio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1.269.000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N1L163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Desnudo - Aluminio - calibre 8</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1.440.700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N1L164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Desnudo - Aluminio - calibre 6</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1.612.500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N1L165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Desnudo - Aluminio - calibre 4</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1.784.300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N1L166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Desnudo - Aluminio - calibre 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1.956.100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N1L167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Desnudo - Aluminio - calibre 1</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2.127.800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N1L168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Desnudo - Aluminio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2.299.800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N1L169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Desnudo - Aluminio - calibre  2/0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2.471.600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N1L170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Desnudo - Aluminio - calibre  3/0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2.643.300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N1L171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Desnudo - Aluminio - calibre  4/0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2.815.100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N1L172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Desnudo - Aluminio - calibre  6/0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2.986.900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N1L173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Desnudo - Aluminio - calibre 180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3.158.600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N1L174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Desnudo - Aluminio - calibre 336</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3.330.400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N1L175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Desnudo - Cobre - calibre &lt;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1.184.100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N1L176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Desnudo - Cobre - calibre 8</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1.806.800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N1L177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Desnudo - Cobre - calibre 6</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4.234.000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N1L178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Desnudo - Cobre - calibre 4</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6.661.100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N1L179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Desnudo - Cobre - calibre 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9.088.300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N1L180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Desnudo - Cobre - calibre 1</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11.515.400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N1L181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Desnudo - Cobre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13.942.800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N1L182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Desnudo - Cobre - calibre  2/0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16.369.900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N1L183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Desnudo - Cobre - calibre  6/0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18.797.100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N1L184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Desnudo - Cobre - calibre 750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21.224.200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N1L185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Trenzado - Aluminio - calibre &lt; 6</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3.335.900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N1L186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Trenzado - Aluminio - calibre 4</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5.761.200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N1L187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Trenzado - Aluminio - calibre 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8.186.400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N1L188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Trenzado - Aluminio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10.611.700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N1L189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Trenzado - Aluminio - calibre  2/0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13.036.900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N1L190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Trenzado - Aluminio - calibre  4/0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15.462.200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N1L191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Trenzado - Cobre - calibre 12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3.986.300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lastRenderedPageBreak/>
              <w:t>N1L192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Trenzado - Cobre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5.626.000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N1L193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Trenzado - Cobre - calibre 8</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8.495.700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N1L194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Trenzado - Cobre - calibre 6</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13.470.200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N1L195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Trenzado - Cobre - calibre 4</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23.246.200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N1L196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Trenzado - Cobre - calibre 2</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33.022.200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N1L197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Trenzado - Cobre - calibre  1/0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42.798.200</w:t>
            </w:r>
          </w:p>
        </w:tc>
      </w:tr>
      <w:tr w:rsidR="0094295C" w:rsidRPr="00F53DE6"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N1L198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km de conductor/fase subterráneo urbano - Trenzado - Cobre - calibre  2/0</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52.574.200</w:t>
            </w:r>
          </w:p>
        </w:tc>
      </w:tr>
    </w:tbl>
    <w:p w:rsidR="0094295C" w:rsidRDefault="0094295C" w:rsidP="0094295C">
      <w:pPr>
        <w:pStyle w:val="Descripcin"/>
      </w:pPr>
      <w:r>
        <w:t xml:space="preserve">Tabla </w:t>
      </w:r>
      <w:r>
        <w:fldChar w:fldCharType="begin"/>
      </w:r>
      <w:r>
        <w:instrText xml:space="preserve"> SEQ Tabla \* ARABIC </w:instrText>
      </w:r>
      <w:r>
        <w:fldChar w:fldCharType="separate"/>
      </w:r>
      <w:r w:rsidR="00737178">
        <w:rPr>
          <w:noProof/>
        </w:rPr>
        <w:t>29</w:t>
      </w:r>
      <w:r>
        <w:fldChar w:fldCharType="end"/>
      </w:r>
      <w:r>
        <w:t xml:space="preserve"> </w:t>
      </w:r>
      <w:r w:rsidRPr="002B7E8C">
        <w:t>Costo instalado de canalizaciones [</w:t>
      </w:r>
      <w:r>
        <w:t>$ dic</w:t>
      </w:r>
      <w:r w:rsidRPr="002B7E8C">
        <w:t xml:space="preserve"> 201</w:t>
      </w:r>
      <w:r>
        <w:t>7</w:t>
      </w:r>
      <w:r w:rsidRPr="002B7E8C">
        <w:t>]</w:t>
      </w:r>
    </w:p>
    <w:tbl>
      <w:tblPr>
        <w:tblW w:w="7937" w:type="dxa"/>
        <w:jc w:val="center"/>
        <w:tblCellMar>
          <w:left w:w="70" w:type="dxa"/>
          <w:right w:w="70" w:type="dxa"/>
        </w:tblCellMar>
        <w:tblLook w:val="04A0" w:firstRow="1" w:lastRow="0" w:firstColumn="1" w:lastColumn="0" w:noHBand="0" w:noVBand="1"/>
      </w:tblPr>
      <w:tblGrid>
        <w:gridCol w:w="907"/>
        <w:gridCol w:w="5669"/>
        <w:gridCol w:w="1361"/>
      </w:tblGrid>
      <w:tr w:rsidR="0094295C" w:rsidRPr="00F53DE6" w:rsidTr="0094295C">
        <w:trPr>
          <w:trHeight w:val="567"/>
          <w:tblHeader/>
          <w:jc w:val="center"/>
        </w:trPr>
        <w:tc>
          <w:tcPr>
            <w:tcW w:w="9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center"/>
              <w:rPr>
                <w:color w:val="000000"/>
                <w:sz w:val="16"/>
                <w:szCs w:val="16"/>
                <w:lang w:val="es-CO" w:eastAsia="es-CO"/>
              </w:rPr>
            </w:pPr>
            <w:r w:rsidRPr="00F53DE6">
              <w:rPr>
                <w:color w:val="000000"/>
                <w:sz w:val="16"/>
                <w:szCs w:val="16"/>
              </w:rPr>
              <w:t>UC</w:t>
            </w:r>
          </w:p>
        </w:tc>
        <w:tc>
          <w:tcPr>
            <w:tcW w:w="5669" w:type="dxa"/>
            <w:tcBorders>
              <w:top w:val="single" w:sz="4" w:space="0" w:color="auto"/>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center"/>
              <w:rPr>
                <w:color w:val="000000"/>
                <w:sz w:val="16"/>
                <w:szCs w:val="16"/>
                <w:lang w:val="es-CO" w:eastAsia="es-CO"/>
              </w:rPr>
            </w:pPr>
            <w:r w:rsidRPr="00F53DE6">
              <w:rPr>
                <w:color w:val="000000"/>
                <w:sz w:val="16"/>
                <w:szCs w:val="16"/>
              </w:rPr>
              <w:t>DESCRIPCIÓN</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rsidR="0094295C" w:rsidRPr="00F53DE6" w:rsidRDefault="0094295C" w:rsidP="0094295C">
            <w:pPr>
              <w:spacing w:before="0" w:after="0"/>
              <w:jc w:val="center"/>
              <w:rPr>
                <w:color w:val="000000"/>
                <w:sz w:val="16"/>
                <w:szCs w:val="16"/>
                <w:lang w:val="es-CO" w:eastAsia="es-CO"/>
              </w:rPr>
            </w:pPr>
            <w:r w:rsidRPr="00F53DE6">
              <w:rPr>
                <w:color w:val="000000"/>
                <w:sz w:val="16"/>
                <w:szCs w:val="16"/>
              </w:rPr>
              <w:t>VALOR INSTALADO</w:t>
            </w:r>
            <w:r w:rsidRPr="00F53DE6">
              <w:rPr>
                <w:color w:val="000000"/>
                <w:sz w:val="16"/>
                <w:szCs w:val="16"/>
              </w:rPr>
              <w:br/>
              <w:t>[$/m dic 2017]</w:t>
            </w:r>
          </w:p>
        </w:tc>
      </w:tr>
      <w:tr w:rsidR="0094295C" w:rsidRPr="00F53DE6" w:rsidTr="0094295C">
        <w:trPr>
          <w:trHeight w:val="240"/>
          <w:jc w:val="center"/>
        </w:trPr>
        <w:tc>
          <w:tcPr>
            <w:tcW w:w="907" w:type="dxa"/>
            <w:tcBorders>
              <w:top w:val="nil"/>
              <w:left w:val="single" w:sz="4" w:space="0" w:color="auto"/>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N1C5</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Canalización con   1 ducto</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124.000</w:t>
            </w:r>
          </w:p>
        </w:tc>
      </w:tr>
      <w:tr w:rsidR="0094295C" w:rsidRPr="00F53DE6" w:rsidTr="0094295C">
        <w:trPr>
          <w:trHeight w:val="240"/>
          <w:jc w:val="center"/>
        </w:trPr>
        <w:tc>
          <w:tcPr>
            <w:tcW w:w="907" w:type="dxa"/>
            <w:tcBorders>
              <w:top w:val="nil"/>
              <w:left w:val="single" w:sz="4" w:space="0" w:color="auto"/>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N1C6</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Canalización con   2 ductos</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124.000</w:t>
            </w:r>
          </w:p>
        </w:tc>
      </w:tr>
      <w:tr w:rsidR="0094295C" w:rsidRPr="00F53DE6" w:rsidTr="0094295C">
        <w:trPr>
          <w:trHeight w:val="240"/>
          <w:jc w:val="center"/>
        </w:trPr>
        <w:tc>
          <w:tcPr>
            <w:tcW w:w="907" w:type="dxa"/>
            <w:tcBorders>
              <w:top w:val="nil"/>
              <w:left w:val="single" w:sz="4" w:space="0" w:color="auto"/>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N1C7</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Canalización con   3 ductos</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185.000</w:t>
            </w:r>
          </w:p>
        </w:tc>
      </w:tr>
      <w:tr w:rsidR="0094295C" w:rsidRPr="00F53DE6" w:rsidTr="0094295C">
        <w:trPr>
          <w:trHeight w:val="240"/>
          <w:jc w:val="center"/>
        </w:trPr>
        <w:tc>
          <w:tcPr>
            <w:tcW w:w="907" w:type="dxa"/>
            <w:tcBorders>
              <w:top w:val="nil"/>
              <w:left w:val="single" w:sz="4" w:space="0" w:color="auto"/>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N1C8</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Canalización con   4 ductos</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185.000</w:t>
            </w:r>
          </w:p>
        </w:tc>
      </w:tr>
      <w:tr w:rsidR="0094295C" w:rsidRPr="00F53DE6" w:rsidTr="0094295C">
        <w:trPr>
          <w:trHeight w:val="240"/>
          <w:jc w:val="center"/>
        </w:trPr>
        <w:tc>
          <w:tcPr>
            <w:tcW w:w="907" w:type="dxa"/>
            <w:tcBorders>
              <w:top w:val="nil"/>
              <w:left w:val="single" w:sz="4" w:space="0" w:color="auto"/>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N1C9</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Canalización con   5 ductos</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245.000</w:t>
            </w:r>
          </w:p>
        </w:tc>
      </w:tr>
      <w:tr w:rsidR="0094295C" w:rsidRPr="00F53DE6" w:rsidTr="0094295C">
        <w:trPr>
          <w:trHeight w:val="240"/>
          <w:jc w:val="center"/>
        </w:trPr>
        <w:tc>
          <w:tcPr>
            <w:tcW w:w="907" w:type="dxa"/>
            <w:tcBorders>
              <w:top w:val="nil"/>
              <w:left w:val="single" w:sz="4" w:space="0" w:color="auto"/>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N1C10</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Canalización con   6 ductos</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245.000</w:t>
            </w:r>
          </w:p>
        </w:tc>
      </w:tr>
      <w:tr w:rsidR="0094295C" w:rsidRPr="00F53DE6" w:rsidTr="0094295C">
        <w:trPr>
          <w:trHeight w:val="240"/>
          <w:jc w:val="center"/>
        </w:trPr>
        <w:tc>
          <w:tcPr>
            <w:tcW w:w="907" w:type="dxa"/>
            <w:tcBorders>
              <w:top w:val="nil"/>
              <w:left w:val="single" w:sz="4" w:space="0" w:color="auto"/>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N1C11</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Canalización con   7 ductos</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369.000</w:t>
            </w:r>
          </w:p>
        </w:tc>
      </w:tr>
      <w:tr w:rsidR="0094295C" w:rsidRPr="00F53DE6" w:rsidTr="0094295C">
        <w:trPr>
          <w:trHeight w:val="240"/>
          <w:jc w:val="center"/>
        </w:trPr>
        <w:tc>
          <w:tcPr>
            <w:tcW w:w="907" w:type="dxa"/>
            <w:tcBorders>
              <w:top w:val="nil"/>
              <w:left w:val="single" w:sz="4" w:space="0" w:color="auto"/>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N1C12</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Canalización con   8 ductos</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369.000</w:t>
            </w:r>
          </w:p>
        </w:tc>
      </w:tr>
      <w:tr w:rsidR="0094295C" w:rsidRPr="00F53DE6" w:rsidTr="0094295C">
        <w:trPr>
          <w:trHeight w:val="240"/>
          <w:jc w:val="center"/>
        </w:trPr>
        <w:tc>
          <w:tcPr>
            <w:tcW w:w="907" w:type="dxa"/>
            <w:tcBorders>
              <w:top w:val="nil"/>
              <w:left w:val="single" w:sz="4" w:space="0" w:color="auto"/>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N1C13</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Canalización con   9 ductos</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430.000</w:t>
            </w:r>
          </w:p>
        </w:tc>
      </w:tr>
      <w:tr w:rsidR="0094295C" w:rsidRPr="00F53DE6" w:rsidTr="0094295C">
        <w:trPr>
          <w:trHeight w:val="240"/>
          <w:jc w:val="center"/>
        </w:trPr>
        <w:tc>
          <w:tcPr>
            <w:tcW w:w="907" w:type="dxa"/>
            <w:tcBorders>
              <w:top w:val="nil"/>
              <w:left w:val="single" w:sz="4" w:space="0" w:color="auto"/>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N1C14</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Canalización con 10 ductos</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430.000</w:t>
            </w:r>
          </w:p>
        </w:tc>
      </w:tr>
      <w:tr w:rsidR="0094295C" w:rsidRPr="00F53DE6" w:rsidTr="0094295C">
        <w:trPr>
          <w:trHeight w:val="240"/>
          <w:jc w:val="center"/>
        </w:trPr>
        <w:tc>
          <w:tcPr>
            <w:tcW w:w="907" w:type="dxa"/>
            <w:tcBorders>
              <w:top w:val="nil"/>
              <w:left w:val="single" w:sz="4" w:space="0" w:color="auto"/>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N1C15</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Canalización con 11 ductos</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490.000</w:t>
            </w:r>
          </w:p>
        </w:tc>
      </w:tr>
      <w:tr w:rsidR="0094295C" w:rsidRPr="00F53DE6" w:rsidTr="0094295C">
        <w:trPr>
          <w:trHeight w:val="240"/>
          <w:jc w:val="center"/>
        </w:trPr>
        <w:tc>
          <w:tcPr>
            <w:tcW w:w="907" w:type="dxa"/>
            <w:tcBorders>
              <w:top w:val="nil"/>
              <w:left w:val="single" w:sz="4" w:space="0" w:color="auto"/>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N1C16</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Canalización con 12 ductos</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490.000</w:t>
            </w:r>
          </w:p>
        </w:tc>
      </w:tr>
      <w:tr w:rsidR="0094295C" w:rsidRPr="00F53DE6" w:rsidTr="0094295C">
        <w:trPr>
          <w:trHeight w:val="240"/>
          <w:jc w:val="center"/>
        </w:trPr>
        <w:tc>
          <w:tcPr>
            <w:tcW w:w="907" w:type="dxa"/>
            <w:tcBorders>
              <w:top w:val="nil"/>
              <w:left w:val="single" w:sz="4" w:space="0" w:color="auto"/>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N1C17</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Canalización con 13 ductos</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614.000</w:t>
            </w:r>
          </w:p>
        </w:tc>
      </w:tr>
      <w:tr w:rsidR="0094295C" w:rsidRPr="00F53DE6" w:rsidTr="0094295C">
        <w:trPr>
          <w:trHeight w:val="240"/>
          <w:jc w:val="center"/>
        </w:trPr>
        <w:tc>
          <w:tcPr>
            <w:tcW w:w="907" w:type="dxa"/>
            <w:tcBorders>
              <w:top w:val="nil"/>
              <w:left w:val="single" w:sz="4" w:space="0" w:color="auto"/>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N1C18</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Canalización con 14 ductos</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614.000</w:t>
            </w:r>
          </w:p>
        </w:tc>
      </w:tr>
      <w:tr w:rsidR="0094295C" w:rsidRPr="00F53DE6" w:rsidTr="0094295C">
        <w:trPr>
          <w:trHeight w:val="240"/>
          <w:jc w:val="center"/>
        </w:trPr>
        <w:tc>
          <w:tcPr>
            <w:tcW w:w="907" w:type="dxa"/>
            <w:tcBorders>
              <w:top w:val="nil"/>
              <w:left w:val="single" w:sz="4" w:space="0" w:color="auto"/>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N1C19</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Canalización con 15 ductos</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675.000</w:t>
            </w:r>
          </w:p>
        </w:tc>
      </w:tr>
      <w:tr w:rsidR="0094295C" w:rsidRPr="00F53DE6" w:rsidTr="0094295C">
        <w:trPr>
          <w:trHeight w:val="240"/>
          <w:jc w:val="center"/>
        </w:trPr>
        <w:tc>
          <w:tcPr>
            <w:tcW w:w="907" w:type="dxa"/>
            <w:tcBorders>
              <w:top w:val="nil"/>
              <w:left w:val="single" w:sz="4" w:space="0" w:color="auto"/>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N1C20</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Canalización con 16 ductos</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675.000</w:t>
            </w:r>
          </w:p>
        </w:tc>
      </w:tr>
      <w:tr w:rsidR="0094295C" w:rsidRPr="00F53DE6" w:rsidTr="0094295C">
        <w:trPr>
          <w:trHeight w:val="240"/>
          <w:jc w:val="center"/>
        </w:trPr>
        <w:tc>
          <w:tcPr>
            <w:tcW w:w="907" w:type="dxa"/>
            <w:tcBorders>
              <w:top w:val="nil"/>
              <w:left w:val="single" w:sz="4" w:space="0" w:color="auto"/>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N1C21</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Canalización con 17 ductos</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735.000</w:t>
            </w:r>
          </w:p>
        </w:tc>
      </w:tr>
      <w:tr w:rsidR="0094295C" w:rsidRPr="00F53DE6" w:rsidTr="0094295C">
        <w:trPr>
          <w:trHeight w:val="240"/>
          <w:jc w:val="center"/>
        </w:trPr>
        <w:tc>
          <w:tcPr>
            <w:tcW w:w="907" w:type="dxa"/>
            <w:tcBorders>
              <w:top w:val="nil"/>
              <w:left w:val="single" w:sz="4" w:space="0" w:color="auto"/>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N1C22</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Canalización con 18 ductos</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735.000</w:t>
            </w:r>
          </w:p>
        </w:tc>
      </w:tr>
      <w:tr w:rsidR="0094295C" w:rsidRPr="00F53DE6" w:rsidTr="0094295C">
        <w:trPr>
          <w:trHeight w:val="240"/>
          <w:jc w:val="center"/>
        </w:trPr>
        <w:tc>
          <w:tcPr>
            <w:tcW w:w="907" w:type="dxa"/>
            <w:tcBorders>
              <w:top w:val="nil"/>
              <w:left w:val="single" w:sz="4" w:space="0" w:color="auto"/>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N1C23</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Canalización con 20 ductos</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859.000</w:t>
            </w:r>
          </w:p>
        </w:tc>
      </w:tr>
      <w:tr w:rsidR="0094295C" w:rsidRPr="00F53DE6" w:rsidTr="0094295C">
        <w:trPr>
          <w:trHeight w:val="240"/>
          <w:jc w:val="center"/>
        </w:trPr>
        <w:tc>
          <w:tcPr>
            <w:tcW w:w="907" w:type="dxa"/>
            <w:tcBorders>
              <w:top w:val="nil"/>
              <w:left w:val="single" w:sz="4" w:space="0" w:color="auto"/>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N1C24</w:t>
            </w:r>
          </w:p>
        </w:tc>
        <w:tc>
          <w:tcPr>
            <w:tcW w:w="5669"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left"/>
              <w:rPr>
                <w:color w:val="000000"/>
                <w:sz w:val="16"/>
                <w:szCs w:val="16"/>
                <w:lang w:val="es-CO" w:eastAsia="es-CO"/>
              </w:rPr>
            </w:pPr>
            <w:r w:rsidRPr="00F53DE6">
              <w:rPr>
                <w:color w:val="000000"/>
                <w:sz w:val="16"/>
                <w:szCs w:val="16"/>
              </w:rPr>
              <w:t>Canalización con 24 ductos</w:t>
            </w:r>
          </w:p>
        </w:tc>
        <w:tc>
          <w:tcPr>
            <w:tcW w:w="1361" w:type="dxa"/>
            <w:tcBorders>
              <w:top w:val="nil"/>
              <w:left w:val="nil"/>
              <w:bottom w:val="single" w:sz="4" w:space="0" w:color="auto"/>
              <w:right w:val="single" w:sz="4" w:space="0" w:color="auto"/>
            </w:tcBorders>
            <w:shd w:val="clear" w:color="auto" w:fill="auto"/>
            <w:noWrap/>
            <w:vAlign w:val="center"/>
            <w:hideMark/>
          </w:tcPr>
          <w:p w:rsidR="0094295C" w:rsidRPr="00F53DE6" w:rsidRDefault="0094295C" w:rsidP="0094295C">
            <w:pPr>
              <w:spacing w:before="0" w:after="0"/>
              <w:jc w:val="right"/>
              <w:rPr>
                <w:color w:val="000000"/>
                <w:sz w:val="16"/>
                <w:szCs w:val="16"/>
                <w:lang w:val="es-CO" w:eastAsia="es-CO"/>
              </w:rPr>
            </w:pPr>
            <w:r w:rsidRPr="00F53DE6">
              <w:rPr>
                <w:color w:val="000000"/>
                <w:sz w:val="16"/>
                <w:szCs w:val="16"/>
              </w:rPr>
              <w:t>980.000</w:t>
            </w:r>
          </w:p>
        </w:tc>
      </w:tr>
    </w:tbl>
    <w:p w:rsidR="0094295C" w:rsidRDefault="0094295C" w:rsidP="0094295C">
      <w:pPr>
        <w:pStyle w:val="Descripcin"/>
        <w:widowControl/>
      </w:pPr>
      <w:r>
        <w:t xml:space="preserve">Tabla </w:t>
      </w:r>
      <w:r>
        <w:fldChar w:fldCharType="begin"/>
      </w:r>
      <w:r>
        <w:instrText xml:space="preserve"> SEQ Tabla \* ARABIC </w:instrText>
      </w:r>
      <w:r>
        <w:fldChar w:fldCharType="separate"/>
      </w:r>
      <w:r w:rsidR="00737178">
        <w:rPr>
          <w:noProof/>
        </w:rPr>
        <w:t>30</w:t>
      </w:r>
      <w:r>
        <w:fldChar w:fldCharType="end"/>
      </w:r>
      <w:r w:rsidRPr="002B7E8C">
        <w:t xml:space="preserve"> Costo otros elementos [$ Dic 201</w:t>
      </w:r>
      <w:r>
        <w:t>7</w:t>
      </w:r>
      <w:r w:rsidRPr="002B7E8C">
        <w:t>]</w:t>
      </w:r>
    </w:p>
    <w:tbl>
      <w:tblPr>
        <w:tblW w:w="3780" w:type="dxa"/>
        <w:jc w:val="center"/>
        <w:tblCellMar>
          <w:left w:w="70" w:type="dxa"/>
          <w:right w:w="70" w:type="dxa"/>
        </w:tblCellMar>
        <w:tblLook w:val="04A0" w:firstRow="1" w:lastRow="0" w:firstColumn="1" w:lastColumn="0" w:noHBand="0" w:noVBand="1"/>
      </w:tblPr>
      <w:tblGrid>
        <w:gridCol w:w="2580"/>
        <w:gridCol w:w="1200"/>
      </w:tblGrid>
      <w:tr w:rsidR="0094295C" w:rsidRPr="0079133C" w:rsidTr="0094295C">
        <w:trPr>
          <w:trHeight w:val="227"/>
          <w:jc w:val="center"/>
        </w:trPr>
        <w:tc>
          <w:tcPr>
            <w:tcW w:w="25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295C" w:rsidRPr="0079133C" w:rsidRDefault="0094295C" w:rsidP="0094295C">
            <w:pPr>
              <w:keepNext/>
              <w:spacing w:before="0" w:after="0"/>
              <w:jc w:val="center"/>
              <w:rPr>
                <w:color w:val="000000"/>
                <w:sz w:val="16"/>
                <w:szCs w:val="16"/>
                <w:lang w:val="es-CO" w:eastAsia="es-CO"/>
              </w:rPr>
            </w:pPr>
            <w:r>
              <w:rPr>
                <w:color w:val="000000"/>
                <w:sz w:val="16"/>
                <w:szCs w:val="16"/>
              </w:rPr>
              <w:t xml:space="preserve">DESCRIPCIÓN </w:t>
            </w:r>
          </w:p>
        </w:tc>
        <w:tc>
          <w:tcPr>
            <w:tcW w:w="1200" w:type="dxa"/>
            <w:tcBorders>
              <w:top w:val="single" w:sz="4" w:space="0" w:color="auto"/>
              <w:left w:val="nil"/>
              <w:bottom w:val="single" w:sz="4" w:space="0" w:color="auto"/>
              <w:right w:val="single" w:sz="4" w:space="0" w:color="auto"/>
            </w:tcBorders>
            <w:shd w:val="clear" w:color="auto" w:fill="auto"/>
            <w:vAlign w:val="bottom"/>
            <w:hideMark/>
          </w:tcPr>
          <w:p w:rsidR="0094295C" w:rsidRPr="0079133C" w:rsidRDefault="0094295C" w:rsidP="0094295C">
            <w:pPr>
              <w:keepNext/>
              <w:spacing w:before="0" w:after="0"/>
              <w:jc w:val="center"/>
              <w:rPr>
                <w:color w:val="000000"/>
                <w:sz w:val="16"/>
                <w:szCs w:val="16"/>
                <w:lang w:val="es-CO" w:eastAsia="es-CO"/>
              </w:rPr>
            </w:pPr>
            <w:r>
              <w:rPr>
                <w:color w:val="000000"/>
                <w:sz w:val="16"/>
                <w:szCs w:val="16"/>
              </w:rPr>
              <w:t>VALOR INSTALADO</w:t>
            </w:r>
            <w:r>
              <w:rPr>
                <w:color w:val="000000"/>
                <w:sz w:val="16"/>
                <w:szCs w:val="16"/>
              </w:rPr>
              <w:br/>
              <w:t>[$/m dic 2017]</w:t>
            </w:r>
          </w:p>
        </w:tc>
      </w:tr>
      <w:tr w:rsidR="0094295C" w:rsidRPr="0079133C" w:rsidTr="0094295C">
        <w:trPr>
          <w:trHeight w:val="283"/>
          <w:jc w:val="center"/>
        </w:trPr>
        <w:tc>
          <w:tcPr>
            <w:tcW w:w="258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9133C" w:rsidRDefault="0094295C" w:rsidP="0094295C">
            <w:pPr>
              <w:spacing w:before="0" w:after="0"/>
              <w:jc w:val="left"/>
              <w:rPr>
                <w:color w:val="000000"/>
                <w:sz w:val="16"/>
                <w:szCs w:val="16"/>
                <w:lang w:val="es-CO" w:eastAsia="es-CO"/>
              </w:rPr>
            </w:pPr>
            <w:r>
              <w:rPr>
                <w:color w:val="000000"/>
                <w:sz w:val="16"/>
                <w:szCs w:val="16"/>
              </w:rPr>
              <w:t>Palomilla</w:t>
            </w:r>
          </w:p>
        </w:tc>
        <w:tc>
          <w:tcPr>
            <w:tcW w:w="1200" w:type="dxa"/>
            <w:tcBorders>
              <w:top w:val="nil"/>
              <w:left w:val="nil"/>
              <w:bottom w:val="single" w:sz="4" w:space="0" w:color="auto"/>
              <w:right w:val="single" w:sz="4" w:space="0" w:color="auto"/>
            </w:tcBorders>
            <w:shd w:val="clear" w:color="auto" w:fill="auto"/>
            <w:noWrap/>
            <w:vAlign w:val="center"/>
            <w:hideMark/>
          </w:tcPr>
          <w:p w:rsidR="0094295C" w:rsidRPr="0079133C" w:rsidRDefault="0094295C" w:rsidP="0094295C">
            <w:pPr>
              <w:spacing w:before="0" w:after="0"/>
              <w:jc w:val="right"/>
              <w:rPr>
                <w:color w:val="000000"/>
                <w:sz w:val="16"/>
                <w:szCs w:val="16"/>
                <w:lang w:val="es-CO" w:eastAsia="es-CO"/>
              </w:rPr>
            </w:pPr>
            <w:r>
              <w:rPr>
                <w:color w:val="000000"/>
                <w:sz w:val="16"/>
                <w:szCs w:val="16"/>
              </w:rPr>
              <w:t>25.971</w:t>
            </w:r>
          </w:p>
        </w:tc>
      </w:tr>
      <w:tr w:rsidR="0094295C" w:rsidRPr="0079133C" w:rsidTr="0094295C">
        <w:trPr>
          <w:trHeight w:val="283"/>
          <w:jc w:val="center"/>
        </w:trPr>
        <w:tc>
          <w:tcPr>
            <w:tcW w:w="258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9133C" w:rsidRDefault="0094295C" w:rsidP="0094295C">
            <w:pPr>
              <w:spacing w:before="0" w:after="0"/>
              <w:jc w:val="left"/>
              <w:rPr>
                <w:color w:val="000000"/>
                <w:sz w:val="16"/>
                <w:szCs w:val="16"/>
                <w:lang w:val="es-CO" w:eastAsia="es-CO"/>
              </w:rPr>
            </w:pPr>
            <w:r>
              <w:rPr>
                <w:color w:val="000000"/>
                <w:sz w:val="16"/>
                <w:szCs w:val="16"/>
              </w:rPr>
              <w:t>Puesta a tierra</w:t>
            </w:r>
          </w:p>
        </w:tc>
        <w:tc>
          <w:tcPr>
            <w:tcW w:w="1200" w:type="dxa"/>
            <w:tcBorders>
              <w:top w:val="nil"/>
              <w:left w:val="nil"/>
              <w:bottom w:val="single" w:sz="4" w:space="0" w:color="auto"/>
              <w:right w:val="single" w:sz="4" w:space="0" w:color="auto"/>
            </w:tcBorders>
            <w:shd w:val="clear" w:color="auto" w:fill="auto"/>
            <w:noWrap/>
            <w:vAlign w:val="center"/>
            <w:hideMark/>
          </w:tcPr>
          <w:p w:rsidR="0094295C" w:rsidRPr="0079133C" w:rsidRDefault="0094295C" w:rsidP="0094295C">
            <w:pPr>
              <w:spacing w:before="0" w:after="0"/>
              <w:jc w:val="right"/>
              <w:rPr>
                <w:color w:val="000000"/>
                <w:sz w:val="16"/>
                <w:szCs w:val="16"/>
                <w:lang w:val="es-CO" w:eastAsia="es-CO"/>
              </w:rPr>
            </w:pPr>
            <w:r>
              <w:rPr>
                <w:color w:val="000000"/>
                <w:sz w:val="16"/>
                <w:szCs w:val="16"/>
              </w:rPr>
              <w:t>154.040</w:t>
            </w:r>
          </w:p>
        </w:tc>
      </w:tr>
      <w:tr w:rsidR="0094295C" w:rsidRPr="0079133C" w:rsidTr="0094295C">
        <w:trPr>
          <w:trHeight w:val="283"/>
          <w:jc w:val="center"/>
        </w:trPr>
        <w:tc>
          <w:tcPr>
            <w:tcW w:w="258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9133C" w:rsidRDefault="0094295C" w:rsidP="0094295C">
            <w:pPr>
              <w:spacing w:before="0" w:after="0"/>
              <w:jc w:val="left"/>
              <w:rPr>
                <w:color w:val="000000"/>
                <w:sz w:val="16"/>
                <w:szCs w:val="16"/>
                <w:lang w:val="es-CO" w:eastAsia="es-CO"/>
              </w:rPr>
            </w:pPr>
            <w:r>
              <w:rPr>
                <w:color w:val="000000"/>
                <w:sz w:val="16"/>
                <w:szCs w:val="16"/>
              </w:rPr>
              <w:t>Caja derivación acometidas</w:t>
            </w:r>
          </w:p>
        </w:tc>
        <w:tc>
          <w:tcPr>
            <w:tcW w:w="1200" w:type="dxa"/>
            <w:tcBorders>
              <w:top w:val="nil"/>
              <w:left w:val="nil"/>
              <w:bottom w:val="single" w:sz="4" w:space="0" w:color="auto"/>
              <w:right w:val="single" w:sz="4" w:space="0" w:color="auto"/>
            </w:tcBorders>
            <w:shd w:val="clear" w:color="auto" w:fill="auto"/>
            <w:noWrap/>
            <w:vAlign w:val="center"/>
            <w:hideMark/>
          </w:tcPr>
          <w:p w:rsidR="0094295C" w:rsidRPr="0079133C" w:rsidRDefault="0094295C" w:rsidP="0094295C">
            <w:pPr>
              <w:spacing w:before="0" w:after="0"/>
              <w:jc w:val="right"/>
              <w:rPr>
                <w:color w:val="000000"/>
                <w:sz w:val="16"/>
                <w:szCs w:val="16"/>
                <w:lang w:val="es-CO" w:eastAsia="es-CO"/>
              </w:rPr>
            </w:pPr>
            <w:r>
              <w:rPr>
                <w:color w:val="000000"/>
                <w:sz w:val="16"/>
                <w:szCs w:val="16"/>
              </w:rPr>
              <w:t>153.498</w:t>
            </w:r>
          </w:p>
        </w:tc>
      </w:tr>
    </w:tbl>
    <w:p w:rsidR="0094295C" w:rsidRPr="004E6CFC" w:rsidRDefault="0094295C" w:rsidP="0094295C">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31</w:t>
      </w:r>
      <w:r w:rsidRPr="004E6CFC">
        <w:fldChar w:fldCharType="end"/>
      </w:r>
      <w:r w:rsidRPr="004E6CFC">
        <w:t xml:space="preserve"> Costo instalado de transformadores urbanos de nivel de tensión 1</w:t>
      </w:r>
    </w:p>
    <w:tbl>
      <w:tblPr>
        <w:tblW w:w="9014" w:type="dxa"/>
        <w:jc w:val="center"/>
        <w:tblCellMar>
          <w:left w:w="70" w:type="dxa"/>
          <w:right w:w="70" w:type="dxa"/>
        </w:tblCellMar>
        <w:tblLook w:val="04A0" w:firstRow="1" w:lastRow="0" w:firstColumn="1" w:lastColumn="0" w:noHBand="0" w:noVBand="1"/>
      </w:tblPr>
      <w:tblGrid>
        <w:gridCol w:w="850"/>
        <w:gridCol w:w="6803"/>
        <w:gridCol w:w="1361"/>
      </w:tblGrid>
      <w:tr w:rsidR="0094295C" w:rsidRPr="007B0E0D" w:rsidTr="0094295C">
        <w:trPr>
          <w:trHeight w:val="794"/>
          <w:tblHeader/>
          <w:jc w:val="center"/>
        </w:trPr>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7B0E0D" w:rsidRDefault="0094295C" w:rsidP="0094295C">
            <w:pPr>
              <w:spacing w:before="0" w:after="0"/>
              <w:jc w:val="center"/>
              <w:rPr>
                <w:color w:val="000000"/>
                <w:sz w:val="16"/>
                <w:szCs w:val="16"/>
                <w:lang w:val="es-CO" w:eastAsia="es-CO"/>
              </w:rPr>
            </w:pPr>
            <w:r w:rsidRPr="007B0E0D">
              <w:rPr>
                <w:color w:val="000000"/>
                <w:sz w:val="16"/>
                <w:szCs w:val="16"/>
              </w:rPr>
              <w:t>UC</w:t>
            </w:r>
          </w:p>
        </w:tc>
        <w:tc>
          <w:tcPr>
            <w:tcW w:w="6803" w:type="dxa"/>
            <w:tcBorders>
              <w:top w:val="single" w:sz="4" w:space="0" w:color="auto"/>
              <w:left w:val="nil"/>
              <w:bottom w:val="single" w:sz="4" w:space="0" w:color="auto"/>
              <w:right w:val="single" w:sz="4" w:space="0" w:color="auto"/>
            </w:tcBorders>
            <w:shd w:val="clear" w:color="auto" w:fill="auto"/>
            <w:noWrap/>
            <w:vAlign w:val="center"/>
            <w:hideMark/>
          </w:tcPr>
          <w:p w:rsidR="0094295C" w:rsidRPr="007B0E0D" w:rsidRDefault="0094295C" w:rsidP="0094295C">
            <w:pPr>
              <w:spacing w:before="0" w:after="0"/>
              <w:jc w:val="center"/>
              <w:rPr>
                <w:color w:val="000000"/>
                <w:sz w:val="16"/>
                <w:szCs w:val="16"/>
                <w:lang w:val="es-CO" w:eastAsia="es-CO"/>
              </w:rPr>
            </w:pPr>
            <w:r w:rsidRPr="007B0E0D">
              <w:rPr>
                <w:color w:val="000000"/>
                <w:sz w:val="16"/>
                <w:szCs w:val="16"/>
              </w:rPr>
              <w:t xml:space="preserve">DESCRIPCIÓN </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rsidR="0094295C" w:rsidRPr="007B0E0D" w:rsidRDefault="0094295C" w:rsidP="0094295C">
            <w:pPr>
              <w:spacing w:before="0" w:after="0"/>
              <w:jc w:val="center"/>
              <w:rPr>
                <w:color w:val="000000"/>
                <w:sz w:val="16"/>
                <w:szCs w:val="16"/>
                <w:lang w:val="es-CO" w:eastAsia="es-CO"/>
              </w:rPr>
            </w:pPr>
            <w:r w:rsidRPr="007B0E0D">
              <w:rPr>
                <w:color w:val="000000"/>
                <w:sz w:val="16"/>
                <w:szCs w:val="16"/>
              </w:rPr>
              <w:t>VALOR INSTALADO</w:t>
            </w:r>
            <w:r w:rsidRPr="007B0E0D">
              <w:rPr>
                <w:color w:val="000000"/>
                <w:sz w:val="16"/>
                <w:szCs w:val="16"/>
              </w:rPr>
              <w:br/>
              <w:t>[$ Dic 2017]</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Monofásico urbano de 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5.087.000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Monofásico urbano de 7,5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5.487.000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Monofásico urbano de 10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5.887.000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Monofásico urbano de 15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6.286.000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Monofásico urbano de 25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6.686.000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Monofásico urbano de 37,5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7.133.000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Monofásico urbano de 50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7.532.000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Monofásico urbano de 75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7.932.000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Trifásico urbano de 15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5.678.000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lastRenderedPageBreak/>
              <w:t>N1T10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Trifásico urbano de 20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6.934.000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N1T11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Trifásico urbano de 30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8.190.000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N1T12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Trifásico urbano de 45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9.446.000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N1T13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Trifásico urbano de 50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10.702.000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N1T14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Trifásico urbano de 75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11.958.000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N1T15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Trifásico urbano de 112,5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13.265.000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N1T16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Trifásico urbano de 150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14.521.000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N1T17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Pedestal Trifásico urbano de 45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36.995.000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N1T18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Pedestal Trifásico urbano de 75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39.854.000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N1T19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Pedestal Trifásico urbano de 112,5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42.713.000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N1T20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Pedestal Trifásico urbano de 225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45.572.000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N1T21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Pedestal Trifásico urbano de 250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48.431.000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N1T22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Pedestal Trifásico urbano de 300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51.290.000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N1T23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Pedestal Trifásico urbano de 400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54.149.000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N1T24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Pedestal Trifásico urbano de 500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57.008.000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N1T25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Pedestal Trifásico urbano de 630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60.332.000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N1T26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Pedestal Trifásico urbano de 1000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63.191.000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N1T27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Subestación Trifásico  urbano de 45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74.095.000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N1T28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Subestación Trifásico  urbano de 75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75.852.000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N1T29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Subestación Trifásico  urbano de 112,5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78.049.000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N1T30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Subestación Trifásico  urbano de 150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80.246.000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N1T31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Subestación Trifásico  urbano de 225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84.640.000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N1T32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Subestación Trifásico  urbano de 250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86.104.000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N1T33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Subestación Trifásico  urbano de 300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89.033.000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N1T34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Subestación Trifásico  urbano de 400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94.891.000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N1T35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Subestación Trifásico  urbano de 500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100.749.000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N1T36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Subestación Trifásico  urbano de 630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114.465.000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N1T37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Subestación Trifásico  urbano de 1000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136.140.000</w:t>
            </w:r>
          </w:p>
        </w:tc>
      </w:tr>
    </w:tbl>
    <w:p w:rsidR="0094295C" w:rsidRPr="004E6CFC" w:rsidRDefault="0094295C" w:rsidP="0094295C">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32</w:t>
      </w:r>
      <w:r w:rsidRPr="004E6CFC">
        <w:fldChar w:fldCharType="end"/>
      </w:r>
      <w:r w:rsidRPr="004E6CFC">
        <w:t xml:space="preserve"> Costo instalado de transformadores rurales de nivel de tensión 1]</w:t>
      </w:r>
    </w:p>
    <w:tbl>
      <w:tblPr>
        <w:tblW w:w="9014" w:type="dxa"/>
        <w:jc w:val="center"/>
        <w:tblCellMar>
          <w:left w:w="70" w:type="dxa"/>
          <w:right w:w="70" w:type="dxa"/>
        </w:tblCellMar>
        <w:tblLook w:val="04A0" w:firstRow="1" w:lastRow="0" w:firstColumn="1" w:lastColumn="0" w:noHBand="0" w:noVBand="1"/>
      </w:tblPr>
      <w:tblGrid>
        <w:gridCol w:w="850"/>
        <w:gridCol w:w="6803"/>
        <w:gridCol w:w="1361"/>
      </w:tblGrid>
      <w:tr w:rsidR="0094295C" w:rsidRPr="007B0E0D" w:rsidTr="0094295C">
        <w:trPr>
          <w:trHeight w:val="794"/>
          <w:tblHeader/>
          <w:jc w:val="center"/>
        </w:trPr>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7B0E0D" w:rsidRDefault="0094295C" w:rsidP="0094295C">
            <w:pPr>
              <w:spacing w:before="0" w:after="0"/>
              <w:jc w:val="center"/>
              <w:rPr>
                <w:color w:val="000000"/>
                <w:sz w:val="16"/>
                <w:szCs w:val="16"/>
                <w:lang w:val="es-CO" w:eastAsia="es-CO"/>
              </w:rPr>
            </w:pPr>
            <w:r w:rsidRPr="007B0E0D">
              <w:rPr>
                <w:color w:val="000000"/>
                <w:sz w:val="16"/>
                <w:szCs w:val="16"/>
              </w:rPr>
              <w:t>UC</w:t>
            </w:r>
          </w:p>
        </w:tc>
        <w:tc>
          <w:tcPr>
            <w:tcW w:w="6803" w:type="dxa"/>
            <w:tcBorders>
              <w:top w:val="single" w:sz="4" w:space="0" w:color="auto"/>
              <w:left w:val="nil"/>
              <w:bottom w:val="single" w:sz="4" w:space="0" w:color="auto"/>
              <w:right w:val="single" w:sz="4" w:space="0" w:color="auto"/>
            </w:tcBorders>
            <w:shd w:val="clear" w:color="auto" w:fill="auto"/>
            <w:noWrap/>
            <w:vAlign w:val="center"/>
            <w:hideMark/>
          </w:tcPr>
          <w:p w:rsidR="0094295C" w:rsidRPr="007B0E0D" w:rsidRDefault="0094295C" w:rsidP="0094295C">
            <w:pPr>
              <w:spacing w:before="0" w:after="0"/>
              <w:jc w:val="center"/>
              <w:rPr>
                <w:color w:val="000000"/>
                <w:sz w:val="16"/>
                <w:szCs w:val="16"/>
                <w:lang w:val="es-CO" w:eastAsia="es-CO"/>
              </w:rPr>
            </w:pPr>
            <w:r w:rsidRPr="007B0E0D">
              <w:rPr>
                <w:color w:val="000000"/>
                <w:sz w:val="16"/>
                <w:szCs w:val="16"/>
              </w:rPr>
              <w:t xml:space="preserve">DESCRIPCIÓN </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rsidR="0094295C" w:rsidRPr="007B0E0D" w:rsidRDefault="0094295C" w:rsidP="0094295C">
            <w:pPr>
              <w:spacing w:before="0" w:after="0"/>
              <w:jc w:val="center"/>
              <w:rPr>
                <w:color w:val="000000"/>
                <w:sz w:val="16"/>
                <w:szCs w:val="16"/>
                <w:lang w:val="es-CO" w:eastAsia="es-CO"/>
              </w:rPr>
            </w:pPr>
            <w:r w:rsidRPr="007B0E0D">
              <w:rPr>
                <w:color w:val="000000"/>
                <w:sz w:val="16"/>
                <w:szCs w:val="16"/>
              </w:rPr>
              <w:t>VALOR INSTALADO</w:t>
            </w:r>
            <w:r w:rsidRPr="007B0E0D">
              <w:rPr>
                <w:color w:val="000000"/>
                <w:sz w:val="16"/>
                <w:szCs w:val="16"/>
              </w:rPr>
              <w:br/>
              <w:t>[$/m dic 2017]</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N1T38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Monofásico rural de 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5.658.000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N1T39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Monofásico rural de 7,5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6.058.000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N1T40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Monofásico rural de 10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6.458.000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N1T41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Monofásico rural de 15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6.857.000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N1T42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Monofásico rural de 25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7.257.000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N1T43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Monofásico rural de 37,5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7.726.000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N1T44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Monofásico rural de 50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8.125.000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N1T45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Monofásico rural de 75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8.525.000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N1T46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Trifásico rural de 15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6.255.000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N1T47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Trifásico rural de 20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7.511.000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N1T48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Trifásico rural de 30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8.767.000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N1T49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Trifásico rural de 45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10.023.000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N1T50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Trifásico rural de 50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11.279.000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N1T51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Trifásico rural de 75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12.535.000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N1T52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Trifásico rural de 112,5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13.930.000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N1T53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Aéreo Trifásico rural de 150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15.186.000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N1T54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Pedestal Trifásico rural de 45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36.995.000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N1T55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Pedestal Trifásico rural de 75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39.854.000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N1T56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Pedestal Trifásico rural de 112,5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42.713.000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N1T57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Pedestal Trifásico rural de 225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45.572.000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N1T58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Pedestal Trifásico rural de 250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48.431.000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N1T59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Pedestal Trifásico rural de 300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51.290.000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lastRenderedPageBreak/>
              <w:t>N1T60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Pedestal Trifásico rural de 400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54.149.000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N1T61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Pedestal Trifásico rural de 500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57.008.000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N1T62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Pedestal Trifásico rural de 630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60.332.000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N1T63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Pedestal Trifásico rural de 1000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63.191.000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N1T64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Subestación Trifásico  rural de 45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74.095.000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N1T65</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Subestación Trifásico  rural de 75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75.852.000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N1T66</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Subestación Trifásico  rural de 112,5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78.049.000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N1T67</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Subestación Trifásico  rural de 150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80.246.000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N1T68</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Subestación Trifásico  rural de 225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84.640.000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N1T69</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Subestación Trifásico  rural de 250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86.104.000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N1T70</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Subestación Trifásico  rural de 300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89.033.000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N1T71</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Subestación Trifásico  rural de 400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94.891.000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N1T72</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Subestación Trifásico  rural de 500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100.749.000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N1T73</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Subestación Trifásico  rural de 630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114.465.000</w:t>
            </w:r>
          </w:p>
        </w:tc>
      </w:tr>
      <w:tr w:rsidR="0094295C" w:rsidRPr="007B0E0D" w:rsidTr="0094295C">
        <w:trPr>
          <w:trHeight w:val="240"/>
          <w:jc w:val="center"/>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N1T74</w:t>
            </w:r>
          </w:p>
        </w:tc>
        <w:tc>
          <w:tcPr>
            <w:tcW w:w="6803"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left"/>
              <w:rPr>
                <w:color w:val="000000"/>
                <w:sz w:val="16"/>
                <w:szCs w:val="16"/>
                <w:lang w:val="es-CO" w:eastAsia="es-CO"/>
              </w:rPr>
            </w:pPr>
            <w:r w:rsidRPr="007B0E0D">
              <w:rPr>
                <w:color w:val="000000"/>
                <w:sz w:val="16"/>
                <w:szCs w:val="16"/>
              </w:rPr>
              <w:t>Transformador Subestación Trifásico  rural de 1000 kVA</w:t>
            </w:r>
          </w:p>
        </w:tc>
        <w:tc>
          <w:tcPr>
            <w:tcW w:w="1361" w:type="dxa"/>
            <w:tcBorders>
              <w:top w:val="nil"/>
              <w:left w:val="nil"/>
              <w:bottom w:val="single" w:sz="4" w:space="0" w:color="auto"/>
              <w:right w:val="single" w:sz="4" w:space="0" w:color="auto"/>
            </w:tcBorders>
            <w:shd w:val="clear" w:color="auto" w:fill="auto"/>
            <w:noWrap/>
            <w:vAlign w:val="bottom"/>
            <w:hideMark/>
          </w:tcPr>
          <w:p w:rsidR="0094295C" w:rsidRPr="007B0E0D" w:rsidRDefault="0094295C" w:rsidP="0094295C">
            <w:pPr>
              <w:spacing w:before="0" w:after="0"/>
              <w:jc w:val="right"/>
              <w:rPr>
                <w:color w:val="000000"/>
                <w:sz w:val="16"/>
                <w:szCs w:val="16"/>
                <w:lang w:val="es-CO" w:eastAsia="es-CO"/>
              </w:rPr>
            </w:pPr>
            <w:r w:rsidRPr="007B0E0D">
              <w:rPr>
                <w:color w:val="000000"/>
                <w:sz w:val="16"/>
                <w:szCs w:val="16"/>
              </w:rPr>
              <w:t>136.140.000</w:t>
            </w:r>
          </w:p>
        </w:tc>
      </w:tr>
    </w:tbl>
    <w:p w:rsidR="0094295C" w:rsidRDefault="0094295C" w:rsidP="0094295C">
      <w:bookmarkStart w:id="1089" w:name="_Toc443655764"/>
      <w:bookmarkStart w:id="1090" w:name="_Toc445214154"/>
      <w:bookmarkStart w:id="1091" w:name="_Toc476824974"/>
      <w:r w:rsidRPr="002B7E8C">
        <w:t>Las cajas de derivación de acometidas se reconocen únicamente en redes aéreas con conductor trenzado, se asocia una sola caja por transformador.</w:t>
      </w:r>
    </w:p>
    <w:p w:rsidR="0094295C" w:rsidRPr="004E6CFC" w:rsidRDefault="0094295C" w:rsidP="0094295C">
      <w:pPr>
        <w:pStyle w:val="Ttulo2"/>
      </w:pPr>
      <w:bookmarkStart w:id="1092" w:name="_Toc505336026"/>
      <w:r w:rsidRPr="004E6CFC">
        <w:t>CATEGORIAS DE UNIDADES CONSTRUCTIVAS</w:t>
      </w:r>
      <w:bookmarkEnd w:id="1089"/>
      <w:bookmarkEnd w:id="1090"/>
      <w:bookmarkEnd w:id="1091"/>
      <w:bookmarkEnd w:id="1092"/>
      <w:r w:rsidRPr="004E6CFC">
        <w:t xml:space="preserve"> </w:t>
      </w:r>
    </w:p>
    <w:p w:rsidR="0094295C" w:rsidRPr="004E6CFC" w:rsidRDefault="0094295C" w:rsidP="0094295C">
      <w:pPr>
        <w:rPr>
          <w:lang w:val="es-CO"/>
        </w:rPr>
      </w:pPr>
      <w:r w:rsidRPr="004E6CFC">
        <w:rPr>
          <w:lang w:val="es-CO"/>
        </w:rPr>
        <w:t xml:space="preserve">Para la clasificación de las UC de los niveles de tensión 4, 3 y 2, establecidas en este capítulo, se deben utilizar las siguientes categorías: </w:t>
      </w:r>
    </w:p>
    <w:p w:rsidR="0094295C" w:rsidRPr="004E6CFC" w:rsidRDefault="0094295C" w:rsidP="0094295C">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33</w:t>
      </w:r>
      <w:r w:rsidRPr="004E6CFC">
        <w:fldChar w:fldCharType="end"/>
      </w:r>
      <w:r w:rsidRPr="004E6CFC">
        <w:t xml:space="preserve"> Unidades constructivas de la categoría de transformadores de potencia</w:t>
      </w:r>
    </w:p>
    <w:tbl>
      <w:tblPr>
        <w:tblW w:w="4572" w:type="pct"/>
        <w:jc w:val="center"/>
        <w:tblLayout w:type="fixed"/>
        <w:tblCellMar>
          <w:left w:w="70" w:type="dxa"/>
          <w:right w:w="70" w:type="dxa"/>
        </w:tblCellMar>
        <w:tblLook w:val="04A0" w:firstRow="1" w:lastRow="0" w:firstColumn="1" w:lastColumn="0" w:noHBand="0" w:noVBand="1"/>
      </w:tblPr>
      <w:tblGrid>
        <w:gridCol w:w="1118"/>
        <w:gridCol w:w="2463"/>
        <w:gridCol w:w="1116"/>
        <w:gridCol w:w="1060"/>
        <w:gridCol w:w="2789"/>
      </w:tblGrid>
      <w:tr w:rsidR="0094295C" w:rsidRPr="004E6CFC" w:rsidTr="0094295C">
        <w:trPr>
          <w:trHeight w:val="340"/>
          <w:jc w:val="center"/>
        </w:trPr>
        <w:tc>
          <w:tcPr>
            <w:tcW w:w="6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sidRPr="004E6CFC">
              <w:rPr>
                <w:rFonts w:cs="Arial"/>
                <w:color w:val="000000"/>
                <w:sz w:val="16"/>
                <w:szCs w:val="16"/>
                <w:lang w:eastAsia="es-CO"/>
              </w:rPr>
              <w:t>CATEGORÍA</w:t>
            </w:r>
          </w:p>
        </w:tc>
        <w:tc>
          <w:tcPr>
            <w:tcW w:w="1441"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sidRPr="004E6CFC">
              <w:rPr>
                <w:rFonts w:cs="Arial"/>
                <w:color w:val="000000"/>
                <w:sz w:val="16"/>
                <w:szCs w:val="16"/>
                <w:lang w:eastAsia="es-CO"/>
              </w:rPr>
              <w:t>DESCRIPCIÓN</w:t>
            </w:r>
          </w:p>
        </w:tc>
        <w:tc>
          <w:tcPr>
            <w:tcW w:w="6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sidRPr="004E6CFC">
              <w:rPr>
                <w:rFonts w:cs="Arial"/>
                <w:color w:val="000000"/>
                <w:sz w:val="16"/>
                <w:szCs w:val="16"/>
                <w:lang w:eastAsia="es-CO"/>
              </w:rPr>
              <w:t>NIVEL DE TENSIÓN</w:t>
            </w:r>
          </w:p>
        </w:tc>
        <w:tc>
          <w:tcPr>
            <w:tcW w:w="620"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sidRPr="004E6CFC">
              <w:rPr>
                <w:rFonts w:cs="Arial"/>
                <w:color w:val="000000"/>
                <w:sz w:val="16"/>
                <w:szCs w:val="16"/>
                <w:lang w:eastAsia="es-CO"/>
              </w:rPr>
              <w:t xml:space="preserve">VIDA ÚTIL </w:t>
            </w:r>
          </w:p>
        </w:tc>
        <w:tc>
          <w:tcPr>
            <w:tcW w:w="1632"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sidRPr="004E6CFC">
              <w:rPr>
                <w:rFonts w:cs="Arial"/>
                <w:color w:val="000000"/>
                <w:sz w:val="16"/>
                <w:szCs w:val="16"/>
                <w:lang w:eastAsia="es-CO"/>
              </w:rPr>
              <w:t>UC ASOCIADAS</w:t>
            </w:r>
          </w:p>
        </w:tc>
      </w:tr>
      <w:tr w:rsidR="0094295C" w:rsidRPr="004E6CFC" w:rsidTr="0094295C">
        <w:trPr>
          <w:trHeight w:val="283"/>
          <w:jc w:val="center"/>
        </w:trPr>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sidRPr="004E6CFC">
              <w:rPr>
                <w:rFonts w:cs="Arial"/>
                <w:color w:val="000000"/>
                <w:sz w:val="16"/>
                <w:szCs w:val="16"/>
                <w:lang w:eastAsia="es-CO"/>
              </w:rPr>
              <w:t>1</w:t>
            </w:r>
          </w:p>
        </w:tc>
        <w:tc>
          <w:tcPr>
            <w:tcW w:w="1441"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left"/>
              <w:rPr>
                <w:rFonts w:cs="Arial"/>
                <w:color w:val="000000"/>
                <w:sz w:val="16"/>
                <w:szCs w:val="16"/>
                <w:lang w:eastAsia="es-CO"/>
              </w:rPr>
            </w:pPr>
            <w:r w:rsidRPr="004E6CFC">
              <w:rPr>
                <w:rFonts w:cs="Arial"/>
                <w:color w:val="000000"/>
                <w:sz w:val="16"/>
                <w:szCs w:val="16"/>
                <w:lang w:eastAsia="es-CO"/>
              </w:rPr>
              <w:t>Transformadores  de potencia</w:t>
            </w:r>
          </w:p>
        </w:tc>
        <w:tc>
          <w:tcPr>
            <w:tcW w:w="653" w:type="pct"/>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sidRPr="004E6CFC">
              <w:rPr>
                <w:rFonts w:cs="Arial"/>
                <w:sz w:val="16"/>
                <w:szCs w:val="16"/>
                <w:lang w:eastAsia="es-CO"/>
              </w:rPr>
              <w:t>4</w:t>
            </w:r>
          </w:p>
        </w:tc>
        <w:tc>
          <w:tcPr>
            <w:tcW w:w="620"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Pr>
                <w:rFonts w:cs="Arial"/>
                <w:sz w:val="16"/>
                <w:szCs w:val="16"/>
                <w:lang w:eastAsia="es-CO"/>
              </w:rPr>
              <w:t>3</w:t>
            </w:r>
            <w:r w:rsidRPr="004E6CFC">
              <w:rPr>
                <w:rFonts w:cs="Arial"/>
                <w:sz w:val="16"/>
                <w:szCs w:val="16"/>
                <w:lang w:eastAsia="es-CO"/>
              </w:rPr>
              <w:t>5</w:t>
            </w:r>
          </w:p>
        </w:tc>
        <w:tc>
          <w:tcPr>
            <w:tcW w:w="1632" w:type="pct"/>
            <w:tcBorders>
              <w:top w:val="nil"/>
              <w:left w:val="nil"/>
              <w:bottom w:val="single" w:sz="4" w:space="0" w:color="auto"/>
              <w:right w:val="single" w:sz="4" w:space="0" w:color="auto"/>
            </w:tcBorders>
            <w:shd w:val="clear" w:color="auto" w:fill="auto"/>
            <w:vAlign w:val="center"/>
          </w:tcPr>
          <w:p w:rsidR="0094295C" w:rsidRPr="004E6CFC" w:rsidRDefault="0094295C" w:rsidP="0094295C">
            <w:pPr>
              <w:keepNext/>
              <w:spacing w:before="0" w:after="0"/>
              <w:jc w:val="left"/>
              <w:rPr>
                <w:rFonts w:cs="Arial"/>
                <w:sz w:val="16"/>
                <w:szCs w:val="16"/>
                <w:lang w:eastAsia="es-CO"/>
              </w:rPr>
            </w:pPr>
            <w:r w:rsidRPr="004E6CFC">
              <w:rPr>
                <w:rFonts w:cs="Arial"/>
                <w:sz w:val="16"/>
                <w:szCs w:val="16"/>
                <w:lang w:eastAsia="es-CO"/>
              </w:rPr>
              <w:t>N6T1 a N6T3, N5T1 a N5T25 y N4T1 a N4T19</w:t>
            </w:r>
          </w:p>
        </w:tc>
      </w:tr>
      <w:tr w:rsidR="0094295C" w:rsidRPr="004E6CFC" w:rsidTr="0094295C">
        <w:trPr>
          <w:trHeight w:val="283"/>
          <w:jc w:val="center"/>
        </w:trPr>
        <w:tc>
          <w:tcPr>
            <w:tcW w:w="654" w:type="pct"/>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color w:val="000000"/>
                <w:sz w:val="16"/>
                <w:szCs w:val="16"/>
                <w:lang w:eastAsia="es-CO"/>
              </w:rPr>
            </w:pPr>
            <w:r w:rsidRPr="004E6CFC">
              <w:rPr>
                <w:rFonts w:cs="Arial"/>
                <w:color w:val="000000"/>
                <w:sz w:val="16"/>
                <w:szCs w:val="16"/>
                <w:lang w:eastAsia="es-CO"/>
              </w:rPr>
              <w:t>1</w:t>
            </w:r>
          </w:p>
        </w:tc>
        <w:tc>
          <w:tcPr>
            <w:tcW w:w="1441"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left"/>
              <w:rPr>
                <w:rFonts w:cs="Arial"/>
                <w:color w:val="000000"/>
                <w:sz w:val="16"/>
                <w:szCs w:val="16"/>
                <w:lang w:eastAsia="es-CO"/>
              </w:rPr>
            </w:pPr>
            <w:r w:rsidRPr="004E6CFC">
              <w:rPr>
                <w:rFonts w:cs="Arial"/>
                <w:color w:val="000000"/>
                <w:sz w:val="16"/>
                <w:szCs w:val="16"/>
                <w:lang w:eastAsia="es-CO"/>
              </w:rPr>
              <w:t>Transformadores  de potencia</w:t>
            </w:r>
          </w:p>
        </w:tc>
        <w:tc>
          <w:tcPr>
            <w:tcW w:w="653" w:type="pct"/>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sz w:val="16"/>
                <w:szCs w:val="16"/>
                <w:lang w:eastAsia="es-CO"/>
              </w:rPr>
            </w:pPr>
            <w:r w:rsidRPr="004E6CFC">
              <w:rPr>
                <w:rFonts w:cs="Arial"/>
                <w:sz w:val="16"/>
                <w:szCs w:val="16"/>
                <w:lang w:eastAsia="es-CO"/>
              </w:rPr>
              <w:t>3</w:t>
            </w:r>
          </w:p>
        </w:tc>
        <w:tc>
          <w:tcPr>
            <w:tcW w:w="620"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sz w:val="16"/>
                <w:szCs w:val="16"/>
                <w:lang w:eastAsia="es-CO"/>
              </w:rPr>
            </w:pPr>
            <w:r>
              <w:rPr>
                <w:rFonts w:cs="Arial"/>
                <w:sz w:val="16"/>
                <w:szCs w:val="16"/>
                <w:lang w:eastAsia="es-CO"/>
              </w:rPr>
              <w:t>3</w:t>
            </w:r>
            <w:r w:rsidRPr="004E6CFC">
              <w:rPr>
                <w:rFonts w:cs="Arial"/>
                <w:sz w:val="16"/>
                <w:szCs w:val="16"/>
                <w:lang w:eastAsia="es-CO"/>
              </w:rPr>
              <w:t>5</w:t>
            </w:r>
          </w:p>
        </w:tc>
        <w:tc>
          <w:tcPr>
            <w:tcW w:w="1632" w:type="pct"/>
            <w:tcBorders>
              <w:top w:val="nil"/>
              <w:left w:val="nil"/>
              <w:bottom w:val="single" w:sz="4" w:space="0" w:color="auto"/>
              <w:right w:val="single" w:sz="4" w:space="0" w:color="auto"/>
            </w:tcBorders>
            <w:shd w:val="clear" w:color="auto" w:fill="auto"/>
            <w:noWrap/>
            <w:vAlign w:val="center"/>
          </w:tcPr>
          <w:p w:rsidR="0094295C" w:rsidRPr="004E6CFC" w:rsidRDefault="0094295C" w:rsidP="0094295C">
            <w:pPr>
              <w:spacing w:before="0" w:after="0"/>
              <w:jc w:val="left"/>
              <w:rPr>
                <w:rFonts w:cs="Arial"/>
                <w:sz w:val="16"/>
                <w:szCs w:val="16"/>
                <w:lang w:eastAsia="es-CO"/>
              </w:rPr>
            </w:pPr>
            <w:r w:rsidRPr="004E6CFC">
              <w:rPr>
                <w:rFonts w:cs="Arial"/>
                <w:sz w:val="16"/>
                <w:szCs w:val="16"/>
                <w:lang w:eastAsia="es-CO"/>
              </w:rPr>
              <w:t>N3T1 a N3T</w:t>
            </w:r>
            <w:r>
              <w:rPr>
                <w:rFonts w:cs="Arial"/>
                <w:sz w:val="16"/>
                <w:szCs w:val="16"/>
                <w:lang w:eastAsia="es-CO"/>
              </w:rPr>
              <w:t>7</w:t>
            </w:r>
          </w:p>
        </w:tc>
      </w:tr>
    </w:tbl>
    <w:p w:rsidR="0094295C" w:rsidRDefault="0094295C" w:rsidP="0094295C">
      <w:pPr>
        <w:pStyle w:val="Descripcin"/>
      </w:pPr>
      <w:r>
        <w:t xml:space="preserve">Tabla </w:t>
      </w:r>
      <w:r>
        <w:fldChar w:fldCharType="begin"/>
      </w:r>
      <w:r>
        <w:instrText xml:space="preserve"> SEQ Tabla \* ARABIC </w:instrText>
      </w:r>
      <w:r>
        <w:fldChar w:fldCharType="separate"/>
      </w:r>
      <w:r w:rsidR="00737178">
        <w:rPr>
          <w:noProof/>
        </w:rPr>
        <w:t>34</w:t>
      </w:r>
      <w:r>
        <w:fldChar w:fldCharType="end"/>
      </w:r>
      <w:r>
        <w:t xml:space="preserve"> Unidades constructivas de la categoría de compensación reactiva</w:t>
      </w:r>
    </w:p>
    <w:tbl>
      <w:tblPr>
        <w:tblW w:w="457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1118"/>
        <w:gridCol w:w="2463"/>
        <w:gridCol w:w="1116"/>
        <w:gridCol w:w="1060"/>
        <w:gridCol w:w="2789"/>
      </w:tblGrid>
      <w:tr w:rsidR="0094295C" w:rsidRPr="004E6CFC" w:rsidTr="0094295C">
        <w:trPr>
          <w:trHeight w:val="340"/>
          <w:jc w:val="center"/>
        </w:trPr>
        <w:tc>
          <w:tcPr>
            <w:tcW w:w="654" w:type="pct"/>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sidRPr="004E6CFC">
              <w:rPr>
                <w:rFonts w:cs="Arial"/>
                <w:color w:val="000000"/>
                <w:sz w:val="16"/>
                <w:szCs w:val="16"/>
                <w:lang w:eastAsia="es-CO"/>
              </w:rPr>
              <w:t>CATEGORÍA</w:t>
            </w:r>
          </w:p>
        </w:tc>
        <w:tc>
          <w:tcPr>
            <w:tcW w:w="1441" w:type="pct"/>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sidRPr="004E6CFC">
              <w:rPr>
                <w:rFonts w:cs="Arial"/>
                <w:color w:val="000000"/>
                <w:sz w:val="16"/>
                <w:szCs w:val="16"/>
                <w:lang w:eastAsia="es-CO"/>
              </w:rPr>
              <w:t>DESCRIPCIÓN</w:t>
            </w:r>
          </w:p>
        </w:tc>
        <w:tc>
          <w:tcPr>
            <w:tcW w:w="653" w:type="pct"/>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sidRPr="004E6CFC">
              <w:rPr>
                <w:rFonts w:cs="Arial"/>
                <w:color w:val="000000"/>
                <w:sz w:val="16"/>
                <w:szCs w:val="16"/>
                <w:lang w:eastAsia="es-CO"/>
              </w:rPr>
              <w:t>NIVEL DE TENSIÓN</w:t>
            </w:r>
          </w:p>
        </w:tc>
        <w:tc>
          <w:tcPr>
            <w:tcW w:w="620" w:type="pct"/>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sidRPr="004E6CFC">
              <w:rPr>
                <w:rFonts w:cs="Arial"/>
                <w:color w:val="000000"/>
                <w:sz w:val="16"/>
                <w:szCs w:val="16"/>
                <w:lang w:eastAsia="es-CO"/>
              </w:rPr>
              <w:t xml:space="preserve">VIDA ÚTIL </w:t>
            </w:r>
          </w:p>
        </w:tc>
        <w:tc>
          <w:tcPr>
            <w:tcW w:w="1632" w:type="pct"/>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sidRPr="004E6CFC">
              <w:rPr>
                <w:rFonts w:cs="Arial"/>
                <w:color w:val="000000"/>
                <w:sz w:val="16"/>
                <w:szCs w:val="16"/>
                <w:lang w:eastAsia="es-CO"/>
              </w:rPr>
              <w:t>UC ASOCIADAS</w:t>
            </w:r>
          </w:p>
        </w:tc>
      </w:tr>
      <w:tr w:rsidR="0094295C" w:rsidRPr="004E6CFC" w:rsidTr="0094295C">
        <w:trPr>
          <w:trHeight w:val="283"/>
          <w:jc w:val="center"/>
        </w:trPr>
        <w:tc>
          <w:tcPr>
            <w:tcW w:w="654" w:type="pct"/>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Pr>
                <w:rFonts w:cs="Arial"/>
                <w:color w:val="000000"/>
                <w:sz w:val="16"/>
                <w:szCs w:val="16"/>
                <w:lang w:eastAsia="es-CO"/>
              </w:rPr>
              <w:t>2</w:t>
            </w:r>
          </w:p>
        </w:tc>
        <w:tc>
          <w:tcPr>
            <w:tcW w:w="1441" w:type="pct"/>
            <w:shd w:val="clear" w:color="auto" w:fill="auto"/>
            <w:noWrap/>
            <w:vAlign w:val="center"/>
            <w:hideMark/>
          </w:tcPr>
          <w:p w:rsidR="0094295C" w:rsidRPr="004E6CFC" w:rsidRDefault="0094295C" w:rsidP="0094295C">
            <w:pPr>
              <w:keepNext/>
              <w:spacing w:before="0" w:after="0"/>
              <w:jc w:val="left"/>
              <w:rPr>
                <w:rFonts w:cs="Arial"/>
                <w:color w:val="000000"/>
                <w:sz w:val="16"/>
                <w:szCs w:val="16"/>
                <w:lang w:eastAsia="es-CO"/>
              </w:rPr>
            </w:pPr>
            <w:r>
              <w:rPr>
                <w:rFonts w:cs="Arial"/>
                <w:color w:val="000000"/>
                <w:sz w:val="16"/>
                <w:szCs w:val="16"/>
                <w:lang w:eastAsia="es-CO"/>
              </w:rPr>
              <w:t>Compensación reactiva</w:t>
            </w:r>
          </w:p>
        </w:tc>
        <w:tc>
          <w:tcPr>
            <w:tcW w:w="653" w:type="pct"/>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sidRPr="004E6CFC">
              <w:rPr>
                <w:rFonts w:cs="Arial"/>
                <w:sz w:val="16"/>
                <w:szCs w:val="16"/>
                <w:lang w:eastAsia="es-CO"/>
              </w:rPr>
              <w:t>4</w:t>
            </w:r>
          </w:p>
        </w:tc>
        <w:tc>
          <w:tcPr>
            <w:tcW w:w="620" w:type="pct"/>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Pr>
                <w:rFonts w:cs="Arial"/>
                <w:sz w:val="16"/>
                <w:szCs w:val="16"/>
                <w:lang w:eastAsia="es-CO"/>
              </w:rPr>
              <w:t>3</w:t>
            </w:r>
            <w:r w:rsidRPr="004E6CFC">
              <w:rPr>
                <w:rFonts w:cs="Arial"/>
                <w:sz w:val="16"/>
                <w:szCs w:val="16"/>
                <w:lang w:eastAsia="es-CO"/>
              </w:rPr>
              <w:t>5</w:t>
            </w:r>
          </w:p>
        </w:tc>
        <w:tc>
          <w:tcPr>
            <w:tcW w:w="1632" w:type="pct"/>
            <w:shd w:val="clear" w:color="auto" w:fill="auto"/>
            <w:vAlign w:val="center"/>
          </w:tcPr>
          <w:p w:rsidR="0094295C" w:rsidRPr="004E6CFC" w:rsidRDefault="0094295C" w:rsidP="0094295C">
            <w:pPr>
              <w:keepNext/>
              <w:spacing w:before="0" w:after="0"/>
              <w:jc w:val="left"/>
              <w:rPr>
                <w:rFonts w:cs="Arial"/>
                <w:sz w:val="16"/>
                <w:szCs w:val="16"/>
                <w:lang w:eastAsia="es-CO"/>
              </w:rPr>
            </w:pPr>
            <w:r>
              <w:rPr>
                <w:rFonts w:cs="Arial"/>
                <w:sz w:val="16"/>
                <w:szCs w:val="16"/>
                <w:lang w:eastAsia="es-CO"/>
              </w:rPr>
              <w:t>Unidad constructiva especial</w:t>
            </w:r>
          </w:p>
        </w:tc>
      </w:tr>
      <w:tr w:rsidR="0094295C" w:rsidRPr="004E6CFC" w:rsidTr="0094295C">
        <w:trPr>
          <w:trHeight w:val="283"/>
          <w:jc w:val="center"/>
        </w:trPr>
        <w:tc>
          <w:tcPr>
            <w:tcW w:w="654" w:type="pct"/>
            <w:shd w:val="clear" w:color="auto" w:fill="auto"/>
            <w:noWrap/>
            <w:vAlign w:val="center"/>
            <w:hideMark/>
          </w:tcPr>
          <w:p w:rsidR="0094295C" w:rsidRPr="004E6CFC" w:rsidRDefault="0094295C" w:rsidP="0094295C">
            <w:pPr>
              <w:spacing w:before="0" w:after="0"/>
              <w:jc w:val="center"/>
              <w:rPr>
                <w:rFonts w:cs="Arial"/>
                <w:color w:val="000000"/>
                <w:sz w:val="16"/>
                <w:szCs w:val="16"/>
                <w:lang w:eastAsia="es-CO"/>
              </w:rPr>
            </w:pPr>
            <w:r>
              <w:rPr>
                <w:rFonts w:cs="Arial"/>
                <w:color w:val="000000"/>
                <w:sz w:val="16"/>
                <w:szCs w:val="16"/>
                <w:lang w:eastAsia="es-CO"/>
              </w:rPr>
              <w:t>2</w:t>
            </w:r>
          </w:p>
        </w:tc>
        <w:tc>
          <w:tcPr>
            <w:tcW w:w="1441" w:type="pct"/>
            <w:shd w:val="clear" w:color="auto" w:fill="auto"/>
            <w:noWrap/>
            <w:vAlign w:val="center"/>
            <w:hideMark/>
          </w:tcPr>
          <w:p w:rsidR="0094295C" w:rsidRPr="004E6CFC" w:rsidRDefault="0094295C" w:rsidP="0094295C">
            <w:pPr>
              <w:spacing w:before="0" w:after="0"/>
              <w:jc w:val="left"/>
              <w:rPr>
                <w:rFonts w:cs="Arial"/>
                <w:color w:val="000000"/>
                <w:sz w:val="16"/>
                <w:szCs w:val="16"/>
                <w:lang w:eastAsia="es-CO"/>
              </w:rPr>
            </w:pPr>
            <w:r>
              <w:rPr>
                <w:rFonts w:cs="Arial"/>
                <w:color w:val="000000"/>
                <w:sz w:val="16"/>
                <w:szCs w:val="16"/>
                <w:lang w:eastAsia="es-CO"/>
              </w:rPr>
              <w:t>Compensación reactiva</w:t>
            </w:r>
          </w:p>
        </w:tc>
        <w:tc>
          <w:tcPr>
            <w:tcW w:w="653" w:type="pct"/>
            <w:shd w:val="clear" w:color="auto" w:fill="auto"/>
            <w:noWrap/>
            <w:vAlign w:val="center"/>
            <w:hideMark/>
          </w:tcPr>
          <w:p w:rsidR="0094295C" w:rsidRPr="004E6CFC" w:rsidRDefault="0094295C" w:rsidP="0094295C">
            <w:pPr>
              <w:spacing w:before="0" w:after="0"/>
              <w:jc w:val="center"/>
              <w:rPr>
                <w:rFonts w:cs="Arial"/>
                <w:sz w:val="16"/>
                <w:szCs w:val="16"/>
                <w:lang w:eastAsia="es-CO"/>
              </w:rPr>
            </w:pPr>
            <w:r w:rsidRPr="004E6CFC">
              <w:rPr>
                <w:rFonts w:cs="Arial"/>
                <w:sz w:val="16"/>
                <w:szCs w:val="16"/>
                <w:lang w:eastAsia="es-CO"/>
              </w:rPr>
              <w:t>3</w:t>
            </w:r>
          </w:p>
        </w:tc>
        <w:tc>
          <w:tcPr>
            <w:tcW w:w="620" w:type="pct"/>
            <w:shd w:val="clear" w:color="auto" w:fill="auto"/>
            <w:noWrap/>
            <w:vAlign w:val="center"/>
            <w:hideMark/>
          </w:tcPr>
          <w:p w:rsidR="0094295C" w:rsidRPr="004E6CFC" w:rsidRDefault="0094295C" w:rsidP="0094295C">
            <w:pPr>
              <w:spacing w:before="0" w:after="0"/>
              <w:jc w:val="center"/>
              <w:rPr>
                <w:rFonts w:cs="Arial"/>
                <w:sz w:val="16"/>
                <w:szCs w:val="16"/>
                <w:lang w:eastAsia="es-CO"/>
              </w:rPr>
            </w:pPr>
            <w:r>
              <w:rPr>
                <w:rFonts w:cs="Arial"/>
                <w:sz w:val="16"/>
                <w:szCs w:val="16"/>
                <w:lang w:eastAsia="es-CO"/>
              </w:rPr>
              <w:t>3</w:t>
            </w:r>
            <w:r w:rsidRPr="004E6CFC">
              <w:rPr>
                <w:rFonts w:cs="Arial"/>
                <w:sz w:val="16"/>
                <w:szCs w:val="16"/>
                <w:lang w:eastAsia="es-CO"/>
              </w:rPr>
              <w:t>5</w:t>
            </w:r>
          </w:p>
        </w:tc>
        <w:tc>
          <w:tcPr>
            <w:tcW w:w="1632" w:type="pct"/>
            <w:shd w:val="clear" w:color="auto" w:fill="auto"/>
            <w:noWrap/>
            <w:vAlign w:val="center"/>
          </w:tcPr>
          <w:p w:rsidR="0094295C" w:rsidRPr="004E6CFC" w:rsidRDefault="0094295C" w:rsidP="0094295C">
            <w:pPr>
              <w:spacing w:before="0" w:after="0"/>
              <w:jc w:val="left"/>
              <w:rPr>
                <w:rFonts w:cs="Arial"/>
                <w:sz w:val="16"/>
                <w:szCs w:val="16"/>
                <w:lang w:eastAsia="es-CO"/>
              </w:rPr>
            </w:pPr>
            <w:r>
              <w:rPr>
                <w:rFonts w:cs="Arial"/>
                <w:sz w:val="16"/>
                <w:szCs w:val="16"/>
                <w:lang w:eastAsia="es-CO"/>
              </w:rPr>
              <w:t>Unidad constructiva especial</w:t>
            </w:r>
          </w:p>
        </w:tc>
      </w:tr>
      <w:tr w:rsidR="0094295C" w:rsidRPr="004E6CFC" w:rsidTr="0094295C">
        <w:trPr>
          <w:trHeight w:val="283"/>
          <w:jc w:val="center"/>
        </w:trPr>
        <w:tc>
          <w:tcPr>
            <w:tcW w:w="654" w:type="pct"/>
            <w:shd w:val="clear" w:color="auto" w:fill="auto"/>
            <w:noWrap/>
            <w:vAlign w:val="center"/>
          </w:tcPr>
          <w:p w:rsidR="0094295C" w:rsidRDefault="0094295C" w:rsidP="0094295C">
            <w:pPr>
              <w:spacing w:before="0" w:after="0"/>
              <w:jc w:val="center"/>
              <w:rPr>
                <w:rFonts w:cs="Arial"/>
                <w:color w:val="000000"/>
                <w:sz w:val="16"/>
                <w:szCs w:val="16"/>
                <w:lang w:eastAsia="es-CO"/>
              </w:rPr>
            </w:pPr>
            <w:r>
              <w:rPr>
                <w:rFonts w:cs="Arial"/>
                <w:color w:val="000000"/>
                <w:sz w:val="16"/>
                <w:szCs w:val="16"/>
                <w:lang w:eastAsia="es-CO"/>
              </w:rPr>
              <w:t>2</w:t>
            </w:r>
          </w:p>
        </w:tc>
        <w:tc>
          <w:tcPr>
            <w:tcW w:w="1441" w:type="pct"/>
            <w:shd w:val="clear" w:color="auto" w:fill="auto"/>
            <w:noWrap/>
            <w:vAlign w:val="center"/>
          </w:tcPr>
          <w:p w:rsidR="0094295C" w:rsidRDefault="0094295C" w:rsidP="0094295C">
            <w:pPr>
              <w:spacing w:before="0" w:after="0"/>
              <w:jc w:val="left"/>
              <w:rPr>
                <w:rFonts w:cs="Arial"/>
                <w:color w:val="000000"/>
                <w:sz w:val="16"/>
                <w:szCs w:val="16"/>
                <w:lang w:eastAsia="es-CO"/>
              </w:rPr>
            </w:pPr>
            <w:r>
              <w:rPr>
                <w:rFonts w:cs="Arial"/>
                <w:color w:val="000000"/>
                <w:sz w:val="16"/>
                <w:szCs w:val="16"/>
                <w:lang w:eastAsia="es-CO"/>
              </w:rPr>
              <w:t>Compensación reactiva</w:t>
            </w:r>
          </w:p>
        </w:tc>
        <w:tc>
          <w:tcPr>
            <w:tcW w:w="653" w:type="pct"/>
            <w:shd w:val="clear" w:color="auto" w:fill="auto"/>
            <w:noWrap/>
            <w:vAlign w:val="center"/>
          </w:tcPr>
          <w:p w:rsidR="0094295C" w:rsidRPr="004E6CFC" w:rsidRDefault="0094295C" w:rsidP="0094295C">
            <w:pPr>
              <w:spacing w:before="0" w:after="0"/>
              <w:jc w:val="center"/>
              <w:rPr>
                <w:rFonts w:cs="Arial"/>
                <w:sz w:val="16"/>
                <w:szCs w:val="16"/>
                <w:lang w:eastAsia="es-CO"/>
              </w:rPr>
            </w:pPr>
            <w:r>
              <w:rPr>
                <w:rFonts w:cs="Arial"/>
                <w:sz w:val="16"/>
                <w:szCs w:val="16"/>
                <w:lang w:eastAsia="es-CO"/>
              </w:rPr>
              <w:t>2</w:t>
            </w:r>
          </w:p>
        </w:tc>
        <w:tc>
          <w:tcPr>
            <w:tcW w:w="620" w:type="pct"/>
            <w:shd w:val="clear" w:color="auto" w:fill="auto"/>
            <w:noWrap/>
            <w:vAlign w:val="center"/>
          </w:tcPr>
          <w:p w:rsidR="0094295C" w:rsidRDefault="0094295C" w:rsidP="0094295C">
            <w:pPr>
              <w:spacing w:before="0" w:after="0"/>
              <w:jc w:val="center"/>
              <w:rPr>
                <w:rFonts w:cs="Arial"/>
                <w:sz w:val="16"/>
                <w:szCs w:val="16"/>
                <w:lang w:eastAsia="es-CO"/>
              </w:rPr>
            </w:pPr>
            <w:r>
              <w:rPr>
                <w:rFonts w:cs="Arial"/>
                <w:sz w:val="16"/>
                <w:szCs w:val="16"/>
                <w:lang w:eastAsia="es-CO"/>
              </w:rPr>
              <w:t>3</w:t>
            </w:r>
            <w:r w:rsidRPr="004E6CFC">
              <w:rPr>
                <w:rFonts w:cs="Arial"/>
                <w:sz w:val="16"/>
                <w:szCs w:val="16"/>
                <w:lang w:eastAsia="es-CO"/>
              </w:rPr>
              <w:t>5</w:t>
            </w:r>
          </w:p>
        </w:tc>
        <w:tc>
          <w:tcPr>
            <w:tcW w:w="1632" w:type="pct"/>
            <w:shd w:val="clear" w:color="auto" w:fill="auto"/>
            <w:noWrap/>
            <w:vAlign w:val="center"/>
          </w:tcPr>
          <w:p w:rsidR="0094295C" w:rsidRDefault="0094295C" w:rsidP="0094295C">
            <w:pPr>
              <w:spacing w:before="0" w:after="0"/>
              <w:jc w:val="left"/>
              <w:rPr>
                <w:rFonts w:cs="Arial"/>
                <w:sz w:val="16"/>
                <w:szCs w:val="16"/>
                <w:lang w:eastAsia="es-CO"/>
              </w:rPr>
            </w:pPr>
            <w:r>
              <w:rPr>
                <w:rFonts w:cs="Arial"/>
                <w:sz w:val="16"/>
                <w:szCs w:val="16"/>
                <w:lang w:eastAsia="es-CO"/>
              </w:rPr>
              <w:t>Unidad constructiva especial</w:t>
            </w:r>
          </w:p>
        </w:tc>
      </w:tr>
    </w:tbl>
    <w:p w:rsidR="0094295C" w:rsidRPr="004E6CFC" w:rsidRDefault="0094295C" w:rsidP="0094295C">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35</w:t>
      </w:r>
      <w:r w:rsidRPr="004E6CFC">
        <w:fldChar w:fldCharType="end"/>
      </w:r>
      <w:r w:rsidRPr="004E6CFC">
        <w:t xml:space="preserve"> Unidades constructivas de la categoría de bahías y celdas</w:t>
      </w:r>
    </w:p>
    <w:tbl>
      <w:tblPr>
        <w:tblW w:w="4601" w:type="pct"/>
        <w:jc w:val="center"/>
        <w:tblLayout w:type="fixed"/>
        <w:tblCellMar>
          <w:left w:w="70" w:type="dxa"/>
          <w:right w:w="70" w:type="dxa"/>
        </w:tblCellMar>
        <w:tblLook w:val="04A0" w:firstRow="1" w:lastRow="0" w:firstColumn="1" w:lastColumn="0" w:noHBand="0" w:noVBand="1"/>
      </w:tblPr>
      <w:tblGrid>
        <w:gridCol w:w="1121"/>
        <w:gridCol w:w="2463"/>
        <w:gridCol w:w="1113"/>
        <w:gridCol w:w="1113"/>
        <w:gridCol w:w="2790"/>
      </w:tblGrid>
      <w:tr w:rsidR="0094295C" w:rsidRPr="004E6CFC" w:rsidTr="0094295C">
        <w:trPr>
          <w:trHeight w:val="340"/>
          <w:jc w:val="center"/>
        </w:trPr>
        <w:tc>
          <w:tcPr>
            <w:tcW w:w="6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sidRPr="004E6CFC">
              <w:rPr>
                <w:rFonts w:cs="Arial"/>
                <w:color w:val="000000"/>
                <w:sz w:val="16"/>
                <w:szCs w:val="16"/>
                <w:lang w:eastAsia="es-CO"/>
              </w:rPr>
              <w:t>CATEGORÍA</w:t>
            </w:r>
          </w:p>
        </w:tc>
        <w:tc>
          <w:tcPr>
            <w:tcW w:w="1432"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sidRPr="004E6CFC">
              <w:rPr>
                <w:rFonts w:cs="Arial"/>
                <w:color w:val="000000"/>
                <w:sz w:val="16"/>
                <w:szCs w:val="16"/>
                <w:lang w:eastAsia="es-CO"/>
              </w:rPr>
              <w:t>DESCRIPCIÓN</w:t>
            </w:r>
          </w:p>
        </w:tc>
        <w:tc>
          <w:tcPr>
            <w:tcW w:w="647"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sidRPr="004E6CFC">
              <w:rPr>
                <w:rFonts w:cs="Arial"/>
                <w:color w:val="000000"/>
                <w:sz w:val="16"/>
                <w:szCs w:val="16"/>
                <w:lang w:eastAsia="es-CO"/>
              </w:rPr>
              <w:t>NIVEL DE TENSIÓN</w:t>
            </w:r>
          </w:p>
        </w:tc>
        <w:tc>
          <w:tcPr>
            <w:tcW w:w="647"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sidRPr="004E6CFC">
              <w:rPr>
                <w:rFonts w:cs="Arial"/>
                <w:color w:val="000000"/>
                <w:sz w:val="16"/>
                <w:szCs w:val="16"/>
                <w:lang w:eastAsia="es-CO"/>
              </w:rPr>
              <w:t>VIDA ÚTIL</w:t>
            </w:r>
          </w:p>
        </w:tc>
        <w:tc>
          <w:tcPr>
            <w:tcW w:w="1622"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sidRPr="004E6CFC">
              <w:rPr>
                <w:rFonts w:cs="Arial"/>
                <w:color w:val="000000"/>
                <w:sz w:val="16"/>
                <w:szCs w:val="16"/>
                <w:lang w:eastAsia="es-CO"/>
              </w:rPr>
              <w:t>UC ASOCIADAS</w:t>
            </w:r>
          </w:p>
        </w:tc>
      </w:tr>
      <w:tr w:rsidR="0094295C" w:rsidRPr="00607A12" w:rsidTr="0094295C">
        <w:trPr>
          <w:trHeight w:val="170"/>
          <w:jc w:val="center"/>
        </w:trPr>
        <w:tc>
          <w:tcPr>
            <w:tcW w:w="652" w:type="pct"/>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sidRPr="004E6CFC">
              <w:rPr>
                <w:rFonts w:cs="Arial"/>
                <w:color w:val="000000"/>
                <w:sz w:val="16"/>
                <w:szCs w:val="16"/>
                <w:lang w:eastAsia="es-CO"/>
              </w:rPr>
              <w:t>3</w:t>
            </w:r>
          </w:p>
        </w:tc>
        <w:tc>
          <w:tcPr>
            <w:tcW w:w="1432" w:type="pct"/>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keepNext/>
              <w:spacing w:before="0" w:after="0"/>
              <w:jc w:val="left"/>
              <w:rPr>
                <w:rFonts w:cs="Arial"/>
                <w:color w:val="000000"/>
                <w:sz w:val="16"/>
                <w:szCs w:val="16"/>
                <w:lang w:eastAsia="es-CO"/>
              </w:rPr>
            </w:pPr>
            <w:r w:rsidRPr="004E6CFC">
              <w:rPr>
                <w:rFonts w:cs="Arial"/>
                <w:color w:val="000000"/>
                <w:sz w:val="16"/>
                <w:szCs w:val="16"/>
                <w:lang w:eastAsia="es-CO"/>
              </w:rPr>
              <w:t>Bahías y celdas</w:t>
            </w:r>
          </w:p>
        </w:tc>
        <w:tc>
          <w:tcPr>
            <w:tcW w:w="647"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sidRPr="004E6CFC">
              <w:rPr>
                <w:rFonts w:cs="Arial"/>
                <w:sz w:val="16"/>
                <w:szCs w:val="16"/>
                <w:lang w:eastAsia="es-CO"/>
              </w:rPr>
              <w:t>4</w:t>
            </w:r>
          </w:p>
        </w:tc>
        <w:tc>
          <w:tcPr>
            <w:tcW w:w="647"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Pr>
                <w:rFonts w:cs="Arial"/>
                <w:sz w:val="16"/>
                <w:szCs w:val="16"/>
                <w:lang w:eastAsia="es-CO"/>
              </w:rPr>
              <w:t>3</w:t>
            </w:r>
            <w:r w:rsidRPr="004E6CFC">
              <w:rPr>
                <w:rFonts w:cs="Arial"/>
                <w:sz w:val="16"/>
                <w:szCs w:val="16"/>
                <w:lang w:eastAsia="es-CO"/>
              </w:rPr>
              <w:t>5</w:t>
            </w:r>
          </w:p>
        </w:tc>
        <w:tc>
          <w:tcPr>
            <w:tcW w:w="1622" w:type="pct"/>
            <w:tcBorders>
              <w:top w:val="nil"/>
              <w:left w:val="nil"/>
              <w:bottom w:val="single" w:sz="4" w:space="0" w:color="auto"/>
              <w:right w:val="single" w:sz="4" w:space="0" w:color="auto"/>
            </w:tcBorders>
            <w:shd w:val="clear" w:color="auto" w:fill="auto"/>
            <w:vAlign w:val="center"/>
          </w:tcPr>
          <w:p w:rsidR="0094295C" w:rsidRPr="004E6CFC" w:rsidRDefault="0094295C" w:rsidP="0094295C">
            <w:pPr>
              <w:keepNext/>
              <w:spacing w:before="0" w:after="0"/>
              <w:jc w:val="left"/>
              <w:rPr>
                <w:rFonts w:cs="Arial"/>
                <w:sz w:val="16"/>
                <w:szCs w:val="16"/>
                <w:lang w:val="en-US" w:eastAsia="es-CO"/>
              </w:rPr>
            </w:pPr>
            <w:r>
              <w:rPr>
                <w:rFonts w:cs="Arial"/>
                <w:sz w:val="16"/>
                <w:szCs w:val="16"/>
                <w:lang w:val="en-US" w:eastAsia="es-CO"/>
              </w:rPr>
              <w:t xml:space="preserve">N5S2, N5S4, N5S6, N5S8, N5S10, N5S12, N5S14, N5S16, </w:t>
            </w:r>
            <w:r w:rsidRPr="004E6CFC">
              <w:rPr>
                <w:rFonts w:cs="Arial"/>
                <w:sz w:val="16"/>
                <w:szCs w:val="16"/>
                <w:lang w:val="en-US" w:eastAsia="es-CO"/>
              </w:rPr>
              <w:t>N4S1 a N4S16, N4S47 a N4S</w:t>
            </w:r>
            <w:r>
              <w:rPr>
                <w:rFonts w:cs="Arial"/>
                <w:sz w:val="16"/>
                <w:szCs w:val="16"/>
                <w:lang w:val="en-US" w:eastAsia="es-CO"/>
              </w:rPr>
              <w:t>56</w:t>
            </w:r>
            <w:r w:rsidRPr="004E6CFC">
              <w:rPr>
                <w:rFonts w:cs="Arial"/>
                <w:sz w:val="16"/>
                <w:szCs w:val="16"/>
                <w:lang w:val="en-US" w:eastAsia="es-CO"/>
              </w:rPr>
              <w:t>, y N4S6</w:t>
            </w:r>
            <w:r>
              <w:rPr>
                <w:rFonts w:cs="Arial"/>
                <w:sz w:val="16"/>
                <w:szCs w:val="16"/>
                <w:lang w:val="en-US" w:eastAsia="es-CO"/>
              </w:rPr>
              <w:t>5</w:t>
            </w:r>
            <w:r w:rsidRPr="004E6CFC">
              <w:rPr>
                <w:rFonts w:cs="Arial"/>
                <w:sz w:val="16"/>
                <w:szCs w:val="16"/>
                <w:lang w:val="en-US" w:eastAsia="es-CO"/>
              </w:rPr>
              <w:t xml:space="preserve"> a N4S6</w:t>
            </w:r>
            <w:r>
              <w:rPr>
                <w:rFonts w:cs="Arial"/>
                <w:sz w:val="16"/>
                <w:szCs w:val="16"/>
                <w:lang w:val="en-US" w:eastAsia="es-CO"/>
              </w:rPr>
              <w:t>6</w:t>
            </w:r>
            <w:r w:rsidRPr="004E6CFC">
              <w:rPr>
                <w:rFonts w:cs="Arial"/>
                <w:sz w:val="16"/>
                <w:szCs w:val="16"/>
                <w:lang w:val="en-US" w:eastAsia="es-CO"/>
              </w:rPr>
              <w:t xml:space="preserve"> </w:t>
            </w:r>
          </w:p>
        </w:tc>
      </w:tr>
      <w:tr w:rsidR="0094295C" w:rsidRPr="00607A12" w:rsidTr="0094295C">
        <w:trPr>
          <w:trHeight w:val="170"/>
          <w:jc w:val="center"/>
        </w:trPr>
        <w:tc>
          <w:tcPr>
            <w:tcW w:w="652" w:type="pct"/>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sidRPr="004E6CFC">
              <w:rPr>
                <w:rFonts w:cs="Arial"/>
                <w:color w:val="000000"/>
                <w:sz w:val="16"/>
                <w:szCs w:val="16"/>
                <w:lang w:eastAsia="es-CO"/>
              </w:rPr>
              <w:t>3</w:t>
            </w:r>
          </w:p>
        </w:tc>
        <w:tc>
          <w:tcPr>
            <w:tcW w:w="1432" w:type="pct"/>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keepNext/>
              <w:spacing w:before="0" w:after="0"/>
              <w:jc w:val="left"/>
              <w:rPr>
                <w:rFonts w:cs="Arial"/>
                <w:color w:val="000000"/>
                <w:sz w:val="16"/>
                <w:szCs w:val="16"/>
                <w:lang w:eastAsia="es-CO"/>
              </w:rPr>
            </w:pPr>
            <w:r w:rsidRPr="004E6CFC">
              <w:rPr>
                <w:rFonts w:cs="Arial"/>
                <w:color w:val="000000"/>
                <w:sz w:val="16"/>
                <w:szCs w:val="16"/>
                <w:lang w:eastAsia="es-CO"/>
              </w:rPr>
              <w:t>Bahías y celdas</w:t>
            </w:r>
          </w:p>
        </w:tc>
        <w:tc>
          <w:tcPr>
            <w:tcW w:w="647"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sidRPr="004E6CFC">
              <w:rPr>
                <w:rFonts w:cs="Arial"/>
                <w:sz w:val="16"/>
                <w:szCs w:val="16"/>
                <w:lang w:eastAsia="es-CO"/>
              </w:rPr>
              <w:t>3</w:t>
            </w:r>
          </w:p>
        </w:tc>
        <w:tc>
          <w:tcPr>
            <w:tcW w:w="647"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Pr>
                <w:rFonts w:cs="Arial"/>
                <w:sz w:val="16"/>
                <w:szCs w:val="16"/>
                <w:lang w:eastAsia="es-CO"/>
              </w:rPr>
              <w:t>3</w:t>
            </w:r>
            <w:r w:rsidRPr="004E6CFC">
              <w:rPr>
                <w:rFonts w:cs="Arial"/>
                <w:sz w:val="16"/>
                <w:szCs w:val="16"/>
                <w:lang w:eastAsia="es-CO"/>
              </w:rPr>
              <w:t>5</w:t>
            </w:r>
          </w:p>
        </w:tc>
        <w:tc>
          <w:tcPr>
            <w:tcW w:w="1622" w:type="pct"/>
            <w:tcBorders>
              <w:top w:val="nil"/>
              <w:left w:val="nil"/>
              <w:bottom w:val="single" w:sz="4" w:space="0" w:color="auto"/>
              <w:right w:val="single" w:sz="4" w:space="0" w:color="auto"/>
            </w:tcBorders>
            <w:shd w:val="clear" w:color="auto" w:fill="auto"/>
            <w:vAlign w:val="center"/>
          </w:tcPr>
          <w:p w:rsidR="0094295C" w:rsidRPr="004E6CFC" w:rsidRDefault="0094295C" w:rsidP="0094295C">
            <w:pPr>
              <w:keepNext/>
              <w:spacing w:before="0" w:after="0"/>
              <w:jc w:val="left"/>
              <w:rPr>
                <w:rFonts w:cs="Arial"/>
                <w:sz w:val="16"/>
                <w:szCs w:val="16"/>
                <w:lang w:val="en-US" w:eastAsia="es-CO"/>
              </w:rPr>
            </w:pPr>
            <w:r w:rsidRPr="004E6CFC">
              <w:rPr>
                <w:rFonts w:cs="Arial"/>
                <w:sz w:val="16"/>
                <w:szCs w:val="16"/>
                <w:lang w:val="en-US" w:eastAsia="es-CO"/>
              </w:rPr>
              <w:t>N3S1 a N3S20</w:t>
            </w:r>
            <w:r>
              <w:rPr>
                <w:rFonts w:cs="Arial"/>
                <w:sz w:val="16"/>
                <w:szCs w:val="16"/>
                <w:lang w:val="en-US" w:eastAsia="es-CO"/>
              </w:rPr>
              <w:t xml:space="preserve"> y N3S61 a N3S62 </w:t>
            </w:r>
            <w:r w:rsidRPr="004E6CFC">
              <w:rPr>
                <w:rFonts w:cs="Arial"/>
                <w:sz w:val="16"/>
                <w:szCs w:val="16"/>
                <w:lang w:val="en-US" w:eastAsia="es-CO"/>
              </w:rPr>
              <w:t xml:space="preserve"> </w:t>
            </w:r>
          </w:p>
        </w:tc>
      </w:tr>
      <w:tr w:rsidR="0094295C" w:rsidRPr="00607A12" w:rsidTr="0094295C">
        <w:trPr>
          <w:trHeight w:val="170"/>
          <w:jc w:val="center"/>
        </w:trPr>
        <w:tc>
          <w:tcPr>
            <w:tcW w:w="652" w:type="pct"/>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color w:val="000000"/>
                <w:sz w:val="16"/>
                <w:szCs w:val="16"/>
                <w:lang w:eastAsia="es-CO"/>
              </w:rPr>
            </w:pPr>
            <w:r w:rsidRPr="004E6CFC">
              <w:rPr>
                <w:rFonts w:cs="Arial"/>
                <w:color w:val="000000"/>
                <w:sz w:val="16"/>
                <w:szCs w:val="16"/>
                <w:lang w:eastAsia="es-CO"/>
              </w:rPr>
              <w:t>3</w:t>
            </w:r>
          </w:p>
        </w:tc>
        <w:tc>
          <w:tcPr>
            <w:tcW w:w="1432" w:type="pct"/>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rFonts w:cs="Arial"/>
                <w:color w:val="000000"/>
                <w:sz w:val="16"/>
                <w:szCs w:val="16"/>
                <w:lang w:eastAsia="es-CO"/>
              </w:rPr>
            </w:pPr>
            <w:r w:rsidRPr="004E6CFC">
              <w:rPr>
                <w:rFonts w:cs="Arial"/>
                <w:color w:val="000000"/>
                <w:sz w:val="16"/>
                <w:szCs w:val="16"/>
                <w:lang w:eastAsia="es-CO"/>
              </w:rPr>
              <w:t>Bahías y celdas</w:t>
            </w:r>
          </w:p>
        </w:tc>
        <w:tc>
          <w:tcPr>
            <w:tcW w:w="647"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sz w:val="16"/>
                <w:szCs w:val="16"/>
                <w:lang w:eastAsia="es-CO"/>
              </w:rPr>
            </w:pPr>
            <w:r w:rsidRPr="004E6CFC">
              <w:rPr>
                <w:rFonts w:cs="Arial"/>
                <w:sz w:val="16"/>
                <w:szCs w:val="16"/>
                <w:lang w:eastAsia="es-CO"/>
              </w:rPr>
              <w:t>2</w:t>
            </w:r>
          </w:p>
        </w:tc>
        <w:tc>
          <w:tcPr>
            <w:tcW w:w="647"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sz w:val="16"/>
                <w:szCs w:val="16"/>
                <w:lang w:eastAsia="es-CO"/>
              </w:rPr>
            </w:pPr>
            <w:r>
              <w:rPr>
                <w:rFonts w:cs="Arial"/>
                <w:sz w:val="16"/>
                <w:szCs w:val="16"/>
                <w:lang w:eastAsia="es-CO"/>
              </w:rPr>
              <w:t>3</w:t>
            </w:r>
            <w:r w:rsidRPr="004E6CFC">
              <w:rPr>
                <w:rFonts w:cs="Arial"/>
                <w:sz w:val="16"/>
                <w:szCs w:val="16"/>
                <w:lang w:eastAsia="es-CO"/>
              </w:rPr>
              <w:t>5</w:t>
            </w:r>
          </w:p>
        </w:tc>
        <w:tc>
          <w:tcPr>
            <w:tcW w:w="1622" w:type="pct"/>
            <w:tcBorders>
              <w:top w:val="nil"/>
              <w:left w:val="nil"/>
              <w:bottom w:val="single" w:sz="4" w:space="0" w:color="auto"/>
              <w:right w:val="single" w:sz="4" w:space="0" w:color="auto"/>
            </w:tcBorders>
            <w:shd w:val="clear" w:color="auto" w:fill="auto"/>
            <w:vAlign w:val="center"/>
          </w:tcPr>
          <w:p w:rsidR="0094295C" w:rsidRPr="004E6CFC" w:rsidRDefault="0094295C" w:rsidP="0094295C">
            <w:pPr>
              <w:spacing w:before="0" w:after="0"/>
              <w:jc w:val="left"/>
              <w:rPr>
                <w:rFonts w:cs="Arial"/>
                <w:sz w:val="16"/>
                <w:szCs w:val="16"/>
                <w:lang w:val="en-US" w:eastAsia="es-CO"/>
              </w:rPr>
            </w:pPr>
            <w:r w:rsidRPr="004E6CFC">
              <w:rPr>
                <w:rFonts w:cs="Arial"/>
                <w:sz w:val="16"/>
                <w:szCs w:val="16"/>
                <w:lang w:val="en-US" w:eastAsia="es-CO"/>
              </w:rPr>
              <w:t>N2S1 a N2S12 y N2S15 a N2S18</w:t>
            </w:r>
          </w:p>
        </w:tc>
      </w:tr>
    </w:tbl>
    <w:p w:rsidR="0094295C" w:rsidRPr="004E6CFC" w:rsidRDefault="0094295C" w:rsidP="0094295C">
      <w:pPr>
        <w:pStyle w:val="Descripcin"/>
        <w:widowControl/>
        <w:spacing w:line="240" w:lineRule="auto"/>
      </w:pPr>
      <w:r w:rsidRPr="004E6CFC">
        <w:lastRenderedPageBreak/>
        <w:t xml:space="preserve">Tabla </w:t>
      </w:r>
      <w:r w:rsidRPr="004E6CFC">
        <w:fldChar w:fldCharType="begin"/>
      </w:r>
      <w:r w:rsidRPr="004E6CFC">
        <w:instrText xml:space="preserve"> SEQ Tabla \* ARABIC </w:instrText>
      </w:r>
      <w:r w:rsidRPr="004E6CFC">
        <w:fldChar w:fldCharType="separate"/>
      </w:r>
      <w:r w:rsidR="00737178">
        <w:rPr>
          <w:noProof/>
        </w:rPr>
        <w:t>36</w:t>
      </w:r>
      <w:r w:rsidRPr="004E6CFC">
        <w:fldChar w:fldCharType="end"/>
      </w:r>
      <w:r w:rsidRPr="004E6CFC">
        <w:t xml:space="preserve"> Unidades constructivas de la categoría de equipos de control, protección y comunicaciones</w:t>
      </w:r>
    </w:p>
    <w:tbl>
      <w:tblPr>
        <w:tblW w:w="4607" w:type="pct"/>
        <w:jc w:val="center"/>
        <w:tblLayout w:type="fixed"/>
        <w:tblCellMar>
          <w:left w:w="70" w:type="dxa"/>
          <w:right w:w="70" w:type="dxa"/>
        </w:tblCellMar>
        <w:tblLook w:val="04A0" w:firstRow="1" w:lastRow="0" w:firstColumn="1" w:lastColumn="0" w:noHBand="0" w:noVBand="1"/>
      </w:tblPr>
      <w:tblGrid>
        <w:gridCol w:w="1118"/>
        <w:gridCol w:w="2477"/>
        <w:gridCol w:w="1114"/>
        <w:gridCol w:w="1114"/>
        <w:gridCol w:w="2788"/>
      </w:tblGrid>
      <w:tr w:rsidR="0094295C" w:rsidRPr="004E6CFC" w:rsidTr="0094295C">
        <w:trPr>
          <w:trHeight w:val="340"/>
          <w:jc w:val="center"/>
        </w:trPr>
        <w:tc>
          <w:tcPr>
            <w:tcW w:w="6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CATEGORÍA</w:t>
            </w:r>
          </w:p>
        </w:tc>
        <w:tc>
          <w:tcPr>
            <w:tcW w:w="1438"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DESCRIPCIÓN</w:t>
            </w:r>
          </w:p>
        </w:tc>
        <w:tc>
          <w:tcPr>
            <w:tcW w:w="647"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NIVEL DE TENSIÓN</w:t>
            </w:r>
          </w:p>
        </w:tc>
        <w:tc>
          <w:tcPr>
            <w:tcW w:w="647"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color w:val="000000"/>
                <w:sz w:val="16"/>
                <w:szCs w:val="16"/>
                <w:lang w:eastAsia="es-CO"/>
              </w:rPr>
              <w:t xml:space="preserve">VIDA ÚTIL </w:t>
            </w:r>
          </w:p>
        </w:tc>
        <w:tc>
          <w:tcPr>
            <w:tcW w:w="1619"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UC ASOCIADAS</w:t>
            </w:r>
          </w:p>
        </w:tc>
      </w:tr>
      <w:tr w:rsidR="0094295C" w:rsidRPr="004E6CFC" w:rsidTr="0094295C">
        <w:trPr>
          <w:trHeight w:val="340"/>
          <w:jc w:val="center"/>
        </w:trPr>
        <w:tc>
          <w:tcPr>
            <w:tcW w:w="649" w:type="pct"/>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sidRPr="004E6CFC">
              <w:rPr>
                <w:rFonts w:cs="Arial"/>
                <w:color w:val="000000"/>
                <w:sz w:val="16"/>
                <w:szCs w:val="16"/>
                <w:lang w:eastAsia="es-CO"/>
              </w:rPr>
              <w:t>4</w:t>
            </w:r>
          </w:p>
        </w:tc>
        <w:tc>
          <w:tcPr>
            <w:tcW w:w="1438" w:type="pct"/>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keepNext/>
              <w:spacing w:before="0" w:after="0"/>
              <w:jc w:val="left"/>
              <w:rPr>
                <w:rFonts w:cs="Arial"/>
                <w:color w:val="000000"/>
                <w:sz w:val="16"/>
                <w:szCs w:val="16"/>
                <w:lang w:eastAsia="es-CO"/>
              </w:rPr>
            </w:pPr>
            <w:r w:rsidRPr="004E6CFC">
              <w:rPr>
                <w:rFonts w:cs="Arial"/>
                <w:color w:val="000000"/>
                <w:sz w:val="16"/>
                <w:szCs w:val="16"/>
                <w:lang w:eastAsia="es-CO"/>
              </w:rPr>
              <w:t>Equipos de control y comunicaciones</w:t>
            </w:r>
          </w:p>
        </w:tc>
        <w:tc>
          <w:tcPr>
            <w:tcW w:w="647"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sidRPr="004E6CFC">
              <w:rPr>
                <w:rFonts w:cs="Arial"/>
                <w:sz w:val="16"/>
                <w:szCs w:val="16"/>
                <w:lang w:eastAsia="es-CO"/>
              </w:rPr>
              <w:t>4</w:t>
            </w:r>
          </w:p>
        </w:tc>
        <w:tc>
          <w:tcPr>
            <w:tcW w:w="647"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sidRPr="004E6CFC">
              <w:rPr>
                <w:rFonts w:cs="Arial"/>
                <w:sz w:val="16"/>
                <w:szCs w:val="16"/>
                <w:lang w:eastAsia="es-CO"/>
              </w:rPr>
              <w:t>10</w:t>
            </w:r>
          </w:p>
        </w:tc>
        <w:tc>
          <w:tcPr>
            <w:tcW w:w="1619" w:type="pct"/>
            <w:tcBorders>
              <w:top w:val="nil"/>
              <w:left w:val="nil"/>
              <w:bottom w:val="single" w:sz="4" w:space="0" w:color="auto"/>
              <w:right w:val="single" w:sz="4" w:space="0" w:color="auto"/>
            </w:tcBorders>
            <w:shd w:val="clear" w:color="auto" w:fill="auto"/>
            <w:vAlign w:val="center"/>
          </w:tcPr>
          <w:p w:rsidR="0094295C" w:rsidRPr="004E6CFC" w:rsidRDefault="0094295C" w:rsidP="0094295C">
            <w:pPr>
              <w:keepNext/>
              <w:spacing w:before="0" w:after="0"/>
              <w:jc w:val="left"/>
              <w:rPr>
                <w:rFonts w:cs="Arial"/>
                <w:sz w:val="16"/>
                <w:szCs w:val="16"/>
                <w:lang w:val="en-US" w:eastAsia="es-CO"/>
              </w:rPr>
            </w:pPr>
            <w:r w:rsidRPr="004E6CFC">
              <w:rPr>
                <w:rFonts w:cs="Arial"/>
                <w:sz w:val="16"/>
                <w:szCs w:val="16"/>
                <w:lang w:val="en-US" w:eastAsia="es-CO"/>
              </w:rPr>
              <w:t>N4P1 a N4P6</w:t>
            </w:r>
            <w:r>
              <w:rPr>
                <w:rFonts w:cs="Arial"/>
                <w:sz w:val="16"/>
                <w:szCs w:val="16"/>
                <w:lang w:val="en-US" w:eastAsia="es-CO"/>
              </w:rPr>
              <w:t xml:space="preserve"> y N4EQ4</w:t>
            </w:r>
          </w:p>
        </w:tc>
      </w:tr>
      <w:tr w:rsidR="0094295C" w:rsidRPr="004E6CFC" w:rsidTr="0094295C">
        <w:trPr>
          <w:trHeight w:val="340"/>
          <w:jc w:val="center"/>
        </w:trPr>
        <w:tc>
          <w:tcPr>
            <w:tcW w:w="649" w:type="pct"/>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sidRPr="004E6CFC">
              <w:rPr>
                <w:rFonts w:cs="Arial"/>
                <w:color w:val="000000"/>
                <w:sz w:val="16"/>
                <w:szCs w:val="16"/>
                <w:lang w:eastAsia="es-CO"/>
              </w:rPr>
              <w:t>4</w:t>
            </w:r>
          </w:p>
        </w:tc>
        <w:tc>
          <w:tcPr>
            <w:tcW w:w="1438" w:type="pct"/>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keepNext/>
              <w:spacing w:before="0" w:after="0"/>
              <w:jc w:val="left"/>
              <w:rPr>
                <w:rFonts w:cs="Arial"/>
                <w:color w:val="000000"/>
                <w:sz w:val="16"/>
                <w:szCs w:val="16"/>
                <w:lang w:eastAsia="es-CO"/>
              </w:rPr>
            </w:pPr>
            <w:r w:rsidRPr="004E6CFC">
              <w:rPr>
                <w:rFonts w:cs="Arial"/>
                <w:color w:val="000000"/>
                <w:sz w:val="16"/>
                <w:szCs w:val="16"/>
                <w:lang w:eastAsia="es-CO"/>
              </w:rPr>
              <w:t>Equipos de control y comunicaciones</w:t>
            </w:r>
          </w:p>
        </w:tc>
        <w:tc>
          <w:tcPr>
            <w:tcW w:w="647"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sidRPr="004E6CFC">
              <w:rPr>
                <w:rFonts w:cs="Arial"/>
                <w:sz w:val="16"/>
                <w:szCs w:val="16"/>
                <w:lang w:eastAsia="es-CO"/>
              </w:rPr>
              <w:t>3</w:t>
            </w:r>
          </w:p>
        </w:tc>
        <w:tc>
          <w:tcPr>
            <w:tcW w:w="647"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sidRPr="004E6CFC">
              <w:rPr>
                <w:rFonts w:cs="Arial"/>
                <w:sz w:val="16"/>
                <w:szCs w:val="16"/>
                <w:lang w:eastAsia="es-CO"/>
              </w:rPr>
              <w:t>10</w:t>
            </w:r>
          </w:p>
        </w:tc>
        <w:tc>
          <w:tcPr>
            <w:tcW w:w="1619" w:type="pct"/>
            <w:tcBorders>
              <w:top w:val="nil"/>
              <w:left w:val="nil"/>
              <w:bottom w:val="single" w:sz="4" w:space="0" w:color="auto"/>
              <w:right w:val="single" w:sz="4" w:space="0" w:color="auto"/>
            </w:tcBorders>
            <w:shd w:val="clear" w:color="auto" w:fill="auto"/>
            <w:vAlign w:val="center"/>
          </w:tcPr>
          <w:p w:rsidR="0094295C" w:rsidRPr="004E6CFC" w:rsidRDefault="0094295C" w:rsidP="0094295C">
            <w:pPr>
              <w:keepNext/>
              <w:spacing w:before="0" w:after="0"/>
              <w:jc w:val="left"/>
              <w:rPr>
                <w:rFonts w:cs="Arial"/>
                <w:sz w:val="16"/>
                <w:szCs w:val="16"/>
                <w:lang w:eastAsia="es-CO"/>
              </w:rPr>
            </w:pPr>
            <w:r w:rsidRPr="00607A12">
              <w:rPr>
                <w:rFonts w:cs="Arial"/>
                <w:sz w:val="16"/>
                <w:szCs w:val="16"/>
                <w:lang w:val="es-CO" w:eastAsia="es-CO"/>
              </w:rPr>
              <w:t>N3P1 a N3P6, N3EQ1 y N3EQ14</w:t>
            </w:r>
          </w:p>
        </w:tc>
      </w:tr>
      <w:tr w:rsidR="0094295C" w:rsidRPr="004E6CFC" w:rsidTr="0094295C">
        <w:trPr>
          <w:trHeight w:val="340"/>
          <w:jc w:val="center"/>
        </w:trPr>
        <w:tc>
          <w:tcPr>
            <w:tcW w:w="649" w:type="pct"/>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color w:val="000000"/>
                <w:sz w:val="16"/>
                <w:szCs w:val="16"/>
                <w:lang w:eastAsia="es-CO"/>
              </w:rPr>
            </w:pPr>
            <w:r w:rsidRPr="004E6CFC">
              <w:rPr>
                <w:rFonts w:cs="Arial"/>
                <w:color w:val="000000"/>
                <w:sz w:val="16"/>
                <w:szCs w:val="16"/>
                <w:lang w:eastAsia="es-CO"/>
              </w:rPr>
              <w:t>4</w:t>
            </w:r>
          </w:p>
        </w:tc>
        <w:tc>
          <w:tcPr>
            <w:tcW w:w="1438" w:type="pct"/>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rFonts w:cs="Arial"/>
                <w:color w:val="000000"/>
                <w:sz w:val="16"/>
                <w:szCs w:val="16"/>
                <w:lang w:eastAsia="es-CO"/>
              </w:rPr>
            </w:pPr>
            <w:r w:rsidRPr="004E6CFC">
              <w:rPr>
                <w:rFonts w:cs="Arial"/>
                <w:color w:val="000000"/>
                <w:sz w:val="16"/>
                <w:szCs w:val="16"/>
                <w:lang w:eastAsia="es-CO"/>
              </w:rPr>
              <w:t>Equipos de control y comunicaciones</w:t>
            </w:r>
          </w:p>
        </w:tc>
        <w:tc>
          <w:tcPr>
            <w:tcW w:w="647"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sz w:val="16"/>
                <w:szCs w:val="16"/>
                <w:lang w:eastAsia="es-CO"/>
              </w:rPr>
            </w:pPr>
            <w:r w:rsidRPr="004E6CFC">
              <w:rPr>
                <w:rFonts w:cs="Arial"/>
                <w:sz w:val="16"/>
                <w:szCs w:val="16"/>
                <w:lang w:eastAsia="es-CO"/>
              </w:rPr>
              <w:t>2</w:t>
            </w:r>
          </w:p>
        </w:tc>
        <w:tc>
          <w:tcPr>
            <w:tcW w:w="647"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sz w:val="16"/>
                <w:szCs w:val="16"/>
                <w:lang w:eastAsia="es-CO"/>
              </w:rPr>
            </w:pPr>
            <w:r w:rsidRPr="004E6CFC">
              <w:rPr>
                <w:rFonts w:cs="Arial"/>
                <w:sz w:val="16"/>
                <w:szCs w:val="16"/>
                <w:lang w:eastAsia="es-CO"/>
              </w:rPr>
              <w:t>10</w:t>
            </w:r>
          </w:p>
        </w:tc>
        <w:tc>
          <w:tcPr>
            <w:tcW w:w="1619" w:type="pct"/>
            <w:tcBorders>
              <w:top w:val="nil"/>
              <w:left w:val="nil"/>
              <w:bottom w:val="single" w:sz="4" w:space="0" w:color="auto"/>
              <w:right w:val="single" w:sz="4" w:space="0" w:color="auto"/>
            </w:tcBorders>
            <w:shd w:val="clear" w:color="auto" w:fill="auto"/>
            <w:vAlign w:val="center"/>
          </w:tcPr>
          <w:p w:rsidR="0094295C" w:rsidRPr="004E6CFC" w:rsidRDefault="0094295C" w:rsidP="0094295C">
            <w:pPr>
              <w:spacing w:before="0" w:after="0"/>
              <w:jc w:val="left"/>
              <w:rPr>
                <w:rFonts w:cs="Arial"/>
                <w:sz w:val="16"/>
                <w:szCs w:val="16"/>
                <w:lang w:eastAsia="es-CO"/>
              </w:rPr>
            </w:pPr>
            <w:r w:rsidRPr="004E6CFC">
              <w:rPr>
                <w:rFonts w:cs="Arial"/>
                <w:sz w:val="16"/>
                <w:szCs w:val="16"/>
                <w:lang w:eastAsia="es-CO"/>
              </w:rPr>
              <w:t>N2P1</w:t>
            </w:r>
            <w:r>
              <w:rPr>
                <w:rFonts w:cs="Arial"/>
                <w:sz w:val="16"/>
                <w:szCs w:val="16"/>
                <w:lang w:eastAsia="es-CO"/>
              </w:rPr>
              <w:t>, N2EQ3, N2EQ10, y N2EQ34</w:t>
            </w:r>
          </w:p>
        </w:tc>
      </w:tr>
    </w:tbl>
    <w:p w:rsidR="0094295C" w:rsidRPr="004E6CFC" w:rsidRDefault="0094295C" w:rsidP="0094295C">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37</w:t>
      </w:r>
      <w:r w:rsidRPr="004E6CFC">
        <w:fldChar w:fldCharType="end"/>
      </w:r>
      <w:r w:rsidRPr="004E6CFC">
        <w:t xml:space="preserve"> Unidades constructivas de la categoría de equipos de subestación </w:t>
      </w:r>
    </w:p>
    <w:tbl>
      <w:tblPr>
        <w:tblW w:w="4697" w:type="pct"/>
        <w:jc w:val="center"/>
        <w:tblLayout w:type="fixed"/>
        <w:tblCellMar>
          <w:left w:w="70" w:type="dxa"/>
          <w:right w:w="70" w:type="dxa"/>
        </w:tblCellMar>
        <w:tblLook w:val="04A0" w:firstRow="1" w:lastRow="0" w:firstColumn="1" w:lastColumn="0" w:noHBand="0" w:noVBand="1"/>
      </w:tblPr>
      <w:tblGrid>
        <w:gridCol w:w="1120"/>
        <w:gridCol w:w="2469"/>
        <w:gridCol w:w="1284"/>
        <w:gridCol w:w="1117"/>
        <w:gridCol w:w="2790"/>
      </w:tblGrid>
      <w:tr w:rsidR="0094295C" w:rsidRPr="004E6CFC" w:rsidTr="0094295C">
        <w:trPr>
          <w:trHeight w:val="340"/>
          <w:tblHeader/>
          <w:jc w:val="center"/>
        </w:trPr>
        <w:tc>
          <w:tcPr>
            <w:tcW w:w="63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CATEGORÍA</w:t>
            </w:r>
          </w:p>
        </w:tc>
        <w:tc>
          <w:tcPr>
            <w:tcW w:w="1406"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DESCRIPCIÓN</w:t>
            </w:r>
          </w:p>
        </w:tc>
        <w:tc>
          <w:tcPr>
            <w:tcW w:w="731"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NIVEL DE TENSIÓN</w:t>
            </w:r>
          </w:p>
        </w:tc>
        <w:tc>
          <w:tcPr>
            <w:tcW w:w="636"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color w:val="000000"/>
                <w:sz w:val="16"/>
                <w:szCs w:val="16"/>
                <w:lang w:eastAsia="es-CO"/>
              </w:rPr>
              <w:t xml:space="preserve">VIDA ÚTIL </w:t>
            </w:r>
          </w:p>
        </w:tc>
        <w:tc>
          <w:tcPr>
            <w:tcW w:w="1589"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UC ASOCIADAS</w:t>
            </w:r>
          </w:p>
        </w:tc>
      </w:tr>
      <w:tr w:rsidR="0094295C" w:rsidRPr="004E6CFC" w:rsidTr="0094295C">
        <w:trPr>
          <w:trHeight w:val="283"/>
          <w:jc w:val="center"/>
        </w:trPr>
        <w:tc>
          <w:tcPr>
            <w:tcW w:w="638" w:type="pct"/>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sidRPr="004E6CFC">
              <w:rPr>
                <w:rFonts w:cs="Arial"/>
                <w:color w:val="000000"/>
                <w:sz w:val="16"/>
                <w:szCs w:val="16"/>
                <w:lang w:eastAsia="es-CO"/>
              </w:rPr>
              <w:t>5</w:t>
            </w:r>
          </w:p>
        </w:tc>
        <w:tc>
          <w:tcPr>
            <w:tcW w:w="1406" w:type="pct"/>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keepNext/>
              <w:spacing w:before="0" w:after="0"/>
              <w:jc w:val="left"/>
              <w:rPr>
                <w:rFonts w:cs="Arial"/>
                <w:color w:val="000000"/>
                <w:sz w:val="16"/>
                <w:szCs w:val="16"/>
                <w:lang w:eastAsia="es-CO"/>
              </w:rPr>
            </w:pPr>
            <w:r w:rsidRPr="004E6CFC">
              <w:rPr>
                <w:rFonts w:cs="Arial"/>
                <w:color w:val="000000"/>
                <w:sz w:val="16"/>
                <w:szCs w:val="16"/>
                <w:lang w:eastAsia="es-CO"/>
              </w:rPr>
              <w:t>Equipos de subestación</w:t>
            </w:r>
          </w:p>
        </w:tc>
        <w:tc>
          <w:tcPr>
            <w:tcW w:w="731"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sidRPr="004E6CFC">
              <w:rPr>
                <w:rFonts w:cs="Arial"/>
                <w:sz w:val="16"/>
                <w:szCs w:val="16"/>
                <w:lang w:eastAsia="es-CO"/>
              </w:rPr>
              <w:t>4</w:t>
            </w:r>
          </w:p>
        </w:tc>
        <w:tc>
          <w:tcPr>
            <w:tcW w:w="636"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Pr>
                <w:rFonts w:cs="Arial"/>
                <w:sz w:val="16"/>
                <w:szCs w:val="16"/>
                <w:lang w:eastAsia="es-CO"/>
              </w:rPr>
              <w:t>3</w:t>
            </w:r>
            <w:r w:rsidRPr="004E6CFC">
              <w:rPr>
                <w:rFonts w:cs="Arial"/>
                <w:sz w:val="16"/>
                <w:szCs w:val="16"/>
                <w:lang w:eastAsia="es-CO"/>
              </w:rPr>
              <w:t>5</w:t>
            </w:r>
          </w:p>
        </w:tc>
        <w:tc>
          <w:tcPr>
            <w:tcW w:w="1589" w:type="pct"/>
            <w:tcBorders>
              <w:top w:val="nil"/>
              <w:left w:val="nil"/>
              <w:bottom w:val="single" w:sz="4" w:space="0" w:color="auto"/>
              <w:right w:val="single" w:sz="4" w:space="0" w:color="auto"/>
            </w:tcBorders>
            <w:shd w:val="clear" w:color="auto" w:fill="auto"/>
            <w:noWrap/>
            <w:vAlign w:val="center"/>
          </w:tcPr>
          <w:p w:rsidR="0094295C" w:rsidRPr="004E6CFC" w:rsidRDefault="0094295C" w:rsidP="0094295C">
            <w:pPr>
              <w:keepNext/>
              <w:spacing w:before="0" w:after="0"/>
              <w:jc w:val="left"/>
              <w:rPr>
                <w:rFonts w:cs="Arial"/>
                <w:sz w:val="16"/>
                <w:szCs w:val="16"/>
                <w:lang w:eastAsia="es-CO"/>
              </w:rPr>
            </w:pPr>
            <w:r w:rsidRPr="004E6CFC">
              <w:rPr>
                <w:rFonts w:cs="Arial"/>
                <w:sz w:val="16"/>
                <w:szCs w:val="16"/>
                <w:lang w:eastAsia="es-CO"/>
              </w:rPr>
              <w:t xml:space="preserve">N4EQ2 </w:t>
            </w:r>
          </w:p>
        </w:tc>
      </w:tr>
      <w:tr w:rsidR="0094295C" w:rsidRPr="004E6CFC" w:rsidTr="0094295C">
        <w:trPr>
          <w:trHeight w:val="283"/>
          <w:jc w:val="center"/>
        </w:trPr>
        <w:tc>
          <w:tcPr>
            <w:tcW w:w="638" w:type="pct"/>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sidRPr="004E6CFC">
              <w:rPr>
                <w:rFonts w:cs="Arial"/>
                <w:color w:val="000000"/>
                <w:sz w:val="16"/>
                <w:szCs w:val="16"/>
                <w:lang w:eastAsia="es-CO"/>
              </w:rPr>
              <w:t>5</w:t>
            </w:r>
          </w:p>
        </w:tc>
        <w:tc>
          <w:tcPr>
            <w:tcW w:w="1406" w:type="pct"/>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keepNext/>
              <w:spacing w:before="0" w:after="0"/>
              <w:jc w:val="left"/>
              <w:rPr>
                <w:rFonts w:cs="Arial"/>
                <w:color w:val="000000"/>
                <w:sz w:val="16"/>
                <w:szCs w:val="16"/>
                <w:lang w:eastAsia="es-CO"/>
              </w:rPr>
            </w:pPr>
            <w:r w:rsidRPr="004E6CFC">
              <w:rPr>
                <w:rFonts w:cs="Arial"/>
                <w:color w:val="000000"/>
                <w:sz w:val="16"/>
                <w:szCs w:val="16"/>
                <w:lang w:eastAsia="es-CO"/>
              </w:rPr>
              <w:t>Equipos de subestación</w:t>
            </w:r>
          </w:p>
        </w:tc>
        <w:tc>
          <w:tcPr>
            <w:tcW w:w="731"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sidRPr="004E6CFC">
              <w:rPr>
                <w:rFonts w:cs="Arial"/>
                <w:sz w:val="16"/>
                <w:szCs w:val="16"/>
                <w:lang w:eastAsia="es-CO"/>
              </w:rPr>
              <w:t>3</w:t>
            </w:r>
          </w:p>
        </w:tc>
        <w:tc>
          <w:tcPr>
            <w:tcW w:w="636"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Pr>
                <w:rFonts w:cs="Arial"/>
                <w:sz w:val="16"/>
                <w:szCs w:val="16"/>
                <w:lang w:eastAsia="es-CO"/>
              </w:rPr>
              <w:t>3</w:t>
            </w:r>
            <w:r w:rsidRPr="004E6CFC">
              <w:rPr>
                <w:rFonts w:cs="Arial"/>
                <w:sz w:val="16"/>
                <w:szCs w:val="16"/>
                <w:lang w:eastAsia="es-CO"/>
              </w:rPr>
              <w:t>5</w:t>
            </w:r>
          </w:p>
        </w:tc>
        <w:tc>
          <w:tcPr>
            <w:tcW w:w="1589" w:type="pct"/>
            <w:tcBorders>
              <w:top w:val="nil"/>
              <w:left w:val="nil"/>
              <w:bottom w:val="single" w:sz="4" w:space="0" w:color="auto"/>
              <w:right w:val="single" w:sz="4" w:space="0" w:color="auto"/>
            </w:tcBorders>
            <w:shd w:val="clear" w:color="auto" w:fill="auto"/>
            <w:vAlign w:val="center"/>
          </w:tcPr>
          <w:p w:rsidR="0094295C" w:rsidRPr="004E6CFC" w:rsidRDefault="0094295C" w:rsidP="0094295C">
            <w:pPr>
              <w:keepNext/>
              <w:spacing w:before="0" w:after="0"/>
              <w:jc w:val="left"/>
              <w:rPr>
                <w:rFonts w:cs="Arial"/>
                <w:sz w:val="16"/>
                <w:szCs w:val="16"/>
                <w:lang w:eastAsia="es-CO"/>
              </w:rPr>
            </w:pPr>
            <w:r w:rsidRPr="004E6CFC">
              <w:rPr>
                <w:rFonts w:cs="Arial"/>
                <w:sz w:val="16"/>
                <w:szCs w:val="16"/>
                <w:lang w:eastAsia="es-CO"/>
              </w:rPr>
              <w:t>N3EQ</w:t>
            </w:r>
            <w:r>
              <w:rPr>
                <w:rFonts w:cs="Arial"/>
                <w:sz w:val="16"/>
                <w:szCs w:val="16"/>
                <w:lang w:eastAsia="es-CO"/>
              </w:rPr>
              <w:t>10</w:t>
            </w:r>
            <w:r w:rsidRPr="004E6CFC">
              <w:rPr>
                <w:rFonts w:cs="Arial"/>
                <w:sz w:val="16"/>
                <w:szCs w:val="16"/>
                <w:lang w:eastAsia="es-CO"/>
              </w:rPr>
              <w:t xml:space="preserve"> a N3EQ11</w:t>
            </w:r>
            <w:r>
              <w:rPr>
                <w:rFonts w:cs="Arial"/>
                <w:sz w:val="16"/>
                <w:szCs w:val="16"/>
                <w:lang w:eastAsia="es-CO"/>
              </w:rPr>
              <w:t xml:space="preserve"> y</w:t>
            </w:r>
            <w:r w:rsidRPr="004E6CFC">
              <w:rPr>
                <w:rFonts w:cs="Arial"/>
                <w:sz w:val="16"/>
                <w:szCs w:val="16"/>
                <w:lang w:eastAsia="es-CO"/>
              </w:rPr>
              <w:t xml:space="preserve"> N3EQ2</w:t>
            </w:r>
            <w:r>
              <w:rPr>
                <w:rFonts w:cs="Arial"/>
                <w:sz w:val="16"/>
                <w:szCs w:val="16"/>
                <w:lang w:eastAsia="es-CO"/>
              </w:rPr>
              <w:t>2</w:t>
            </w:r>
            <w:r w:rsidRPr="004E6CFC">
              <w:rPr>
                <w:rFonts w:cs="Arial"/>
                <w:sz w:val="16"/>
                <w:szCs w:val="16"/>
                <w:lang w:eastAsia="es-CO"/>
              </w:rPr>
              <w:t>, a N3EQ27</w:t>
            </w:r>
          </w:p>
        </w:tc>
      </w:tr>
      <w:tr w:rsidR="0094295C" w:rsidRPr="004E6CFC" w:rsidTr="0094295C">
        <w:trPr>
          <w:trHeight w:val="283"/>
          <w:jc w:val="center"/>
        </w:trPr>
        <w:tc>
          <w:tcPr>
            <w:tcW w:w="638" w:type="pct"/>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color w:val="000000"/>
                <w:sz w:val="16"/>
                <w:szCs w:val="16"/>
                <w:lang w:eastAsia="es-CO"/>
              </w:rPr>
            </w:pPr>
            <w:r w:rsidRPr="004E6CFC">
              <w:rPr>
                <w:rFonts w:cs="Arial"/>
                <w:color w:val="000000"/>
                <w:sz w:val="16"/>
                <w:szCs w:val="16"/>
                <w:lang w:eastAsia="es-CO"/>
              </w:rPr>
              <w:t>5</w:t>
            </w:r>
          </w:p>
        </w:tc>
        <w:tc>
          <w:tcPr>
            <w:tcW w:w="1406" w:type="pct"/>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rFonts w:cs="Arial"/>
                <w:color w:val="000000"/>
                <w:sz w:val="16"/>
                <w:szCs w:val="16"/>
                <w:lang w:eastAsia="es-CO"/>
              </w:rPr>
            </w:pPr>
            <w:r w:rsidRPr="004E6CFC">
              <w:rPr>
                <w:rFonts w:cs="Arial"/>
                <w:color w:val="000000"/>
                <w:sz w:val="16"/>
                <w:szCs w:val="16"/>
                <w:lang w:eastAsia="es-CO"/>
              </w:rPr>
              <w:t>Equipos de subestación</w:t>
            </w:r>
          </w:p>
        </w:tc>
        <w:tc>
          <w:tcPr>
            <w:tcW w:w="731"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sz w:val="16"/>
                <w:szCs w:val="16"/>
                <w:lang w:eastAsia="es-CO"/>
              </w:rPr>
            </w:pPr>
            <w:r w:rsidRPr="004E6CFC">
              <w:rPr>
                <w:rFonts w:cs="Arial"/>
                <w:sz w:val="16"/>
                <w:szCs w:val="16"/>
                <w:lang w:eastAsia="es-CO"/>
              </w:rPr>
              <w:t>2</w:t>
            </w:r>
          </w:p>
        </w:tc>
        <w:tc>
          <w:tcPr>
            <w:tcW w:w="636"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sz w:val="16"/>
                <w:szCs w:val="16"/>
                <w:lang w:eastAsia="es-CO"/>
              </w:rPr>
            </w:pPr>
            <w:r>
              <w:rPr>
                <w:rFonts w:cs="Arial"/>
                <w:sz w:val="16"/>
                <w:szCs w:val="16"/>
                <w:lang w:eastAsia="es-CO"/>
              </w:rPr>
              <w:t>3</w:t>
            </w:r>
            <w:r w:rsidRPr="004E6CFC">
              <w:rPr>
                <w:rFonts w:cs="Arial"/>
                <w:sz w:val="16"/>
                <w:szCs w:val="16"/>
                <w:lang w:eastAsia="es-CO"/>
              </w:rPr>
              <w:t>5</w:t>
            </w:r>
          </w:p>
        </w:tc>
        <w:tc>
          <w:tcPr>
            <w:tcW w:w="1589" w:type="pct"/>
            <w:tcBorders>
              <w:top w:val="nil"/>
              <w:left w:val="nil"/>
              <w:bottom w:val="single" w:sz="4" w:space="0" w:color="auto"/>
              <w:right w:val="single" w:sz="4" w:space="0" w:color="auto"/>
            </w:tcBorders>
            <w:shd w:val="clear" w:color="auto" w:fill="auto"/>
            <w:vAlign w:val="center"/>
          </w:tcPr>
          <w:p w:rsidR="0094295C" w:rsidRPr="004E6CFC" w:rsidRDefault="0094295C" w:rsidP="0094295C">
            <w:pPr>
              <w:spacing w:before="0" w:after="0"/>
              <w:jc w:val="left"/>
              <w:rPr>
                <w:rFonts w:cs="Arial"/>
                <w:sz w:val="16"/>
                <w:szCs w:val="16"/>
                <w:lang w:eastAsia="es-CO"/>
              </w:rPr>
            </w:pPr>
            <w:r w:rsidRPr="004E6CFC">
              <w:rPr>
                <w:rFonts w:cs="Arial"/>
                <w:sz w:val="16"/>
                <w:szCs w:val="16"/>
                <w:lang w:eastAsia="es-CO"/>
              </w:rPr>
              <w:t>N2EQ</w:t>
            </w:r>
            <w:r>
              <w:rPr>
                <w:rFonts w:cs="Arial"/>
                <w:sz w:val="16"/>
                <w:szCs w:val="16"/>
                <w:lang w:eastAsia="es-CO"/>
              </w:rPr>
              <w:t xml:space="preserve">36 a </w:t>
            </w:r>
            <w:r w:rsidRPr="004E6CFC">
              <w:rPr>
                <w:rFonts w:cs="Arial"/>
                <w:sz w:val="16"/>
                <w:szCs w:val="16"/>
                <w:lang w:eastAsia="es-CO"/>
              </w:rPr>
              <w:t>N2EQ</w:t>
            </w:r>
            <w:r>
              <w:rPr>
                <w:rFonts w:cs="Arial"/>
                <w:sz w:val="16"/>
                <w:szCs w:val="16"/>
                <w:lang w:eastAsia="es-CO"/>
              </w:rPr>
              <w:t>40</w:t>
            </w:r>
            <w:r w:rsidRPr="004E6CFC">
              <w:rPr>
                <w:rFonts w:cs="Arial"/>
                <w:sz w:val="16"/>
                <w:szCs w:val="16"/>
                <w:lang w:eastAsia="es-CO"/>
              </w:rPr>
              <w:t xml:space="preserve"> </w:t>
            </w:r>
          </w:p>
        </w:tc>
      </w:tr>
    </w:tbl>
    <w:p w:rsidR="0094295C" w:rsidRPr="004E6CFC" w:rsidRDefault="0094295C" w:rsidP="0094295C">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38</w:t>
      </w:r>
      <w:r w:rsidRPr="004E6CFC">
        <w:fldChar w:fldCharType="end"/>
      </w:r>
      <w:r w:rsidRPr="004E6CFC">
        <w:t xml:space="preserve"> Unidades constructivas de la categoría de otros activos de subestación </w:t>
      </w:r>
    </w:p>
    <w:tbl>
      <w:tblPr>
        <w:tblW w:w="4608" w:type="pct"/>
        <w:jc w:val="center"/>
        <w:tblLayout w:type="fixed"/>
        <w:tblCellMar>
          <w:left w:w="70" w:type="dxa"/>
          <w:right w:w="70" w:type="dxa"/>
        </w:tblCellMar>
        <w:tblLook w:val="04A0" w:firstRow="1" w:lastRow="0" w:firstColumn="1" w:lastColumn="0" w:noHBand="0" w:noVBand="1"/>
      </w:tblPr>
      <w:tblGrid>
        <w:gridCol w:w="1120"/>
        <w:gridCol w:w="2472"/>
        <w:gridCol w:w="1115"/>
        <w:gridCol w:w="1115"/>
        <w:gridCol w:w="2791"/>
      </w:tblGrid>
      <w:tr w:rsidR="0094295C" w:rsidRPr="004E6CFC" w:rsidTr="0094295C">
        <w:trPr>
          <w:trHeight w:val="340"/>
          <w:jc w:val="center"/>
        </w:trPr>
        <w:tc>
          <w:tcPr>
            <w:tcW w:w="6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CATEGORÍA</w:t>
            </w:r>
          </w:p>
        </w:tc>
        <w:tc>
          <w:tcPr>
            <w:tcW w:w="1435"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DESCRIPCIÓN</w:t>
            </w:r>
          </w:p>
        </w:tc>
        <w:tc>
          <w:tcPr>
            <w:tcW w:w="647"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NIVEL DE TENSIÓN</w:t>
            </w:r>
          </w:p>
        </w:tc>
        <w:tc>
          <w:tcPr>
            <w:tcW w:w="647"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color w:val="000000"/>
                <w:sz w:val="16"/>
                <w:szCs w:val="16"/>
                <w:lang w:eastAsia="es-CO"/>
              </w:rPr>
              <w:t xml:space="preserve">VIDA ÚTIL </w:t>
            </w:r>
          </w:p>
        </w:tc>
        <w:tc>
          <w:tcPr>
            <w:tcW w:w="1620"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UC ASOCIADAS</w:t>
            </w:r>
          </w:p>
        </w:tc>
      </w:tr>
      <w:tr w:rsidR="0094295C" w:rsidRPr="00607A12" w:rsidTr="0094295C">
        <w:trPr>
          <w:trHeight w:val="283"/>
          <w:jc w:val="center"/>
        </w:trPr>
        <w:tc>
          <w:tcPr>
            <w:tcW w:w="650" w:type="pct"/>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sidRPr="004E6CFC">
              <w:rPr>
                <w:rFonts w:cs="Arial"/>
                <w:color w:val="000000"/>
                <w:sz w:val="16"/>
                <w:szCs w:val="16"/>
                <w:lang w:eastAsia="es-CO"/>
              </w:rPr>
              <w:t>6</w:t>
            </w:r>
          </w:p>
        </w:tc>
        <w:tc>
          <w:tcPr>
            <w:tcW w:w="1435" w:type="pct"/>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keepNext/>
              <w:spacing w:before="0" w:after="0"/>
              <w:jc w:val="left"/>
              <w:rPr>
                <w:rFonts w:cs="Arial"/>
                <w:color w:val="000000"/>
                <w:sz w:val="16"/>
                <w:szCs w:val="16"/>
                <w:lang w:eastAsia="es-CO"/>
              </w:rPr>
            </w:pPr>
            <w:r w:rsidRPr="004E6CFC">
              <w:rPr>
                <w:rFonts w:cs="Arial"/>
                <w:color w:val="000000"/>
                <w:sz w:val="16"/>
                <w:szCs w:val="16"/>
                <w:lang w:eastAsia="es-CO"/>
              </w:rPr>
              <w:t>Otros activos subestación</w:t>
            </w:r>
          </w:p>
        </w:tc>
        <w:tc>
          <w:tcPr>
            <w:tcW w:w="647"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sidRPr="004E6CFC">
              <w:rPr>
                <w:rFonts w:cs="Arial"/>
                <w:sz w:val="16"/>
                <w:szCs w:val="16"/>
                <w:lang w:eastAsia="es-CO"/>
              </w:rPr>
              <w:t>4</w:t>
            </w:r>
          </w:p>
        </w:tc>
        <w:tc>
          <w:tcPr>
            <w:tcW w:w="647"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sidRPr="004E6CFC">
              <w:rPr>
                <w:rFonts w:cs="Arial"/>
                <w:sz w:val="16"/>
                <w:szCs w:val="16"/>
                <w:lang w:eastAsia="es-CO"/>
              </w:rPr>
              <w:t>45</w:t>
            </w:r>
          </w:p>
        </w:tc>
        <w:tc>
          <w:tcPr>
            <w:tcW w:w="1620" w:type="pct"/>
            <w:tcBorders>
              <w:top w:val="nil"/>
              <w:left w:val="nil"/>
              <w:bottom w:val="single" w:sz="4" w:space="0" w:color="auto"/>
              <w:right w:val="single" w:sz="4" w:space="0" w:color="auto"/>
            </w:tcBorders>
            <w:shd w:val="clear" w:color="auto" w:fill="auto"/>
            <w:vAlign w:val="center"/>
          </w:tcPr>
          <w:p w:rsidR="0094295C" w:rsidRPr="004E6CFC" w:rsidRDefault="0094295C" w:rsidP="0094295C">
            <w:pPr>
              <w:keepNext/>
              <w:spacing w:before="0" w:after="0"/>
              <w:jc w:val="left"/>
              <w:rPr>
                <w:rFonts w:cs="Arial"/>
                <w:sz w:val="16"/>
                <w:szCs w:val="16"/>
                <w:lang w:val="en-US" w:eastAsia="es-CO"/>
              </w:rPr>
            </w:pPr>
            <w:r w:rsidRPr="004E6CFC">
              <w:rPr>
                <w:rFonts w:cs="Arial"/>
                <w:sz w:val="16"/>
                <w:szCs w:val="16"/>
                <w:lang w:val="en-US" w:eastAsia="es-CO"/>
              </w:rPr>
              <w:t>N4S20 a N4S46, N4S</w:t>
            </w:r>
            <w:r>
              <w:rPr>
                <w:rFonts w:cs="Arial"/>
                <w:sz w:val="16"/>
                <w:szCs w:val="16"/>
                <w:lang w:val="en-US" w:eastAsia="es-CO"/>
              </w:rPr>
              <w:t>57</w:t>
            </w:r>
            <w:r w:rsidRPr="004E6CFC">
              <w:rPr>
                <w:rFonts w:cs="Arial"/>
                <w:sz w:val="16"/>
                <w:szCs w:val="16"/>
                <w:lang w:val="en-US" w:eastAsia="es-CO"/>
              </w:rPr>
              <w:t xml:space="preserve"> </w:t>
            </w:r>
            <w:r>
              <w:rPr>
                <w:rFonts w:cs="Arial"/>
                <w:sz w:val="16"/>
                <w:szCs w:val="16"/>
                <w:lang w:val="en-US" w:eastAsia="es-CO"/>
              </w:rPr>
              <w:t>a</w:t>
            </w:r>
            <w:r w:rsidRPr="004E6CFC">
              <w:rPr>
                <w:rFonts w:cs="Arial"/>
                <w:sz w:val="16"/>
                <w:szCs w:val="16"/>
                <w:lang w:val="en-US" w:eastAsia="es-CO"/>
              </w:rPr>
              <w:t xml:space="preserve"> N4S</w:t>
            </w:r>
            <w:r>
              <w:rPr>
                <w:rFonts w:cs="Arial"/>
                <w:sz w:val="16"/>
                <w:szCs w:val="16"/>
                <w:lang w:val="en-US" w:eastAsia="es-CO"/>
              </w:rPr>
              <w:t>64</w:t>
            </w:r>
            <w:r w:rsidRPr="004E6CFC">
              <w:rPr>
                <w:rFonts w:cs="Arial"/>
                <w:sz w:val="16"/>
                <w:szCs w:val="16"/>
                <w:lang w:val="en-US" w:eastAsia="es-CO"/>
              </w:rPr>
              <w:t xml:space="preserve"> </w:t>
            </w:r>
          </w:p>
        </w:tc>
      </w:tr>
      <w:tr w:rsidR="0094295C" w:rsidRPr="004E6CFC" w:rsidTr="0094295C">
        <w:trPr>
          <w:trHeight w:val="283"/>
          <w:jc w:val="center"/>
        </w:trPr>
        <w:tc>
          <w:tcPr>
            <w:tcW w:w="650" w:type="pct"/>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sidRPr="004E6CFC">
              <w:rPr>
                <w:rFonts w:cs="Arial"/>
                <w:color w:val="000000"/>
                <w:sz w:val="16"/>
                <w:szCs w:val="16"/>
                <w:lang w:eastAsia="es-CO"/>
              </w:rPr>
              <w:t>6</w:t>
            </w:r>
          </w:p>
        </w:tc>
        <w:tc>
          <w:tcPr>
            <w:tcW w:w="1435" w:type="pct"/>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keepNext/>
              <w:spacing w:before="0" w:after="0"/>
              <w:jc w:val="left"/>
              <w:rPr>
                <w:rFonts w:cs="Arial"/>
                <w:color w:val="000000"/>
                <w:sz w:val="16"/>
                <w:szCs w:val="16"/>
                <w:lang w:eastAsia="es-CO"/>
              </w:rPr>
            </w:pPr>
            <w:r w:rsidRPr="004E6CFC">
              <w:rPr>
                <w:rFonts w:cs="Arial"/>
                <w:color w:val="000000"/>
                <w:sz w:val="16"/>
                <w:szCs w:val="16"/>
                <w:lang w:eastAsia="es-CO"/>
              </w:rPr>
              <w:t>Otros activos subestación</w:t>
            </w:r>
          </w:p>
        </w:tc>
        <w:tc>
          <w:tcPr>
            <w:tcW w:w="647"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sidRPr="004E6CFC">
              <w:rPr>
                <w:rFonts w:cs="Arial"/>
                <w:sz w:val="16"/>
                <w:szCs w:val="16"/>
                <w:lang w:eastAsia="es-CO"/>
              </w:rPr>
              <w:t>3</w:t>
            </w:r>
          </w:p>
        </w:tc>
        <w:tc>
          <w:tcPr>
            <w:tcW w:w="647"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sidRPr="004E6CFC">
              <w:rPr>
                <w:rFonts w:cs="Arial"/>
                <w:sz w:val="16"/>
                <w:szCs w:val="16"/>
                <w:lang w:eastAsia="es-CO"/>
              </w:rPr>
              <w:t>45</w:t>
            </w:r>
          </w:p>
        </w:tc>
        <w:tc>
          <w:tcPr>
            <w:tcW w:w="1620" w:type="pct"/>
            <w:tcBorders>
              <w:top w:val="nil"/>
              <w:left w:val="nil"/>
              <w:bottom w:val="single" w:sz="4" w:space="0" w:color="auto"/>
              <w:right w:val="single" w:sz="4" w:space="0" w:color="auto"/>
            </w:tcBorders>
            <w:shd w:val="clear" w:color="auto" w:fill="auto"/>
            <w:vAlign w:val="center"/>
          </w:tcPr>
          <w:p w:rsidR="0094295C" w:rsidRPr="004E6CFC" w:rsidRDefault="0094295C" w:rsidP="0094295C">
            <w:pPr>
              <w:keepNext/>
              <w:spacing w:before="0" w:after="0"/>
              <w:jc w:val="left"/>
              <w:rPr>
                <w:rFonts w:cs="Arial"/>
                <w:sz w:val="16"/>
                <w:szCs w:val="16"/>
                <w:lang w:eastAsia="es-CO"/>
              </w:rPr>
            </w:pPr>
            <w:r w:rsidRPr="004E6CFC">
              <w:rPr>
                <w:rFonts w:cs="Arial"/>
                <w:sz w:val="16"/>
                <w:szCs w:val="16"/>
                <w:lang w:eastAsia="es-CO"/>
              </w:rPr>
              <w:t>N3S24 a N3S62</w:t>
            </w:r>
          </w:p>
        </w:tc>
      </w:tr>
      <w:tr w:rsidR="0094295C" w:rsidRPr="00607A12" w:rsidTr="0094295C">
        <w:trPr>
          <w:trHeight w:val="283"/>
          <w:jc w:val="center"/>
        </w:trPr>
        <w:tc>
          <w:tcPr>
            <w:tcW w:w="650" w:type="pct"/>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color w:val="000000"/>
                <w:sz w:val="16"/>
                <w:szCs w:val="16"/>
                <w:lang w:eastAsia="es-CO"/>
              </w:rPr>
            </w:pPr>
            <w:r w:rsidRPr="004E6CFC">
              <w:rPr>
                <w:rFonts w:cs="Arial"/>
                <w:color w:val="000000"/>
                <w:sz w:val="16"/>
                <w:szCs w:val="16"/>
                <w:lang w:eastAsia="es-CO"/>
              </w:rPr>
              <w:t>6</w:t>
            </w:r>
          </w:p>
        </w:tc>
        <w:tc>
          <w:tcPr>
            <w:tcW w:w="1435" w:type="pct"/>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rFonts w:cs="Arial"/>
                <w:color w:val="000000"/>
                <w:sz w:val="16"/>
                <w:szCs w:val="16"/>
                <w:lang w:eastAsia="es-CO"/>
              </w:rPr>
            </w:pPr>
            <w:r w:rsidRPr="004E6CFC">
              <w:rPr>
                <w:rFonts w:cs="Arial"/>
                <w:color w:val="000000"/>
                <w:sz w:val="16"/>
                <w:szCs w:val="16"/>
                <w:lang w:eastAsia="es-CO"/>
              </w:rPr>
              <w:t>Otros activos subestación</w:t>
            </w:r>
          </w:p>
        </w:tc>
        <w:tc>
          <w:tcPr>
            <w:tcW w:w="647"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sz w:val="16"/>
                <w:szCs w:val="16"/>
                <w:lang w:eastAsia="es-CO"/>
              </w:rPr>
            </w:pPr>
            <w:r w:rsidRPr="004E6CFC">
              <w:rPr>
                <w:rFonts w:cs="Arial"/>
                <w:sz w:val="16"/>
                <w:szCs w:val="16"/>
                <w:lang w:eastAsia="es-CO"/>
              </w:rPr>
              <w:t>2</w:t>
            </w:r>
          </w:p>
        </w:tc>
        <w:tc>
          <w:tcPr>
            <w:tcW w:w="647"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sz w:val="16"/>
                <w:szCs w:val="16"/>
                <w:lang w:eastAsia="es-CO"/>
              </w:rPr>
            </w:pPr>
            <w:r w:rsidRPr="004E6CFC">
              <w:rPr>
                <w:rFonts w:cs="Arial"/>
                <w:sz w:val="16"/>
                <w:szCs w:val="16"/>
                <w:lang w:eastAsia="es-CO"/>
              </w:rPr>
              <w:t>45</w:t>
            </w:r>
          </w:p>
        </w:tc>
        <w:tc>
          <w:tcPr>
            <w:tcW w:w="1620" w:type="pct"/>
            <w:tcBorders>
              <w:top w:val="nil"/>
              <w:left w:val="nil"/>
              <w:bottom w:val="single" w:sz="4" w:space="0" w:color="auto"/>
              <w:right w:val="single" w:sz="4" w:space="0" w:color="auto"/>
            </w:tcBorders>
            <w:shd w:val="clear" w:color="auto" w:fill="auto"/>
            <w:vAlign w:val="center"/>
          </w:tcPr>
          <w:p w:rsidR="0094295C" w:rsidRPr="004E6CFC" w:rsidRDefault="0094295C" w:rsidP="0094295C">
            <w:pPr>
              <w:spacing w:before="0" w:after="0"/>
              <w:jc w:val="left"/>
              <w:rPr>
                <w:rFonts w:cs="Arial"/>
                <w:sz w:val="16"/>
                <w:szCs w:val="16"/>
                <w:lang w:val="en-US" w:eastAsia="es-CO"/>
              </w:rPr>
            </w:pPr>
            <w:r w:rsidRPr="004E6CFC">
              <w:rPr>
                <w:rFonts w:cs="Arial"/>
                <w:sz w:val="16"/>
                <w:szCs w:val="16"/>
                <w:lang w:val="en-US" w:eastAsia="es-CO"/>
              </w:rPr>
              <w:t>N2S20 a N2S</w:t>
            </w:r>
            <w:r>
              <w:rPr>
                <w:rFonts w:cs="Arial"/>
                <w:sz w:val="16"/>
                <w:szCs w:val="16"/>
                <w:lang w:val="en-US" w:eastAsia="es-CO"/>
              </w:rPr>
              <w:t>28 y N2S60 a N2S64</w:t>
            </w:r>
            <w:r w:rsidRPr="004E6CFC">
              <w:rPr>
                <w:rFonts w:cs="Arial"/>
                <w:sz w:val="16"/>
                <w:szCs w:val="16"/>
                <w:lang w:val="en-US" w:eastAsia="es-CO"/>
              </w:rPr>
              <w:t xml:space="preserve"> </w:t>
            </w:r>
          </w:p>
        </w:tc>
      </w:tr>
    </w:tbl>
    <w:p w:rsidR="0094295C" w:rsidRPr="004E6CFC" w:rsidRDefault="0094295C" w:rsidP="0094295C">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39</w:t>
      </w:r>
      <w:r w:rsidRPr="004E6CFC">
        <w:fldChar w:fldCharType="end"/>
      </w:r>
      <w:r w:rsidRPr="004E6CFC">
        <w:t xml:space="preserve"> Unidades constructivas de la categoría de líneas aéreas </w:t>
      </w:r>
    </w:p>
    <w:tbl>
      <w:tblPr>
        <w:tblW w:w="4597" w:type="pct"/>
        <w:jc w:val="center"/>
        <w:tblLayout w:type="fixed"/>
        <w:tblCellMar>
          <w:left w:w="70" w:type="dxa"/>
          <w:right w:w="70" w:type="dxa"/>
        </w:tblCellMar>
        <w:tblLook w:val="04A0" w:firstRow="1" w:lastRow="0" w:firstColumn="1" w:lastColumn="0" w:noHBand="0" w:noVBand="1"/>
      </w:tblPr>
      <w:tblGrid>
        <w:gridCol w:w="1115"/>
        <w:gridCol w:w="2458"/>
        <w:gridCol w:w="1117"/>
        <w:gridCol w:w="1117"/>
        <w:gridCol w:w="2786"/>
      </w:tblGrid>
      <w:tr w:rsidR="0094295C" w:rsidRPr="004E6CFC" w:rsidTr="0094295C">
        <w:trPr>
          <w:trHeight w:val="340"/>
          <w:jc w:val="center"/>
        </w:trPr>
        <w:tc>
          <w:tcPr>
            <w:tcW w:w="6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CATEGORÍA</w:t>
            </w:r>
          </w:p>
        </w:tc>
        <w:tc>
          <w:tcPr>
            <w:tcW w:w="1430"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DESCRIPCIÓN</w:t>
            </w:r>
          </w:p>
        </w:tc>
        <w:tc>
          <w:tcPr>
            <w:tcW w:w="650"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NIVEL DE TENSIÓN</w:t>
            </w:r>
          </w:p>
        </w:tc>
        <w:tc>
          <w:tcPr>
            <w:tcW w:w="650"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color w:val="000000"/>
                <w:sz w:val="16"/>
                <w:szCs w:val="16"/>
                <w:lang w:eastAsia="es-CO"/>
              </w:rPr>
              <w:t xml:space="preserve">VIDA ÚTIL </w:t>
            </w:r>
          </w:p>
        </w:tc>
        <w:tc>
          <w:tcPr>
            <w:tcW w:w="1621"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UC ASOCIADAS</w:t>
            </w:r>
          </w:p>
        </w:tc>
      </w:tr>
      <w:tr w:rsidR="0094295C" w:rsidRPr="004E6CFC" w:rsidTr="0094295C">
        <w:trPr>
          <w:trHeight w:val="283"/>
          <w:jc w:val="center"/>
        </w:trPr>
        <w:tc>
          <w:tcPr>
            <w:tcW w:w="649" w:type="pct"/>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Pr>
                <w:rFonts w:cs="Arial"/>
                <w:color w:val="000000"/>
                <w:sz w:val="16"/>
                <w:szCs w:val="16"/>
                <w:lang w:eastAsia="es-CO"/>
              </w:rPr>
              <w:t>7</w:t>
            </w:r>
          </w:p>
        </w:tc>
        <w:tc>
          <w:tcPr>
            <w:tcW w:w="1430" w:type="pct"/>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keepNext/>
              <w:spacing w:before="0" w:after="0"/>
              <w:jc w:val="left"/>
              <w:rPr>
                <w:rFonts w:cs="Arial"/>
                <w:color w:val="000000"/>
                <w:sz w:val="16"/>
                <w:szCs w:val="16"/>
                <w:lang w:eastAsia="es-CO"/>
              </w:rPr>
            </w:pPr>
            <w:r w:rsidRPr="004E6CFC">
              <w:rPr>
                <w:rFonts w:cs="Arial"/>
                <w:color w:val="000000"/>
                <w:sz w:val="16"/>
                <w:szCs w:val="16"/>
                <w:lang w:eastAsia="es-CO"/>
              </w:rPr>
              <w:t>Líneas aéreas</w:t>
            </w:r>
          </w:p>
        </w:tc>
        <w:tc>
          <w:tcPr>
            <w:tcW w:w="650"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sidRPr="004E6CFC">
              <w:rPr>
                <w:rFonts w:cs="Arial"/>
                <w:sz w:val="16"/>
                <w:szCs w:val="16"/>
                <w:lang w:eastAsia="es-CO"/>
              </w:rPr>
              <w:t>4</w:t>
            </w:r>
          </w:p>
        </w:tc>
        <w:tc>
          <w:tcPr>
            <w:tcW w:w="650"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sidRPr="004E6CFC">
              <w:rPr>
                <w:rFonts w:cs="Arial"/>
                <w:sz w:val="16"/>
                <w:szCs w:val="16"/>
                <w:lang w:eastAsia="es-CO"/>
              </w:rPr>
              <w:t>45</w:t>
            </w:r>
          </w:p>
        </w:tc>
        <w:tc>
          <w:tcPr>
            <w:tcW w:w="1621" w:type="pct"/>
            <w:tcBorders>
              <w:top w:val="nil"/>
              <w:left w:val="nil"/>
              <w:bottom w:val="single" w:sz="4" w:space="0" w:color="auto"/>
              <w:right w:val="single" w:sz="4" w:space="0" w:color="auto"/>
            </w:tcBorders>
            <w:shd w:val="clear" w:color="auto" w:fill="auto"/>
            <w:vAlign w:val="center"/>
          </w:tcPr>
          <w:p w:rsidR="0094295C" w:rsidRPr="004E6CFC" w:rsidRDefault="0094295C" w:rsidP="0094295C">
            <w:pPr>
              <w:keepNext/>
              <w:spacing w:before="0" w:after="0"/>
              <w:jc w:val="left"/>
              <w:rPr>
                <w:rFonts w:cs="Arial"/>
                <w:sz w:val="16"/>
                <w:szCs w:val="16"/>
                <w:lang w:val="en-US" w:eastAsia="es-CO"/>
              </w:rPr>
            </w:pPr>
            <w:r w:rsidRPr="004E6CFC">
              <w:rPr>
                <w:rFonts w:cs="Arial"/>
                <w:sz w:val="16"/>
                <w:szCs w:val="16"/>
                <w:lang w:val="en-US" w:eastAsia="es-CO"/>
              </w:rPr>
              <w:t>N4L60 a N4L75, N4L80 a N4L85, N4L89, N4L91 a</w:t>
            </w:r>
            <w:r>
              <w:rPr>
                <w:rFonts w:cs="Arial"/>
                <w:sz w:val="16"/>
                <w:szCs w:val="16"/>
                <w:lang w:val="en-US" w:eastAsia="es-CO"/>
              </w:rPr>
              <w:t xml:space="preserve"> </w:t>
            </w:r>
            <w:r w:rsidRPr="004E6CFC">
              <w:rPr>
                <w:rFonts w:cs="Arial"/>
                <w:sz w:val="16"/>
                <w:szCs w:val="16"/>
                <w:lang w:val="en-US" w:eastAsia="es-CO"/>
              </w:rPr>
              <w:t>N4L94</w:t>
            </w:r>
          </w:p>
        </w:tc>
      </w:tr>
      <w:tr w:rsidR="0094295C" w:rsidRPr="004E6CFC" w:rsidTr="0094295C">
        <w:trPr>
          <w:trHeight w:val="283"/>
          <w:jc w:val="center"/>
        </w:trPr>
        <w:tc>
          <w:tcPr>
            <w:tcW w:w="649" w:type="pct"/>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Pr>
                <w:rFonts w:cs="Arial"/>
                <w:color w:val="000000"/>
                <w:sz w:val="16"/>
                <w:szCs w:val="16"/>
                <w:lang w:eastAsia="es-CO"/>
              </w:rPr>
              <w:t>7</w:t>
            </w:r>
          </w:p>
        </w:tc>
        <w:tc>
          <w:tcPr>
            <w:tcW w:w="1430" w:type="pct"/>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keepNext/>
              <w:spacing w:before="0" w:after="0"/>
              <w:jc w:val="left"/>
              <w:rPr>
                <w:rFonts w:cs="Arial"/>
                <w:color w:val="000000"/>
                <w:sz w:val="16"/>
                <w:szCs w:val="16"/>
                <w:lang w:eastAsia="es-CO"/>
              </w:rPr>
            </w:pPr>
            <w:r w:rsidRPr="004E6CFC">
              <w:rPr>
                <w:rFonts w:cs="Arial"/>
                <w:color w:val="000000"/>
                <w:sz w:val="16"/>
                <w:szCs w:val="16"/>
                <w:lang w:eastAsia="es-CO"/>
              </w:rPr>
              <w:t>Líneas aéreas</w:t>
            </w:r>
          </w:p>
        </w:tc>
        <w:tc>
          <w:tcPr>
            <w:tcW w:w="650"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sidRPr="004E6CFC">
              <w:rPr>
                <w:rFonts w:cs="Arial"/>
                <w:sz w:val="16"/>
                <w:szCs w:val="16"/>
                <w:lang w:eastAsia="es-CO"/>
              </w:rPr>
              <w:t>3</w:t>
            </w:r>
          </w:p>
        </w:tc>
        <w:tc>
          <w:tcPr>
            <w:tcW w:w="650"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sidRPr="004E6CFC">
              <w:rPr>
                <w:rFonts w:cs="Arial"/>
                <w:sz w:val="16"/>
                <w:szCs w:val="16"/>
                <w:lang w:eastAsia="es-CO"/>
              </w:rPr>
              <w:t>45</w:t>
            </w:r>
          </w:p>
        </w:tc>
        <w:tc>
          <w:tcPr>
            <w:tcW w:w="1621" w:type="pct"/>
            <w:tcBorders>
              <w:top w:val="nil"/>
              <w:left w:val="nil"/>
              <w:bottom w:val="single" w:sz="4" w:space="0" w:color="auto"/>
              <w:right w:val="single" w:sz="4" w:space="0" w:color="auto"/>
            </w:tcBorders>
            <w:shd w:val="clear" w:color="auto" w:fill="auto"/>
            <w:vAlign w:val="center"/>
          </w:tcPr>
          <w:p w:rsidR="0094295C" w:rsidRPr="004E6CFC" w:rsidRDefault="0094295C" w:rsidP="0094295C">
            <w:pPr>
              <w:keepNext/>
              <w:spacing w:before="0" w:after="0"/>
              <w:jc w:val="left"/>
              <w:rPr>
                <w:rFonts w:cs="Arial"/>
                <w:sz w:val="16"/>
                <w:szCs w:val="16"/>
                <w:lang w:eastAsia="es-CO"/>
              </w:rPr>
            </w:pPr>
            <w:r w:rsidRPr="004E6CFC">
              <w:rPr>
                <w:rFonts w:cs="Arial"/>
                <w:sz w:val="16"/>
                <w:szCs w:val="16"/>
                <w:lang w:eastAsia="es-CO"/>
              </w:rPr>
              <w:t>N3L60 a N3L81 a  N3L84a N3L112</w:t>
            </w:r>
            <w:r>
              <w:rPr>
                <w:rFonts w:cs="Arial"/>
                <w:sz w:val="16"/>
                <w:szCs w:val="16"/>
                <w:lang w:eastAsia="es-CO"/>
              </w:rPr>
              <w:t>, N3L124</w:t>
            </w:r>
            <w:r w:rsidRPr="004E6CFC">
              <w:rPr>
                <w:rFonts w:cs="Arial"/>
                <w:sz w:val="16"/>
                <w:szCs w:val="16"/>
                <w:lang w:eastAsia="es-CO"/>
              </w:rPr>
              <w:t xml:space="preserve"> </w:t>
            </w:r>
            <w:r>
              <w:rPr>
                <w:rFonts w:cs="Arial"/>
                <w:sz w:val="16"/>
                <w:szCs w:val="16"/>
                <w:lang w:eastAsia="es-CO"/>
              </w:rPr>
              <w:t>a N3L128</w:t>
            </w:r>
          </w:p>
        </w:tc>
      </w:tr>
      <w:tr w:rsidR="0094295C" w:rsidRPr="004E6CFC" w:rsidTr="0094295C">
        <w:trPr>
          <w:trHeight w:val="283"/>
          <w:jc w:val="center"/>
        </w:trPr>
        <w:tc>
          <w:tcPr>
            <w:tcW w:w="649" w:type="pct"/>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color w:val="000000"/>
                <w:sz w:val="16"/>
                <w:szCs w:val="16"/>
                <w:lang w:eastAsia="es-CO"/>
              </w:rPr>
            </w:pPr>
            <w:r>
              <w:rPr>
                <w:rFonts w:cs="Arial"/>
                <w:color w:val="000000"/>
                <w:sz w:val="16"/>
                <w:szCs w:val="16"/>
                <w:lang w:eastAsia="es-CO"/>
              </w:rPr>
              <w:t>7</w:t>
            </w:r>
          </w:p>
        </w:tc>
        <w:tc>
          <w:tcPr>
            <w:tcW w:w="1430" w:type="pct"/>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rFonts w:cs="Arial"/>
                <w:color w:val="000000"/>
                <w:sz w:val="16"/>
                <w:szCs w:val="16"/>
                <w:lang w:eastAsia="es-CO"/>
              </w:rPr>
            </w:pPr>
            <w:r w:rsidRPr="004E6CFC">
              <w:rPr>
                <w:rFonts w:cs="Arial"/>
                <w:color w:val="000000"/>
                <w:sz w:val="16"/>
                <w:szCs w:val="16"/>
                <w:lang w:eastAsia="es-CO"/>
              </w:rPr>
              <w:t>Líneas aéreas</w:t>
            </w:r>
          </w:p>
        </w:tc>
        <w:tc>
          <w:tcPr>
            <w:tcW w:w="650"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sz w:val="16"/>
                <w:szCs w:val="16"/>
                <w:lang w:eastAsia="es-CO"/>
              </w:rPr>
            </w:pPr>
            <w:r w:rsidRPr="004E6CFC">
              <w:rPr>
                <w:rFonts w:cs="Arial"/>
                <w:sz w:val="16"/>
                <w:szCs w:val="16"/>
                <w:lang w:eastAsia="es-CO"/>
              </w:rPr>
              <w:t>2</w:t>
            </w:r>
          </w:p>
        </w:tc>
        <w:tc>
          <w:tcPr>
            <w:tcW w:w="650"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sz w:val="16"/>
                <w:szCs w:val="16"/>
                <w:lang w:eastAsia="es-CO"/>
              </w:rPr>
            </w:pPr>
            <w:r w:rsidRPr="004E6CFC">
              <w:rPr>
                <w:rFonts w:cs="Arial"/>
                <w:sz w:val="16"/>
                <w:szCs w:val="16"/>
                <w:lang w:eastAsia="es-CO"/>
              </w:rPr>
              <w:t>45</w:t>
            </w:r>
          </w:p>
        </w:tc>
        <w:tc>
          <w:tcPr>
            <w:tcW w:w="1621" w:type="pct"/>
            <w:tcBorders>
              <w:top w:val="nil"/>
              <w:left w:val="nil"/>
              <w:bottom w:val="single" w:sz="4" w:space="0" w:color="auto"/>
              <w:right w:val="single" w:sz="4" w:space="0" w:color="auto"/>
            </w:tcBorders>
            <w:shd w:val="clear" w:color="auto" w:fill="auto"/>
            <w:vAlign w:val="center"/>
          </w:tcPr>
          <w:p w:rsidR="0094295C" w:rsidRPr="004E6CFC" w:rsidRDefault="0094295C" w:rsidP="0094295C">
            <w:pPr>
              <w:spacing w:before="0" w:after="0"/>
              <w:jc w:val="left"/>
              <w:rPr>
                <w:rFonts w:cs="Arial"/>
                <w:sz w:val="16"/>
                <w:szCs w:val="16"/>
                <w:lang w:eastAsia="es-CO"/>
              </w:rPr>
            </w:pPr>
            <w:r w:rsidRPr="004E6CFC">
              <w:rPr>
                <w:rFonts w:cs="Arial"/>
                <w:sz w:val="16"/>
                <w:szCs w:val="16"/>
                <w:lang w:eastAsia="es-CO"/>
              </w:rPr>
              <w:t>N2L70 a N2L75, N2L80 a N2L1</w:t>
            </w:r>
            <w:r>
              <w:rPr>
                <w:rFonts w:cs="Arial"/>
                <w:sz w:val="16"/>
                <w:szCs w:val="16"/>
                <w:lang w:eastAsia="es-CO"/>
              </w:rPr>
              <w:t>06</w:t>
            </w:r>
            <w:r w:rsidRPr="004E6CFC">
              <w:rPr>
                <w:rFonts w:cs="Arial"/>
                <w:sz w:val="16"/>
                <w:szCs w:val="16"/>
                <w:lang w:eastAsia="es-CO"/>
              </w:rPr>
              <w:t>, N2L1</w:t>
            </w:r>
            <w:r>
              <w:rPr>
                <w:rFonts w:cs="Arial"/>
                <w:sz w:val="16"/>
                <w:szCs w:val="16"/>
                <w:lang w:eastAsia="es-CO"/>
              </w:rPr>
              <w:t>20</w:t>
            </w:r>
            <w:r w:rsidRPr="004E6CFC">
              <w:rPr>
                <w:rFonts w:cs="Arial"/>
                <w:sz w:val="16"/>
                <w:szCs w:val="16"/>
                <w:lang w:eastAsia="es-CO"/>
              </w:rPr>
              <w:t xml:space="preserve"> </w:t>
            </w:r>
            <w:r>
              <w:rPr>
                <w:rFonts w:cs="Arial"/>
                <w:sz w:val="16"/>
                <w:szCs w:val="16"/>
                <w:lang w:eastAsia="es-CO"/>
              </w:rPr>
              <w:t>a</w:t>
            </w:r>
            <w:r w:rsidRPr="004E6CFC">
              <w:rPr>
                <w:rFonts w:cs="Arial"/>
                <w:sz w:val="16"/>
                <w:szCs w:val="16"/>
                <w:lang w:eastAsia="es-CO"/>
              </w:rPr>
              <w:t xml:space="preserve"> N2L</w:t>
            </w:r>
            <w:r>
              <w:rPr>
                <w:rFonts w:cs="Arial"/>
                <w:sz w:val="16"/>
                <w:szCs w:val="16"/>
                <w:lang w:eastAsia="es-CO"/>
              </w:rPr>
              <w:t>124 y N2L136 a N2L139</w:t>
            </w:r>
            <w:r w:rsidRPr="004E6CFC">
              <w:rPr>
                <w:rFonts w:cs="Arial"/>
                <w:sz w:val="16"/>
                <w:szCs w:val="16"/>
                <w:lang w:eastAsia="es-CO"/>
              </w:rPr>
              <w:t>.</w:t>
            </w:r>
          </w:p>
        </w:tc>
      </w:tr>
    </w:tbl>
    <w:p w:rsidR="0094295C" w:rsidRPr="004E6CFC" w:rsidRDefault="0094295C" w:rsidP="0094295C">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40</w:t>
      </w:r>
      <w:r w:rsidRPr="004E6CFC">
        <w:fldChar w:fldCharType="end"/>
      </w:r>
      <w:r w:rsidRPr="004E6CFC">
        <w:t xml:space="preserve"> Unidades constructivas de la categoría de líneas subterráneas </w:t>
      </w:r>
    </w:p>
    <w:tbl>
      <w:tblPr>
        <w:tblW w:w="4603" w:type="pct"/>
        <w:jc w:val="center"/>
        <w:tblLayout w:type="fixed"/>
        <w:tblCellMar>
          <w:left w:w="70" w:type="dxa"/>
          <w:right w:w="70" w:type="dxa"/>
        </w:tblCellMar>
        <w:tblLook w:val="04A0" w:firstRow="1" w:lastRow="0" w:firstColumn="1" w:lastColumn="0" w:noHBand="0" w:noVBand="1"/>
      </w:tblPr>
      <w:tblGrid>
        <w:gridCol w:w="1117"/>
        <w:gridCol w:w="2461"/>
        <w:gridCol w:w="1119"/>
        <w:gridCol w:w="1119"/>
        <w:gridCol w:w="2788"/>
      </w:tblGrid>
      <w:tr w:rsidR="0094295C" w:rsidRPr="004E6CFC" w:rsidTr="0094295C">
        <w:trPr>
          <w:trHeight w:val="340"/>
          <w:jc w:val="center"/>
        </w:trPr>
        <w:tc>
          <w:tcPr>
            <w:tcW w:w="6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CATEGORÍA</w:t>
            </w:r>
          </w:p>
        </w:tc>
        <w:tc>
          <w:tcPr>
            <w:tcW w:w="1430"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DESCRIPCIÓN</w:t>
            </w:r>
          </w:p>
        </w:tc>
        <w:tc>
          <w:tcPr>
            <w:tcW w:w="650"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NIVEL DE TENSIÓN</w:t>
            </w:r>
          </w:p>
        </w:tc>
        <w:tc>
          <w:tcPr>
            <w:tcW w:w="650"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color w:val="000000"/>
                <w:sz w:val="16"/>
                <w:szCs w:val="16"/>
                <w:lang w:eastAsia="es-CO"/>
              </w:rPr>
              <w:t xml:space="preserve">VIDA ÚTIL </w:t>
            </w:r>
          </w:p>
        </w:tc>
        <w:tc>
          <w:tcPr>
            <w:tcW w:w="1620"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UC ASOCIADAS</w:t>
            </w:r>
          </w:p>
        </w:tc>
      </w:tr>
      <w:tr w:rsidR="0094295C" w:rsidRPr="004E6CFC" w:rsidTr="0094295C">
        <w:trPr>
          <w:trHeight w:val="283"/>
          <w:jc w:val="center"/>
        </w:trPr>
        <w:tc>
          <w:tcPr>
            <w:tcW w:w="649" w:type="pct"/>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Pr>
                <w:rFonts w:cs="Arial"/>
                <w:color w:val="000000"/>
                <w:sz w:val="16"/>
                <w:szCs w:val="16"/>
                <w:lang w:eastAsia="es-CO"/>
              </w:rPr>
              <w:t>8</w:t>
            </w:r>
          </w:p>
        </w:tc>
        <w:tc>
          <w:tcPr>
            <w:tcW w:w="1430" w:type="pct"/>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keepNext/>
              <w:spacing w:before="0" w:after="0"/>
              <w:jc w:val="left"/>
              <w:rPr>
                <w:rFonts w:cs="Arial"/>
                <w:color w:val="000000"/>
                <w:sz w:val="16"/>
                <w:szCs w:val="16"/>
                <w:lang w:eastAsia="es-CO"/>
              </w:rPr>
            </w:pPr>
            <w:r w:rsidRPr="004E6CFC">
              <w:rPr>
                <w:rFonts w:cs="Arial"/>
                <w:color w:val="000000"/>
                <w:sz w:val="16"/>
                <w:szCs w:val="16"/>
                <w:lang w:eastAsia="es-CO"/>
              </w:rPr>
              <w:t>Líneas subterráneas</w:t>
            </w:r>
          </w:p>
        </w:tc>
        <w:tc>
          <w:tcPr>
            <w:tcW w:w="650"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sidRPr="004E6CFC">
              <w:rPr>
                <w:rFonts w:cs="Arial"/>
                <w:sz w:val="16"/>
                <w:szCs w:val="16"/>
                <w:lang w:eastAsia="es-CO"/>
              </w:rPr>
              <w:t>4</w:t>
            </w:r>
          </w:p>
        </w:tc>
        <w:tc>
          <w:tcPr>
            <w:tcW w:w="650"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sidRPr="004E6CFC">
              <w:rPr>
                <w:rFonts w:cs="Arial"/>
                <w:sz w:val="16"/>
                <w:szCs w:val="16"/>
                <w:lang w:eastAsia="es-CO"/>
              </w:rPr>
              <w:t>45</w:t>
            </w:r>
          </w:p>
        </w:tc>
        <w:tc>
          <w:tcPr>
            <w:tcW w:w="1620" w:type="pct"/>
            <w:tcBorders>
              <w:top w:val="nil"/>
              <w:left w:val="nil"/>
              <w:bottom w:val="single" w:sz="4" w:space="0" w:color="auto"/>
              <w:right w:val="single" w:sz="4" w:space="0" w:color="auto"/>
            </w:tcBorders>
            <w:shd w:val="clear" w:color="auto" w:fill="auto"/>
            <w:vAlign w:val="center"/>
          </w:tcPr>
          <w:p w:rsidR="0094295C" w:rsidRPr="004E6CFC" w:rsidRDefault="0094295C" w:rsidP="0094295C">
            <w:pPr>
              <w:keepNext/>
              <w:spacing w:before="0" w:after="0"/>
              <w:jc w:val="left"/>
              <w:rPr>
                <w:rFonts w:cs="Arial"/>
                <w:sz w:val="16"/>
                <w:szCs w:val="16"/>
                <w:lang w:eastAsia="es-CO"/>
              </w:rPr>
            </w:pPr>
            <w:r w:rsidRPr="004E6CFC">
              <w:rPr>
                <w:rFonts w:cs="Arial"/>
                <w:sz w:val="16"/>
                <w:szCs w:val="16"/>
                <w:lang w:eastAsia="es-CO"/>
              </w:rPr>
              <w:t>N4L</w:t>
            </w:r>
            <w:r>
              <w:rPr>
                <w:rFonts w:cs="Arial"/>
                <w:sz w:val="16"/>
                <w:szCs w:val="16"/>
                <w:lang w:eastAsia="es-CO"/>
              </w:rPr>
              <w:t>76 a N4L79 y N4L86 a N4L88</w:t>
            </w:r>
          </w:p>
        </w:tc>
      </w:tr>
      <w:tr w:rsidR="0094295C" w:rsidRPr="004E6CFC" w:rsidTr="0094295C">
        <w:trPr>
          <w:trHeight w:val="283"/>
          <w:jc w:val="center"/>
        </w:trPr>
        <w:tc>
          <w:tcPr>
            <w:tcW w:w="649" w:type="pct"/>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Pr>
                <w:rFonts w:cs="Arial"/>
                <w:color w:val="000000"/>
                <w:sz w:val="16"/>
                <w:szCs w:val="16"/>
                <w:lang w:eastAsia="es-CO"/>
              </w:rPr>
              <w:t>8</w:t>
            </w:r>
          </w:p>
        </w:tc>
        <w:tc>
          <w:tcPr>
            <w:tcW w:w="1430" w:type="pct"/>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keepNext/>
              <w:spacing w:before="0" w:after="0"/>
              <w:jc w:val="left"/>
              <w:rPr>
                <w:rFonts w:cs="Arial"/>
                <w:color w:val="000000"/>
                <w:sz w:val="16"/>
                <w:szCs w:val="16"/>
                <w:lang w:eastAsia="es-CO"/>
              </w:rPr>
            </w:pPr>
            <w:r w:rsidRPr="004E6CFC">
              <w:rPr>
                <w:rFonts w:cs="Arial"/>
                <w:color w:val="000000"/>
                <w:sz w:val="16"/>
                <w:szCs w:val="16"/>
                <w:lang w:eastAsia="es-CO"/>
              </w:rPr>
              <w:t>Líneas subterráneas</w:t>
            </w:r>
          </w:p>
        </w:tc>
        <w:tc>
          <w:tcPr>
            <w:tcW w:w="650"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sidRPr="004E6CFC">
              <w:rPr>
                <w:rFonts w:cs="Arial"/>
                <w:sz w:val="16"/>
                <w:szCs w:val="16"/>
                <w:lang w:eastAsia="es-CO"/>
              </w:rPr>
              <w:t>3</w:t>
            </w:r>
          </w:p>
        </w:tc>
        <w:tc>
          <w:tcPr>
            <w:tcW w:w="650"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sidRPr="004E6CFC">
              <w:rPr>
                <w:rFonts w:cs="Arial"/>
                <w:sz w:val="16"/>
                <w:szCs w:val="16"/>
                <w:lang w:eastAsia="es-CO"/>
              </w:rPr>
              <w:t>45</w:t>
            </w:r>
          </w:p>
        </w:tc>
        <w:tc>
          <w:tcPr>
            <w:tcW w:w="1620" w:type="pct"/>
            <w:tcBorders>
              <w:top w:val="nil"/>
              <w:left w:val="nil"/>
              <w:bottom w:val="single" w:sz="4" w:space="0" w:color="auto"/>
              <w:right w:val="single" w:sz="4" w:space="0" w:color="auto"/>
            </w:tcBorders>
            <w:shd w:val="clear" w:color="auto" w:fill="auto"/>
            <w:vAlign w:val="center"/>
          </w:tcPr>
          <w:p w:rsidR="0094295C" w:rsidRPr="004E6CFC" w:rsidRDefault="0094295C" w:rsidP="0094295C">
            <w:pPr>
              <w:keepNext/>
              <w:spacing w:before="0" w:after="0"/>
              <w:jc w:val="left"/>
              <w:rPr>
                <w:rFonts w:cs="Arial"/>
                <w:sz w:val="16"/>
                <w:szCs w:val="16"/>
                <w:lang w:eastAsia="es-CO"/>
              </w:rPr>
            </w:pPr>
            <w:r w:rsidRPr="004E6CFC">
              <w:rPr>
                <w:rFonts w:cs="Arial"/>
                <w:sz w:val="16"/>
                <w:szCs w:val="16"/>
                <w:lang w:eastAsia="es-CO"/>
              </w:rPr>
              <w:t>N3L</w:t>
            </w:r>
            <w:r>
              <w:rPr>
                <w:rFonts w:cs="Arial"/>
                <w:sz w:val="16"/>
                <w:szCs w:val="16"/>
                <w:lang w:eastAsia="es-CO"/>
              </w:rPr>
              <w:t>82</w:t>
            </w:r>
            <w:r w:rsidRPr="004E6CFC">
              <w:rPr>
                <w:rFonts w:cs="Arial"/>
                <w:sz w:val="16"/>
                <w:szCs w:val="16"/>
                <w:lang w:eastAsia="es-CO"/>
              </w:rPr>
              <w:t xml:space="preserve"> a N3L</w:t>
            </w:r>
            <w:r>
              <w:rPr>
                <w:rFonts w:cs="Arial"/>
                <w:sz w:val="16"/>
                <w:szCs w:val="16"/>
                <w:lang w:eastAsia="es-CO"/>
              </w:rPr>
              <w:t>83</w:t>
            </w:r>
            <w:r w:rsidRPr="004E6CFC">
              <w:rPr>
                <w:rFonts w:cs="Arial"/>
                <w:sz w:val="16"/>
                <w:szCs w:val="16"/>
                <w:lang w:eastAsia="es-CO"/>
              </w:rPr>
              <w:t>, N3L</w:t>
            </w:r>
            <w:r>
              <w:rPr>
                <w:rFonts w:cs="Arial"/>
                <w:sz w:val="16"/>
                <w:szCs w:val="16"/>
                <w:lang w:eastAsia="es-CO"/>
              </w:rPr>
              <w:t>102</w:t>
            </w:r>
            <w:r w:rsidRPr="004E6CFC">
              <w:rPr>
                <w:rFonts w:cs="Arial"/>
                <w:sz w:val="16"/>
                <w:szCs w:val="16"/>
                <w:lang w:eastAsia="es-CO"/>
              </w:rPr>
              <w:t xml:space="preserve"> a N3L</w:t>
            </w:r>
            <w:r>
              <w:rPr>
                <w:rFonts w:cs="Arial"/>
                <w:sz w:val="16"/>
                <w:szCs w:val="16"/>
                <w:lang w:eastAsia="es-CO"/>
              </w:rPr>
              <w:t>123</w:t>
            </w:r>
          </w:p>
        </w:tc>
      </w:tr>
      <w:tr w:rsidR="0094295C" w:rsidRPr="004E6CFC" w:rsidTr="0094295C">
        <w:trPr>
          <w:trHeight w:val="283"/>
          <w:jc w:val="center"/>
        </w:trPr>
        <w:tc>
          <w:tcPr>
            <w:tcW w:w="649" w:type="pct"/>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color w:val="000000"/>
                <w:sz w:val="16"/>
                <w:szCs w:val="16"/>
                <w:lang w:eastAsia="es-CO"/>
              </w:rPr>
            </w:pPr>
            <w:r>
              <w:rPr>
                <w:rFonts w:cs="Arial"/>
                <w:color w:val="000000"/>
                <w:sz w:val="16"/>
                <w:szCs w:val="16"/>
                <w:lang w:eastAsia="es-CO"/>
              </w:rPr>
              <w:t>8</w:t>
            </w:r>
          </w:p>
        </w:tc>
        <w:tc>
          <w:tcPr>
            <w:tcW w:w="1430" w:type="pct"/>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rFonts w:cs="Arial"/>
                <w:color w:val="000000"/>
                <w:sz w:val="16"/>
                <w:szCs w:val="16"/>
                <w:lang w:eastAsia="es-CO"/>
              </w:rPr>
            </w:pPr>
            <w:r w:rsidRPr="004E6CFC">
              <w:rPr>
                <w:rFonts w:cs="Arial"/>
                <w:color w:val="000000"/>
                <w:sz w:val="16"/>
                <w:szCs w:val="16"/>
                <w:lang w:eastAsia="es-CO"/>
              </w:rPr>
              <w:t>Líneas subterráneas</w:t>
            </w:r>
          </w:p>
        </w:tc>
        <w:tc>
          <w:tcPr>
            <w:tcW w:w="650"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sz w:val="16"/>
                <w:szCs w:val="16"/>
                <w:lang w:eastAsia="es-CO"/>
              </w:rPr>
            </w:pPr>
            <w:r w:rsidRPr="004E6CFC">
              <w:rPr>
                <w:rFonts w:cs="Arial"/>
                <w:sz w:val="16"/>
                <w:szCs w:val="16"/>
                <w:lang w:eastAsia="es-CO"/>
              </w:rPr>
              <w:t>2</w:t>
            </w:r>
          </w:p>
        </w:tc>
        <w:tc>
          <w:tcPr>
            <w:tcW w:w="650"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sz w:val="16"/>
                <w:szCs w:val="16"/>
                <w:lang w:eastAsia="es-CO"/>
              </w:rPr>
            </w:pPr>
            <w:r w:rsidRPr="004E6CFC">
              <w:rPr>
                <w:rFonts w:cs="Arial"/>
                <w:sz w:val="16"/>
                <w:szCs w:val="16"/>
                <w:lang w:eastAsia="es-CO"/>
              </w:rPr>
              <w:t>45</w:t>
            </w:r>
          </w:p>
        </w:tc>
        <w:tc>
          <w:tcPr>
            <w:tcW w:w="1620" w:type="pct"/>
            <w:tcBorders>
              <w:top w:val="nil"/>
              <w:left w:val="nil"/>
              <w:bottom w:val="single" w:sz="4" w:space="0" w:color="auto"/>
              <w:right w:val="single" w:sz="4" w:space="0" w:color="auto"/>
            </w:tcBorders>
            <w:shd w:val="clear" w:color="auto" w:fill="auto"/>
            <w:vAlign w:val="center"/>
          </w:tcPr>
          <w:p w:rsidR="0094295C" w:rsidRPr="004E6CFC" w:rsidRDefault="0094295C" w:rsidP="0094295C">
            <w:pPr>
              <w:spacing w:before="0" w:after="0"/>
              <w:jc w:val="left"/>
              <w:rPr>
                <w:rFonts w:cs="Arial"/>
                <w:sz w:val="16"/>
                <w:szCs w:val="16"/>
                <w:lang w:eastAsia="es-CO"/>
              </w:rPr>
            </w:pPr>
            <w:r w:rsidRPr="004E6CFC">
              <w:rPr>
                <w:rFonts w:cs="Arial"/>
                <w:sz w:val="16"/>
                <w:szCs w:val="16"/>
                <w:lang w:eastAsia="es-CO"/>
              </w:rPr>
              <w:t>N2L7</w:t>
            </w:r>
            <w:r>
              <w:rPr>
                <w:rFonts w:cs="Arial"/>
                <w:sz w:val="16"/>
                <w:szCs w:val="16"/>
                <w:lang w:eastAsia="es-CO"/>
              </w:rPr>
              <w:t>6</w:t>
            </w:r>
            <w:r w:rsidRPr="004E6CFC">
              <w:rPr>
                <w:rFonts w:cs="Arial"/>
                <w:sz w:val="16"/>
                <w:szCs w:val="16"/>
                <w:lang w:eastAsia="es-CO"/>
              </w:rPr>
              <w:t xml:space="preserve"> a N2L</w:t>
            </w:r>
            <w:r>
              <w:rPr>
                <w:rFonts w:cs="Arial"/>
                <w:sz w:val="16"/>
                <w:szCs w:val="16"/>
                <w:lang w:eastAsia="es-CO"/>
              </w:rPr>
              <w:t>79</w:t>
            </w:r>
            <w:r w:rsidRPr="004E6CFC">
              <w:rPr>
                <w:rFonts w:cs="Arial"/>
                <w:sz w:val="16"/>
                <w:szCs w:val="16"/>
                <w:lang w:eastAsia="es-CO"/>
              </w:rPr>
              <w:t>, N2L1</w:t>
            </w:r>
            <w:r>
              <w:rPr>
                <w:rFonts w:cs="Arial"/>
                <w:sz w:val="16"/>
                <w:szCs w:val="16"/>
                <w:lang w:eastAsia="es-CO"/>
              </w:rPr>
              <w:t>07</w:t>
            </w:r>
            <w:r w:rsidRPr="004E6CFC">
              <w:rPr>
                <w:rFonts w:cs="Arial"/>
                <w:sz w:val="16"/>
                <w:szCs w:val="16"/>
                <w:lang w:eastAsia="es-CO"/>
              </w:rPr>
              <w:t xml:space="preserve"> a N2L</w:t>
            </w:r>
            <w:r>
              <w:rPr>
                <w:rFonts w:cs="Arial"/>
                <w:sz w:val="16"/>
                <w:szCs w:val="16"/>
                <w:lang w:eastAsia="es-CO"/>
              </w:rPr>
              <w:t>119 y N2L125 a N2L135</w:t>
            </w:r>
          </w:p>
        </w:tc>
      </w:tr>
    </w:tbl>
    <w:p w:rsidR="0094295C" w:rsidRDefault="0094295C" w:rsidP="0094295C">
      <w:pPr>
        <w:pStyle w:val="Descripcin"/>
      </w:pPr>
      <w:r>
        <w:t xml:space="preserve">Tabla </w:t>
      </w:r>
      <w:r>
        <w:fldChar w:fldCharType="begin"/>
      </w:r>
      <w:r>
        <w:instrText xml:space="preserve"> SEQ Tabla \* ARABIC </w:instrText>
      </w:r>
      <w:r>
        <w:fldChar w:fldCharType="separate"/>
      </w:r>
      <w:r w:rsidR="00737178">
        <w:rPr>
          <w:noProof/>
        </w:rPr>
        <w:t>41</w:t>
      </w:r>
      <w:r>
        <w:fldChar w:fldCharType="end"/>
      </w:r>
      <w:r>
        <w:t xml:space="preserve"> Unidades constructivas de la categoría de equipos de línea</w:t>
      </w:r>
    </w:p>
    <w:tbl>
      <w:tblPr>
        <w:tblW w:w="4603" w:type="pct"/>
        <w:jc w:val="center"/>
        <w:tblLayout w:type="fixed"/>
        <w:tblCellMar>
          <w:left w:w="70" w:type="dxa"/>
          <w:right w:w="70" w:type="dxa"/>
        </w:tblCellMar>
        <w:tblLook w:val="04A0" w:firstRow="1" w:lastRow="0" w:firstColumn="1" w:lastColumn="0" w:noHBand="0" w:noVBand="1"/>
      </w:tblPr>
      <w:tblGrid>
        <w:gridCol w:w="1117"/>
        <w:gridCol w:w="2461"/>
        <w:gridCol w:w="1119"/>
        <w:gridCol w:w="1119"/>
        <w:gridCol w:w="2788"/>
      </w:tblGrid>
      <w:tr w:rsidR="0094295C" w:rsidRPr="004E6CFC" w:rsidTr="0094295C">
        <w:trPr>
          <w:trHeight w:val="340"/>
          <w:jc w:val="center"/>
        </w:trPr>
        <w:tc>
          <w:tcPr>
            <w:tcW w:w="6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CATEGORÍA</w:t>
            </w:r>
          </w:p>
        </w:tc>
        <w:tc>
          <w:tcPr>
            <w:tcW w:w="1430"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DESCRIPCIÓN</w:t>
            </w:r>
          </w:p>
        </w:tc>
        <w:tc>
          <w:tcPr>
            <w:tcW w:w="650"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NIVEL DE TENSIÓN</w:t>
            </w:r>
          </w:p>
        </w:tc>
        <w:tc>
          <w:tcPr>
            <w:tcW w:w="650"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color w:val="000000"/>
                <w:sz w:val="16"/>
                <w:szCs w:val="16"/>
                <w:lang w:eastAsia="es-CO"/>
              </w:rPr>
              <w:t xml:space="preserve">VIDA ÚTIL </w:t>
            </w:r>
          </w:p>
        </w:tc>
        <w:tc>
          <w:tcPr>
            <w:tcW w:w="1620"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UC ASOCIADAS</w:t>
            </w:r>
          </w:p>
        </w:tc>
      </w:tr>
      <w:tr w:rsidR="0094295C" w:rsidRPr="004E6CFC" w:rsidTr="0094295C">
        <w:trPr>
          <w:trHeight w:val="283"/>
          <w:jc w:val="center"/>
        </w:trPr>
        <w:tc>
          <w:tcPr>
            <w:tcW w:w="649" w:type="pct"/>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color w:val="000000"/>
                <w:sz w:val="16"/>
                <w:szCs w:val="16"/>
                <w:lang w:eastAsia="es-CO"/>
              </w:rPr>
            </w:pPr>
            <w:r>
              <w:rPr>
                <w:rFonts w:cs="Arial"/>
                <w:color w:val="000000"/>
                <w:sz w:val="16"/>
                <w:szCs w:val="16"/>
                <w:lang w:eastAsia="es-CO"/>
              </w:rPr>
              <w:t>9</w:t>
            </w:r>
          </w:p>
        </w:tc>
        <w:tc>
          <w:tcPr>
            <w:tcW w:w="1430" w:type="pct"/>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keepNext/>
              <w:spacing w:before="0" w:after="0"/>
              <w:jc w:val="left"/>
              <w:rPr>
                <w:rFonts w:cs="Arial"/>
                <w:color w:val="000000"/>
                <w:sz w:val="16"/>
                <w:szCs w:val="16"/>
                <w:lang w:eastAsia="es-CO"/>
              </w:rPr>
            </w:pPr>
            <w:r>
              <w:rPr>
                <w:rFonts w:cs="Arial"/>
                <w:color w:val="000000"/>
                <w:sz w:val="16"/>
                <w:szCs w:val="16"/>
                <w:lang w:eastAsia="es-CO"/>
              </w:rPr>
              <w:t>Equipos de línea</w:t>
            </w:r>
          </w:p>
        </w:tc>
        <w:tc>
          <w:tcPr>
            <w:tcW w:w="650"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sidRPr="004E6CFC">
              <w:rPr>
                <w:rFonts w:cs="Arial"/>
                <w:sz w:val="16"/>
                <w:szCs w:val="16"/>
                <w:lang w:eastAsia="es-CO"/>
              </w:rPr>
              <w:t>3</w:t>
            </w:r>
          </w:p>
        </w:tc>
        <w:tc>
          <w:tcPr>
            <w:tcW w:w="650"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sz w:val="16"/>
                <w:szCs w:val="16"/>
                <w:lang w:eastAsia="es-CO"/>
              </w:rPr>
            </w:pPr>
            <w:r w:rsidRPr="004E6CFC">
              <w:rPr>
                <w:rFonts w:cs="Arial"/>
                <w:sz w:val="16"/>
                <w:szCs w:val="16"/>
                <w:lang w:eastAsia="es-CO"/>
              </w:rPr>
              <w:t>45</w:t>
            </w:r>
          </w:p>
        </w:tc>
        <w:tc>
          <w:tcPr>
            <w:tcW w:w="1620" w:type="pct"/>
            <w:tcBorders>
              <w:top w:val="nil"/>
              <w:left w:val="nil"/>
              <w:bottom w:val="single" w:sz="4" w:space="0" w:color="auto"/>
              <w:right w:val="single" w:sz="4" w:space="0" w:color="auto"/>
            </w:tcBorders>
            <w:shd w:val="clear" w:color="auto" w:fill="auto"/>
            <w:vAlign w:val="center"/>
          </w:tcPr>
          <w:p w:rsidR="0094295C" w:rsidRPr="004E6CFC" w:rsidRDefault="0094295C" w:rsidP="0094295C">
            <w:pPr>
              <w:keepNext/>
              <w:spacing w:before="0" w:after="0"/>
              <w:jc w:val="left"/>
              <w:rPr>
                <w:rFonts w:cs="Arial"/>
                <w:sz w:val="16"/>
                <w:szCs w:val="16"/>
                <w:lang w:eastAsia="es-CO"/>
              </w:rPr>
            </w:pPr>
            <w:r>
              <w:rPr>
                <w:color w:val="000000"/>
                <w:sz w:val="16"/>
                <w:szCs w:val="16"/>
              </w:rPr>
              <w:t xml:space="preserve">N3EQ2 a </w:t>
            </w:r>
            <w:r w:rsidRPr="00181511">
              <w:rPr>
                <w:color w:val="000000"/>
                <w:sz w:val="16"/>
                <w:szCs w:val="16"/>
              </w:rPr>
              <w:t>N3EQ9</w:t>
            </w:r>
            <w:r>
              <w:rPr>
                <w:color w:val="000000"/>
                <w:sz w:val="16"/>
                <w:szCs w:val="16"/>
              </w:rPr>
              <w:t xml:space="preserve"> y N3EQ22 a N3EQ25</w:t>
            </w:r>
          </w:p>
        </w:tc>
      </w:tr>
      <w:tr w:rsidR="0094295C" w:rsidRPr="004E6CFC" w:rsidTr="0094295C">
        <w:trPr>
          <w:trHeight w:val="283"/>
          <w:jc w:val="center"/>
        </w:trPr>
        <w:tc>
          <w:tcPr>
            <w:tcW w:w="649" w:type="pct"/>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color w:val="000000"/>
                <w:sz w:val="16"/>
                <w:szCs w:val="16"/>
                <w:lang w:eastAsia="es-CO"/>
              </w:rPr>
            </w:pPr>
            <w:r>
              <w:rPr>
                <w:rFonts w:cs="Arial"/>
                <w:color w:val="000000"/>
                <w:sz w:val="16"/>
                <w:szCs w:val="16"/>
                <w:lang w:eastAsia="es-CO"/>
              </w:rPr>
              <w:t>9</w:t>
            </w:r>
          </w:p>
        </w:tc>
        <w:tc>
          <w:tcPr>
            <w:tcW w:w="1430" w:type="pct"/>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rFonts w:cs="Arial"/>
                <w:color w:val="000000"/>
                <w:sz w:val="16"/>
                <w:szCs w:val="16"/>
                <w:lang w:eastAsia="es-CO"/>
              </w:rPr>
            </w:pPr>
            <w:r>
              <w:rPr>
                <w:rFonts w:cs="Arial"/>
                <w:color w:val="000000"/>
                <w:sz w:val="16"/>
                <w:szCs w:val="16"/>
                <w:lang w:eastAsia="es-CO"/>
              </w:rPr>
              <w:t>Equipos de línea</w:t>
            </w:r>
          </w:p>
        </w:tc>
        <w:tc>
          <w:tcPr>
            <w:tcW w:w="650"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sz w:val="16"/>
                <w:szCs w:val="16"/>
                <w:lang w:eastAsia="es-CO"/>
              </w:rPr>
            </w:pPr>
            <w:r w:rsidRPr="004E6CFC">
              <w:rPr>
                <w:rFonts w:cs="Arial"/>
                <w:sz w:val="16"/>
                <w:szCs w:val="16"/>
                <w:lang w:eastAsia="es-CO"/>
              </w:rPr>
              <w:t>2</w:t>
            </w:r>
          </w:p>
        </w:tc>
        <w:tc>
          <w:tcPr>
            <w:tcW w:w="650"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sz w:val="16"/>
                <w:szCs w:val="16"/>
                <w:lang w:eastAsia="es-CO"/>
              </w:rPr>
            </w:pPr>
            <w:r w:rsidRPr="004E6CFC">
              <w:rPr>
                <w:rFonts w:cs="Arial"/>
                <w:sz w:val="16"/>
                <w:szCs w:val="16"/>
                <w:lang w:eastAsia="es-CO"/>
              </w:rPr>
              <w:t>45</w:t>
            </w:r>
          </w:p>
        </w:tc>
        <w:tc>
          <w:tcPr>
            <w:tcW w:w="1620" w:type="pct"/>
            <w:tcBorders>
              <w:top w:val="nil"/>
              <w:left w:val="nil"/>
              <w:bottom w:val="single" w:sz="4" w:space="0" w:color="auto"/>
              <w:right w:val="single" w:sz="4" w:space="0" w:color="auto"/>
            </w:tcBorders>
            <w:shd w:val="clear" w:color="auto" w:fill="auto"/>
            <w:vAlign w:val="center"/>
          </w:tcPr>
          <w:p w:rsidR="0094295C" w:rsidRPr="004E6CFC" w:rsidRDefault="0094295C" w:rsidP="0094295C">
            <w:pPr>
              <w:spacing w:before="0" w:after="0"/>
              <w:jc w:val="left"/>
              <w:rPr>
                <w:rFonts w:cs="Arial"/>
                <w:sz w:val="16"/>
                <w:szCs w:val="16"/>
                <w:lang w:eastAsia="es-CO"/>
              </w:rPr>
            </w:pPr>
            <w:r w:rsidRPr="004E6CFC">
              <w:rPr>
                <w:rFonts w:cs="Arial"/>
                <w:sz w:val="16"/>
                <w:szCs w:val="16"/>
                <w:lang w:eastAsia="es-CO"/>
              </w:rPr>
              <w:t>N2</w:t>
            </w:r>
            <w:r>
              <w:rPr>
                <w:rFonts w:cs="Arial"/>
                <w:sz w:val="16"/>
                <w:szCs w:val="16"/>
                <w:lang w:eastAsia="es-CO"/>
              </w:rPr>
              <w:t xml:space="preserve">EQ1, N2EQ2, N2EQ4 </w:t>
            </w:r>
            <w:r w:rsidRPr="004E6CFC">
              <w:rPr>
                <w:rFonts w:cs="Arial"/>
                <w:sz w:val="16"/>
                <w:szCs w:val="16"/>
                <w:lang w:eastAsia="es-CO"/>
              </w:rPr>
              <w:t xml:space="preserve">a </w:t>
            </w:r>
            <w:r>
              <w:rPr>
                <w:rFonts w:cs="Arial"/>
                <w:sz w:val="16"/>
                <w:szCs w:val="16"/>
                <w:lang w:eastAsia="es-CO"/>
              </w:rPr>
              <w:t>N2EQ9</w:t>
            </w:r>
            <w:r w:rsidRPr="004E6CFC">
              <w:rPr>
                <w:rFonts w:cs="Arial"/>
                <w:sz w:val="16"/>
                <w:szCs w:val="16"/>
                <w:lang w:eastAsia="es-CO"/>
              </w:rPr>
              <w:t>, N2</w:t>
            </w:r>
            <w:r>
              <w:rPr>
                <w:rFonts w:cs="Arial"/>
                <w:sz w:val="16"/>
                <w:szCs w:val="16"/>
                <w:lang w:eastAsia="es-CO"/>
              </w:rPr>
              <w:t>EQ11</w:t>
            </w:r>
            <w:r w:rsidRPr="004E6CFC">
              <w:rPr>
                <w:rFonts w:cs="Arial"/>
                <w:sz w:val="16"/>
                <w:szCs w:val="16"/>
                <w:lang w:eastAsia="es-CO"/>
              </w:rPr>
              <w:t xml:space="preserve"> a N2</w:t>
            </w:r>
            <w:r>
              <w:rPr>
                <w:rFonts w:cs="Arial"/>
                <w:sz w:val="16"/>
                <w:szCs w:val="16"/>
                <w:lang w:eastAsia="es-CO"/>
              </w:rPr>
              <w:t xml:space="preserve">EQ16 N2EQ18 a N2EQ31 y N2EQ35 </w:t>
            </w:r>
          </w:p>
        </w:tc>
      </w:tr>
    </w:tbl>
    <w:p w:rsidR="0094295C" w:rsidRPr="004E6CFC" w:rsidRDefault="0094295C" w:rsidP="0094295C">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42</w:t>
      </w:r>
      <w:r w:rsidRPr="004E6CFC">
        <w:fldChar w:fldCharType="end"/>
      </w:r>
      <w:r w:rsidRPr="004E6CFC">
        <w:t xml:space="preserve"> Unidades constructivas de la categoría de centros de control </w:t>
      </w:r>
    </w:p>
    <w:tbl>
      <w:tblPr>
        <w:tblW w:w="4607" w:type="pct"/>
        <w:jc w:val="center"/>
        <w:tblLayout w:type="fixed"/>
        <w:tblCellMar>
          <w:left w:w="70" w:type="dxa"/>
          <w:right w:w="70" w:type="dxa"/>
        </w:tblCellMar>
        <w:tblLook w:val="04A0" w:firstRow="1" w:lastRow="0" w:firstColumn="1" w:lastColumn="0" w:noHBand="0" w:noVBand="1"/>
      </w:tblPr>
      <w:tblGrid>
        <w:gridCol w:w="1120"/>
        <w:gridCol w:w="2464"/>
        <w:gridCol w:w="1123"/>
        <w:gridCol w:w="1114"/>
        <w:gridCol w:w="2790"/>
      </w:tblGrid>
      <w:tr w:rsidR="0094295C" w:rsidRPr="004E6CFC" w:rsidTr="0094295C">
        <w:trPr>
          <w:trHeight w:val="340"/>
          <w:jc w:val="center"/>
        </w:trPr>
        <w:tc>
          <w:tcPr>
            <w:tcW w:w="6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CATEGORÍA</w:t>
            </w:r>
          </w:p>
        </w:tc>
        <w:tc>
          <w:tcPr>
            <w:tcW w:w="1431"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DESCRIPCIÓN</w:t>
            </w:r>
          </w:p>
        </w:tc>
        <w:tc>
          <w:tcPr>
            <w:tcW w:w="652"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NIVEL DE TENSIÓN</w:t>
            </w:r>
          </w:p>
        </w:tc>
        <w:tc>
          <w:tcPr>
            <w:tcW w:w="647"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color w:val="000000"/>
                <w:sz w:val="16"/>
                <w:szCs w:val="16"/>
                <w:lang w:eastAsia="es-CO"/>
              </w:rPr>
              <w:t xml:space="preserve">VIDA ÚTIL </w:t>
            </w:r>
          </w:p>
        </w:tc>
        <w:tc>
          <w:tcPr>
            <w:tcW w:w="1620" w:type="pct"/>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UC ASOCIADAS</w:t>
            </w:r>
          </w:p>
        </w:tc>
      </w:tr>
      <w:tr w:rsidR="0094295C" w:rsidRPr="004E6CFC" w:rsidTr="0094295C">
        <w:trPr>
          <w:trHeight w:val="567"/>
          <w:jc w:val="center"/>
        </w:trPr>
        <w:tc>
          <w:tcPr>
            <w:tcW w:w="650" w:type="pct"/>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color w:val="000000"/>
                <w:sz w:val="16"/>
                <w:szCs w:val="16"/>
                <w:lang w:eastAsia="es-CO"/>
              </w:rPr>
            </w:pPr>
            <w:r>
              <w:rPr>
                <w:rFonts w:cs="Arial"/>
                <w:color w:val="000000"/>
                <w:sz w:val="16"/>
                <w:szCs w:val="16"/>
                <w:lang w:eastAsia="es-CO"/>
              </w:rPr>
              <w:t>10</w:t>
            </w:r>
          </w:p>
        </w:tc>
        <w:tc>
          <w:tcPr>
            <w:tcW w:w="1431" w:type="pct"/>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rFonts w:cs="Arial"/>
                <w:color w:val="000000"/>
                <w:sz w:val="16"/>
                <w:szCs w:val="16"/>
                <w:lang w:eastAsia="es-CO"/>
              </w:rPr>
            </w:pPr>
            <w:r w:rsidRPr="004E6CFC">
              <w:rPr>
                <w:rFonts w:cs="Arial"/>
                <w:color w:val="000000"/>
                <w:sz w:val="16"/>
                <w:szCs w:val="16"/>
                <w:lang w:eastAsia="es-CO"/>
              </w:rPr>
              <w:t>Centro de control</w:t>
            </w:r>
          </w:p>
        </w:tc>
        <w:tc>
          <w:tcPr>
            <w:tcW w:w="652"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sz w:val="16"/>
                <w:szCs w:val="16"/>
                <w:lang w:eastAsia="es-CO"/>
              </w:rPr>
            </w:pPr>
            <w:r w:rsidRPr="004E6CFC">
              <w:rPr>
                <w:rFonts w:cs="Arial"/>
                <w:sz w:val="16"/>
                <w:szCs w:val="16"/>
                <w:lang w:eastAsia="es-CO"/>
              </w:rPr>
              <w:t>-</w:t>
            </w:r>
          </w:p>
        </w:tc>
        <w:tc>
          <w:tcPr>
            <w:tcW w:w="647" w:type="pct"/>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spacing w:before="0" w:after="0"/>
              <w:jc w:val="center"/>
              <w:rPr>
                <w:rFonts w:cs="Arial"/>
                <w:sz w:val="16"/>
                <w:szCs w:val="16"/>
                <w:lang w:eastAsia="es-CO"/>
              </w:rPr>
            </w:pPr>
            <w:r w:rsidRPr="004E6CFC">
              <w:rPr>
                <w:rFonts w:cs="Arial"/>
                <w:sz w:val="16"/>
                <w:szCs w:val="16"/>
                <w:lang w:eastAsia="es-CO"/>
              </w:rPr>
              <w:t>10</w:t>
            </w:r>
          </w:p>
        </w:tc>
        <w:tc>
          <w:tcPr>
            <w:tcW w:w="1620" w:type="pct"/>
            <w:tcBorders>
              <w:top w:val="nil"/>
              <w:left w:val="nil"/>
              <w:bottom w:val="single" w:sz="4" w:space="0" w:color="auto"/>
              <w:right w:val="single" w:sz="4" w:space="0" w:color="auto"/>
            </w:tcBorders>
            <w:shd w:val="clear" w:color="auto" w:fill="auto"/>
            <w:vAlign w:val="center"/>
            <w:hideMark/>
          </w:tcPr>
          <w:p w:rsidR="0094295C" w:rsidRPr="004E6CFC" w:rsidRDefault="0094295C" w:rsidP="0094295C">
            <w:pPr>
              <w:spacing w:before="0" w:after="0"/>
              <w:jc w:val="left"/>
              <w:rPr>
                <w:rFonts w:cs="Arial"/>
                <w:sz w:val="16"/>
                <w:szCs w:val="16"/>
                <w:lang w:val="en-US" w:eastAsia="es-CO"/>
              </w:rPr>
            </w:pPr>
            <w:r w:rsidRPr="004E6CFC">
              <w:rPr>
                <w:rFonts w:cs="Arial"/>
                <w:sz w:val="16"/>
                <w:szCs w:val="16"/>
                <w:lang w:val="en-US" w:eastAsia="es-CO"/>
              </w:rPr>
              <w:t>N0P1 a N0P13</w:t>
            </w:r>
          </w:p>
        </w:tc>
      </w:tr>
    </w:tbl>
    <w:p w:rsidR="0094295C" w:rsidRPr="004E6CFC" w:rsidRDefault="0094295C" w:rsidP="0094295C">
      <w:pPr>
        <w:rPr>
          <w:lang w:val="es-CO"/>
        </w:rPr>
      </w:pPr>
      <w:r w:rsidRPr="004E6CFC">
        <w:rPr>
          <w:lang w:val="es-CO"/>
        </w:rPr>
        <w:lastRenderedPageBreak/>
        <w:t>Para la clasificación de los circuitos de nivel de tensión 1 se deben utilizar las siguientes categorías:</w:t>
      </w:r>
    </w:p>
    <w:p w:rsidR="0094295C" w:rsidRPr="004E6CFC" w:rsidRDefault="0094295C" w:rsidP="0094295C">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43</w:t>
      </w:r>
      <w:r w:rsidRPr="004E6CFC">
        <w:fldChar w:fldCharType="end"/>
      </w:r>
      <w:r w:rsidRPr="004E6CFC">
        <w:t xml:space="preserve"> Clasificación de activos de nivel de tensión 1</w:t>
      </w:r>
    </w:p>
    <w:tbl>
      <w:tblPr>
        <w:tblW w:w="0" w:type="auto"/>
        <w:jc w:val="center"/>
        <w:tblCellMar>
          <w:left w:w="70" w:type="dxa"/>
          <w:right w:w="70" w:type="dxa"/>
        </w:tblCellMar>
        <w:tblLook w:val="04A0" w:firstRow="1" w:lastRow="0" w:firstColumn="1" w:lastColumn="0" w:noHBand="0" w:noVBand="1"/>
      </w:tblPr>
      <w:tblGrid>
        <w:gridCol w:w="1134"/>
        <w:gridCol w:w="2506"/>
        <w:gridCol w:w="1134"/>
        <w:gridCol w:w="1134"/>
        <w:gridCol w:w="2835"/>
      </w:tblGrid>
      <w:tr w:rsidR="0094295C" w:rsidRPr="004E6CFC" w:rsidTr="0094295C">
        <w:trPr>
          <w:cantSplit/>
          <w:trHeight w:val="510"/>
          <w:tblHeader/>
          <w:jc w:val="center"/>
        </w:trPr>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CATEGORÍA</w:t>
            </w:r>
          </w:p>
        </w:tc>
        <w:tc>
          <w:tcPr>
            <w:tcW w:w="2506" w:type="dxa"/>
            <w:tcBorders>
              <w:top w:val="single" w:sz="4" w:space="0" w:color="auto"/>
              <w:left w:val="nil"/>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DESCRIPCIÓN</w:t>
            </w:r>
          </w:p>
        </w:tc>
        <w:tc>
          <w:tcPr>
            <w:tcW w:w="1134" w:type="dxa"/>
            <w:tcBorders>
              <w:top w:val="single" w:sz="4" w:space="0" w:color="auto"/>
              <w:left w:val="nil"/>
              <w:bottom w:val="single" w:sz="4" w:space="0" w:color="auto"/>
              <w:right w:val="single" w:sz="4" w:space="0" w:color="auto"/>
            </w:tcBorders>
            <w:vAlign w:val="center"/>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NIVEL</w:t>
            </w:r>
          </w:p>
        </w:tc>
        <w:tc>
          <w:tcPr>
            <w:tcW w:w="1134" w:type="dxa"/>
            <w:tcBorders>
              <w:top w:val="single" w:sz="4" w:space="0" w:color="auto"/>
              <w:left w:val="nil"/>
              <w:bottom w:val="single" w:sz="4" w:space="0" w:color="auto"/>
              <w:right w:val="single" w:sz="4" w:space="0" w:color="auto"/>
            </w:tcBorders>
            <w:vAlign w:val="center"/>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VIDA ÚTIL GRUPO</w:t>
            </w:r>
          </w:p>
        </w:tc>
        <w:tc>
          <w:tcPr>
            <w:tcW w:w="2835" w:type="dxa"/>
            <w:tcBorders>
              <w:top w:val="single" w:sz="4" w:space="0" w:color="auto"/>
              <w:left w:val="nil"/>
              <w:bottom w:val="single" w:sz="4" w:space="0" w:color="auto"/>
              <w:right w:val="single" w:sz="4" w:space="0" w:color="auto"/>
            </w:tcBorders>
            <w:vAlign w:val="center"/>
          </w:tcPr>
          <w:p w:rsidR="0094295C" w:rsidRPr="004E6CFC" w:rsidRDefault="0094295C" w:rsidP="0094295C">
            <w:pPr>
              <w:keepNext/>
              <w:spacing w:before="0" w:after="0"/>
              <w:jc w:val="center"/>
              <w:rPr>
                <w:rFonts w:cs="Arial"/>
                <w:bCs/>
                <w:color w:val="000000"/>
                <w:sz w:val="16"/>
                <w:szCs w:val="16"/>
                <w:lang w:eastAsia="es-CO"/>
              </w:rPr>
            </w:pPr>
            <w:r w:rsidRPr="004E6CFC">
              <w:rPr>
                <w:rFonts w:cs="Arial"/>
                <w:bCs/>
                <w:color w:val="000000"/>
                <w:sz w:val="16"/>
                <w:szCs w:val="16"/>
                <w:lang w:eastAsia="es-CO"/>
              </w:rPr>
              <w:t>UC ASOCIADAS</w:t>
            </w:r>
          </w:p>
        </w:tc>
      </w:tr>
      <w:tr w:rsidR="0094295C" w:rsidRPr="004E6CFC" w:rsidTr="0094295C">
        <w:trPr>
          <w:trHeight w:val="300"/>
          <w:jc w:val="center"/>
        </w:trPr>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contextualSpacing/>
              <w:jc w:val="center"/>
              <w:rPr>
                <w:rFonts w:cs="Arial"/>
                <w:color w:val="000000"/>
                <w:sz w:val="16"/>
                <w:szCs w:val="16"/>
                <w:lang w:eastAsia="es-CO"/>
              </w:rPr>
            </w:pPr>
            <w:r w:rsidRPr="004E6CFC">
              <w:rPr>
                <w:rFonts w:cs="Arial"/>
                <w:color w:val="000000"/>
                <w:sz w:val="16"/>
                <w:szCs w:val="16"/>
                <w:lang w:eastAsia="es-CO"/>
              </w:rPr>
              <w:t>11</w:t>
            </w:r>
          </w:p>
        </w:tc>
        <w:tc>
          <w:tcPr>
            <w:tcW w:w="2506"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contextualSpacing/>
              <w:jc w:val="left"/>
              <w:rPr>
                <w:rFonts w:cs="Arial"/>
                <w:color w:val="000000"/>
                <w:sz w:val="16"/>
                <w:szCs w:val="16"/>
              </w:rPr>
            </w:pPr>
            <w:r w:rsidRPr="004E6CFC">
              <w:rPr>
                <w:rFonts w:cs="Arial"/>
                <w:color w:val="000000"/>
                <w:sz w:val="16"/>
                <w:szCs w:val="16"/>
              </w:rPr>
              <w:t xml:space="preserve">Transformadores de distribución </w:t>
            </w:r>
          </w:p>
        </w:tc>
        <w:tc>
          <w:tcPr>
            <w:tcW w:w="1134" w:type="dxa"/>
            <w:tcBorders>
              <w:top w:val="nil"/>
              <w:left w:val="nil"/>
              <w:bottom w:val="single" w:sz="4" w:space="0" w:color="auto"/>
              <w:right w:val="single" w:sz="4" w:space="0" w:color="auto"/>
            </w:tcBorders>
            <w:vAlign w:val="center"/>
          </w:tcPr>
          <w:p w:rsidR="0094295C" w:rsidRPr="004E6CFC" w:rsidRDefault="0094295C" w:rsidP="0094295C">
            <w:pPr>
              <w:keepNext/>
              <w:contextualSpacing/>
              <w:jc w:val="center"/>
              <w:rPr>
                <w:rFonts w:cs="Arial"/>
                <w:color w:val="000000"/>
                <w:sz w:val="16"/>
                <w:szCs w:val="16"/>
              </w:rPr>
            </w:pPr>
            <w:r w:rsidRPr="004E6CFC">
              <w:rPr>
                <w:rFonts w:cs="Arial"/>
                <w:color w:val="000000"/>
                <w:sz w:val="16"/>
                <w:szCs w:val="16"/>
              </w:rPr>
              <w:t>1</w:t>
            </w:r>
          </w:p>
        </w:tc>
        <w:tc>
          <w:tcPr>
            <w:tcW w:w="1134" w:type="dxa"/>
            <w:tcBorders>
              <w:top w:val="nil"/>
              <w:left w:val="nil"/>
              <w:bottom w:val="single" w:sz="4" w:space="0" w:color="auto"/>
              <w:right w:val="single" w:sz="4" w:space="0" w:color="auto"/>
            </w:tcBorders>
            <w:vAlign w:val="center"/>
          </w:tcPr>
          <w:p w:rsidR="0094295C" w:rsidRPr="004E6CFC" w:rsidRDefault="0094295C" w:rsidP="0094295C">
            <w:pPr>
              <w:keepNext/>
              <w:contextualSpacing/>
              <w:jc w:val="center"/>
              <w:rPr>
                <w:rFonts w:cs="Arial"/>
                <w:color w:val="000000"/>
                <w:sz w:val="16"/>
                <w:szCs w:val="16"/>
              </w:rPr>
            </w:pPr>
            <w:r>
              <w:rPr>
                <w:rFonts w:cs="Arial"/>
                <w:color w:val="000000"/>
                <w:sz w:val="16"/>
                <w:szCs w:val="16"/>
              </w:rPr>
              <w:t>2</w:t>
            </w:r>
            <w:r w:rsidRPr="004E6CFC">
              <w:rPr>
                <w:rFonts w:cs="Arial"/>
                <w:color w:val="000000"/>
                <w:sz w:val="16"/>
                <w:szCs w:val="16"/>
              </w:rPr>
              <w:t>5</w:t>
            </w:r>
          </w:p>
        </w:tc>
        <w:tc>
          <w:tcPr>
            <w:tcW w:w="2835" w:type="dxa"/>
            <w:tcBorders>
              <w:top w:val="nil"/>
              <w:left w:val="nil"/>
              <w:bottom w:val="single" w:sz="4" w:space="0" w:color="auto"/>
              <w:right w:val="single" w:sz="4" w:space="0" w:color="auto"/>
            </w:tcBorders>
            <w:vAlign w:val="center"/>
          </w:tcPr>
          <w:p w:rsidR="0094295C" w:rsidRPr="004E6CFC" w:rsidRDefault="0094295C" w:rsidP="0094295C">
            <w:pPr>
              <w:keepNext/>
              <w:contextualSpacing/>
              <w:jc w:val="left"/>
              <w:rPr>
                <w:rFonts w:cs="Arial"/>
                <w:color w:val="000000"/>
                <w:sz w:val="16"/>
                <w:szCs w:val="16"/>
              </w:rPr>
            </w:pPr>
            <w:r w:rsidRPr="004E6CFC">
              <w:rPr>
                <w:rFonts w:cs="Arial"/>
                <w:color w:val="000000"/>
                <w:sz w:val="16"/>
                <w:szCs w:val="16"/>
              </w:rPr>
              <w:t>N1T1 a N1T74</w:t>
            </w:r>
          </w:p>
        </w:tc>
      </w:tr>
      <w:tr w:rsidR="0094295C" w:rsidRPr="004E6CFC" w:rsidTr="0094295C">
        <w:trPr>
          <w:trHeight w:val="300"/>
          <w:jc w:val="center"/>
        </w:trPr>
        <w:tc>
          <w:tcPr>
            <w:tcW w:w="1134" w:type="dxa"/>
            <w:tcBorders>
              <w:top w:val="nil"/>
              <w:left w:val="single" w:sz="4" w:space="0" w:color="auto"/>
              <w:bottom w:val="single" w:sz="4" w:space="0" w:color="auto"/>
              <w:right w:val="single" w:sz="4" w:space="0" w:color="auto"/>
            </w:tcBorders>
            <w:shd w:val="clear" w:color="auto" w:fill="auto"/>
            <w:noWrap/>
            <w:vAlign w:val="center"/>
            <w:hideMark/>
          </w:tcPr>
          <w:p w:rsidR="0094295C" w:rsidRPr="004E6CFC" w:rsidRDefault="0094295C" w:rsidP="0094295C">
            <w:pPr>
              <w:keepNext/>
              <w:spacing w:before="0" w:after="0"/>
              <w:contextualSpacing/>
              <w:jc w:val="center"/>
              <w:rPr>
                <w:rFonts w:cs="Arial"/>
                <w:color w:val="000000"/>
                <w:sz w:val="16"/>
                <w:szCs w:val="16"/>
                <w:lang w:eastAsia="es-CO"/>
              </w:rPr>
            </w:pPr>
            <w:r w:rsidRPr="004E6CFC">
              <w:rPr>
                <w:rFonts w:cs="Arial"/>
                <w:color w:val="000000"/>
                <w:sz w:val="16"/>
                <w:szCs w:val="16"/>
                <w:lang w:eastAsia="es-CO"/>
              </w:rPr>
              <w:t>12</w:t>
            </w:r>
          </w:p>
        </w:tc>
        <w:tc>
          <w:tcPr>
            <w:tcW w:w="2506" w:type="dxa"/>
            <w:tcBorders>
              <w:top w:val="nil"/>
              <w:left w:val="nil"/>
              <w:bottom w:val="single" w:sz="4" w:space="0" w:color="auto"/>
              <w:right w:val="single" w:sz="4" w:space="0" w:color="auto"/>
            </w:tcBorders>
            <w:shd w:val="clear" w:color="auto" w:fill="auto"/>
            <w:noWrap/>
            <w:vAlign w:val="center"/>
            <w:hideMark/>
          </w:tcPr>
          <w:p w:rsidR="0094295C" w:rsidRPr="004E6CFC" w:rsidRDefault="0094295C" w:rsidP="0094295C">
            <w:pPr>
              <w:keepNext/>
              <w:contextualSpacing/>
              <w:jc w:val="left"/>
              <w:rPr>
                <w:rFonts w:cs="Arial"/>
                <w:color w:val="000000"/>
                <w:sz w:val="16"/>
                <w:szCs w:val="16"/>
              </w:rPr>
            </w:pPr>
            <w:r w:rsidRPr="004E6CFC">
              <w:rPr>
                <w:rFonts w:cs="Arial"/>
                <w:color w:val="000000"/>
                <w:sz w:val="16"/>
                <w:szCs w:val="16"/>
              </w:rPr>
              <w:t xml:space="preserve">Redes </w:t>
            </w:r>
            <w:r>
              <w:rPr>
                <w:rFonts w:cs="Arial"/>
                <w:color w:val="000000"/>
                <w:sz w:val="16"/>
                <w:szCs w:val="16"/>
              </w:rPr>
              <w:t>de distribución</w:t>
            </w:r>
          </w:p>
        </w:tc>
        <w:tc>
          <w:tcPr>
            <w:tcW w:w="1134" w:type="dxa"/>
            <w:tcBorders>
              <w:top w:val="nil"/>
              <w:left w:val="nil"/>
              <w:bottom w:val="single" w:sz="4" w:space="0" w:color="auto"/>
              <w:right w:val="single" w:sz="4" w:space="0" w:color="auto"/>
            </w:tcBorders>
            <w:vAlign w:val="center"/>
          </w:tcPr>
          <w:p w:rsidR="0094295C" w:rsidRPr="004E6CFC" w:rsidRDefault="0094295C" w:rsidP="0094295C">
            <w:pPr>
              <w:keepNext/>
              <w:contextualSpacing/>
              <w:jc w:val="center"/>
              <w:rPr>
                <w:rFonts w:cs="Arial"/>
                <w:color w:val="000000"/>
                <w:sz w:val="16"/>
                <w:szCs w:val="16"/>
              </w:rPr>
            </w:pPr>
            <w:r w:rsidRPr="004E6CFC">
              <w:rPr>
                <w:rFonts w:cs="Arial"/>
                <w:color w:val="000000"/>
                <w:sz w:val="16"/>
                <w:szCs w:val="16"/>
              </w:rPr>
              <w:t>1</w:t>
            </w:r>
          </w:p>
        </w:tc>
        <w:tc>
          <w:tcPr>
            <w:tcW w:w="1134" w:type="dxa"/>
            <w:tcBorders>
              <w:top w:val="nil"/>
              <w:left w:val="nil"/>
              <w:bottom w:val="single" w:sz="4" w:space="0" w:color="auto"/>
              <w:right w:val="single" w:sz="4" w:space="0" w:color="auto"/>
            </w:tcBorders>
            <w:vAlign w:val="center"/>
          </w:tcPr>
          <w:p w:rsidR="0094295C" w:rsidRPr="004E6CFC" w:rsidRDefault="0094295C" w:rsidP="0094295C">
            <w:pPr>
              <w:keepNext/>
              <w:contextualSpacing/>
              <w:jc w:val="center"/>
              <w:rPr>
                <w:rFonts w:cs="Arial"/>
                <w:color w:val="000000"/>
                <w:sz w:val="16"/>
                <w:szCs w:val="16"/>
              </w:rPr>
            </w:pPr>
            <w:r w:rsidRPr="004E6CFC">
              <w:rPr>
                <w:rFonts w:cs="Arial"/>
                <w:color w:val="000000"/>
                <w:sz w:val="16"/>
                <w:szCs w:val="16"/>
              </w:rPr>
              <w:t>35</w:t>
            </w:r>
          </w:p>
        </w:tc>
        <w:tc>
          <w:tcPr>
            <w:tcW w:w="2835" w:type="dxa"/>
            <w:tcBorders>
              <w:top w:val="nil"/>
              <w:left w:val="nil"/>
              <w:bottom w:val="single" w:sz="4" w:space="0" w:color="auto"/>
              <w:right w:val="single" w:sz="4" w:space="0" w:color="auto"/>
            </w:tcBorders>
            <w:vAlign w:val="center"/>
          </w:tcPr>
          <w:p w:rsidR="0094295C" w:rsidRPr="004E6CFC" w:rsidRDefault="0094295C" w:rsidP="0094295C">
            <w:pPr>
              <w:keepNext/>
              <w:contextualSpacing/>
              <w:jc w:val="left"/>
              <w:rPr>
                <w:rFonts w:cs="Arial"/>
                <w:color w:val="000000"/>
                <w:sz w:val="16"/>
                <w:szCs w:val="16"/>
              </w:rPr>
            </w:pPr>
            <w:r w:rsidRPr="004E6CFC">
              <w:rPr>
                <w:rFonts w:cs="Arial"/>
                <w:color w:val="000000"/>
                <w:sz w:val="16"/>
                <w:szCs w:val="16"/>
              </w:rPr>
              <w:t>N1L1 a N1L132</w:t>
            </w:r>
            <w:r>
              <w:rPr>
                <w:rFonts w:cs="Arial"/>
                <w:color w:val="000000"/>
                <w:sz w:val="16"/>
                <w:szCs w:val="16"/>
              </w:rPr>
              <w:t xml:space="preserve">, </w:t>
            </w:r>
            <w:r w:rsidRPr="004E6CFC">
              <w:rPr>
                <w:rFonts w:cs="Arial"/>
                <w:color w:val="000000"/>
                <w:sz w:val="16"/>
                <w:szCs w:val="16"/>
              </w:rPr>
              <w:t>N1L133 a N1L1</w:t>
            </w:r>
            <w:r>
              <w:rPr>
                <w:rFonts w:cs="Arial"/>
                <w:color w:val="000000"/>
                <w:sz w:val="16"/>
                <w:szCs w:val="16"/>
              </w:rPr>
              <w:t xml:space="preserve">98, </w:t>
            </w:r>
            <w:r w:rsidRPr="004E6CFC">
              <w:rPr>
                <w:rFonts w:cs="Arial"/>
                <w:color w:val="000000"/>
                <w:sz w:val="16"/>
                <w:szCs w:val="16"/>
              </w:rPr>
              <w:t>N1P1 a N1P96 N1C1 a N1C4</w:t>
            </w:r>
            <w:r>
              <w:rPr>
                <w:rFonts w:cs="Arial"/>
                <w:color w:val="000000"/>
                <w:sz w:val="16"/>
                <w:szCs w:val="16"/>
              </w:rPr>
              <w:t xml:space="preserve"> y N1C5 a N1C24</w:t>
            </w:r>
          </w:p>
        </w:tc>
      </w:tr>
    </w:tbl>
    <w:p w:rsidR="009617F2" w:rsidRPr="004E6CFC" w:rsidRDefault="009617F2">
      <w:pPr>
        <w:spacing w:before="0" w:after="0"/>
        <w:jc w:val="left"/>
      </w:pPr>
    </w:p>
    <w:p w:rsidR="003F468A" w:rsidRPr="004E6CFC" w:rsidRDefault="003F468A">
      <w:pPr>
        <w:spacing w:before="0" w:after="0"/>
        <w:jc w:val="left"/>
        <w:rPr>
          <w:b/>
          <w:caps/>
          <w:szCs w:val="20"/>
          <w:lang w:val="es-CO"/>
        </w:rPr>
      </w:pPr>
      <w:r w:rsidRPr="004E6CFC">
        <w:br w:type="page"/>
      </w:r>
    </w:p>
    <w:p w:rsidR="00193054" w:rsidRPr="004E77B3" w:rsidRDefault="002D6BF7" w:rsidP="00193054">
      <w:pPr>
        <w:pStyle w:val="Ttulo1"/>
      </w:pPr>
      <w:bookmarkStart w:id="1093" w:name="_Ref476818651"/>
      <w:bookmarkStart w:id="1094" w:name="_Toc505336027"/>
      <w:r w:rsidRPr="004E77B3">
        <w:rPr>
          <w:caps w:val="0"/>
        </w:rPr>
        <w:lastRenderedPageBreak/>
        <w:t xml:space="preserve">UC </w:t>
      </w:r>
      <w:r w:rsidR="00193054" w:rsidRPr="004E77B3">
        <w:t>PARA VALORACIÓN DE ACTIVOS BRA INICIAL</w:t>
      </w:r>
      <w:bookmarkEnd w:id="1013"/>
      <w:bookmarkEnd w:id="1014"/>
      <w:bookmarkEnd w:id="1093"/>
      <w:bookmarkEnd w:id="1094"/>
    </w:p>
    <w:p w:rsidR="00697252" w:rsidRPr="004E6CFC" w:rsidRDefault="00697252" w:rsidP="00697252">
      <w:pPr>
        <w:rPr>
          <w:lang w:val="es-CO"/>
        </w:rPr>
      </w:pPr>
      <w:r w:rsidRPr="004E6CFC">
        <w:rPr>
          <w:lang w:val="es-CO"/>
        </w:rPr>
        <w:t>Para la valoración de los activos construidos a partir de enero de 2008 y hasta la fecha de corte, que hacen parte de la BRA inicial, se utilizan las UC y los valores definidos en este capítulo.</w:t>
      </w:r>
    </w:p>
    <w:p w:rsidR="00697252" w:rsidRPr="004E6CFC" w:rsidRDefault="00697252" w:rsidP="00697252">
      <w:pPr>
        <w:pStyle w:val="Ttulo2"/>
      </w:pPr>
      <w:bookmarkStart w:id="1095" w:name="_Toc210616059"/>
      <w:bookmarkStart w:id="1096" w:name="_Toc408493232"/>
      <w:bookmarkStart w:id="1097" w:name="_Toc440029179"/>
      <w:bookmarkStart w:id="1098" w:name="_Toc476824976"/>
      <w:bookmarkStart w:id="1099" w:name="_Toc505336028"/>
      <w:r w:rsidRPr="004E6CFC">
        <w:t xml:space="preserve">UC DE </w:t>
      </w:r>
      <w:bookmarkEnd w:id="1095"/>
      <w:r w:rsidRPr="004E6CFC">
        <w:t>NIVELES DE TENSIÓN 4, 3 Y 2</w:t>
      </w:r>
      <w:bookmarkEnd w:id="1096"/>
      <w:bookmarkEnd w:id="1097"/>
      <w:bookmarkEnd w:id="1098"/>
      <w:bookmarkEnd w:id="1099"/>
      <w:r w:rsidRPr="004E6CFC">
        <w:t xml:space="preserve"> </w:t>
      </w:r>
    </w:p>
    <w:p w:rsidR="00697252" w:rsidRPr="004E6CFC" w:rsidRDefault="00697252" w:rsidP="00697252">
      <w:pPr>
        <w:numPr>
          <w:ilvl w:val="12"/>
          <w:numId w:val="0"/>
        </w:numPr>
        <w:suppressAutoHyphens/>
      </w:pPr>
      <w:bookmarkStart w:id="1100" w:name="_Ref209834687"/>
      <w:r w:rsidRPr="004E6CFC">
        <w:t>En este listado se establecen los costos para las UC de los niveles de tensión 4, 3 y 2.</w:t>
      </w:r>
    </w:p>
    <w:p w:rsidR="00697252" w:rsidRPr="004E6CFC" w:rsidRDefault="00697252" w:rsidP="00697252">
      <w:pPr>
        <w:pStyle w:val="Descripcin"/>
        <w:rPr>
          <w:sz w:val="18"/>
          <w:szCs w:val="18"/>
        </w:rPr>
      </w:pPr>
      <w:r w:rsidRPr="004E6CFC">
        <w:t xml:space="preserve">Tabla </w:t>
      </w:r>
      <w:r w:rsidRPr="004E6CFC">
        <w:fldChar w:fldCharType="begin"/>
      </w:r>
      <w:r w:rsidRPr="004E6CFC">
        <w:instrText xml:space="preserve"> SEQ Tabla \* ARABIC </w:instrText>
      </w:r>
      <w:r w:rsidRPr="004E6CFC">
        <w:fldChar w:fldCharType="separate"/>
      </w:r>
      <w:r w:rsidR="00737178">
        <w:rPr>
          <w:noProof/>
        </w:rPr>
        <w:t>44</w:t>
      </w:r>
      <w:r w:rsidRPr="004E6CFC">
        <w:fldChar w:fldCharType="end"/>
      </w:r>
      <w:r w:rsidRPr="004E6CFC">
        <w:t xml:space="preserve"> UC de módulos de transformador de conexión al STN</w:t>
      </w:r>
    </w:p>
    <w:tbl>
      <w:tblPr>
        <w:tblW w:w="0" w:type="auto"/>
        <w:tblInd w:w="-72" w:type="dxa"/>
        <w:tblLayout w:type="fixed"/>
        <w:tblCellMar>
          <w:left w:w="70" w:type="dxa"/>
          <w:right w:w="70" w:type="dxa"/>
        </w:tblCellMar>
        <w:tblLook w:val="04A0" w:firstRow="1" w:lastRow="0" w:firstColumn="1" w:lastColumn="0" w:noHBand="0" w:noVBand="1"/>
      </w:tblPr>
      <w:tblGrid>
        <w:gridCol w:w="737"/>
        <w:gridCol w:w="7370"/>
        <w:gridCol w:w="1361"/>
      </w:tblGrid>
      <w:tr w:rsidR="00697252" w:rsidRPr="004E6CFC" w:rsidTr="00045289">
        <w:trPr>
          <w:trHeight w:val="497"/>
          <w:tblHeader/>
        </w:trPr>
        <w:tc>
          <w:tcPr>
            <w:tcW w:w="73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8"/>
                <w:lang w:val="es-CO" w:eastAsia="es-CO"/>
              </w:rPr>
            </w:pPr>
            <w:r w:rsidRPr="004E6CFC">
              <w:rPr>
                <w:rFonts w:cs="Arial"/>
                <w:sz w:val="18"/>
                <w:szCs w:val="18"/>
                <w:lang w:val="es-CO" w:eastAsia="es-CO"/>
              </w:rPr>
              <w:t>UC</w:t>
            </w:r>
          </w:p>
        </w:tc>
        <w:tc>
          <w:tcPr>
            <w:tcW w:w="7370"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8"/>
                <w:lang w:val="es-CO" w:eastAsia="es-CO"/>
              </w:rPr>
            </w:pPr>
            <w:r w:rsidRPr="004E6CFC">
              <w:rPr>
                <w:rFonts w:cs="Arial"/>
                <w:sz w:val="18"/>
                <w:szCs w:val="18"/>
                <w:lang w:val="es-CO" w:eastAsia="es-CO"/>
              </w:rPr>
              <w:t>DESCRIPCIÓN UNIDAD CONSTRUCTIVA</w:t>
            </w:r>
          </w:p>
        </w:tc>
        <w:tc>
          <w:tcPr>
            <w:tcW w:w="1361"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8"/>
                <w:lang w:val="es-CO" w:eastAsia="es-CO"/>
              </w:rPr>
            </w:pPr>
            <w:r w:rsidRPr="004E6CFC">
              <w:rPr>
                <w:rFonts w:cs="Arial"/>
                <w:sz w:val="18"/>
                <w:szCs w:val="18"/>
                <w:lang w:val="es-CO" w:eastAsia="es-CO"/>
              </w:rPr>
              <w:t>VALOR INSTALADO [$Dic 2007]</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8"/>
                <w:lang w:val="es-CO" w:eastAsia="es-CO"/>
              </w:rPr>
            </w:pPr>
            <w:r w:rsidRPr="004E6CFC">
              <w:rPr>
                <w:rFonts w:cs="Arial"/>
                <w:color w:val="000000"/>
                <w:sz w:val="16"/>
                <w:szCs w:val="18"/>
                <w:lang w:val="es-CO" w:eastAsia="es-CO"/>
              </w:rPr>
              <w:t>N5S1</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8"/>
                <w:lang w:val="es-CO" w:eastAsia="es-CO"/>
              </w:rPr>
            </w:pPr>
            <w:r w:rsidRPr="004E6CFC">
              <w:rPr>
                <w:rFonts w:cs="Arial"/>
                <w:color w:val="000000"/>
                <w:sz w:val="16"/>
                <w:szCs w:val="18"/>
                <w:lang w:val="es-CO" w:eastAsia="es-CO"/>
              </w:rPr>
              <w:t xml:space="preserve">Bahía de transformador, doble barra más seccionador de transferencia, 500 </w:t>
            </w:r>
            <w:r>
              <w:rPr>
                <w:rFonts w:cs="Arial"/>
                <w:color w:val="000000"/>
                <w:sz w:val="16"/>
                <w:szCs w:val="18"/>
                <w:lang w:val="es-CO" w:eastAsia="es-CO"/>
              </w:rPr>
              <w:t>kV</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8"/>
                <w:lang w:val="es-CO" w:eastAsia="es-CO"/>
              </w:rPr>
            </w:pPr>
            <w:r w:rsidRPr="004E6CFC">
              <w:rPr>
                <w:rFonts w:cs="Arial"/>
                <w:sz w:val="16"/>
                <w:szCs w:val="18"/>
                <w:lang w:val="es-CO" w:eastAsia="es-CO"/>
              </w:rPr>
              <w:t>2.942.854.000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8"/>
                <w:lang w:val="es-CO" w:eastAsia="es-CO"/>
              </w:rPr>
            </w:pPr>
            <w:r w:rsidRPr="004E6CFC">
              <w:rPr>
                <w:rFonts w:cs="Arial"/>
                <w:color w:val="000000"/>
                <w:sz w:val="16"/>
                <w:szCs w:val="18"/>
                <w:lang w:val="es-CO" w:eastAsia="es-CO"/>
              </w:rPr>
              <w:t>N5S2</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8"/>
                <w:lang w:val="es-CO" w:eastAsia="es-CO"/>
              </w:rPr>
            </w:pPr>
            <w:r w:rsidRPr="004E6CFC">
              <w:rPr>
                <w:rFonts w:cs="Arial"/>
                <w:color w:val="000000"/>
                <w:sz w:val="16"/>
                <w:szCs w:val="18"/>
                <w:lang w:val="es-CO" w:eastAsia="es-CO"/>
              </w:rPr>
              <w:t xml:space="preserve">Bahía de transformador, barra sencilla, 230 </w:t>
            </w:r>
            <w:r>
              <w:rPr>
                <w:rFonts w:cs="Arial"/>
                <w:color w:val="000000"/>
                <w:sz w:val="16"/>
                <w:szCs w:val="18"/>
                <w:lang w:val="es-CO" w:eastAsia="es-CO"/>
              </w:rPr>
              <w:t>kV</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8"/>
                <w:lang w:val="es-CO" w:eastAsia="es-CO"/>
              </w:rPr>
            </w:pPr>
            <w:r w:rsidRPr="004E6CFC">
              <w:rPr>
                <w:rFonts w:cs="Arial"/>
                <w:sz w:val="16"/>
                <w:szCs w:val="18"/>
                <w:lang w:val="es-CO" w:eastAsia="es-CO"/>
              </w:rPr>
              <w:t>1.120.491.000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8"/>
                <w:lang w:val="es-CO" w:eastAsia="es-CO"/>
              </w:rPr>
            </w:pPr>
            <w:r w:rsidRPr="004E6CFC">
              <w:rPr>
                <w:rFonts w:cs="Arial"/>
                <w:color w:val="000000"/>
                <w:sz w:val="16"/>
                <w:szCs w:val="18"/>
                <w:lang w:val="es-CO" w:eastAsia="es-CO"/>
              </w:rPr>
              <w:t>N5S3</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8"/>
                <w:lang w:val="es-CO" w:eastAsia="es-CO"/>
              </w:rPr>
            </w:pPr>
            <w:r w:rsidRPr="004E6CFC">
              <w:rPr>
                <w:rFonts w:cs="Arial"/>
                <w:color w:val="000000"/>
                <w:sz w:val="16"/>
                <w:szCs w:val="18"/>
                <w:lang w:val="es-CO" w:eastAsia="es-CO"/>
              </w:rPr>
              <w:t xml:space="preserve">Bahía de transformador, barra principal y transferencia, 230 </w:t>
            </w:r>
            <w:r>
              <w:rPr>
                <w:rFonts w:cs="Arial"/>
                <w:color w:val="000000"/>
                <w:sz w:val="16"/>
                <w:szCs w:val="18"/>
                <w:lang w:val="es-CO" w:eastAsia="es-CO"/>
              </w:rPr>
              <w:t>kV</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8"/>
                <w:lang w:val="es-CO" w:eastAsia="es-CO"/>
              </w:rPr>
            </w:pPr>
            <w:r w:rsidRPr="004E6CFC">
              <w:rPr>
                <w:rFonts w:cs="Arial"/>
                <w:sz w:val="16"/>
                <w:szCs w:val="18"/>
                <w:lang w:val="es-CO" w:eastAsia="es-CO"/>
              </w:rPr>
              <w:t>1.231.406.000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8"/>
                <w:lang w:val="es-CO" w:eastAsia="es-CO"/>
              </w:rPr>
            </w:pPr>
            <w:r w:rsidRPr="004E6CFC">
              <w:rPr>
                <w:rFonts w:cs="Arial"/>
                <w:color w:val="000000"/>
                <w:sz w:val="16"/>
                <w:szCs w:val="18"/>
                <w:lang w:val="es-CO" w:eastAsia="es-CO"/>
              </w:rPr>
              <w:t>N5S4</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8"/>
                <w:lang w:val="es-CO" w:eastAsia="es-CO"/>
              </w:rPr>
            </w:pPr>
            <w:r w:rsidRPr="004E6CFC">
              <w:rPr>
                <w:rFonts w:cs="Arial"/>
                <w:color w:val="000000"/>
                <w:sz w:val="16"/>
                <w:szCs w:val="18"/>
                <w:lang w:val="es-CO" w:eastAsia="es-CO"/>
              </w:rPr>
              <w:t xml:space="preserve">Bahía de transformador, doble barra, 230 </w:t>
            </w:r>
            <w:r>
              <w:rPr>
                <w:rFonts w:cs="Arial"/>
                <w:color w:val="000000"/>
                <w:sz w:val="16"/>
                <w:szCs w:val="18"/>
                <w:lang w:val="es-CO" w:eastAsia="es-CO"/>
              </w:rPr>
              <w:t>kV</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8"/>
                <w:lang w:val="es-CO" w:eastAsia="es-CO"/>
              </w:rPr>
            </w:pPr>
            <w:r w:rsidRPr="004E6CFC">
              <w:rPr>
                <w:rFonts w:cs="Arial"/>
                <w:sz w:val="16"/>
                <w:szCs w:val="18"/>
                <w:lang w:val="es-CO" w:eastAsia="es-CO"/>
              </w:rPr>
              <w:t>1.246.422.000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8"/>
                <w:lang w:val="es-CO" w:eastAsia="es-CO"/>
              </w:rPr>
            </w:pPr>
            <w:r w:rsidRPr="004E6CFC">
              <w:rPr>
                <w:rFonts w:cs="Arial"/>
                <w:color w:val="000000"/>
                <w:sz w:val="16"/>
                <w:szCs w:val="18"/>
                <w:lang w:val="es-CO" w:eastAsia="es-CO"/>
              </w:rPr>
              <w:t>N5S5</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8"/>
                <w:lang w:val="es-CO" w:eastAsia="es-CO"/>
              </w:rPr>
            </w:pPr>
            <w:r w:rsidRPr="004E6CFC">
              <w:rPr>
                <w:rFonts w:cs="Arial"/>
                <w:color w:val="000000"/>
                <w:sz w:val="16"/>
                <w:szCs w:val="18"/>
                <w:lang w:val="es-CO" w:eastAsia="es-CO"/>
              </w:rPr>
              <w:t xml:space="preserve">Bahía de transformador, doble barra más transferencia, 230 </w:t>
            </w:r>
            <w:r>
              <w:rPr>
                <w:rFonts w:cs="Arial"/>
                <w:color w:val="000000"/>
                <w:sz w:val="16"/>
                <w:szCs w:val="18"/>
                <w:lang w:val="es-CO" w:eastAsia="es-CO"/>
              </w:rPr>
              <w:t>kV</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8"/>
                <w:lang w:val="es-CO" w:eastAsia="es-CO"/>
              </w:rPr>
            </w:pPr>
            <w:r w:rsidRPr="004E6CFC">
              <w:rPr>
                <w:rFonts w:cs="Arial"/>
                <w:sz w:val="16"/>
                <w:szCs w:val="18"/>
                <w:lang w:val="es-CO" w:eastAsia="es-CO"/>
              </w:rPr>
              <w:t>1.381.486.000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8"/>
                <w:lang w:val="es-CO" w:eastAsia="es-CO"/>
              </w:rPr>
            </w:pPr>
            <w:r w:rsidRPr="004E6CFC">
              <w:rPr>
                <w:rFonts w:cs="Arial"/>
                <w:color w:val="000000"/>
                <w:sz w:val="16"/>
                <w:szCs w:val="18"/>
                <w:lang w:val="es-CO" w:eastAsia="es-CO"/>
              </w:rPr>
              <w:t>N5S6</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8"/>
                <w:lang w:val="es-CO" w:eastAsia="es-CO"/>
              </w:rPr>
            </w:pPr>
            <w:r w:rsidRPr="004E6CFC">
              <w:rPr>
                <w:rFonts w:cs="Arial"/>
                <w:color w:val="000000"/>
                <w:sz w:val="16"/>
                <w:szCs w:val="18"/>
                <w:lang w:val="es-CO" w:eastAsia="es-CO"/>
              </w:rPr>
              <w:t xml:space="preserve">Bahía de transformador, doble barra más seccionador by pass, 230 </w:t>
            </w:r>
            <w:r>
              <w:rPr>
                <w:rFonts w:cs="Arial"/>
                <w:color w:val="000000"/>
                <w:sz w:val="16"/>
                <w:szCs w:val="18"/>
                <w:lang w:val="es-CO" w:eastAsia="es-CO"/>
              </w:rPr>
              <w:t>kV</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8"/>
                <w:lang w:val="es-CO" w:eastAsia="es-CO"/>
              </w:rPr>
            </w:pPr>
            <w:r w:rsidRPr="004E6CFC">
              <w:rPr>
                <w:rFonts w:cs="Arial"/>
                <w:sz w:val="16"/>
                <w:szCs w:val="18"/>
                <w:lang w:val="es-CO" w:eastAsia="es-CO"/>
              </w:rPr>
              <w:t>1.420.507.000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8"/>
                <w:lang w:val="es-CO" w:eastAsia="es-CO"/>
              </w:rPr>
            </w:pPr>
            <w:r w:rsidRPr="004E6CFC">
              <w:rPr>
                <w:rFonts w:cs="Arial"/>
                <w:color w:val="000000"/>
                <w:sz w:val="16"/>
                <w:szCs w:val="18"/>
                <w:lang w:val="es-CO" w:eastAsia="es-CO"/>
              </w:rPr>
              <w:t>N5S7</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8"/>
                <w:lang w:val="es-CO" w:eastAsia="es-CO"/>
              </w:rPr>
            </w:pPr>
            <w:r w:rsidRPr="004E6CFC">
              <w:rPr>
                <w:rFonts w:cs="Arial"/>
                <w:color w:val="000000"/>
                <w:sz w:val="16"/>
                <w:szCs w:val="18"/>
                <w:lang w:val="es-CO" w:eastAsia="es-CO"/>
              </w:rPr>
              <w:t xml:space="preserve">Módulo común activos de conexión al </w:t>
            </w:r>
            <w:r>
              <w:rPr>
                <w:rFonts w:cs="Arial"/>
                <w:color w:val="000000"/>
                <w:sz w:val="16"/>
                <w:szCs w:val="18"/>
                <w:lang w:val="es-CO" w:eastAsia="es-CO"/>
              </w:rPr>
              <w:t>STN</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8"/>
                <w:lang w:val="es-CO" w:eastAsia="es-CO"/>
              </w:rPr>
            </w:pPr>
            <w:r w:rsidRPr="004E6CFC">
              <w:rPr>
                <w:rFonts w:cs="Arial"/>
                <w:sz w:val="16"/>
                <w:szCs w:val="18"/>
                <w:lang w:val="es-CO" w:eastAsia="es-CO"/>
              </w:rPr>
              <w:t>76.393.000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8"/>
                <w:lang w:val="es-CO" w:eastAsia="es-CO"/>
              </w:rPr>
            </w:pPr>
            <w:r w:rsidRPr="004E6CFC">
              <w:rPr>
                <w:rFonts w:cs="Arial"/>
                <w:color w:val="000000"/>
                <w:sz w:val="16"/>
                <w:szCs w:val="18"/>
                <w:lang w:val="es-CO" w:eastAsia="es-CO"/>
              </w:rPr>
              <w:t>N5S8</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8"/>
                <w:lang w:val="es-CO" w:eastAsia="es-CO"/>
              </w:rPr>
            </w:pPr>
            <w:r w:rsidRPr="004E6CFC">
              <w:rPr>
                <w:rFonts w:cs="Arial"/>
                <w:color w:val="000000"/>
                <w:sz w:val="16"/>
                <w:szCs w:val="18"/>
                <w:lang w:val="es-CO" w:eastAsia="es-CO"/>
              </w:rPr>
              <w:t xml:space="preserve">Centro de supervisión y control para activos de conexión </w:t>
            </w:r>
            <w:r>
              <w:rPr>
                <w:rFonts w:cs="Arial"/>
                <w:color w:val="000000"/>
                <w:sz w:val="16"/>
                <w:szCs w:val="18"/>
                <w:lang w:val="es-CO" w:eastAsia="es-CO"/>
              </w:rPr>
              <w:t>STN</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8"/>
                <w:lang w:val="es-CO" w:eastAsia="es-CO"/>
              </w:rPr>
            </w:pPr>
            <w:r w:rsidRPr="004E6CFC">
              <w:rPr>
                <w:rFonts w:cs="Arial"/>
                <w:sz w:val="16"/>
                <w:szCs w:val="18"/>
                <w:lang w:val="es-CO" w:eastAsia="es-CO"/>
              </w:rPr>
              <w:t>157.346.000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8"/>
                <w:lang w:val="es-CO" w:eastAsia="es-CO"/>
              </w:rPr>
            </w:pPr>
            <w:r w:rsidRPr="004E6CFC">
              <w:rPr>
                <w:rFonts w:cs="Arial"/>
                <w:color w:val="000000"/>
                <w:sz w:val="16"/>
                <w:szCs w:val="18"/>
                <w:lang w:val="es-CO" w:eastAsia="es-CO"/>
              </w:rPr>
              <w:t>N5S9</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8"/>
                <w:lang w:val="es-CO" w:eastAsia="es-CO"/>
              </w:rPr>
            </w:pPr>
            <w:r w:rsidRPr="004E6CFC">
              <w:rPr>
                <w:rFonts w:cs="Arial"/>
                <w:color w:val="000000"/>
                <w:sz w:val="16"/>
                <w:szCs w:val="18"/>
                <w:lang w:val="es-CO" w:eastAsia="es-CO"/>
              </w:rPr>
              <w:t xml:space="preserve">Bahía de transformador, doble barra encapsulada, 230 </w:t>
            </w:r>
            <w:r>
              <w:rPr>
                <w:rFonts w:cs="Arial"/>
                <w:color w:val="000000"/>
                <w:sz w:val="16"/>
                <w:szCs w:val="18"/>
                <w:lang w:val="es-CO" w:eastAsia="es-CO"/>
              </w:rPr>
              <w:t>kV</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8"/>
                <w:lang w:val="es-CO" w:eastAsia="es-CO"/>
              </w:rPr>
            </w:pPr>
            <w:r w:rsidRPr="004E6CFC">
              <w:rPr>
                <w:rFonts w:cs="Arial"/>
                <w:sz w:val="16"/>
                <w:szCs w:val="18"/>
                <w:lang w:val="es-CO" w:eastAsia="es-CO"/>
              </w:rPr>
              <w:t>2.158.697.000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8"/>
                <w:lang w:val="es-CO" w:eastAsia="es-CO"/>
              </w:rPr>
            </w:pPr>
            <w:r w:rsidRPr="004E6CFC">
              <w:rPr>
                <w:rFonts w:cs="Arial"/>
                <w:color w:val="000000"/>
                <w:sz w:val="16"/>
                <w:szCs w:val="18"/>
                <w:lang w:val="es-CO" w:eastAsia="es-CO"/>
              </w:rPr>
              <w:t>N5S10</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8"/>
                <w:lang w:val="es-CO" w:eastAsia="es-CO"/>
              </w:rPr>
            </w:pPr>
            <w:r w:rsidRPr="004E6CFC">
              <w:rPr>
                <w:rFonts w:cs="Arial"/>
                <w:color w:val="000000"/>
                <w:sz w:val="16"/>
                <w:szCs w:val="18"/>
                <w:lang w:val="es-CO" w:eastAsia="es-CO"/>
              </w:rPr>
              <w:t xml:space="preserve">Servicios auxiliares de conexión al </w:t>
            </w:r>
            <w:r>
              <w:rPr>
                <w:rFonts w:cs="Arial"/>
                <w:color w:val="000000"/>
                <w:sz w:val="16"/>
                <w:szCs w:val="18"/>
                <w:lang w:val="es-CO" w:eastAsia="es-CO"/>
              </w:rPr>
              <w:t>STN</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8"/>
                <w:lang w:val="es-CO" w:eastAsia="es-CO"/>
              </w:rPr>
            </w:pPr>
            <w:r w:rsidRPr="004E6CFC">
              <w:rPr>
                <w:rFonts w:cs="Arial"/>
                <w:sz w:val="16"/>
                <w:szCs w:val="18"/>
                <w:lang w:val="es-CO" w:eastAsia="es-CO"/>
              </w:rPr>
              <w:t>152.035.000</w:t>
            </w:r>
          </w:p>
        </w:tc>
      </w:tr>
    </w:tbl>
    <w:p w:rsidR="00697252" w:rsidRPr="004E6CFC" w:rsidRDefault="00697252" w:rsidP="00697252">
      <w:pPr>
        <w:pStyle w:val="Descripcin"/>
        <w:rPr>
          <w:sz w:val="18"/>
          <w:szCs w:val="18"/>
        </w:rPr>
      </w:pPr>
      <w:r w:rsidRPr="004E6CFC">
        <w:t xml:space="preserve">Tabla </w:t>
      </w:r>
      <w:r w:rsidRPr="004E6CFC">
        <w:fldChar w:fldCharType="begin"/>
      </w:r>
      <w:r w:rsidRPr="004E6CFC">
        <w:instrText xml:space="preserve"> SEQ Tabla \* ARABIC </w:instrText>
      </w:r>
      <w:r w:rsidRPr="004E6CFC">
        <w:fldChar w:fldCharType="separate"/>
      </w:r>
      <w:r w:rsidR="00737178">
        <w:rPr>
          <w:noProof/>
        </w:rPr>
        <w:t>45</w:t>
      </w:r>
      <w:r w:rsidRPr="004E6CFC">
        <w:fldChar w:fldCharType="end"/>
      </w:r>
      <w:r w:rsidRPr="004E6CFC">
        <w:t xml:space="preserve">  UC de equipos de subestación de nivel de tensión 4 </w:t>
      </w:r>
    </w:p>
    <w:tbl>
      <w:tblPr>
        <w:tblW w:w="0" w:type="auto"/>
        <w:tblInd w:w="-72" w:type="dxa"/>
        <w:tblCellMar>
          <w:left w:w="70" w:type="dxa"/>
          <w:right w:w="70" w:type="dxa"/>
        </w:tblCellMar>
        <w:tblLook w:val="04A0" w:firstRow="1" w:lastRow="0" w:firstColumn="1" w:lastColumn="0" w:noHBand="0" w:noVBand="1"/>
      </w:tblPr>
      <w:tblGrid>
        <w:gridCol w:w="736"/>
        <w:gridCol w:w="7321"/>
        <w:gridCol w:w="1361"/>
      </w:tblGrid>
      <w:tr w:rsidR="00697252" w:rsidRPr="004E6CFC" w:rsidTr="00045289">
        <w:trPr>
          <w:trHeight w:val="513"/>
          <w:tblHeader/>
        </w:trPr>
        <w:tc>
          <w:tcPr>
            <w:tcW w:w="73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8"/>
                <w:lang w:val="es-CO" w:eastAsia="es-CO"/>
              </w:rPr>
            </w:pPr>
            <w:r w:rsidRPr="004E6CFC">
              <w:rPr>
                <w:rFonts w:cs="Arial"/>
                <w:sz w:val="18"/>
                <w:szCs w:val="18"/>
                <w:lang w:val="es-CO" w:eastAsia="es-CO"/>
              </w:rPr>
              <w:t>UC</w:t>
            </w:r>
          </w:p>
        </w:tc>
        <w:tc>
          <w:tcPr>
            <w:tcW w:w="7370"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8"/>
                <w:lang w:val="es-CO" w:eastAsia="es-CO"/>
              </w:rPr>
            </w:pPr>
            <w:r w:rsidRPr="004E6CFC">
              <w:rPr>
                <w:rFonts w:cs="Arial"/>
                <w:sz w:val="18"/>
                <w:szCs w:val="18"/>
                <w:lang w:val="es-CO" w:eastAsia="es-CO"/>
              </w:rPr>
              <w:t>DESCRIPCIÓN UNIDAD CONSTRUCTIVA</w:t>
            </w:r>
          </w:p>
        </w:tc>
        <w:tc>
          <w:tcPr>
            <w:tcW w:w="1361"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8"/>
                <w:lang w:val="es-CO" w:eastAsia="es-CO"/>
              </w:rPr>
            </w:pPr>
            <w:r w:rsidRPr="004E6CFC">
              <w:rPr>
                <w:rFonts w:cs="Arial"/>
                <w:sz w:val="18"/>
                <w:szCs w:val="18"/>
                <w:lang w:val="es-CO" w:eastAsia="es-CO"/>
              </w:rPr>
              <w:t>VALOR INSTALADO [$Dic 2007]</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N4S1</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Bahía de línea - configuración barra sencilla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645.516.000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N4S2</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Bahía de transformador - configuración barra sencilla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568.989.000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N4S3</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Bahía de línea - configuración barra doble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701.954.000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N4S4</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Bahía de transformador - configuración barra doble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625.434.000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N4S5</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Bahía de línea - configuración barra doble con by pass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808.493.000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N4S6</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Bahía de transformador - barra doble con by pass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726.570.000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N4S7</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Bahía de línea - configuración barra principal y transferencia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700.846.000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N4S8</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Bahía de transformador - barra principal y transferencia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624.348.000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N4S9</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Bahía de línea - configuración  interruptor y medio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876.747.000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N4S10</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Bahía de transformador - configuración  interruptor y medio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825.629.000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N4S11</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Bahía de línea - configuración  en anillo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695.866.000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N4S12</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Bahía de transformador - configuración en anillo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644.748.000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N4S13</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Bahía de línea - configuración barra sencilla - tipo encapsulada (</w:t>
            </w:r>
            <w:r>
              <w:rPr>
                <w:rFonts w:cs="Arial"/>
                <w:color w:val="000000"/>
                <w:sz w:val="16"/>
                <w:szCs w:val="16"/>
                <w:lang w:val="es-CO" w:eastAsia="es-CO"/>
              </w:rPr>
              <w:t>SF6</w:t>
            </w:r>
            <w:r w:rsidRPr="004E6CFC">
              <w:rPr>
                <w:rFonts w:cs="Arial"/>
                <w:color w:val="000000"/>
                <w:sz w:val="16"/>
                <w:szCs w:val="16"/>
                <w:lang w:val="es-CO" w:eastAsia="es-CO"/>
              </w:rPr>
              <w:t>)</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1.809.964.000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N4S14</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Bahía de transformador - configuración barra sencilla - tipo encapsulada(</w:t>
            </w:r>
            <w:r>
              <w:rPr>
                <w:rFonts w:cs="Arial"/>
                <w:color w:val="000000"/>
                <w:sz w:val="16"/>
                <w:szCs w:val="16"/>
                <w:lang w:val="es-CO" w:eastAsia="es-CO"/>
              </w:rPr>
              <w:t>SF6</w:t>
            </w:r>
            <w:r w:rsidRPr="004E6CFC">
              <w:rPr>
                <w:rFonts w:cs="Arial"/>
                <w:color w:val="000000"/>
                <w:sz w:val="16"/>
                <w:szCs w:val="16"/>
                <w:lang w:val="es-CO" w:eastAsia="es-CO"/>
              </w:rPr>
              <w:t>)</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1.739.851.000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N4S15</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Bahía de línea - configuración barra doble - tipo encapsulada (</w:t>
            </w:r>
            <w:r>
              <w:rPr>
                <w:rFonts w:cs="Arial"/>
                <w:color w:val="000000"/>
                <w:sz w:val="16"/>
                <w:szCs w:val="16"/>
                <w:lang w:val="es-CO" w:eastAsia="es-CO"/>
              </w:rPr>
              <w:t>SF6</w:t>
            </w:r>
            <w:r w:rsidRPr="004E6CFC">
              <w:rPr>
                <w:rFonts w:cs="Arial"/>
                <w:color w:val="000000"/>
                <w:sz w:val="16"/>
                <w:szCs w:val="16"/>
                <w:lang w:val="es-CO" w:eastAsia="es-CO"/>
              </w:rPr>
              <w:t>)</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1.844.363.000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N4S16</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Bahía de transformador - configuración barra doble - tipo encapsulada(</w:t>
            </w:r>
            <w:r>
              <w:rPr>
                <w:rFonts w:cs="Arial"/>
                <w:color w:val="000000"/>
                <w:sz w:val="16"/>
                <w:szCs w:val="16"/>
                <w:lang w:val="es-CO" w:eastAsia="es-CO"/>
              </w:rPr>
              <w:t>SF6</w:t>
            </w:r>
            <w:r w:rsidRPr="004E6CFC">
              <w:rPr>
                <w:rFonts w:cs="Arial"/>
                <w:color w:val="000000"/>
                <w:sz w:val="16"/>
                <w:szCs w:val="16"/>
                <w:lang w:val="es-CO" w:eastAsia="es-CO"/>
              </w:rPr>
              <w:t>)</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1.774.176.000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N4S17</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Bahía de maniobra - (acople - transferencia o seccionamiento)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534.030.000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N4S18</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Bahía de maniobra - tipo encapsulada (</w:t>
            </w:r>
            <w:r>
              <w:rPr>
                <w:rFonts w:cs="Arial"/>
                <w:color w:val="000000"/>
                <w:sz w:val="16"/>
                <w:szCs w:val="16"/>
                <w:lang w:val="es-CO" w:eastAsia="es-CO"/>
              </w:rPr>
              <w:t>SF6</w:t>
            </w:r>
            <w:r w:rsidRPr="004E6CFC">
              <w:rPr>
                <w:rFonts w:cs="Arial"/>
                <w:color w:val="000000"/>
                <w:sz w:val="16"/>
                <w:szCs w:val="16"/>
                <w:lang w:val="es-CO" w:eastAsia="es-CO"/>
              </w:rPr>
              <w:t>)</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1.304.904.000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N4S19</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Protección diferencial de barras de una/dos/tres/cuatro zonas</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81.322.000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N4S20</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Módulo de barraje tipo 1 - configuración barra sencilla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91.189.000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N4S21</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Módulo de barraje tipo 2 - configuración barra sencilla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124.021.000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N4S22</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Módulo de barraje tipo 3 - configuración barra sencilla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124.813.000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N4S23</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Módulo de barraje tipo 4 - configuración barra sencilla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160.536.000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N4S24</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Módulo de barraje tipo 1 - configuración barra doble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155.379.000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N4S25</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Módulo de barraje tipo 2 - configuración barra doble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287.361.000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lastRenderedPageBreak/>
              <w:t>N4S26</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Módulo de barraje tipo 3 - configuración barra doble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379.501.000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N4S27</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Módulo de barraje tipo 4 - configuración barra doble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453.562.000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N4S28</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Módulo de barraje tipo 1 - barra doble con by pass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166.178.000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N4S29</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Módulo de barraje tipo 2 - barra doble con by pass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314.234.000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N4S30</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Módulo de barraje tipo 3 - barra doble con by pass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422.505.000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N4S31</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Módulo de barraje tipo 4 - barra doble con by pass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517.893.000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N4S32</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Módulo de barraje tipo 1 - barra principal y transferencia -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155.477.000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N4S33</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Módulo de barraje tipo 2 - barra principal y transferencia -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287.459.000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N4S34</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Módulo de barraje tipo 3 - barra principal y transferencia -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379.456.000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N4S35</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Módulo de barraje tipo 4 - barra principal y transferencia -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464.169.000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N4S36</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Módulo de barraje tipo 2 - configuración interruptor y medio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198.189.000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N4S37</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Módulo de barraje tipo 3 - configuración interruptor y medio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230.400.000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N4S38</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Módulo de barraje tipo 4 - configuración interruptor y medio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296.534.000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N4S39</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Módulo de barraje tipo 2 - configuración  en anillo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129.189.000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N4S40</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Módulo de barraje tipo 3 - configuración  en anillo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148.235.000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N4S41</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Módulo común tipo 1 (1 a 3 bahías) – convencional/encapsulada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519.313.000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N4S42</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Módulo común tipo 2 (4 a 6 bahías) – convencional/encapsulada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1.067.222.000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N4S43</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Módulo común tipo 3  (7 a 9 bahías) – convencional/encapsulada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1.583.739.000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N4S44</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Módulo común tipo 4 (</w:t>
            </w:r>
            <w:r w:rsidR="00BE7ED4" w:rsidRPr="004E6CFC">
              <w:rPr>
                <w:rFonts w:cs="Arial"/>
                <w:color w:val="000000"/>
                <w:sz w:val="16"/>
                <w:szCs w:val="16"/>
                <w:lang w:val="es-CO" w:eastAsia="es-CO"/>
              </w:rPr>
              <w:t>más</w:t>
            </w:r>
            <w:r w:rsidRPr="004E6CFC">
              <w:rPr>
                <w:rFonts w:cs="Arial"/>
                <w:color w:val="000000"/>
                <w:sz w:val="16"/>
                <w:szCs w:val="16"/>
                <w:lang w:val="es-CO" w:eastAsia="es-CO"/>
              </w:rPr>
              <w:t xml:space="preserve"> 9 bahías) – convencional/encapsulada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1.959.991.000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N4S45</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Sistema de control de la subestación (</w:t>
            </w:r>
            <w:r>
              <w:rPr>
                <w:rFonts w:cs="Arial"/>
                <w:color w:val="000000"/>
                <w:sz w:val="16"/>
                <w:szCs w:val="16"/>
                <w:lang w:val="es-CO" w:eastAsia="es-CO"/>
              </w:rPr>
              <w:t>S/E</w:t>
            </w:r>
            <w:r w:rsidRPr="004E6CFC">
              <w:rPr>
                <w:rFonts w:cs="Arial"/>
                <w:color w:val="000000"/>
                <w:sz w:val="16"/>
                <w:szCs w:val="16"/>
                <w:lang w:val="es-CO" w:eastAsia="es-CO"/>
              </w:rPr>
              <w:t xml:space="preserve"> 115 </w:t>
            </w:r>
            <w:r>
              <w:rPr>
                <w:rFonts w:cs="Arial"/>
                <w:color w:val="000000"/>
                <w:sz w:val="16"/>
                <w:szCs w:val="16"/>
                <w:lang w:val="es-CO" w:eastAsia="es-CO"/>
              </w:rPr>
              <w:t>kV</w:t>
            </w:r>
            <w:r w:rsidRPr="004E6CFC">
              <w:rPr>
                <w:rFonts w:cs="Arial"/>
                <w:color w:val="000000"/>
                <w:sz w:val="16"/>
                <w:szCs w:val="16"/>
                <w:lang w:val="es-CO" w:eastAsia="es-CO"/>
              </w:rPr>
              <w:t xml:space="preserve">/34.5 </w:t>
            </w:r>
            <w:r>
              <w:rPr>
                <w:rFonts w:cs="Arial"/>
                <w:color w:val="000000"/>
                <w:sz w:val="16"/>
                <w:szCs w:val="16"/>
                <w:lang w:val="es-CO" w:eastAsia="es-CO"/>
              </w:rPr>
              <w:t>kV</w:t>
            </w:r>
            <w:r w:rsidRPr="004E6CFC">
              <w:rPr>
                <w:rFonts w:cs="Arial"/>
                <w:color w:val="000000"/>
                <w:sz w:val="16"/>
                <w:szCs w:val="16"/>
                <w:lang w:val="es-CO" w:eastAsia="es-CO"/>
              </w:rPr>
              <w:t>) o (</w:t>
            </w:r>
            <w:r>
              <w:rPr>
                <w:rFonts w:cs="Arial"/>
                <w:color w:val="000000"/>
                <w:sz w:val="16"/>
                <w:szCs w:val="16"/>
                <w:lang w:val="es-CO" w:eastAsia="es-CO"/>
              </w:rPr>
              <w:t>S/E</w:t>
            </w:r>
            <w:r w:rsidRPr="004E6CFC">
              <w:rPr>
                <w:rFonts w:cs="Arial"/>
                <w:color w:val="000000"/>
                <w:sz w:val="16"/>
                <w:szCs w:val="16"/>
                <w:lang w:val="es-CO" w:eastAsia="es-CO"/>
              </w:rPr>
              <w:t xml:space="preserve"> 115</w:t>
            </w:r>
            <w:r>
              <w:rPr>
                <w:rFonts w:cs="Arial"/>
                <w:color w:val="000000"/>
                <w:sz w:val="16"/>
                <w:szCs w:val="16"/>
                <w:lang w:val="es-CO" w:eastAsia="es-CO"/>
              </w:rPr>
              <w:t>kV</w:t>
            </w:r>
            <w:r w:rsidRPr="004E6CFC">
              <w:rPr>
                <w:rFonts w:cs="Arial"/>
                <w:color w:val="000000"/>
                <w:sz w:val="16"/>
                <w:szCs w:val="16"/>
                <w:lang w:val="es-CO" w:eastAsia="es-CO"/>
              </w:rPr>
              <w:t xml:space="preserve">/ 13.8 </w:t>
            </w:r>
            <w:r>
              <w:rPr>
                <w:rFonts w:cs="Arial"/>
                <w:color w:val="000000"/>
                <w:sz w:val="16"/>
                <w:szCs w:val="16"/>
                <w:lang w:val="es-CO" w:eastAsia="es-CO"/>
              </w:rPr>
              <w:t>kV</w:t>
            </w:r>
            <w:r w:rsidRPr="004E6CFC">
              <w:rPr>
                <w:rFonts w:cs="Arial"/>
                <w:color w:val="000000"/>
                <w:sz w:val="16"/>
                <w:szCs w:val="16"/>
                <w:lang w:val="es-CO" w:eastAsia="es-CO"/>
              </w:rPr>
              <w:t>)</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112.285.000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N4S46</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Campo móvil encapsulado nivel 4</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2.266.512.000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N4S47</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Bahía de maniobra - (seccionamiento de barras sin interruptor)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92.754.000</w:t>
            </w:r>
          </w:p>
        </w:tc>
      </w:tr>
      <w:tr w:rsidR="00697252" w:rsidRPr="004E6CFC" w:rsidTr="00045289">
        <w:trPr>
          <w:trHeight w:val="270"/>
        </w:trPr>
        <w:tc>
          <w:tcPr>
            <w:tcW w:w="737" w:type="dxa"/>
            <w:tcBorders>
              <w:top w:val="nil"/>
              <w:left w:val="single" w:sz="4" w:space="0" w:color="auto"/>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N4S48</w:t>
            </w:r>
          </w:p>
        </w:tc>
        <w:tc>
          <w:tcPr>
            <w:tcW w:w="7370" w:type="dxa"/>
            <w:tcBorders>
              <w:top w:val="nil"/>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Casa de control nivel de tensión 4 ($/m</w:t>
            </w:r>
            <w:r w:rsidRPr="004E6CFC">
              <w:rPr>
                <w:rFonts w:cs="Arial"/>
                <w:color w:val="000000"/>
                <w:sz w:val="16"/>
                <w:szCs w:val="16"/>
                <w:vertAlign w:val="superscript"/>
                <w:lang w:val="es-CO" w:eastAsia="es-CO"/>
              </w:rPr>
              <w:t>2</w:t>
            </w:r>
            <w:r w:rsidRPr="004E6CFC">
              <w:rPr>
                <w:rFonts w:cs="Arial"/>
                <w:color w:val="000000"/>
                <w:sz w:val="16"/>
                <w:szCs w:val="16"/>
                <w:lang w:val="es-CO" w:eastAsia="es-CO"/>
              </w:rPr>
              <w:t>)</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2.000.000</w:t>
            </w:r>
          </w:p>
        </w:tc>
      </w:tr>
    </w:tbl>
    <w:p w:rsidR="00697252" w:rsidRPr="004E6CFC" w:rsidRDefault="00697252" w:rsidP="00697252">
      <w:pPr>
        <w:pStyle w:val="Descripcin"/>
        <w:rPr>
          <w:sz w:val="18"/>
          <w:szCs w:val="18"/>
        </w:rPr>
      </w:pPr>
      <w:r w:rsidRPr="004E6CFC">
        <w:t xml:space="preserve">Tabla </w:t>
      </w:r>
      <w:r w:rsidRPr="004E6CFC">
        <w:fldChar w:fldCharType="begin"/>
      </w:r>
      <w:r w:rsidRPr="004E6CFC">
        <w:instrText xml:space="preserve"> SEQ Tabla \* ARABIC </w:instrText>
      </w:r>
      <w:r w:rsidRPr="004E6CFC">
        <w:fldChar w:fldCharType="separate"/>
      </w:r>
      <w:r w:rsidR="00737178">
        <w:rPr>
          <w:noProof/>
        </w:rPr>
        <w:t>46</w:t>
      </w:r>
      <w:r w:rsidRPr="004E6CFC">
        <w:fldChar w:fldCharType="end"/>
      </w:r>
      <w:r w:rsidRPr="004E6CFC">
        <w:t xml:space="preserve"> UC de equipos de subestación de nivel de tensión 3 </w:t>
      </w:r>
    </w:p>
    <w:tbl>
      <w:tblPr>
        <w:tblW w:w="0" w:type="auto"/>
        <w:tblInd w:w="-72" w:type="dxa"/>
        <w:tblCellMar>
          <w:left w:w="70" w:type="dxa"/>
          <w:right w:w="70" w:type="dxa"/>
        </w:tblCellMar>
        <w:tblLook w:val="04A0" w:firstRow="1" w:lastRow="0" w:firstColumn="1" w:lastColumn="0" w:noHBand="0" w:noVBand="1"/>
      </w:tblPr>
      <w:tblGrid>
        <w:gridCol w:w="736"/>
        <w:gridCol w:w="7321"/>
        <w:gridCol w:w="1361"/>
      </w:tblGrid>
      <w:tr w:rsidR="00697252" w:rsidRPr="004E6CFC" w:rsidTr="00045289">
        <w:trPr>
          <w:trHeight w:val="608"/>
          <w:tblHeader/>
        </w:trPr>
        <w:tc>
          <w:tcPr>
            <w:tcW w:w="73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UC</w:t>
            </w:r>
          </w:p>
        </w:tc>
        <w:tc>
          <w:tcPr>
            <w:tcW w:w="7370"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DESCRIPCIÓN UNIDAD CONSTRUCTIVA</w:t>
            </w:r>
          </w:p>
        </w:tc>
        <w:tc>
          <w:tcPr>
            <w:tcW w:w="1361"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VALOR INSTALADO [$Dic 2007]</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N3S1</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Bahía de línea - configuración barra sencilla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330.511.000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N3S2</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Bahía de transformador - configuración barra sencilla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279.974.000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N3S3</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Bahía de línea - configuración barra doble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362.691.000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N3S4</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Bahía de transformador - configuración barra doble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288.396.000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N3S5</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Bahía de línea - configuración barra principal y transferencia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362.791.000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N3S6</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Bahía de transformador - barra principal y transferencia -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312.283.000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N3S7</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Bahía de línea - configuración barra sencilla - tipo encapsulada (</w:t>
            </w:r>
            <w:r>
              <w:rPr>
                <w:rFonts w:cs="Arial"/>
                <w:color w:val="000000"/>
                <w:sz w:val="16"/>
                <w:szCs w:val="14"/>
                <w:lang w:val="es-CO" w:eastAsia="es-CO"/>
              </w:rPr>
              <w:t>SF6</w:t>
            </w:r>
            <w:r w:rsidRPr="004E6CFC">
              <w:rPr>
                <w:rFonts w:cs="Arial"/>
                <w:color w:val="000000"/>
                <w:sz w:val="16"/>
                <w:szCs w:val="14"/>
                <w:lang w:val="es-CO" w:eastAsia="es-CO"/>
              </w:rPr>
              <w:t>)</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433.388.000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N3S8</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Bahía de transformador - configuración barra sencilla - tipo encapsulada (</w:t>
            </w:r>
            <w:r>
              <w:rPr>
                <w:rFonts w:cs="Arial"/>
                <w:color w:val="000000"/>
                <w:sz w:val="16"/>
                <w:szCs w:val="14"/>
                <w:lang w:val="es-CO" w:eastAsia="es-CO"/>
              </w:rPr>
              <w:t>SF6</w:t>
            </w:r>
            <w:r w:rsidRPr="004E6CFC">
              <w:rPr>
                <w:rFonts w:cs="Arial"/>
                <w:color w:val="000000"/>
                <w:sz w:val="16"/>
                <w:szCs w:val="14"/>
                <w:lang w:val="es-CO" w:eastAsia="es-CO"/>
              </w:rPr>
              <w:t>)</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386.204.000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N3S9</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Bahía de línea - configuración barra doble - tipo encapsulada (</w:t>
            </w:r>
            <w:r>
              <w:rPr>
                <w:rFonts w:cs="Arial"/>
                <w:color w:val="000000"/>
                <w:sz w:val="16"/>
                <w:szCs w:val="14"/>
                <w:lang w:val="es-CO" w:eastAsia="es-CO"/>
              </w:rPr>
              <w:t>SF6</w:t>
            </w:r>
            <w:r w:rsidRPr="004E6CFC">
              <w:rPr>
                <w:rFonts w:cs="Arial"/>
                <w:color w:val="000000"/>
                <w:sz w:val="16"/>
                <w:szCs w:val="14"/>
                <w:lang w:val="es-CO" w:eastAsia="es-CO"/>
              </w:rPr>
              <w:t>)</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433.981.000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N3S10</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Bahía de transformador - configuración barra doble - tipo encapsulada (</w:t>
            </w:r>
            <w:r>
              <w:rPr>
                <w:rFonts w:cs="Arial"/>
                <w:color w:val="000000"/>
                <w:sz w:val="16"/>
                <w:szCs w:val="14"/>
                <w:lang w:val="es-CO" w:eastAsia="es-CO"/>
              </w:rPr>
              <w:t>SF6</w:t>
            </w:r>
            <w:r w:rsidRPr="004E6CFC">
              <w:rPr>
                <w:rFonts w:cs="Arial"/>
                <w:color w:val="000000"/>
                <w:sz w:val="16"/>
                <w:szCs w:val="14"/>
                <w:lang w:val="es-CO" w:eastAsia="es-CO"/>
              </w:rPr>
              <w:t>)</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383.966.000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N3S11</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Celda de línea - subestación tipo metalclad</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235.694.000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N3S12</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Celda de transformador o acople - subestación tipo metalclad</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162.889.000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N3S13</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Bahía de línea - subestación convencional reducida - tipo 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228.601.000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N3S14</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Bahía de transformador - subestación convencional reducida - tipo 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137.296.000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N3S15</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Bahía de línea - subestación convencional reducida - tipo 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287.591.000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N3S16</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Bahía de transformador - subestación convencional reducida - tipo 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135.324.000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N3S17</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Bahía de línea - subestación reducida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84.812.000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N3S18</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Bahía de transformador - subestación reducida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83.685.000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N3S19</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Bahía de acople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227.998.000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N3S20</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Bahía de acople - tipo encapsulada (</w:t>
            </w:r>
            <w:r>
              <w:rPr>
                <w:rFonts w:cs="Arial"/>
                <w:color w:val="000000"/>
                <w:sz w:val="16"/>
                <w:szCs w:val="14"/>
                <w:lang w:val="es-CO" w:eastAsia="es-CO"/>
              </w:rPr>
              <w:t>SF6</w:t>
            </w:r>
            <w:r w:rsidRPr="004E6CFC">
              <w:rPr>
                <w:rFonts w:cs="Arial"/>
                <w:color w:val="000000"/>
                <w:sz w:val="16"/>
                <w:szCs w:val="14"/>
                <w:lang w:val="es-CO" w:eastAsia="es-CO"/>
              </w:rPr>
              <w:t>)</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316.972.000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N3S21</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Protección diferencial - barra sencilla - tipo 1 o tipo 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31.649.000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N3S22</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Protección diferencial - configuraciones diferentes a barra sencilla - tipo 1 o 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33.563.000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N3S23</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Protección diferencial - barraje partido</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58.762.000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N3S24</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Módulo de barraje - barra sencilla - tipo convencional - tipo 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30.596.000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N3S25</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Módulo de barraje - barra sencilla - tipo convencional - tipo 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43.404.000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lastRenderedPageBreak/>
              <w:t>N3S26</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Módulo de barraje - barra sencilla - tipo convencional - tipo 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56.738.000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N3S27</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Módulo de barraje - barra doble - tipo 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56.503.000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N3S28</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BE7ED4"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Módulo</w:t>
            </w:r>
            <w:r w:rsidR="00697252" w:rsidRPr="004E6CFC">
              <w:rPr>
                <w:rFonts w:cs="Arial"/>
                <w:color w:val="000000"/>
                <w:sz w:val="16"/>
                <w:szCs w:val="14"/>
                <w:lang w:val="es-CO" w:eastAsia="es-CO"/>
              </w:rPr>
              <w:t xml:space="preserve"> de barraje - barra doble - tipo 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83.130.000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N3S29</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BE7ED4"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Módulo</w:t>
            </w:r>
            <w:r w:rsidR="00697252" w:rsidRPr="004E6CFC">
              <w:rPr>
                <w:rFonts w:cs="Arial"/>
                <w:color w:val="000000"/>
                <w:sz w:val="16"/>
                <w:szCs w:val="14"/>
                <w:lang w:val="es-CO" w:eastAsia="es-CO"/>
              </w:rPr>
              <w:t xml:space="preserve"> de barraje - barra doble - tipo 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108.704.000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N3S30</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Módulo de barraje - barra principal y transferencia - tipo convencional - tipo 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56.503.000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N3S31</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Módulo de barraje - barra principal y transferencia - tipo convencional - tipo 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82.077.000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N3S32</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Módulo de barraje - barra principal y transferencia - tipo convencional - tipo 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108.704.000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N3S33</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Módulo de barraje - convencional reducida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14.388.000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N3S34</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Módulo común - tipo 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286.545.000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N3S35</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Módulo común - tipo 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367.658.000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N3S36</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Módulo común - tipo 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479.784.000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N3S37</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Módulo común - tipo 4</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149.978.000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N3S38</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Sistemas de control de la subestación</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35.407.000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N3S39</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 xml:space="preserve">Subestación móvil 30 </w:t>
            </w:r>
            <w:r>
              <w:rPr>
                <w:rFonts w:cs="Arial"/>
                <w:color w:val="000000"/>
                <w:sz w:val="16"/>
                <w:szCs w:val="14"/>
                <w:lang w:val="es-CO" w:eastAsia="es-CO"/>
              </w:rPr>
              <w:t>MVA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1.845.005.000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N3S40</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 xml:space="preserve">Subestación móvil 15 </w:t>
            </w:r>
            <w:r>
              <w:rPr>
                <w:rFonts w:cs="Arial"/>
                <w:color w:val="000000"/>
                <w:sz w:val="16"/>
                <w:szCs w:val="14"/>
                <w:lang w:val="es-CO" w:eastAsia="es-CO"/>
              </w:rPr>
              <w:t>MVA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1.433.156.000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N3S41</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 xml:space="preserve">Subestación móvil 21 </w:t>
            </w:r>
            <w:r>
              <w:rPr>
                <w:rFonts w:cs="Arial"/>
                <w:color w:val="000000"/>
                <w:sz w:val="16"/>
                <w:szCs w:val="14"/>
                <w:lang w:val="es-CO" w:eastAsia="es-CO"/>
              </w:rPr>
              <w:t>MVA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1.582.747.000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N3S42</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 xml:space="preserve">Subestación móvil 7.5 </w:t>
            </w:r>
            <w:r>
              <w:rPr>
                <w:rFonts w:cs="Arial"/>
                <w:color w:val="000000"/>
                <w:sz w:val="16"/>
                <w:szCs w:val="14"/>
                <w:lang w:val="es-CO" w:eastAsia="es-CO"/>
              </w:rPr>
              <w:t>MVA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516.357.000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N3S43</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Subestación simplificada (rural)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87.615.000</w:t>
            </w:r>
          </w:p>
        </w:tc>
      </w:tr>
      <w:tr w:rsidR="00697252" w:rsidRPr="004E6CFC" w:rsidTr="00045289">
        <w:trPr>
          <w:trHeight w:val="270"/>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N3S44</w:t>
            </w:r>
          </w:p>
        </w:tc>
        <w:tc>
          <w:tcPr>
            <w:tcW w:w="7370" w:type="dxa"/>
            <w:tcBorders>
              <w:top w:val="nil"/>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Casa de control nivel de tensión 3 ($/m</w:t>
            </w:r>
            <w:r w:rsidRPr="004E6CFC">
              <w:rPr>
                <w:rFonts w:cs="Arial"/>
                <w:color w:val="000000"/>
                <w:sz w:val="16"/>
                <w:szCs w:val="14"/>
                <w:vertAlign w:val="superscript"/>
                <w:lang w:val="es-CO" w:eastAsia="es-CO"/>
              </w:rPr>
              <w:t>2</w:t>
            </w:r>
            <w:r w:rsidRPr="004E6CFC">
              <w:rPr>
                <w:rFonts w:cs="Arial"/>
                <w:color w:val="000000"/>
                <w:sz w:val="16"/>
                <w:szCs w:val="14"/>
                <w:lang w:val="es-CO" w:eastAsia="es-CO"/>
              </w:rPr>
              <w:t>)</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2.000.000</w:t>
            </w:r>
          </w:p>
        </w:tc>
      </w:tr>
    </w:tbl>
    <w:p w:rsidR="00697252" w:rsidRPr="004E6CFC" w:rsidRDefault="00697252" w:rsidP="00697252">
      <w:pPr>
        <w:pStyle w:val="Descripcin"/>
        <w:rPr>
          <w:sz w:val="18"/>
          <w:szCs w:val="18"/>
        </w:rPr>
      </w:pPr>
      <w:r w:rsidRPr="004E6CFC">
        <w:t xml:space="preserve">Tabla </w:t>
      </w:r>
      <w:r w:rsidRPr="004E6CFC">
        <w:fldChar w:fldCharType="begin"/>
      </w:r>
      <w:r w:rsidRPr="004E6CFC">
        <w:instrText xml:space="preserve"> SEQ Tabla \* ARABIC </w:instrText>
      </w:r>
      <w:r w:rsidRPr="004E6CFC">
        <w:fldChar w:fldCharType="separate"/>
      </w:r>
      <w:r w:rsidR="00737178">
        <w:rPr>
          <w:noProof/>
        </w:rPr>
        <w:t>47</w:t>
      </w:r>
      <w:r w:rsidRPr="004E6CFC">
        <w:fldChar w:fldCharType="end"/>
      </w:r>
      <w:r w:rsidRPr="004E6CFC">
        <w:t xml:space="preserve"> UC de equipos de subestación de nivel de tensión 2.</w:t>
      </w:r>
    </w:p>
    <w:tbl>
      <w:tblPr>
        <w:tblW w:w="0" w:type="auto"/>
        <w:tblInd w:w="-72" w:type="dxa"/>
        <w:tblCellMar>
          <w:left w:w="70" w:type="dxa"/>
          <w:right w:w="70" w:type="dxa"/>
        </w:tblCellMar>
        <w:tblLook w:val="04A0" w:firstRow="1" w:lastRow="0" w:firstColumn="1" w:lastColumn="0" w:noHBand="0" w:noVBand="1"/>
      </w:tblPr>
      <w:tblGrid>
        <w:gridCol w:w="736"/>
        <w:gridCol w:w="7321"/>
        <w:gridCol w:w="1361"/>
      </w:tblGrid>
      <w:tr w:rsidR="00697252" w:rsidRPr="004E6CFC" w:rsidTr="00045289">
        <w:trPr>
          <w:trHeight w:val="605"/>
          <w:tblHeader/>
        </w:trPr>
        <w:tc>
          <w:tcPr>
            <w:tcW w:w="73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UC</w:t>
            </w:r>
          </w:p>
        </w:tc>
        <w:tc>
          <w:tcPr>
            <w:tcW w:w="7370"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DESCRIPCIÓN UNIDAD CONSTRUCTIVA</w:t>
            </w:r>
          </w:p>
        </w:tc>
        <w:tc>
          <w:tcPr>
            <w:tcW w:w="1361"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VALOR INSTALADO  [$Dic 2007]</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N2S1</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Bahía de línea - configuración barra sencilla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211.154.000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N2S2</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Bahía de transformador - configuración barra sencilla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199.147.000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N2S3</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Bahía de línea - configuración barra doble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231.263.000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N2S4</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Bahía de transformador - configuración barra doble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219.263.000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N2S5</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Bahía de línea - configuración barra principal y transferencia - tipo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226.892.000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N2S6</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Bahía de transformador - barra principal y transferencia -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209.647.000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N2S7</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Bahía de línea - subestación reducida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72.416.000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N2S8</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Bahía de acople o seccionamiento (configuraciones  en que aplica) - convencional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183.832.000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N2S9</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Celda de salida de circuito - barra sencilla - subestación metalclad</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105.116.000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N2S10</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 xml:space="preserve">Celda de llegada </w:t>
            </w:r>
            <w:r w:rsidR="00BE7ED4" w:rsidRPr="004E6CFC">
              <w:rPr>
                <w:rFonts w:cs="Arial"/>
                <w:color w:val="000000"/>
                <w:sz w:val="16"/>
                <w:szCs w:val="14"/>
                <w:lang w:val="es-CO" w:eastAsia="es-CO"/>
              </w:rPr>
              <w:t>de transformador</w:t>
            </w:r>
            <w:r w:rsidRPr="004E6CFC">
              <w:rPr>
                <w:rFonts w:cs="Arial"/>
                <w:color w:val="000000"/>
                <w:sz w:val="16"/>
                <w:szCs w:val="14"/>
                <w:lang w:val="es-CO" w:eastAsia="es-CO"/>
              </w:rPr>
              <w:t xml:space="preserve"> - barra sencilla - subestación metalclad</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109.152.000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N2S11</w:t>
            </w:r>
          </w:p>
        </w:tc>
        <w:tc>
          <w:tcPr>
            <w:tcW w:w="7370" w:type="dxa"/>
            <w:tcBorders>
              <w:top w:val="nil"/>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Celda de interconexión o de acople - barra sencilla - subestación metalclad</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97.783.000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N2S12</w:t>
            </w:r>
          </w:p>
        </w:tc>
        <w:tc>
          <w:tcPr>
            <w:tcW w:w="7370" w:type="dxa"/>
            <w:tcBorders>
              <w:top w:val="nil"/>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Celda de medida o auxiliares - barra sencilla - subestación metalclad</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97.011.000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N2S13</w:t>
            </w:r>
          </w:p>
        </w:tc>
        <w:tc>
          <w:tcPr>
            <w:tcW w:w="7370" w:type="dxa"/>
            <w:tcBorders>
              <w:top w:val="nil"/>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Gabinete protección de barras - subestación metalclad</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136.263.000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N2S14</w:t>
            </w:r>
          </w:p>
        </w:tc>
        <w:tc>
          <w:tcPr>
            <w:tcW w:w="7370" w:type="dxa"/>
            <w:tcBorders>
              <w:top w:val="nil"/>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Ducto de barras o cables llegada  transformador - barra sencilla - se metalclad</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53.178.000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N2S15</w:t>
            </w:r>
          </w:p>
        </w:tc>
        <w:tc>
          <w:tcPr>
            <w:tcW w:w="7370" w:type="dxa"/>
            <w:tcBorders>
              <w:top w:val="nil"/>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Celda de salida de circuito - doble barra - subestación metalclad</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135.189.000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N2S16</w:t>
            </w:r>
          </w:p>
        </w:tc>
        <w:tc>
          <w:tcPr>
            <w:tcW w:w="7370" w:type="dxa"/>
            <w:tcBorders>
              <w:top w:val="nil"/>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 xml:space="preserve">Celda de llegada </w:t>
            </w:r>
            <w:r w:rsidR="00BE7ED4" w:rsidRPr="004E6CFC">
              <w:rPr>
                <w:rFonts w:cs="Arial"/>
                <w:color w:val="000000"/>
                <w:sz w:val="16"/>
                <w:szCs w:val="14"/>
                <w:lang w:val="es-CO" w:eastAsia="es-CO"/>
              </w:rPr>
              <w:t>de transformador</w:t>
            </w:r>
            <w:r w:rsidRPr="004E6CFC">
              <w:rPr>
                <w:rFonts w:cs="Arial"/>
                <w:color w:val="000000"/>
                <w:sz w:val="16"/>
                <w:szCs w:val="14"/>
                <w:lang w:val="es-CO" w:eastAsia="es-CO"/>
              </w:rPr>
              <w:t xml:space="preserve"> - doble barra - subestación metalclad</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115.716.000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N2S17</w:t>
            </w:r>
          </w:p>
        </w:tc>
        <w:tc>
          <w:tcPr>
            <w:tcW w:w="7370" w:type="dxa"/>
            <w:tcBorders>
              <w:top w:val="nil"/>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Celda de interconexión o de acople - doble barra - subestación metalclad</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103.865.000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N2S18</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Celda de medida o auxiliares - doble barra - subestación metalclad</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102.405.000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N2S19</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Ducto barras/cables llegada transformador - doble barra - subestación metalclad</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58.129.000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N2S20</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Módulo de barraje - barra sencilla tipo 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17.222.000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N2S21</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Módulo de barraje - barra sencilla tipo 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23.803.000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N2S22</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Módulo de barraje - barra sencilla tipo 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30.639.000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N2S23</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Módulo de barraje - barra doble tipo 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30.451.000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N2S24</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Módulo de barraje - barra doble tipo 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44.082.000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N2S25</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Módulo de barraje - barra doble tipo 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57.201.000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N2S26</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Módulo de barraje - barra principal y transferencia - tipo 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30.451.000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N2S27</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Módulo de barraje - barra principal y transferencia - tipo 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44.082.000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N2S28</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Módulo de barraje - barra principal y transferencia - tipo 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57.201.000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N2S29</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val="es-CO" w:eastAsia="es-CO"/>
              </w:rPr>
            </w:pPr>
            <w:r w:rsidRPr="004E6CFC">
              <w:rPr>
                <w:rFonts w:cs="Arial"/>
                <w:color w:val="000000"/>
                <w:sz w:val="16"/>
                <w:szCs w:val="14"/>
                <w:lang w:val="es-CO" w:eastAsia="es-CO"/>
              </w:rPr>
              <w:t>Módulo de barraje - subestación reducida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14.239.000</w:t>
            </w:r>
          </w:p>
        </w:tc>
      </w:tr>
    </w:tbl>
    <w:p w:rsidR="00697252" w:rsidRPr="004E6CFC" w:rsidRDefault="00697252" w:rsidP="00697252">
      <w:pPr>
        <w:pStyle w:val="Descripcin"/>
        <w:rPr>
          <w:sz w:val="18"/>
          <w:szCs w:val="18"/>
        </w:rPr>
      </w:pPr>
      <w:r w:rsidRPr="004E6CFC">
        <w:lastRenderedPageBreak/>
        <w:t xml:space="preserve">Tabla </w:t>
      </w:r>
      <w:r w:rsidRPr="004E6CFC">
        <w:fldChar w:fldCharType="begin"/>
      </w:r>
      <w:r w:rsidRPr="004E6CFC">
        <w:instrText xml:space="preserve"> SEQ Tabla \* ARABIC </w:instrText>
      </w:r>
      <w:r w:rsidRPr="004E6CFC">
        <w:fldChar w:fldCharType="separate"/>
      </w:r>
      <w:r w:rsidR="00737178">
        <w:rPr>
          <w:noProof/>
        </w:rPr>
        <w:t>48</w:t>
      </w:r>
      <w:r w:rsidRPr="004E6CFC">
        <w:fldChar w:fldCharType="end"/>
      </w:r>
      <w:r w:rsidRPr="004E6CFC">
        <w:t xml:space="preserve"> UC de líneas de nivel de nivel de tensión  4</w:t>
      </w:r>
    </w:p>
    <w:tbl>
      <w:tblPr>
        <w:tblW w:w="9468" w:type="dxa"/>
        <w:tblInd w:w="-72" w:type="dxa"/>
        <w:tblCellMar>
          <w:left w:w="70" w:type="dxa"/>
          <w:right w:w="70" w:type="dxa"/>
        </w:tblCellMar>
        <w:tblLook w:val="04A0" w:firstRow="1" w:lastRow="0" w:firstColumn="1" w:lastColumn="0" w:noHBand="0" w:noVBand="1"/>
      </w:tblPr>
      <w:tblGrid>
        <w:gridCol w:w="737"/>
        <w:gridCol w:w="7370"/>
        <w:gridCol w:w="1361"/>
      </w:tblGrid>
      <w:tr w:rsidR="00697252" w:rsidRPr="004E6CFC" w:rsidTr="00045289">
        <w:trPr>
          <w:trHeight w:val="587"/>
          <w:tblHeader/>
        </w:trPr>
        <w:tc>
          <w:tcPr>
            <w:tcW w:w="73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UC</w:t>
            </w:r>
          </w:p>
        </w:tc>
        <w:tc>
          <w:tcPr>
            <w:tcW w:w="7370"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DESCRIPCIÓN UNIDAD CONSTRUCTIVA</w:t>
            </w:r>
          </w:p>
        </w:tc>
        <w:tc>
          <w:tcPr>
            <w:tcW w:w="1361"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VALOR INSTALADO [$Dic 2007]</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N4L1</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urbana - circuito sencillo  - estructura concreto - conductor </w:t>
            </w:r>
            <w:r>
              <w:rPr>
                <w:rFonts w:cs="Arial"/>
                <w:sz w:val="16"/>
                <w:szCs w:val="14"/>
                <w:lang w:val="es-CO" w:eastAsia="es-CO"/>
              </w:rPr>
              <w:t>D-N</w:t>
            </w:r>
            <w:r w:rsidRPr="004E6CFC">
              <w:rPr>
                <w:rFonts w:cs="Arial"/>
                <w:sz w:val="16"/>
                <w:szCs w:val="14"/>
                <w:lang w:val="es-CO" w:eastAsia="es-CO"/>
              </w:rPr>
              <w:t>4-1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203.914.000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N4L2</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urbana - circuito sencillo  - estructura concreto - conductor </w:t>
            </w:r>
            <w:r>
              <w:rPr>
                <w:rFonts w:cs="Arial"/>
                <w:sz w:val="16"/>
                <w:szCs w:val="14"/>
                <w:lang w:val="es-CO" w:eastAsia="es-CO"/>
              </w:rPr>
              <w:t>D-N</w:t>
            </w:r>
            <w:r w:rsidRPr="004E6CFC">
              <w:rPr>
                <w:rFonts w:cs="Arial"/>
                <w:sz w:val="16"/>
                <w:szCs w:val="14"/>
                <w:lang w:val="es-CO" w:eastAsia="es-CO"/>
              </w:rPr>
              <w:t>4-2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212.204.000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N4L3</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urbana - circuito sencillo  - estructura concreto - conductor </w:t>
            </w:r>
            <w:r>
              <w:rPr>
                <w:rFonts w:cs="Arial"/>
                <w:sz w:val="16"/>
                <w:szCs w:val="14"/>
                <w:lang w:val="es-CO" w:eastAsia="es-CO"/>
              </w:rPr>
              <w:t>D-N</w:t>
            </w:r>
            <w:r w:rsidRPr="004E6CFC">
              <w:rPr>
                <w:rFonts w:cs="Arial"/>
                <w:sz w:val="16"/>
                <w:szCs w:val="14"/>
                <w:lang w:val="es-CO" w:eastAsia="es-CO"/>
              </w:rPr>
              <w:t>4-3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231.231.000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N4L4</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urbana - circuito sencillo  - estructura concreto - conductor </w:t>
            </w:r>
            <w:r>
              <w:rPr>
                <w:rFonts w:cs="Arial"/>
                <w:sz w:val="16"/>
                <w:szCs w:val="14"/>
                <w:lang w:val="es-CO" w:eastAsia="es-CO"/>
              </w:rPr>
              <w:t>D-N</w:t>
            </w:r>
            <w:r w:rsidRPr="004E6CFC">
              <w:rPr>
                <w:rFonts w:cs="Arial"/>
                <w:sz w:val="16"/>
                <w:szCs w:val="14"/>
                <w:lang w:val="es-CO" w:eastAsia="es-CO"/>
              </w:rPr>
              <w:t>4-4</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238.890.000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N4L5</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rural - circuito sencillo  - estructura concreto - conductor </w:t>
            </w:r>
            <w:r>
              <w:rPr>
                <w:rFonts w:cs="Arial"/>
                <w:sz w:val="16"/>
                <w:szCs w:val="14"/>
                <w:lang w:val="es-CO" w:eastAsia="es-CO"/>
              </w:rPr>
              <w:t>D-N</w:t>
            </w:r>
            <w:r w:rsidRPr="004E6CFC">
              <w:rPr>
                <w:rFonts w:cs="Arial"/>
                <w:sz w:val="16"/>
                <w:szCs w:val="14"/>
                <w:lang w:val="es-CO" w:eastAsia="es-CO"/>
              </w:rPr>
              <w:t>4-1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161.668.000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N4L6</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rural - circuito sencillo  - estructura concreto - conductor </w:t>
            </w:r>
            <w:r>
              <w:rPr>
                <w:rFonts w:cs="Arial"/>
                <w:sz w:val="16"/>
                <w:szCs w:val="14"/>
                <w:lang w:val="es-CO" w:eastAsia="es-CO"/>
              </w:rPr>
              <w:t>D-N</w:t>
            </w:r>
            <w:r w:rsidRPr="004E6CFC">
              <w:rPr>
                <w:rFonts w:cs="Arial"/>
                <w:sz w:val="16"/>
                <w:szCs w:val="14"/>
                <w:lang w:val="es-CO" w:eastAsia="es-CO"/>
              </w:rPr>
              <w:t>4-2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169.923.000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N4L7</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rural - circuito sencillo  - estructura concreto - conductor </w:t>
            </w:r>
            <w:r>
              <w:rPr>
                <w:rFonts w:cs="Arial"/>
                <w:sz w:val="16"/>
                <w:szCs w:val="14"/>
                <w:lang w:val="es-CO" w:eastAsia="es-CO"/>
              </w:rPr>
              <w:t>D-N</w:t>
            </w:r>
            <w:r w:rsidRPr="004E6CFC">
              <w:rPr>
                <w:rFonts w:cs="Arial"/>
                <w:sz w:val="16"/>
                <w:szCs w:val="14"/>
                <w:lang w:val="es-CO" w:eastAsia="es-CO"/>
              </w:rPr>
              <w:t>4-3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206.539.000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N4L8</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rural - circuito sencillo  - estructura concreto - conductor </w:t>
            </w:r>
            <w:r>
              <w:rPr>
                <w:rFonts w:cs="Arial"/>
                <w:sz w:val="16"/>
                <w:szCs w:val="14"/>
                <w:lang w:val="es-CO" w:eastAsia="es-CO"/>
              </w:rPr>
              <w:t>D-N</w:t>
            </w:r>
            <w:r w:rsidRPr="004E6CFC">
              <w:rPr>
                <w:rFonts w:cs="Arial"/>
                <w:sz w:val="16"/>
                <w:szCs w:val="14"/>
                <w:lang w:val="es-CO" w:eastAsia="es-CO"/>
              </w:rPr>
              <w:t>4-4</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214.164.000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N4L9</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urbana - circuito doble  - estructura concreto - conductor </w:t>
            </w:r>
            <w:r>
              <w:rPr>
                <w:rFonts w:cs="Arial"/>
                <w:sz w:val="16"/>
                <w:szCs w:val="14"/>
                <w:lang w:val="es-CO" w:eastAsia="es-CO"/>
              </w:rPr>
              <w:t>D-N</w:t>
            </w:r>
            <w:r w:rsidRPr="004E6CFC">
              <w:rPr>
                <w:rFonts w:cs="Arial"/>
                <w:sz w:val="16"/>
                <w:szCs w:val="14"/>
                <w:lang w:val="es-CO" w:eastAsia="es-CO"/>
              </w:rPr>
              <w:t>4-1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257.809.000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N4L10</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urbana - circuito doble  - estructura concreto - conductor </w:t>
            </w:r>
            <w:r>
              <w:rPr>
                <w:rFonts w:cs="Arial"/>
                <w:sz w:val="16"/>
                <w:szCs w:val="14"/>
                <w:lang w:val="es-CO" w:eastAsia="es-CO"/>
              </w:rPr>
              <w:t>D-N</w:t>
            </w:r>
            <w:r w:rsidRPr="004E6CFC">
              <w:rPr>
                <w:rFonts w:cs="Arial"/>
                <w:sz w:val="16"/>
                <w:szCs w:val="14"/>
                <w:lang w:val="es-CO" w:eastAsia="es-CO"/>
              </w:rPr>
              <w:t>4-2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273.925.000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N4L11</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urbana - circuito doble  - estructura concreto - conductor </w:t>
            </w:r>
            <w:r>
              <w:rPr>
                <w:rFonts w:cs="Arial"/>
                <w:sz w:val="16"/>
                <w:szCs w:val="14"/>
                <w:lang w:val="es-CO" w:eastAsia="es-CO"/>
              </w:rPr>
              <w:t>D-N</w:t>
            </w:r>
            <w:r w:rsidRPr="004E6CFC">
              <w:rPr>
                <w:rFonts w:cs="Arial"/>
                <w:sz w:val="16"/>
                <w:szCs w:val="14"/>
                <w:lang w:val="es-CO" w:eastAsia="es-CO"/>
              </w:rPr>
              <w:t>4-3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309.580.000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N4L12</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urbana - circuito doble  - estructura concreto - conductor </w:t>
            </w:r>
            <w:r>
              <w:rPr>
                <w:rFonts w:cs="Arial"/>
                <w:sz w:val="16"/>
                <w:szCs w:val="14"/>
                <w:lang w:val="es-CO" w:eastAsia="es-CO"/>
              </w:rPr>
              <w:t>D-N</w:t>
            </w:r>
            <w:r w:rsidRPr="004E6CFC">
              <w:rPr>
                <w:rFonts w:cs="Arial"/>
                <w:sz w:val="16"/>
                <w:szCs w:val="14"/>
                <w:lang w:val="es-CO" w:eastAsia="es-CO"/>
              </w:rPr>
              <w:t>4-4</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328.924.000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N4L13</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rural - circuito doble  - estructura concreto - conductor </w:t>
            </w:r>
            <w:r>
              <w:rPr>
                <w:rFonts w:cs="Arial"/>
                <w:sz w:val="16"/>
                <w:szCs w:val="14"/>
                <w:lang w:val="es-CO" w:eastAsia="es-CO"/>
              </w:rPr>
              <w:t>D-N</w:t>
            </w:r>
            <w:r w:rsidRPr="004E6CFC">
              <w:rPr>
                <w:rFonts w:cs="Arial"/>
                <w:sz w:val="16"/>
                <w:szCs w:val="14"/>
                <w:lang w:val="es-CO" w:eastAsia="es-CO"/>
              </w:rPr>
              <w:t>4-1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220.682.000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N4L14</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rural - circuito doble  - estructura concreto - conductor </w:t>
            </w:r>
            <w:r>
              <w:rPr>
                <w:rFonts w:cs="Arial"/>
                <w:sz w:val="16"/>
                <w:szCs w:val="14"/>
                <w:lang w:val="es-CO" w:eastAsia="es-CO"/>
              </w:rPr>
              <w:t>D-N</w:t>
            </w:r>
            <w:r w:rsidRPr="004E6CFC">
              <w:rPr>
                <w:rFonts w:cs="Arial"/>
                <w:sz w:val="16"/>
                <w:szCs w:val="14"/>
                <w:lang w:val="es-CO" w:eastAsia="es-CO"/>
              </w:rPr>
              <w:t>4-2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236.730.000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N4L15</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rural - circuito doble  - estructura concreto - conductor </w:t>
            </w:r>
            <w:r>
              <w:rPr>
                <w:rFonts w:cs="Arial"/>
                <w:sz w:val="16"/>
                <w:szCs w:val="14"/>
                <w:lang w:val="es-CO" w:eastAsia="es-CO"/>
              </w:rPr>
              <w:t>D-N</w:t>
            </w:r>
            <w:r w:rsidRPr="004E6CFC">
              <w:rPr>
                <w:rFonts w:cs="Arial"/>
                <w:sz w:val="16"/>
                <w:szCs w:val="14"/>
                <w:lang w:val="es-CO" w:eastAsia="es-CO"/>
              </w:rPr>
              <w:t>4-3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289.807.000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N4L16</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rural - circuito doble  - estructura concreto - conductor </w:t>
            </w:r>
            <w:r>
              <w:rPr>
                <w:rFonts w:cs="Arial"/>
                <w:sz w:val="16"/>
                <w:szCs w:val="14"/>
                <w:lang w:val="es-CO" w:eastAsia="es-CO"/>
              </w:rPr>
              <w:t>D-N</w:t>
            </w:r>
            <w:r w:rsidRPr="004E6CFC">
              <w:rPr>
                <w:rFonts w:cs="Arial"/>
                <w:sz w:val="16"/>
                <w:szCs w:val="14"/>
                <w:lang w:val="es-CO" w:eastAsia="es-CO"/>
              </w:rPr>
              <w:t>4-4</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309.110.000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N4L17</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urbana - circuito sencillo  - poste metálico - conductor </w:t>
            </w:r>
            <w:r>
              <w:rPr>
                <w:rFonts w:cs="Arial"/>
                <w:sz w:val="16"/>
                <w:szCs w:val="14"/>
                <w:lang w:val="es-CO" w:eastAsia="es-CO"/>
              </w:rPr>
              <w:t>D-N</w:t>
            </w:r>
            <w:r w:rsidRPr="004E6CFC">
              <w:rPr>
                <w:rFonts w:cs="Arial"/>
                <w:sz w:val="16"/>
                <w:szCs w:val="14"/>
                <w:lang w:val="es-CO" w:eastAsia="es-CO"/>
              </w:rPr>
              <w:t>4-1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332.836.000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N4L18</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urbana - circuito sencillo  - poste metálico - conductor </w:t>
            </w:r>
            <w:r>
              <w:rPr>
                <w:rFonts w:cs="Arial"/>
                <w:sz w:val="16"/>
                <w:szCs w:val="14"/>
                <w:lang w:val="es-CO" w:eastAsia="es-CO"/>
              </w:rPr>
              <w:t>D-N</w:t>
            </w:r>
            <w:r w:rsidRPr="004E6CFC">
              <w:rPr>
                <w:rFonts w:cs="Arial"/>
                <w:sz w:val="16"/>
                <w:szCs w:val="14"/>
                <w:lang w:val="es-CO" w:eastAsia="es-CO"/>
              </w:rPr>
              <w:t>4-2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341.127.000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N4L19</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urbana - circuito sencillo  - poste metálico - conductor </w:t>
            </w:r>
            <w:r>
              <w:rPr>
                <w:rFonts w:cs="Arial"/>
                <w:sz w:val="16"/>
                <w:szCs w:val="14"/>
                <w:lang w:val="es-CO" w:eastAsia="es-CO"/>
              </w:rPr>
              <w:t>D-N</w:t>
            </w:r>
            <w:r w:rsidRPr="004E6CFC">
              <w:rPr>
                <w:rFonts w:cs="Arial"/>
                <w:sz w:val="16"/>
                <w:szCs w:val="14"/>
                <w:lang w:val="es-CO" w:eastAsia="es-CO"/>
              </w:rPr>
              <w:t>4-3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356.103.000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N4L20</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urbana - circuito sencillo  - poste metálico - conductor </w:t>
            </w:r>
            <w:r>
              <w:rPr>
                <w:rFonts w:cs="Arial"/>
                <w:sz w:val="16"/>
                <w:szCs w:val="14"/>
                <w:lang w:val="es-CO" w:eastAsia="es-CO"/>
              </w:rPr>
              <w:t>D-N</w:t>
            </w:r>
            <w:r w:rsidRPr="004E6CFC">
              <w:rPr>
                <w:rFonts w:cs="Arial"/>
                <w:sz w:val="16"/>
                <w:szCs w:val="14"/>
                <w:lang w:val="es-CO" w:eastAsia="es-CO"/>
              </w:rPr>
              <w:t>4-4</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367.813.000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N4L21</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rural - circuito sencillo  - poste metálico - conductor </w:t>
            </w:r>
            <w:r>
              <w:rPr>
                <w:rFonts w:cs="Arial"/>
                <w:sz w:val="16"/>
                <w:szCs w:val="14"/>
                <w:lang w:val="es-CO" w:eastAsia="es-CO"/>
              </w:rPr>
              <w:t>D-N</w:t>
            </w:r>
            <w:r w:rsidRPr="004E6CFC">
              <w:rPr>
                <w:rFonts w:cs="Arial"/>
                <w:sz w:val="16"/>
                <w:szCs w:val="14"/>
                <w:lang w:val="es-CO" w:eastAsia="es-CO"/>
              </w:rPr>
              <w:t>4-1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253.880.000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N4L22</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rural - circuito sencillo  - poste metálico - conductor </w:t>
            </w:r>
            <w:r>
              <w:rPr>
                <w:rFonts w:cs="Arial"/>
                <w:sz w:val="16"/>
                <w:szCs w:val="14"/>
                <w:lang w:val="es-CO" w:eastAsia="es-CO"/>
              </w:rPr>
              <w:t>D-N</w:t>
            </w:r>
            <w:r w:rsidRPr="004E6CFC">
              <w:rPr>
                <w:rFonts w:cs="Arial"/>
                <w:sz w:val="16"/>
                <w:szCs w:val="14"/>
                <w:lang w:val="es-CO" w:eastAsia="es-CO"/>
              </w:rPr>
              <w:t>4-2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262.135.000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N4L23</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rural - circuito sencillo  - poste metálico - conductor </w:t>
            </w:r>
            <w:r>
              <w:rPr>
                <w:rFonts w:cs="Arial"/>
                <w:sz w:val="16"/>
                <w:szCs w:val="14"/>
                <w:lang w:val="es-CO" w:eastAsia="es-CO"/>
              </w:rPr>
              <w:t>D-N</w:t>
            </w:r>
            <w:r w:rsidRPr="004E6CFC">
              <w:rPr>
                <w:rFonts w:cs="Arial"/>
                <w:sz w:val="16"/>
                <w:szCs w:val="14"/>
                <w:lang w:val="es-CO" w:eastAsia="es-CO"/>
              </w:rPr>
              <w:t>4-3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277.069.000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N4L24</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rural - circuito sencillo  - poste metálico - conductor </w:t>
            </w:r>
            <w:r>
              <w:rPr>
                <w:rFonts w:cs="Arial"/>
                <w:sz w:val="16"/>
                <w:szCs w:val="14"/>
                <w:lang w:val="es-CO" w:eastAsia="es-CO"/>
              </w:rPr>
              <w:t>D-N</w:t>
            </w:r>
            <w:r w:rsidRPr="004E6CFC">
              <w:rPr>
                <w:rFonts w:cs="Arial"/>
                <w:sz w:val="16"/>
                <w:szCs w:val="14"/>
                <w:lang w:val="es-CO" w:eastAsia="es-CO"/>
              </w:rPr>
              <w:t>4-4</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318.328.000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N4L25</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urbana - circuito doble  - poste metálico - conductor </w:t>
            </w:r>
            <w:r>
              <w:rPr>
                <w:rFonts w:cs="Arial"/>
                <w:sz w:val="16"/>
                <w:szCs w:val="14"/>
                <w:lang w:val="es-CO" w:eastAsia="es-CO"/>
              </w:rPr>
              <w:t>D-N</w:t>
            </w:r>
            <w:r w:rsidRPr="004E6CFC">
              <w:rPr>
                <w:rFonts w:cs="Arial"/>
                <w:sz w:val="16"/>
                <w:szCs w:val="14"/>
                <w:lang w:val="es-CO" w:eastAsia="es-CO"/>
              </w:rPr>
              <w:t>4-1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386.398.000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N4L26</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urbana - circuito doble  - poste metálico - conductor </w:t>
            </w:r>
            <w:r>
              <w:rPr>
                <w:rFonts w:cs="Arial"/>
                <w:sz w:val="16"/>
                <w:szCs w:val="14"/>
                <w:lang w:val="es-CO" w:eastAsia="es-CO"/>
              </w:rPr>
              <w:t>D-N</w:t>
            </w:r>
            <w:r w:rsidRPr="004E6CFC">
              <w:rPr>
                <w:rFonts w:cs="Arial"/>
                <w:sz w:val="16"/>
                <w:szCs w:val="14"/>
                <w:lang w:val="es-CO" w:eastAsia="es-CO"/>
              </w:rPr>
              <w:t>4-2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408.513.000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N4L27</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urbana - circuito doble  - poste metálico - conductor </w:t>
            </w:r>
            <w:r>
              <w:rPr>
                <w:rFonts w:cs="Arial"/>
                <w:sz w:val="16"/>
                <w:szCs w:val="14"/>
                <w:lang w:val="es-CO" w:eastAsia="es-CO"/>
              </w:rPr>
              <w:t>D-N</w:t>
            </w:r>
            <w:r w:rsidRPr="004E6CFC">
              <w:rPr>
                <w:rFonts w:cs="Arial"/>
                <w:sz w:val="16"/>
                <w:szCs w:val="14"/>
                <w:lang w:val="es-CO" w:eastAsia="es-CO"/>
              </w:rPr>
              <w:t>4-3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438.169.000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N4L28</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urbana - circuito doble  - poste metálico - conductor </w:t>
            </w:r>
            <w:r>
              <w:rPr>
                <w:rFonts w:cs="Arial"/>
                <w:sz w:val="16"/>
                <w:szCs w:val="14"/>
                <w:lang w:val="es-CO" w:eastAsia="es-CO"/>
              </w:rPr>
              <w:t>D-N</w:t>
            </w:r>
            <w:r w:rsidRPr="004E6CFC">
              <w:rPr>
                <w:rFonts w:cs="Arial"/>
                <w:sz w:val="16"/>
                <w:szCs w:val="14"/>
                <w:lang w:val="es-CO" w:eastAsia="es-CO"/>
              </w:rPr>
              <w:t>4-4</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451.427.000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N4L29</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rural - circuito doble  - poste metálico - conductor </w:t>
            </w:r>
            <w:r>
              <w:rPr>
                <w:rFonts w:cs="Arial"/>
                <w:sz w:val="16"/>
                <w:szCs w:val="14"/>
                <w:lang w:val="es-CO" w:eastAsia="es-CO"/>
              </w:rPr>
              <w:t>D-N</w:t>
            </w:r>
            <w:r w:rsidRPr="004E6CFC">
              <w:rPr>
                <w:rFonts w:cs="Arial"/>
                <w:sz w:val="16"/>
                <w:szCs w:val="14"/>
                <w:lang w:val="es-CO" w:eastAsia="es-CO"/>
              </w:rPr>
              <w:t>4-1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312.431.000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N4L30</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rural - circuito doble  - poste metálico - conductor </w:t>
            </w:r>
            <w:r>
              <w:rPr>
                <w:rFonts w:cs="Arial"/>
                <w:sz w:val="16"/>
                <w:szCs w:val="14"/>
                <w:lang w:val="es-CO" w:eastAsia="es-CO"/>
              </w:rPr>
              <w:t>D-N</w:t>
            </w:r>
            <w:r w:rsidRPr="004E6CFC">
              <w:rPr>
                <w:rFonts w:cs="Arial"/>
                <w:sz w:val="16"/>
                <w:szCs w:val="14"/>
                <w:lang w:val="es-CO" w:eastAsia="es-CO"/>
              </w:rPr>
              <w:t>4-2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364.052.000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N4L31</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rural - circuito doble  - poste metálico - conductor </w:t>
            </w:r>
            <w:r>
              <w:rPr>
                <w:rFonts w:cs="Arial"/>
                <w:sz w:val="16"/>
                <w:szCs w:val="14"/>
                <w:lang w:val="es-CO" w:eastAsia="es-CO"/>
              </w:rPr>
              <w:t>D-N</w:t>
            </w:r>
            <w:r w:rsidRPr="004E6CFC">
              <w:rPr>
                <w:rFonts w:cs="Arial"/>
                <w:sz w:val="16"/>
                <w:szCs w:val="14"/>
                <w:lang w:val="es-CO" w:eastAsia="es-CO"/>
              </w:rPr>
              <w:t>4-3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393.625.000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N4L32</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rural - circuito doble  - poste metálico - conductor </w:t>
            </w:r>
            <w:r>
              <w:rPr>
                <w:rFonts w:cs="Arial"/>
                <w:sz w:val="16"/>
                <w:szCs w:val="14"/>
                <w:lang w:val="es-CO" w:eastAsia="es-CO"/>
              </w:rPr>
              <w:t>D-N</w:t>
            </w:r>
            <w:r w:rsidRPr="004E6CFC">
              <w:rPr>
                <w:rFonts w:cs="Arial"/>
                <w:sz w:val="16"/>
                <w:szCs w:val="14"/>
                <w:lang w:val="es-CO" w:eastAsia="es-CO"/>
              </w:rPr>
              <w:t>4-4</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406.827.000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N4L33</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urbana - circuito sencillo  - torre metálica - conductor </w:t>
            </w:r>
            <w:r>
              <w:rPr>
                <w:rFonts w:cs="Arial"/>
                <w:sz w:val="16"/>
                <w:szCs w:val="14"/>
                <w:lang w:val="es-CO" w:eastAsia="es-CO"/>
              </w:rPr>
              <w:t>D-N</w:t>
            </w:r>
            <w:r w:rsidRPr="004E6CFC">
              <w:rPr>
                <w:rFonts w:cs="Arial"/>
                <w:sz w:val="16"/>
                <w:szCs w:val="14"/>
                <w:lang w:val="es-CO" w:eastAsia="es-CO"/>
              </w:rPr>
              <w:t>4-1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217.935.000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N4L34</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urbana - circuito sencillo  - torre metálica - conductor </w:t>
            </w:r>
            <w:r>
              <w:rPr>
                <w:rFonts w:cs="Arial"/>
                <w:sz w:val="16"/>
                <w:szCs w:val="14"/>
                <w:lang w:val="es-CO" w:eastAsia="es-CO"/>
              </w:rPr>
              <w:t>D-N</w:t>
            </w:r>
            <w:r w:rsidRPr="004E6CFC">
              <w:rPr>
                <w:rFonts w:cs="Arial"/>
                <w:sz w:val="16"/>
                <w:szCs w:val="14"/>
                <w:lang w:val="es-CO" w:eastAsia="es-CO"/>
              </w:rPr>
              <w:t>4-2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223.507.000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N4L35</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urbana - circuito sencillo  - torre metálica - conductor </w:t>
            </w:r>
            <w:r>
              <w:rPr>
                <w:rFonts w:cs="Arial"/>
                <w:sz w:val="16"/>
                <w:szCs w:val="14"/>
                <w:lang w:val="es-CO" w:eastAsia="es-CO"/>
              </w:rPr>
              <w:t>D-N</w:t>
            </w:r>
            <w:r w:rsidRPr="004E6CFC">
              <w:rPr>
                <w:rFonts w:cs="Arial"/>
                <w:sz w:val="16"/>
                <w:szCs w:val="14"/>
                <w:lang w:val="es-CO" w:eastAsia="es-CO"/>
              </w:rPr>
              <w:t>4-3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254.902.000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N4L36</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urbana - circuito sencillo  - torre metálica - conductor </w:t>
            </w:r>
            <w:r>
              <w:rPr>
                <w:rFonts w:cs="Arial"/>
                <w:sz w:val="16"/>
                <w:szCs w:val="14"/>
                <w:lang w:val="es-CO" w:eastAsia="es-CO"/>
              </w:rPr>
              <w:t>D-N</w:t>
            </w:r>
            <w:r w:rsidRPr="004E6CFC">
              <w:rPr>
                <w:rFonts w:cs="Arial"/>
                <w:sz w:val="16"/>
                <w:szCs w:val="14"/>
                <w:lang w:val="es-CO" w:eastAsia="es-CO"/>
              </w:rPr>
              <w:t>4-4</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261.805.000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N4L37</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rural - circuito sencillo  - torre metálica - conductor </w:t>
            </w:r>
            <w:r>
              <w:rPr>
                <w:rFonts w:cs="Arial"/>
                <w:sz w:val="16"/>
                <w:szCs w:val="14"/>
                <w:lang w:val="es-CO" w:eastAsia="es-CO"/>
              </w:rPr>
              <w:t>D-N</w:t>
            </w:r>
            <w:r w:rsidRPr="004E6CFC">
              <w:rPr>
                <w:rFonts w:cs="Arial"/>
                <w:sz w:val="16"/>
                <w:szCs w:val="14"/>
                <w:lang w:val="es-CO" w:eastAsia="es-CO"/>
              </w:rPr>
              <w:t>4-1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196.693.000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N4L38</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rural - circuito sencillo  - torre metálica - conductor </w:t>
            </w:r>
            <w:r>
              <w:rPr>
                <w:rFonts w:cs="Arial"/>
                <w:sz w:val="16"/>
                <w:szCs w:val="14"/>
                <w:lang w:val="es-CO" w:eastAsia="es-CO"/>
              </w:rPr>
              <w:t>D-N</w:t>
            </w:r>
            <w:r w:rsidRPr="004E6CFC">
              <w:rPr>
                <w:rFonts w:cs="Arial"/>
                <w:sz w:val="16"/>
                <w:szCs w:val="14"/>
                <w:lang w:val="es-CO" w:eastAsia="es-CO"/>
              </w:rPr>
              <w:t>4-2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204.527.000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N4L39</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rural - circuito sencillo  - torre metálica - conductor </w:t>
            </w:r>
            <w:r>
              <w:rPr>
                <w:rFonts w:cs="Arial"/>
                <w:sz w:val="16"/>
                <w:szCs w:val="14"/>
                <w:lang w:val="es-CO" w:eastAsia="es-CO"/>
              </w:rPr>
              <w:t>D-N</w:t>
            </w:r>
            <w:r w:rsidRPr="004E6CFC">
              <w:rPr>
                <w:rFonts w:cs="Arial"/>
                <w:sz w:val="16"/>
                <w:szCs w:val="14"/>
                <w:lang w:val="es-CO" w:eastAsia="es-CO"/>
              </w:rPr>
              <w:t>4-3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222.313.000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N4L40</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rural - circuito sencillo  - torre metálica - conductor </w:t>
            </w:r>
            <w:r>
              <w:rPr>
                <w:rFonts w:cs="Arial"/>
                <w:sz w:val="16"/>
                <w:szCs w:val="14"/>
                <w:lang w:val="es-CO" w:eastAsia="es-CO"/>
              </w:rPr>
              <w:t>D-N</w:t>
            </w:r>
            <w:r w:rsidRPr="004E6CFC">
              <w:rPr>
                <w:rFonts w:cs="Arial"/>
                <w:sz w:val="16"/>
                <w:szCs w:val="14"/>
                <w:lang w:val="es-CO" w:eastAsia="es-CO"/>
              </w:rPr>
              <w:t>4-4</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229.216.000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N4L41</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urbana - circuito doble  - torre metálica - conductor </w:t>
            </w:r>
            <w:r>
              <w:rPr>
                <w:rFonts w:cs="Arial"/>
                <w:sz w:val="16"/>
                <w:szCs w:val="14"/>
                <w:lang w:val="es-CO" w:eastAsia="es-CO"/>
              </w:rPr>
              <w:t>D-N</w:t>
            </w:r>
            <w:r w:rsidRPr="004E6CFC">
              <w:rPr>
                <w:rFonts w:cs="Arial"/>
                <w:sz w:val="16"/>
                <w:szCs w:val="14"/>
                <w:lang w:val="es-CO" w:eastAsia="es-CO"/>
              </w:rPr>
              <w:t>4-1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311.045.000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N4L42</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urbana - circuito doble  - torre metálica - conductor </w:t>
            </w:r>
            <w:r>
              <w:rPr>
                <w:rFonts w:cs="Arial"/>
                <w:sz w:val="16"/>
                <w:szCs w:val="14"/>
                <w:lang w:val="es-CO" w:eastAsia="es-CO"/>
              </w:rPr>
              <w:t>D-N</w:t>
            </w:r>
            <w:r w:rsidRPr="004E6CFC">
              <w:rPr>
                <w:rFonts w:cs="Arial"/>
                <w:sz w:val="16"/>
                <w:szCs w:val="14"/>
                <w:lang w:val="es-CO" w:eastAsia="es-CO"/>
              </w:rPr>
              <w:t>4-2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326.814.000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N4L43</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urbana - circuito doble  - torre metálica - conductor </w:t>
            </w:r>
            <w:r>
              <w:rPr>
                <w:rFonts w:cs="Arial"/>
                <w:sz w:val="16"/>
                <w:szCs w:val="14"/>
                <w:lang w:val="es-CO" w:eastAsia="es-CO"/>
              </w:rPr>
              <w:t>D-N</w:t>
            </w:r>
            <w:r w:rsidRPr="004E6CFC">
              <w:rPr>
                <w:rFonts w:cs="Arial"/>
                <w:sz w:val="16"/>
                <w:szCs w:val="14"/>
                <w:lang w:val="es-CO" w:eastAsia="es-CO"/>
              </w:rPr>
              <w:t>4-3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380.053.000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N4L44</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urbana - circuito doble  - torre metálica - conductor </w:t>
            </w:r>
            <w:r>
              <w:rPr>
                <w:rFonts w:cs="Arial"/>
                <w:sz w:val="16"/>
                <w:szCs w:val="14"/>
                <w:lang w:val="es-CO" w:eastAsia="es-CO"/>
              </w:rPr>
              <w:t>D-N</w:t>
            </w:r>
            <w:r w:rsidRPr="004E6CFC">
              <w:rPr>
                <w:rFonts w:cs="Arial"/>
                <w:sz w:val="16"/>
                <w:szCs w:val="14"/>
                <w:lang w:val="es-CO" w:eastAsia="es-CO"/>
              </w:rPr>
              <w:t>4-4</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393.900.000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N4L45</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rural - circuito doble  - torre metálica - conductor </w:t>
            </w:r>
            <w:r>
              <w:rPr>
                <w:rFonts w:cs="Arial"/>
                <w:sz w:val="16"/>
                <w:szCs w:val="14"/>
                <w:lang w:val="es-CO" w:eastAsia="es-CO"/>
              </w:rPr>
              <w:t>D-N</w:t>
            </w:r>
            <w:r w:rsidRPr="004E6CFC">
              <w:rPr>
                <w:rFonts w:cs="Arial"/>
                <w:sz w:val="16"/>
                <w:szCs w:val="14"/>
                <w:lang w:val="es-CO" w:eastAsia="es-CO"/>
              </w:rPr>
              <w:t>4-1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261.089.000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N4L46</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rural - circuito doble  - torre metálica - conductor </w:t>
            </w:r>
            <w:r>
              <w:rPr>
                <w:rFonts w:cs="Arial"/>
                <w:sz w:val="16"/>
                <w:szCs w:val="14"/>
                <w:lang w:val="es-CO" w:eastAsia="es-CO"/>
              </w:rPr>
              <w:t>D-N</w:t>
            </w:r>
            <w:r w:rsidRPr="004E6CFC">
              <w:rPr>
                <w:rFonts w:cs="Arial"/>
                <w:sz w:val="16"/>
                <w:szCs w:val="14"/>
                <w:lang w:val="es-CO" w:eastAsia="es-CO"/>
              </w:rPr>
              <w:t>4-2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276.756.000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N4L47</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rural - circuito doble  - torre metálica - conductor </w:t>
            </w:r>
            <w:r>
              <w:rPr>
                <w:rFonts w:cs="Arial"/>
                <w:sz w:val="16"/>
                <w:szCs w:val="14"/>
                <w:lang w:val="es-CO" w:eastAsia="es-CO"/>
              </w:rPr>
              <w:t>D-N</w:t>
            </w:r>
            <w:r w:rsidRPr="004E6CFC">
              <w:rPr>
                <w:rFonts w:cs="Arial"/>
                <w:sz w:val="16"/>
                <w:szCs w:val="14"/>
                <w:lang w:val="es-CO" w:eastAsia="es-CO"/>
              </w:rPr>
              <w:t>4-3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313.713.000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N4L48</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línea rural - circuito doble  - torre metálica - conductor </w:t>
            </w:r>
            <w:r>
              <w:rPr>
                <w:rFonts w:cs="Arial"/>
                <w:sz w:val="16"/>
                <w:szCs w:val="14"/>
                <w:lang w:val="es-CO" w:eastAsia="es-CO"/>
              </w:rPr>
              <w:t>D-N</w:t>
            </w:r>
            <w:r w:rsidRPr="004E6CFC">
              <w:rPr>
                <w:rFonts w:cs="Arial"/>
                <w:sz w:val="16"/>
                <w:szCs w:val="14"/>
                <w:lang w:val="es-CO" w:eastAsia="es-CO"/>
              </w:rPr>
              <w:t>4-4</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327.519.000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N4L49</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de línea – </w:t>
            </w:r>
            <w:r w:rsidR="00BE7ED4" w:rsidRPr="004E6CFC">
              <w:rPr>
                <w:rFonts w:cs="Arial"/>
                <w:sz w:val="16"/>
                <w:szCs w:val="14"/>
                <w:lang w:val="es-CO" w:eastAsia="es-CO"/>
              </w:rPr>
              <w:t>subterránea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2.526.812.000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N4L50</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km de línea – submarina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1.643.678.000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t>N4L51</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de línea - conexión internacional - 138 </w:t>
            </w:r>
            <w:r w:rsidR="00BE7ED4" w:rsidRPr="004E6CFC">
              <w:rPr>
                <w:rFonts w:cs="Arial"/>
                <w:sz w:val="16"/>
                <w:szCs w:val="14"/>
                <w:lang w:val="es-CO" w:eastAsia="es-CO"/>
              </w:rPr>
              <w:t>kV</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208.304.000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val="es-CO" w:eastAsia="es-CO"/>
              </w:rPr>
            </w:pPr>
            <w:r w:rsidRPr="004E6CFC">
              <w:rPr>
                <w:rFonts w:cs="Arial"/>
                <w:sz w:val="16"/>
                <w:szCs w:val="14"/>
                <w:lang w:val="es-CO" w:eastAsia="es-CO"/>
              </w:rPr>
              <w:lastRenderedPageBreak/>
              <w:t>N4L52</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 xml:space="preserve">km de fibra óptica </w:t>
            </w:r>
            <w:r>
              <w:rPr>
                <w:rFonts w:cs="Arial"/>
                <w:sz w:val="16"/>
                <w:szCs w:val="14"/>
                <w:lang w:val="es-CO" w:eastAsia="es-CO"/>
              </w:rPr>
              <w:t>ADSS</w:t>
            </w:r>
            <w:r w:rsidRPr="004E6CFC">
              <w:rPr>
                <w:rFonts w:cs="Arial"/>
                <w:sz w:val="16"/>
                <w:szCs w:val="14"/>
                <w:lang w:val="es-CO" w:eastAsia="es-CO"/>
              </w:rPr>
              <w:t>/OPGW</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32.685.000</w:t>
            </w:r>
          </w:p>
        </w:tc>
      </w:tr>
    </w:tbl>
    <w:p w:rsidR="00697252" w:rsidRPr="004E6CFC" w:rsidRDefault="00697252" w:rsidP="00697252">
      <w:pPr>
        <w:pStyle w:val="Descripcin"/>
        <w:rPr>
          <w:sz w:val="18"/>
          <w:szCs w:val="18"/>
        </w:rPr>
      </w:pPr>
      <w:r w:rsidRPr="004E6CFC">
        <w:t xml:space="preserve">Tabla </w:t>
      </w:r>
      <w:r w:rsidRPr="004E6CFC">
        <w:fldChar w:fldCharType="begin"/>
      </w:r>
      <w:r w:rsidRPr="004E6CFC">
        <w:instrText xml:space="preserve"> SEQ Tabla \* ARABIC </w:instrText>
      </w:r>
      <w:r w:rsidRPr="004E6CFC">
        <w:fldChar w:fldCharType="separate"/>
      </w:r>
      <w:r w:rsidR="00737178">
        <w:rPr>
          <w:noProof/>
        </w:rPr>
        <w:t>49</w:t>
      </w:r>
      <w:r w:rsidRPr="004E6CFC">
        <w:fldChar w:fldCharType="end"/>
      </w:r>
      <w:r w:rsidRPr="004E6CFC">
        <w:t xml:space="preserve"> UC de líneas de nivel de tensión  3</w:t>
      </w:r>
    </w:p>
    <w:tbl>
      <w:tblPr>
        <w:tblW w:w="0" w:type="auto"/>
        <w:tblInd w:w="-72" w:type="dxa"/>
        <w:tblCellMar>
          <w:left w:w="70" w:type="dxa"/>
          <w:right w:w="70" w:type="dxa"/>
        </w:tblCellMar>
        <w:tblLook w:val="04A0" w:firstRow="1" w:lastRow="0" w:firstColumn="1" w:lastColumn="0" w:noHBand="0" w:noVBand="1"/>
      </w:tblPr>
      <w:tblGrid>
        <w:gridCol w:w="734"/>
        <w:gridCol w:w="7330"/>
        <w:gridCol w:w="1354"/>
      </w:tblGrid>
      <w:tr w:rsidR="00697252" w:rsidRPr="004E6CFC" w:rsidTr="00045289">
        <w:trPr>
          <w:trHeight w:val="585"/>
          <w:tblHeader/>
        </w:trPr>
        <w:tc>
          <w:tcPr>
            <w:tcW w:w="73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2"/>
                <w:lang w:val="es-CO" w:eastAsia="es-CO"/>
              </w:rPr>
            </w:pPr>
            <w:r w:rsidRPr="004E6CFC">
              <w:rPr>
                <w:rFonts w:cs="Arial"/>
                <w:sz w:val="18"/>
                <w:szCs w:val="12"/>
                <w:lang w:val="es-CO" w:eastAsia="es-CO"/>
              </w:rPr>
              <w:t>UC</w:t>
            </w:r>
          </w:p>
        </w:tc>
        <w:tc>
          <w:tcPr>
            <w:tcW w:w="7370"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2"/>
                <w:lang w:val="es-CO" w:eastAsia="es-CO"/>
              </w:rPr>
            </w:pPr>
            <w:r w:rsidRPr="004E6CFC">
              <w:rPr>
                <w:rFonts w:cs="Arial"/>
                <w:sz w:val="18"/>
                <w:szCs w:val="12"/>
                <w:lang w:val="es-CO" w:eastAsia="es-CO"/>
              </w:rPr>
              <w:t>DESCRIPCIÓN UNIDAD CONSTRUCTIVA</w:t>
            </w:r>
          </w:p>
        </w:tc>
        <w:tc>
          <w:tcPr>
            <w:tcW w:w="1361"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2"/>
                <w:lang w:val="es-CO" w:eastAsia="es-CO"/>
              </w:rPr>
            </w:pPr>
            <w:r w:rsidRPr="004E6CFC">
              <w:rPr>
                <w:rFonts w:cs="Arial"/>
                <w:sz w:val="18"/>
                <w:szCs w:val="12"/>
                <w:lang w:val="es-CO" w:eastAsia="es-CO"/>
              </w:rPr>
              <w:t>VALOR INSTALADO [$Dic 2007]</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N3L1</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circuito sencillo - poste concreto - conductor </w:t>
            </w:r>
            <w:r>
              <w:rPr>
                <w:rFonts w:cs="Arial"/>
                <w:sz w:val="16"/>
                <w:szCs w:val="16"/>
                <w:lang w:val="es-CO" w:eastAsia="es-CO"/>
              </w:rPr>
              <w:t>D-N</w:t>
            </w:r>
            <w:r w:rsidRPr="004E6CFC">
              <w:rPr>
                <w:rFonts w:cs="Arial"/>
                <w:sz w:val="16"/>
                <w:szCs w:val="16"/>
                <w:lang w:val="es-CO" w:eastAsia="es-CO"/>
              </w:rPr>
              <w:t>3-1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77.632.000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N3L2</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circuito sencillo - poste concreto - conductor </w:t>
            </w:r>
            <w:r>
              <w:rPr>
                <w:rFonts w:cs="Arial"/>
                <w:sz w:val="16"/>
                <w:szCs w:val="16"/>
                <w:lang w:val="es-CO" w:eastAsia="es-CO"/>
              </w:rPr>
              <w:t>D-N</w:t>
            </w:r>
            <w:r w:rsidRPr="004E6CFC">
              <w:rPr>
                <w:rFonts w:cs="Arial"/>
                <w:sz w:val="16"/>
                <w:szCs w:val="16"/>
                <w:lang w:val="es-CO" w:eastAsia="es-CO"/>
              </w:rPr>
              <w:t>3-2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83.028.000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N3L3</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circuito sencillo - poste concreto - conductor </w:t>
            </w:r>
            <w:r>
              <w:rPr>
                <w:rFonts w:cs="Arial"/>
                <w:sz w:val="16"/>
                <w:szCs w:val="16"/>
                <w:lang w:val="es-CO" w:eastAsia="es-CO"/>
              </w:rPr>
              <w:t>D-N</w:t>
            </w:r>
            <w:r w:rsidRPr="004E6CFC">
              <w:rPr>
                <w:rFonts w:cs="Arial"/>
                <w:sz w:val="16"/>
                <w:szCs w:val="16"/>
                <w:lang w:val="es-CO" w:eastAsia="es-CO"/>
              </w:rPr>
              <w:t>3-3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89.152.000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N3L4</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circuito sencillo - poste concreto - conductor </w:t>
            </w:r>
            <w:r>
              <w:rPr>
                <w:rFonts w:cs="Arial"/>
                <w:sz w:val="16"/>
                <w:szCs w:val="16"/>
                <w:lang w:val="es-CO" w:eastAsia="es-CO"/>
              </w:rPr>
              <w:t>D-N</w:t>
            </w:r>
            <w:r w:rsidRPr="004E6CFC">
              <w:rPr>
                <w:rFonts w:cs="Arial"/>
                <w:sz w:val="16"/>
                <w:szCs w:val="16"/>
                <w:lang w:val="es-CO" w:eastAsia="es-CO"/>
              </w:rPr>
              <w:t>3-1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44.215.000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N3L5</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circuito sencillo - poste concreto - conductor </w:t>
            </w:r>
            <w:r>
              <w:rPr>
                <w:rFonts w:cs="Arial"/>
                <w:sz w:val="16"/>
                <w:szCs w:val="16"/>
                <w:lang w:val="es-CO" w:eastAsia="es-CO"/>
              </w:rPr>
              <w:t>D-N</w:t>
            </w:r>
            <w:r w:rsidRPr="004E6CFC">
              <w:rPr>
                <w:rFonts w:cs="Arial"/>
                <w:sz w:val="16"/>
                <w:szCs w:val="16"/>
                <w:lang w:val="es-CO" w:eastAsia="es-CO"/>
              </w:rPr>
              <w:t>3-2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51.500.000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N3L6</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circuito sencillo - poste concreto - conductor </w:t>
            </w:r>
            <w:r>
              <w:rPr>
                <w:rFonts w:cs="Arial"/>
                <w:sz w:val="16"/>
                <w:szCs w:val="16"/>
                <w:lang w:val="es-CO" w:eastAsia="es-CO"/>
              </w:rPr>
              <w:t>D-N</w:t>
            </w:r>
            <w:r w:rsidRPr="004E6CFC">
              <w:rPr>
                <w:rFonts w:cs="Arial"/>
                <w:sz w:val="16"/>
                <w:szCs w:val="16"/>
                <w:lang w:val="es-CO" w:eastAsia="es-CO"/>
              </w:rPr>
              <w:t>3-3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59.767.000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N3L7</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circuito doble - poste concreto - conductor </w:t>
            </w:r>
            <w:r>
              <w:rPr>
                <w:rFonts w:cs="Arial"/>
                <w:sz w:val="16"/>
                <w:szCs w:val="16"/>
                <w:lang w:val="es-CO" w:eastAsia="es-CO"/>
              </w:rPr>
              <w:t>D-N</w:t>
            </w:r>
            <w:r w:rsidRPr="004E6CFC">
              <w:rPr>
                <w:rFonts w:cs="Arial"/>
                <w:sz w:val="16"/>
                <w:szCs w:val="16"/>
                <w:lang w:val="es-CO" w:eastAsia="es-CO"/>
              </w:rPr>
              <w:t>3-1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149.010.000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N3L8</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circuito doble - poste concreto - conductor </w:t>
            </w:r>
            <w:r>
              <w:rPr>
                <w:rFonts w:cs="Arial"/>
                <w:sz w:val="16"/>
                <w:szCs w:val="16"/>
                <w:lang w:val="es-CO" w:eastAsia="es-CO"/>
              </w:rPr>
              <w:t>D-N</w:t>
            </w:r>
            <w:r w:rsidRPr="004E6CFC">
              <w:rPr>
                <w:rFonts w:cs="Arial"/>
                <w:sz w:val="16"/>
                <w:szCs w:val="16"/>
                <w:lang w:val="es-CO" w:eastAsia="es-CO"/>
              </w:rPr>
              <w:t>3-2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159.765.000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N3L9</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circuito doble - poste concreto - conductor </w:t>
            </w:r>
            <w:r>
              <w:rPr>
                <w:rFonts w:cs="Arial"/>
                <w:sz w:val="16"/>
                <w:szCs w:val="16"/>
                <w:lang w:val="es-CO" w:eastAsia="es-CO"/>
              </w:rPr>
              <w:t>D-N</w:t>
            </w:r>
            <w:r w:rsidRPr="004E6CFC">
              <w:rPr>
                <w:rFonts w:cs="Arial"/>
                <w:sz w:val="16"/>
                <w:szCs w:val="16"/>
                <w:lang w:val="es-CO" w:eastAsia="es-CO"/>
              </w:rPr>
              <w:t>3-3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171.968.000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N3L10</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circuito doble - poste concreto - conductor </w:t>
            </w:r>
            <w:r>
              <w:rPr>
                <w:rFonts w:cs="Arial"/>
                <w:sz w:val="16"/>
                <w:szCs w:val="16"/>
                <w:lang w:val="es-CO" w:eastAsia="es-CO"/>
              </w:rPr>
              <w:t>D-N</w:t>
            </w:r>
            <w:r w:rsidRPr="004E6CFC">
              <w:rPr>
                <w:rFonts w:cs="Arial"/>
                <w:sz w:val="16"/>
                <w:szCs w:val="16"/>
                <w:lang w:val="es-CO" w:eastAsia="es-CO"/>
              </w:rPr>
              <w:t>3-1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84.438.000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N3L11</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circuito doble - poste concreto - conductor </w:t>
            </w:r>
            <w:r>
              <w:rPr>
                <w:rFonts w:cs="Arial"/>
                <w:sz w:val="16"/>
                <w:szCs w:val="16"/>
                <w:lang w:val="es-CO" w:eastAsia="es-CO"/>
              </w:rPr>
              <w:t>D-N</w:t>
            </w:r>
            <w:r w:rsidRPr="004E6CFC">
              <w:rPr>
                <w:rFonts w:cs="Arial"/>
                <w:sz w:val="16"/>
                <w:szCs w:val="16"/>
                <w:lang w:val="es-CO" w:eastAsia="es-CO"/>
              </w:rPr>
              <w:t>3-2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99.008.000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N3L12</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circuito doble - poste concreto - conductor </w:t>
            </w:r>
            <w:r>
              <w:rPr>
                <w:rFonts w:cs="Arial"/>
                <w:sz w:val="16"/>
                <w:szCs w:val="16"/>
                <w:lang w:val="es-CO" w:eastAsia="es-CO"/>
              </w:rPr>
              <w:t>D-N</w:t>
            </w:r>
            <w:r w:rsidRPr="004E6CFC">
              <w:rPr>
                <w:rFonts w:cs="Arial"/>
                <w:sz w:val="16"/>
                <w:szCs w:val="16"/>
                <w:lang w:val="es-CO" w:eastAsia="es-CO"/>
              </w:rPr>
              <w:t>3-3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115.542.000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N3L13</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circuito sencillo - torre metálica - conductor </w:t>
            </w:r>
            <w:r>
              <w:rPr>
                <w:rFonts w:cs="Arial"/>
                <w:sz w:val="16"/>
                <w:szCs w:val="16"/>
                <w:lang w:val="es-CO" w:eastAsia="es-CO"/>
              </w:rPr>
              <w:t>D-N</w:t>
            </w:r>
            <w:r w:rsidRPr="004E6CFC">
              <w:rPr>
                <w:rFonts w:cs="Arial"/>
                <w:sz w:val="16"/>
                <w:szCs w:val="16"/>
                <w:lang w:val="es-CO" w:eastAsia="es-CO"/>
              </w:rPr>
              <w:t>3-1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63.709.000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N3L14</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circuito sencillo - torre metálica - conductor </w:t>
            </w:r>
            <w:r>
              <w:rPr>
                <w:rFonts w:cs="Arial"/>
                <w:sz w:val="16"/>
                <w:szCs w:val="16"/>
                <w:lang w:val="es-CO" w:eastAsia="es-CO"/>
              </w:rPr>
              <w:t>D-N</w:t>
            </w:r>
            <w:r w:rsidRPr="004E6CFC">
              <w:rPr>
                <w:rFonts w:cs="Arial"/>
                <w:sz w:val="16"/>
                <w:szCs w:val="16"/>
                <w:lang w:val="es-CO" w:eastAsia="es-CO"/>
              </w:rPr>
              <w:t>3-2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70.994.000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N3L15</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circuito sencillo - torre metálica - conductor </w:t>
            </w:r>
            <w:r>
              <w:rPr>
                <w:rFonts w:cs="Arial"/>
                <w:sz w:val="16"/>
                <w:szCs w:val="16"/>
                <w:lang w:val="es-CO" w:eastAsia="es-CO"/>
              </w:rPr>
              <w:t>D-N</w:t>
            </w:r>
            <w:r w:rsidRPr="004E6CFC">
              <w:rPr>
                <w:rFonts w:cs="Arial"/>
                <w:sz w:val="16"/>
                <w:szCs w:val="16"/>
                <w:lang w:val="es-CO" w:eastAsia="es-CO"/>
              </w:rPr>
              <w:t>3-3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79.261.000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N3L16</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circuito doble - torre metálica - conductor </w:t>
            </w:r>
            <w:r>
              <w:rPr>
                <w:rFonts w:cs="Arial"/>
                <w:sz w:val="16"/>
                <w:szCs w:val="16"/>
                <w:lang w:val="es-CO" w:eastAsia="es-CO"/>
              </w:rPr>
              <w:t>D-N</w:t>
            </w:r>
            <w:r w:rsidRPr="004E6CFC">
              <w:rPr>
                <w:rFonts w:cs="Arial"/>
                <w:sz w:val="16"/>
                <w:szCs w:val="16"/>
                <w:lang w:val="es-CO" w:eastAsia="es-CO"/>
              </w:rPr>
              <w:t>3-1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105.444.000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N3L17</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circuito doble - torre metálica - conductor </w:t>
            </w:r>
            <w:r>
              <w:rPr>
                <w:rFonts w:cs="Arial"/>
                <w:sz w:val="16"/>
                <w:szCs w:val="16"/>
                <w:lang w:val="es-CO" w:eastAsia="es-CO"/>
              </w:rPr>
              <w:t>D-N</w:t>
            </w:r>
            <w:r w:rsidRPr="004E6CFC">
              <w:rPr>
                <w:rFonts w:cs="Arial"/>
                <w:sz w:val="16"/>
                <w:szCs w:val="16"/>
                <w:lang w:val="es-CO" w:eastAsia="es-CO"/>
              </w:rPr>
              <w:t>3-2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120.015.000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N3L18</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circuito doble - torre metálica - conductor </w:t>
            </w:r>
            <w:r>
              <w:rPr>
                <w:rFonts w:cs="Arial"/>
                <w:sz w:val="16"/>
                <w:szCs w:val="16"/>
                <w:lang w:val="es-CO" w:eastAsia="es-CO"/>
              </w:rPr>
              <w:t>D-N</w:t>
            </w:r>
            <w:r w:rsidRPr="004E6CFC">
              <w:rPr>
                <w:rFonts w:cs="Arial"/>
                <w:sz w:val="16"/>
                <w:szCs w:val="16"/>
                <w:lang w:val="es-CO" w:eastAsia="es-CO"/>
              </w:rPr>
              <w:t>3-3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136.549.000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N3L19</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circuito sencillo - poste &gt; 20 m - conductor </w:t>
            </w:r>
            <w:r>
              <w:rPr>
                <w:rFonts w:cs="Arial"/>
                <w:sz w:val="16"/>
                <w:szCs w:val="16"/>
                <w:lang w:val="es-CO" w:eastAsia="es-CO"/>
              </w:rPr>
              <w:t>D-N</w:t>
            </w:r>
            <w:r w:rsidRPr="004E6CFC">
              <w:rPr>
                <w:rFonts w:cs="Arial"/>
                <w:sz w:val="16"/>
                <w:szCs w:val="16"/>
                <w:lang w:val="es-CO" w:eastAsia="es-CO"/>
              </w:rPr>
              <w:t>3-1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283.580.000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N3L20</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circuito sencillo - poste &gt; 20 m - conductor </w:t>
            </w:r>
            <w:r>
              <w:rPr>
                <w:rFonts w:cs="Arial"/>
                <w:sz w:val="16"/>
                <w:szCs w:val="16"/>
                <w:lang w:val="es-CO" w:eastAsia="es-CO"/>
              </w:rPr>
              <w:t>D-N</w:t>
            </w:r>
            <w:r w:rsidRPr="004E6CFC">
              <w:rPr>
                <w:rFonts w:cs="Arial"/>
                <w:sz w:val="16"/>
                <w:szCs w:val="16"/>
                <w:lang w:val="es-CO" w:eastAsia="es-CO"/>
              </w:rPr>
              <w:t>3-2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288.957.000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N3L21</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circuito sencillo - poste &gt; 20 m - conductor </w:t>
            </w:r>
            <w:r>
              <w:rPr>
                <w:rFonts w:cs="Arial"/>
                <w:sz w:val="16"/>
                <w:szCs w:val="16"/>
                <w:lang w:val="es-CO" w:eastAsia="es-CO"/>
              </w:rPr>
              <w:t>D-N</w:t>
            </w:r>
            <w:r w:rsidRPr="004E6CFC">
              <w:rPr>
                <w:rFonts w:cs="Arial"/>
                <w:sz w:val="16"/>
                <w:szCs w:val="16"/>
                <w:lang w:val="es-CO" w:eastAsia="es-CO"/>
              </w:rPr>
              <w:t>3-3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295.059.000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N3L22</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circuito doble - poste &gt; 20 m - conductor </w:t>
            </w:r>
            <w:r>
              <w:rPr>
                <w:rFonts w:cs="Arial"/>
                <w:sz w:val="16"/>
                <w:szCs w:val="16"/>
                <w:lang w:val="es-CO" w:eastAsia="es-CO"/>
              </w:rPr>
              <w:t>D-N</w:t>
            </w:r>
            <w:r w:rsidRPr="004E6CFC">
              <w:rPr>
                <w:rFonts w:cs="Arial"/>
                <w:sz w:val="16"/>
                <w:szCs w:val="16"/>
                <w:lang w:val="es-CO" w:eastAsia="es-CO"/>
              </w:rPr>
              <w:t>3-1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328.307.000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N3L23</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circuito doble - poste &gt; 20 m - conductor </w:t>
            </w:r>
            <w:r>
              <w:rPr>
                <w:rFonts w:cs="Arial"/>
                <w:sz w:val="16"/>
                <w:szCs w:val="16"/>
                <w:lang w:val="es-CO" w:eastAsia="es-CO"/>
              </w:rPr>
              <w:t>D-N</w:t>
            </w:r>
            <w:r w:rsidRPr="004E6CFC">
              <w:rPr>
                <w:rFonts w:cs="Arial"/>
                <w:sz w:val="16"/>
                <w:szCs w:val="16"/>
                <w:lang w:val="es-CO" w:eastAsia="es-CO"/>
              </w:rPr>
              <w:t>3-2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339.061.000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N3L24</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circuito doble - poste &gt; 20 m - conductor </w:t>
            </w:r>
            <w:r>
              <w:rPr>
                <w:rFonts w:cs="Arial"/>
                <w:sz w:val="16"/>
                <w:szCs w:val="16"/>
                <w:lang w:val="es-CO" w:eastAsia="es-CO"/>
              </w:rPr>
              <w:t>D-N</w:t>
            </w:r>
            <w:r w:rsidRPr="004E6CFC">
              <w:rPr>
                <w:rFonts w:cs="Arial"/>
                <w:sz w:val="16"/>
                <w:szCs w:val="16"/>
                <w:lang w:val="es-CO" w:eastAsia="es-CO"/>
              </w:rPr>
              <w:t>3-3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351.264.000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N3L25</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km línea urbana - 3 fases - semiaislada - conductor sa-n3-1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102.748.000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N3L26</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km línea urbana - 3 fases - semiaislada - conductor sa-n3-2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144.078.000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N3L27</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conductor </w:t>
            </w:r>
            <w:r w:rsidR="00BE7ED4" w:rsidRPr="004E6CFC">
              <w:rPr>
                <w:rFonts w:cs="Arial"/>
                <w:sz w:val="16"/>
                <w:szCs w:val="16"/>
                <w:lang w:val="es-CO" w:eastAsia="es-CO"/>
              </w:rPr>
              <w:t>subterráneo</w:t>
            </w:r>
            <w:r w:rsidRPr="004E6CFC">
              <w:rPr>
                <w:rFonts w:cs="Arial"/>
                <w:sz w:val="16"/>
                <w:szCs w:val="16"/>
                <w:lang w:val="es-CO" w:eastAsia="es-CO"/>
              </w:rPr>
              <w:t xml:space="preserve"> urbano - 3 cable monopolar - </w:t>
            </w:r>
            <w:r>
              <w:rPr>
                <w:rFonts w:cs="Arial"/>
                <w:sz w:val="16"/>
                <w:szCs w:val="16"/>
                <w:lang w:val="es-CO" w:eastAsia="es-CO"/>
              </w:rPr>
              <w:t>c</w:t>
            </w:r>
            <w:r w:rsidRPr="004E6CFC">
              <w:rPr>
                <w:rFonts w:cs="Arial"/>
                <w:sz w:val="16"/>
                <w:szCs w:val="16"/>
                <w:lang w:val="es-CO" w:eastAsia="es-CO"/>
              </w:rPr>
              <w:t xml:space="preserve">u aislado </w:t>
            </w:r>
            <w:r>
              <w:rPr>
                <w:rFonts w:cs="Arial"/>
                <w:sz w:val="16"/>
                <w:szCs w:val="16"/>
                <w:lang w:val="es-CO" w:eastAsia="es-CO"/>
              </w:rPr>
              <w:t>XLPE</w:t>
            </w:r>
            <w:r w:rsidRPr="004E6CFC">
              <w:rPr>
                <w:rFonts w:cs="Arial"/>
                <w:sz w:val="16"/>
                <w:szCs w:val="16"/>
                <w:lang w:val="es-CO" w:eastAsia="es-CO"/>
              </w:rPr>
              <w:t xml:space="preserve"> 35 kv-750</w:t>
            </w:r>
            <w:r>
              <w:rPr>
                <w:rFonts w:cs="Arial"/>
                <w:sz w:val="16"/>
                <w:szCs w:val="16"/>
                <w:lang w:val="es-CO" w:eastAsia="es-CO"/>
              </w:rPr>
              <w:t xml:space="preserve"> </w:t>
            </w:r>
            <w:r w:rsidRPr="004E6CFC">
              <w:rPr>
                <w:rFonts w:cs="Arial"/>
                <w:sz w:val="16"/>
                <w:szCs w:val="16"/>
                <w:lang w:val="es-CO" w:eastAsia="es-CO"/>
              </w:rPr>
              <w:t>kcmil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424.732.000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N3L28</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conductor </w:t>
            </w:r>
            <w:r w:rsidR="00BE7ED4" w:rsidRPr="004E6CFC">
              <w:rPr>
                <w:rFonts w:cs="Arial"/>
                <w:sz w:val="16"/>
                <w:szCs w:val="16"/>
                <w:lang w:val="es-CO" w:eastAsia="es-CO"/>
              </w:rPr>
              <w:t>subterráneo</w:t>
            </w:r>
            <w:r w:rsidRPr="004E6CFC">
              <w:rPr>
                <w:rFonts w:cs="Arial"/>
                <w:sz w:val="16"/>
                <w:szCs w:val="16"/>
                <w:lang w:val="es-CO" w:eastAsia="es-CO"/>
              </w:rPr>
              <w:t xml:space="preserve"> urbano - 3 cable monopolar - cu aislado </w:t>
            </w:r>
            <w:r>
              <w:rPr>
                <w:rFonts w:cs="Arial"/>
                <w:sz w:val="16"/>
                <w:szCs w:val="16"/>
                <w:lang w:val="es-CO" w:eastAsia="es-CO"/>
              </w:rPr>
              <w:t>XLPE</w:t>
            </w:r>
            <w:r w:rsidRPr="004E6CFC">
              <w:rPr>
                <w:rFonts w:cs="Arial"/>
                <w:sz w:val="16"/>
                <w:szCs w:val="16"/>
                <w:lang w:val="es-CO" w:eastAsia="es-CO"/>
              </w:rPr>
              <w:t xml:space="preserve"> 35 </w:t>
            </w:r>
            <w:r w:rsidR="00BE7ED4" w:rsidRPr="004E6CFC">
              <w:rPr>
                <w:rFonts w:cs="Arial"/>
                <w:sz w:val="16"/>
                <w:szCs w:val="16"/>
                <w:lang w:val="es-CO" w:eastAsia="es-CO"/>
              </w:rPr>
              <w:t>kV</w:t>
            </w:r>
            <w:r w:rsidRPr="004E6CFC">
              <w:rPr>
                <w:rFonts w:cs="Arial"/>
                <w:sz w:val="16"/>
                <w:szCs w:val="16"/>
                <w:lang w:val="es-CO" w:eastAsia="es-CO"/>
              </w:rPr>
              <w:t xml:space="preserve"> - 500 kcmil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323.807.000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N3L29</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conductor </w:t>
            </w:r>
            <w:r w:rsidR="00BE7ED4" w:rsidRPr="004E6CFC">
              <w:rPr>
                <w:rFonts w:cs="Arial"/>
                <w:sz w:val="16"/>
                <w:szCs w:val="16"/>
                <w:lang w:val="es-CO" w:eastAsia="es-CO"/>
              </w:rPr>
              <w:t>subterráneo</w:t>
            </w:r>
            <w:r w:rsidRPr="004E6CFC">
              <w:rPr>
                <w:rFonts w:cs="Arial"/>
                <w:sz w:val="16"/>
                <w:szCs w:val="16"/>
                <w:lang w:val="es-CO" w:eastAsia="es-CO"/>
              </w:rPr>
              <w:t xml:space="preserve"> urbano - 3 cable monopolar - cu aislado </w:t>
            </w:r>
            <w:r>
              <w:rPr>
                <w:rFonts w:cs="Arial"/>
                <w:sz w:val="16"/>
                <w:szCs w:val="16"/>
                <w:lang w:val="es-CO" w:eastAsia="es-CO"/>
              </w:rPr>
              <w:t>XLPE</w:t>
            </w:r>
            <w:r w:rsidRPr="004E6CFC">
              <w:rPr>
                <w:rFonts w:cs="Arial"/>
                <w:sz w:val="16"/>
                <w:szCs w:val="16"/>
                <w:lang w:val="es-CO" w:eastAsia="es-CO"/>
              </w:rPr>
              <w:t xml:space="preserve"> 35 </w:t>
            </w:r>
            <w:r w:rsidR="00BE7ED4" w:rsidRPr="004E6CFC">
              <w:rPr>
                <w:rFonts w:cs="Arial"/>
                <w:sz w:val="16"/>
                <w:szCs w:val="16"/>
                <w:lang w:val="es-CO" w:eastAsia="es-CO"/>
              </w:rPr>
              <w:t>kV</w:t>
            </w:r>
            <w:r w:rsidRPr="004E6CFC">
              <w:rPr>
                <w:rFonts w:cs="Arial"/>
                <w:sz w:val="16"/>
                <w:szCs w:val="16"/>
                <w:lang w:val="es-CO" w:eastAsia="es-CO"/>
              </w:rPr>
              <w:t xml:space="preserve"> - 350 kcmil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252.108.000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N3L30</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conductor </w:t>
            </w:r>
            <w:r w:rsidR="00BE7ED4" w:rsidRPr="004E6CFC">
              <w:rPr>
                <w:rFonts w:cs="Arial"/>
                <w:sz w:val="16"/>
                <w:szCs w:val="16"/>
                <w:lang w:val="es-CO" w:eastAsia="es-CO"/>
              </w:rPr>
              <w:t>subterráneo</w:t>
            </w:r>
            <w:r w:rsidRPr="004E6CFC">
              <w:rPr>
                <w:rFonts w:cs="Arial"/>
                <w:sz w:val="16"/>
                <w:szCs w:val="16"/>
                <w:lang w:val="es-CO" w:eastAsia="es-CO"/>
              </w:rPr>
              <w:t xml:space="preserve"> urbano 3 cable monopolar - cu aislado </w:t>
            </w:r>
            <w:r>
              <w:rPr>
                <w:rFonts w:cs="Arial"/>
                <w:sz w:val="16"/>
                <w:szCs w:val="16"/>
                <w:lang w:val="es-CO" w:eastAsia="es-CO"/>
              </w:rPr>
              <w:t>XLPE</w:t>
            </w:r>
            <w:r w:rsidRPr="004E6CFC">
              <w:rPr>
                <w:rFonts w:cs="Arial"/>
                <w:sz w:val="16"/>
                <w:szCs w:val="16"/>
                <w:lang w:val="es-CO" w:eastAsia="es-CO"/>
              </w:rPr>
              <w:t xml:space="preserve"> 35 </w:t>
            </w:r>
            <w:r w:rsidR="00BE7ED4" w:rsidRPr="004E6CFC">
              <w:rPr>
                <w:rFonts w:cs="Arial"/>
                <w:sz w:val="16"/>
                <w:szCs w:val="16"/>
                <w:lang w:val="es-CO" w:eastAsia="es-CO"/>
              </w:rPr>
              <w:t>kV</w:t>
            </w:r>
            <w:r w:rsidRPr="004E6CFC">
              <w:rPr>
                <w:rFonts w:cs="Arial"/>
                <w:sz w:val="16"/>
                <w:szCs w:val="16"/>
                <w:lang w:val="es-CO" w:eastAsia="es-CO"/>
              </w:rPr>
              <w:t xml:space="preserve"> - 4/0 </w:t>
            </w:r>
            <w:r>
              <w:rPr>
                <w:rFonts w:cs="Arial"/>
                <w:sz w:val="16"/>
                <w:szCs w:val="16"/>
                <w:lang w:val="es-CO" w:eastAsia="es-CO"/>
              </w:rPr>
              <w:t>AWG</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194.042.000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N3L31</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conductor </w:t>
            </w:r>
            <w:r w:rsidR="00BE7ED4" w:rsidRPr="004E6CFC">
              <w:rPr>
                <w:rFonts w:cs="Arial"/>
                <w:sz w:val="16"/>
                <w:szCs w:val="16"/>
                <w:lang w:val="es-CO" w:eastAsia="es-CO"/>
              </w:rPr>
              <w:t>subterráneo</w:t>
            </w:r>
            <w:r w:rsidRPr="004E6CFC">
              <w:rPr>
                <w:rFonts w:cs="Arial"/>
                <w:sz w:val="16"/>
                <w:szCs w:val="16"/>
                <w:lang w:val="es-CO" w:eastAsia="es-CO"/>
              </w:rPr>
              <w:t xml:space="preserve"> urbano - 3 cable monopolar - cu aislado </w:t>
            </w:r>
            <w:r>
              <w:rPr>
                <w:rFonts w:cs="Arial"/>
                <w:sz w:val="16"/>
                <w:szCs w:val="16"/>
                <w:lang w:val="es-CO" w:eastAsia="es-CO"/>
              </w:rPr>
              <w:t>XLPE</w:t>
            </w:r>
            <w:r w:rsidRPr="004E6CFC">
              <w:rPr>
                <w:rFonts w:cs="Arial"/>
                <w:sz w:val="16"/>
                <w:szCs w:val="16"/>
                <w:lang w:val="es-CO" w:eastAsia="es-CO"/>
              </w:rPr>
              <w:t xml:space="preserve"> 35 </w:t>
            </w:r>
            <w:r w:rsidR="00BE7ED4" w:rsidRPr="004E6CFC">
              <w:rPr>
                <w:rFonts w:cs="Arial"/>
                <w:sz w:val="16"/>
                <w:szCs w:val="16"/>
                <w:lang w:val="es-CO" w:eastAsia="es-CO"/>
              </w:rPr>
              <w:t>kV</w:t>
            </w:r>
            <w:r w:rsidRPr="004E6CFC">
              <w:rPr>
                <w:rFonts w:cs="Arial"/>
                <w:sz w:val="16"/>
                <w:szCs w:val="16"/>
                <w:lang w:val="es-CO" w:eastAsia="es-CO"/>
              </w:rPr>
              <w:t xml:space="preserve"> - 1/0 </w:t>
            </w:r>
            <w:r>
              <w:rPr>
                <w:rFonts w:cs="Arial"/>
                <w:sz w:val="16"/>
                <w:szCs w:val="16"/>
                <w:lang w:val="es-CO" w:eastAsia="es-CO"/>
              </w:rPr>
              <w:t>AWG</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163.029.000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N3L32</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km canalización urbana 4x6"</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457.516.000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N3L33</w:t>
            </w:r>
          </w:p>
        </w:tc>
        <w:tc>
          <w:tcPr>
            <w:tcW w:w="7370"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km canalización urbana 6x6"</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537.317.000</w:t>
            </w:r>
          </w:p>
        </w:tc>
      </w:tr>
    </w:tbl>
    <w:p w:rsidR="00697252" w:rsidRPr="004E6CFC" w:rsidRDefault="00697252" w:rsidP="00697252">
      <w:pPr>
        <w:pStyle w:val="Descripcin"/>
        <w:rPr>
          <w:sz w:val="18"/>
          <w:szCs w:val="18"/>
        </w:rPr>
      </w:pPr>
      <w:r w:rsidRPr="004E6CFC">
        <w:t xml:space="preserve">Tabla </w:t>
      </w:r>
      <w:r w:rsidRPr="004E6CFC">
        <w:fldChar w:fldCharType="begin"/>
      </w:r>
      <w:r w:rsidRPr="004E6CFC">
        <w:instrText xml:space="preserve"> SEQ Tabla \* ARABIC </w:instrText>
      </w:r>
      <w:r w:rsidRPr="004E6CFC">
        <w:fldChar w:fldCharType="separate"/>
      </w:r>
      <w:r w:rsidR="00737178">
        <w:rPr>
          <w:noProof/>
        </w:rPr>
        <w:t>50</w:t>
      </w:r>
      <w:r w:rsidRPr="004E6CFC">
        <w:fldChar w:fldCharType="end"/>
      </w:r>
      <w:r w:rsidRPr="004E6CFC">
        <w:t xml:space="preserve"> UC de líneas de nivel de tensión 2.</w:t>
      </w:r>
    </w:p>
    <w:tbl>
      <w:tblPr>
        <w:tblW w:w="0" w:type="auto"/>
        <w:tblInd w:w="-72" w:type="dxa"/>
        <w:tblCellMar>
          <w:left w:w="70" w:type="dxa"/>
          <w:right w:w="70" w:type="dxa"/>
        </w:tblCellMar>
        <w:tblLook w:val="04A0" w:firstRow="1" w:lastRow="0" w:firstColumn="1" w:lastColumn="0" w:noHBand="0" w:noVBand="1"/>
      </w:tblPr>
      <w:tblGrid>
        <w:gridCol w:w="653"/>
        <w:gridCol w:w="7496"/>
        <w:gridCol w:w="1269"/>
      </w:tblGrid>
      <w:tr w:rsidR="00697252" w:rsidRPr="004E6CFC" w:rsidTr="00045289">
        <w:trPr>
          <w:trHeight w:val="652"/>
          <w:tblHeader/>
        </w:trPr>
        <w:tc>
          <w:tcPr>
            <w:tcW w:w="652"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UC</w:t>
            </w:r>
          </w:p>
        </w:tc>
        <w:tc>
          <w:tcPr>
            <w:tcW w:w="7497"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DESCRIPCIÓN UNIDAD CONSTRUCTIVA</w:t>
            </w:r>
          </w:p>
        </w:tc>
        <w:tc>
          <w:tcPr>
            <w:tcW w:w="1269"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VALOR INSTALADO [$Dic 2007]</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N2L1</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1 - 3 hilos (3 fases, sin neutro) - conductor </w:t>
            </w:r>
            <w:r>
              <w:rPr>
                <w:rFonts w:cs="Arial"/>
                <w:sz w:val="16"/>
                <w:szCs w:val="16"/>
                <w:lang w:val="es-CO" w:eastAsia="es-CO"/>
              </w:rPr>
              <w:t>D-N</w:t>
            </w:r>
            <w:r w:rsidRPr="004E6CFC">
              <w:rPr>
                <w:rFonts w:cs="Arial"/>
                <w:sz w:val="16"/>
                <w:szCs w:val="16"/>
                <w:lang w:val="es-CO" w:eastAsia="es-CO"/>
              </w:rPr>
              <w:t>2-1</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56.124.000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N2L2</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1 - 3 hilos (3 fases, sin neutro) - conductor </w:t>
            </w:r>
            <w:r>
              <w:rPr>
                <w:rFonts w:cs="Arial"/>
                <w:sz w:val="16"/>
                <w:szCs w:val="16"/>
                <w:lang w:val="es-CO" w:eastAsia="es-CO"/>
              </w:rPr>
              <w:t>D-N</w:t>
            </w:r>
            <w:r w:rsidRPr="004E6CFC">
              <w:rPr>
                <w:rFonts w:cs="Arial"/>
                <w:sz w:val="16"/>
                <w:szCs w:val="16"/>
                <w:lang w:val="es-CO" w:eastAsia="es-CO"/>
              </w:rPr>
              <w:t>2-2</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58.634.000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N2L3</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1 - 3 hilos (3 fases, sin neutro) - conductor </w:t>
            </w:r>
            <w:r>
              <w:rPr>
                <w:rFonts w:cs="Arial"/>
                <w:sz w:val="16"/>
                <w:szCs w:val="16"/>
                <w:lang w:val="es-CO" w:eastAsia="es-CO"/>
              </w:rPr>
              <w:t>D-N</w:t>
            </w:r>
            <w:r w:rsidRPr="004E6CFC">
              <w:rPr>
                <w:rFonts w:cs="Arial"/>
                <w:sz w:val="16"/>
                <w:szCs w:val="16"/>
                <w:lang w:val="es-CO" w:eastAsia="es-CO"/>
              </w:rPr>
              <w:t>2-3</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64.622.000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N2L4</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1 - 3 hilos (3 fases, sin neutro) - conductor </w:t>
            </w:r>
            <w:r>
              <w:rPr>
                <w:rFonts w:cs="Arial"/>
                <w:sz w:val="16"/>
                <w:szCs w:val="16"/>
                <w:lang w:val="es-CO" w:eastAsia="es-CO"/>
              </w:rPr>
              <w:t>D-N</w:t>
            </w:r>
            <w:r w:rsidRPr="004E6CFC">
              <w:rPr>
                <w:rFonts w:cs="Arial"/>
                <w:sz w:val="16"/>
                <w:szCs w:val="16"/>
                <w:lang w:val="es-CO" w:eastAsia="es-CO"/>
              </w:rPr>
              <w:t>2-4</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75.879.000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N2L5</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1 - 3 hilos (3 fases, sin neutro) - conductor </w:t>
            </w:r>
            <w:r>
              <w:rPr>
                <w:rFonts w:cs="Arial"/>
                <w:sz w:val="16"/>
                <w:szCs w:val="16"/>
                <w:lang w:val="es-CO" w:eastAsia="es-CO"/>
              </w:rPr>
              <w:t>D-N</w:t>
            </w:r>
            <w:r w:rsidRPr="004E6CFC">
              <w:rPr>
                <w:rFonts w:cs="Arial"/>
                <w:sz w:val="16"/>
                <w:szCs w:val="16"/>
                <w:lang w:val="es-CO" w:eastAsia="es-CO"/>
              </w:rPr>
              <w:t>2-5</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95.701.000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N2L6</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2 - 3 hilos (3 fases, sin neutro) - conductor </w:t>
            </w:r>
            <w:r>
              <w:rPr>
                <w:rFonts w:cs="Arial"/>
                <w:sz w:val="16"/>
                <w:szCs w:val="16"/>
                <w:lang w:val="es-CO" w:eastAsia="es-CO"/>
              </w:rPr>
              <w:t>D-N</w:t>
            </w:r>
            <w:r w:rsidRPr="004E6CFC">
              <w:rPr>
                <w:rFonts w:cs="Arial"/>
                <w:sz w:val="16"/>
                <w:szCs w:val="16"/>
                <w:lang w:val="es-CO" w:eastAsia="es-CO"/>
              </w:rPr>
              <w:t>2-1</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34.946.000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lastRenderedPageBreak/>
              <w:t>N2L7</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2 - 3 hilos (3 fases, sin neutro) - conductor </w:t>
            </w:r>
            <w:r>
              <w:rPr>
                <w:rFonts w:cs="Arial"/>
                <w:sz w:val="16"/>
                <w:szCs w:val="16"/>
                <w:lang w:val="es-CO" w:eastAsia="es-CO"/>
              </w:rPr>
              <w:t>D-N</w:t>
            </w:r>
            <w:r w:rsidRPr="004E6CFC">
              <w:rPr>
                <w:rFonts w:cs="Arial"/>
                <w:sz w:val="16"/>
                <w:szCs w:val="16"/>
                <w:lang w:val="es-CO" w:eastAsia="es-CO"/>
              </w:rPr>
              <w:t>2-2</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37.456.000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N2L8</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2 - 3 hilos (3 fases, sin neutro) - conductor </w:t>
            </w:r>
            <w:r>
              <w:rPr>
                <w:rFonts w:cs="Arial"/>
                <w:sz w:val="16"/>
                <w:szCs w:val="16"/>
                <w:lang w:val="es-CO" w:eastAsia="es-CO"/>
              </w:rPr>
              <w:t>D-N</w:t>
            </w:r>
            <w:r w:rsidRPr="004E6CFC">
              <w:rPr>
                <w:rFonts w:cs="Arial"/>
                <w:sz w:val="16"/>
                <w:szCs w:val="16"/>
                <w:lang w:val="es-CO" w:eastAsia="es-CO"/>
              </w:rPr>
              <w:t>2-3</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43.239.000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N2L9</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2 - 3 hilos (3 fases, sin neutro) - conductor </w:t>
            </w:r>
            <w:r>
              <w:rPr>
                <w:rFonts w:cs="Arial"/>
                <w:sz w:val="16"/>
                <w:szCs w:val="16"/>
                <w:lang w:val="es-CO" w:eastAsia="es-CO"/>
              </w:rPr>
              <w:t>D-N</w:t>
            </w:r>
            <w:r w:rsidRPr="004E6CFC">
              <w:rPr>
                <w:rFonts w:cs="Arial"/>
                <w:sz w:val="16"/>
                <w:szCs w:val="16"/>
                <w:lang w:val="es-CO" w:eastAsia="es-CO"/>
              </w:rPr>
              <w:t>2-4</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54.701.000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N2L10</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2 - 3 hilos (3 fases, sin neutro) - conductor </w:t>
            </w:r>
            <w:r>
              <w:rPr>
                <w:rFonts w:cs="Arial"/>
                <w:sz w:val="16"/>
                <w:szCs w:val="16"/>
                <w:lang w:val="es-CO" w:eastAsia="es-CO"/>
              </w:rPr>
              <w:t>D-N</w:t>
            </w:r>
            <w:r w:rsidRPr="004E6CFC">
              <w:rPr>
                <w:rFonts w:cs="Arial"/>
                <w:sz w:val="16"/>
                <w:szCs w:val="16"/>
                <w:lang w:val="es-CO" w:eastAsia="es-CO"/>
              </w:rPr>
              <w:t>2-5</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74.523.000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N2L11</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1 - 4 hilos (3 fases, con neutro) - conductor </w:t>
            </w:r>
            <w:r>
              <w:rPr>
                <w:rFonts w:cs="Arial"/>
                <w:sz w:val="16"/>
                <w:szCs w:val="16"/>
                <w:lang w:val="es-CO" w:eastAsia="es-CO"/>
              </w:rPr>
              <w:t>D-N</w:t>
            </w:r>
            <w:r w:rsidRPr="004E6CFC">
              <w:rPr>
                <w:rFonts w:cs="Arial"/>
                <w:sz w:val="16"/>
                <w:szCs w:val="16"/>
                <w:lang w:val="es-CO" w:eastAsia="es-CO"/>
              </w:rPr>
              <w:t>2-1</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68.718.000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N2L12</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1 - 4 hilos (3 fases, con neutro) - conductor </w:t>
            </w:r>
            <w:r>
              <w:rPr>
                <w:rFonts w:cs="Arial"/>
                <w:sz w:val="16"/>
                <w:szCs w:val="16"/>
                <w:lang w:val="es-CO" w:eastAsia="es-CO"/>
              </w:rPr>
              <w:t>D-N</w:t>
            </w:r>
            <w:r w:rsidRPr="004E6CFC">
              <w:rPr>
                <w:rFonts w:cs="Arial"/>
                <w:sz w:val="16"/>
                <w:szCs w:val="16"/>
                <w:lang w:val="es-CO" w:eastAsia="es-CO"/>
              </w:rPr>
              <w:t>2-2</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72.306.000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N2L13</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1 - 4 hilos (3 fases, con neutro) - conductor </w:t>
            </w:r>
            <w:r>
              <w:rPr>
                <w:rFonts w:cs="Arial"/>
                <w:sz w:val="16"/>
                <w:szCs w:val="16"/>
                <w:lang w:val="es-CO" w:eastAsia="es-CO"/>
              </w:rPr>
              <w:t>D-N</w:t>
            </w:r>
            <w:r w:rsidRPr="004E6CFC">
              <w:rPr>
                <w:rFonts w:cs="Arial"/>
                <w:sz w:val="16"/>
                <w:szCs w:val="16"/>
                <w:lang w:val="es-CO" w:eastAsia="es-CO"/>
              </w:rPr>
              <w:t>2-3</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80.285.000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N2L14</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1 - 4 hilos (3 fases, con neutro) - conductor </w:t>
            </w:r>
            <w:r>
              <w:rPr>
                <w:rFonts w:cs="Arial"/>
                <w:sz w:val="16"/>
                <w:szCs w:val="16"/>
                <w:lang w:val="es-CO" w:eastAsia="es-CO"/>
              </w:rPr>
              <w:t>D-N</w:t>
            </w:r>
            <w:r w:rsidRPr="004E6CFC">
              <w:rPr>
                <w:rFonts w:cs="Arial"/>
                <w:sz w:val="16"/>
                <w:szCs w:val="16"/>
                <w:lang w:val="es-CO" w:eastAsia="es-CO"/>
              </w:rPr>
              <w:t>2-4</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95.206.000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N2L15</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1 - 4 hilos (3 fases, con neutro) - conductor </w:t>
            </w:r>
            <w:r>
              <w:rPr>
                <w:rFonts w:cs="Arial"/>
                <w:sz w:val="16"/>
                <w:szCs w:val="16"/>
                <w:lang w:val="es-CO" w:eastAsia="es-CO"/>
              </w:rPr>
              <w:t>D-N</w:t>
            </w:r>
            <w:r w:rsidRPr="004E6CFC">
              <w:rPr>
                <w:rFonts w:cs="Arial"/>
                <w:sz w:val="16"/>
                <w:szCs w:val="16"/>
                <w:lang w:val="es-CO" w:eastAsia="es-CO"/>
              </w:rPr>
              <w:t>2-5</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121.530.000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N2L16</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2 - 4 hilos (3 fases, con neutro) - conductor </w:t>
            </w:r>
            <w:r>
              <w:rPr>
                <w:rFonts w:cs="Arial"/>
                <w:sz w:val="16"/>
                <w:szCs w:val="16"/>
                <w:lang w:val="es-CO" w:eastAsia="es-CO"/>
              </w:rPr>
              <w:t>D-N</w:t>
            </w:r>
            <w:r w:rsidRPr="004E6CFC">
              <w:rPr>
                <w:rFonts w:cs="Arial"/>
                <w:sz w:val="16"/>
                <w:szCs w:val="16"/>
                <w:lang w:val="es-CO" w:eastAsia="es-CO"/>
              </w:rPr>
              <w:t>2-1</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45.695.000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N2L17</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2 - 4 hilos (3 fases, con neutro) - conductor </w:t>
            </w:r>
            <w:r>
              <w:rPr>
                <w:rFonts w:cs="Arial"/>
                <w:sz w:val="16"/>
                <w:szCs w:val="16"/>
                <w:lang w:val="es-CO" w:eastAsia="es-CO"/>
              </w:rPr>
              <w:t>D-N</w:t>
            </w:r>
            <w:r w:rsidRPr="004E6CFC">
              <w:rPr>
                <w:rFonts w:cs="Arial"/>
                <w:sz w:val="16"/>
                <w:szCs w:val="16"/>
                <w:lang w:val="es-CO" w:eastAsia="es-CO"/>
              </w:rPr>
              <w:t>2-2</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49.282.000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N2L18</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2 - 4 hilos (3 fases, con neutro) - conductor </w:t>
            </w:r>
            <w:r>
              <w:rPr>
                <w:rFonts w:cs="Arial"/>
                <w:sz w:val="16"/>
                <w:szCs w:val="16"/>
                <w:lang w:val="es-CO" w:eastAsia="es-CO"/>
              </w:rPr>
              <w:t>D-N</w:t>
            </w:r>
            <w:r w:rsidRPr="004E6CFC">
              <w:rPr>
                <w:rFonts w:cs="Arial"/>
                <w:sz w:val="16"/>
                <w:szCs w:val="16"/>
                <w:lang w:val="es-CO" w:eastAsia="es-CO"/>
              </w:rPr>
              <w:t>2-3</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56.976.000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N2L19</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2 - 4 hilos (3 fases, con neutro) - conductor </w:t>
            </w:r>
            <w:r>
              <w:rPr>
                <w:rFonts w:cs="Arial"/>
                <w:sz w:val="16"/>
                <w:szCs w:val="16"/>
                <w:lang w:val="es-CO" w:eastAsia="es-CO"/>
              </w:rPr>
              <w:t>D-N</w:t>
            </w:r>
            <w:r w:rsidRPr="004E6CFC">
              <w:rPr>
                <w:rFonts w:cs="Arial"/>
                <w:sz w:val="16"/>
                <w:szCs w:val="16"/>
                <w:lang w:val="es-CO" w:eastAsia="es-CO"/>
              </w:rPr>
              <w:t>2-4</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72.183.000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N2L20</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2 - 4 hilos (3 fases, con neutro) - conductor </w:t>
            </w:r>
            <w:r>
              <w:rPr>
                <w:rFonts w:cs="Arial"/>
                <w:sz w:val="16"/>
                <w:szCs w:val="16"/>
                <w:lang w:val="es-CO" w:eastAsia="es-CO"/>
              </w:rPr>
              <w:t>D-N</w:t>
            </w:r>
            <w:r w:rsidRPr="004E6CFC">
              <w:rPr>
                <w:rFonts w:cs="Arial"/>
                <w:sz w:val="16"/>
                <w:szCs w:val="16"/>
                <w:lang w:val="es-CO" w:eastAsia="es-CO"/>
              </w:rPr>
              <w:t>2-5</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98.507.000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N2L21</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1 - 2 hilos (2 fases, sin neutro) - conductor </w:t>
            </w:r>
            <w:r>
              <w:rPr>
                <w:rFonts w:cs="Arial"/>
                <w:sz w:val="16"/>
                <w:szCs w:val="16"/>
                <w:lang w:val="es-CO" w:eastAsia="es-CO"/>
              </w:rPr>
              <w:t>D-N</w:t>
            </w:r>
            <w:r w:rsidRPr="004E6CFC">
              <w:rPr>
                <w:rFonts w:cs="Arial"/>
                <w:sz w:val="16"/>
                <w:szCs w:val="16"/>
                <w:lang w:val="es-CO" w:eastAsia="es-CO"/>
              </w:rPr>
              <w:t>2-1</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49.190.000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N2L22</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1 - 2 hilos (2 fases, sin neutro) - conductor </w:t>
            </w:r>
            <w:r>
              <w:rPr>
                <w:rFonts w:cs="Arial"/>
                <w:sz w:val="16"/>
                <w:szCs w:val="16"/>
                <w:lang w:val="es-CO" w:eastAsia="es-CO"/>
              </w:rPr>
              <w:t>D-N</w:t>
            </w:r>
            <w:r w:rsidRPr="004E6CFC">
              <w:rPr>
                <w:rFonts w:cs="Arial"/>
                <w:sz w:val="16"/>
                <w:szCs w:val="16"/>
                <w:lang w:val="es-CO" w:eastAsia="es-CO"/>
              </w:rPr>
              <w:t>2-2</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50.858.000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N2L23</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1 - 2 hilos (2 fases, sin neutro) - conductor </w:t>
            </w:r>
            <w:r>
              <w:rPr>
                <w:rFonts w:cs="Arial"/>
                <w:sz w:val="16"/>
                <w:szCs w:val="16"/>
                <w:lang w:val="es-CO" w:eastAsia="es-CO"/>
              </w:rPr>
              <w:t>D-N</w:t>
            </w:r>
            <w:r w:rsidRPr="004E6CFC">
              <w:rPr>
                <w:rFonts w:cs="Arial"/>
                <w:sz w:val="16"/>
                <w:szCs w:val="16"/>
                <w:lang w:val="es-CO" w:eastAsia="es-CO"/>
              </w:rPr>
              <w:t>2-4</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62.309.000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N2L24</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2 - 2 hilos (2 fases, sin neutro) - conductor </w:t>
            </w:r>
            <w:r>
              <w:rPr>
                <w:rFonts w:cs="Arial"/>
                <w:sz w:val="16"/>
                <w:szCs w:val="16"/>
                <w:lang w:val="es-CO" w:eastAsia="es-CO"/>
              </w:rPr>
              <w:t>D-N</w:t>
            </w:r>
            <w:r w:rsidRPr="004E6CFC">
              <w:rPr>
                <w:rFonts w:cs="Arial"/>
                <w:sz w:val="16"/>
                <w:szCs w:val="16"/>
                <w:lang w:val="es-CO" w:eastAsia="es-CO"/>
              </w:rPr>
              <w:t>2-1</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29.978.000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N2L25</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2 - 2 hilos (2 fases, sin neutro) - conductor </w:t>
            </w:r>
            <w:r>
              <w:rPr>
                <w:rFonts w:cs="Arial"/>
                <w:sz w:val="16"/>
                <w:szCs w:val="16"/>
                <w:lang w:val="es-CO" w:eastAsia="es-CO"/>
              </w:rPr>
              <w:t>D-N</w:t>
            </w:r>
            <w:r w:rsidRPr="004E6CFC">
              <w:rPr>
                <w:rFonts w:cs="Arial"/>
                <w:sz w:val="16"/>
                <w:szCs w:val="16"/>
                <w:lang w:val="es-CO" w:eastAsia="es-CO"/>
              </w:rPr>
              <w:t>2-2</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31.647.000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N2L26</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2 - 2 hilos (2 fases, sin neutro) - conductor </w:t>
            </w:r>
            <w:r>
              <w:rPr>
                <w:rFonts w:cs="Arial"/>
                <w:sz w:val="16"/>
                <w:szCs w:val="16"/>
                <w:lang w:val="es-CO" w:eastAsia="es-CO"/>
              </w:rPr>
              <w:t>D-N</w:t>
            </w:r>
            <w:r w:rsidRPr="004E6CFC">
              <w:rPr>
                <w:rFonts w:cs="Arial"/>
                <w:sz w:val="16"/>
                <w:szCs w:val="16"/>
                <w:lang w:val="es-CO" w:eastAsia="es-CO"/>
              </w:rPr>
              <w:t>2-4</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43.097.000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N2L27</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poste concreto - vano tipo 1 - 3 hilos (3 fases, sin neutro) - conductor </w:t>
            </w:r>
            <w:r>
              <w:rPr>
                <w:rFonts w:cs="Arial"/>
                <w:sz w:val="16"/>
                <w:szCs w:val="16"/>
                <w:lang w:val="es-CO" w:eastAsia="es-CO"/>
              </w:rPr>
              <w:t>D-N</w:t>
            </w:r>
            <w:r w:rsidRPr="004E6CFC">
              <w:rPr>
                <w:rFonts w:cs="Arial"/>
                <w:sz w:val="16"/>
                <w:szCs w:val="16"/>
                <w:lang w:val="es-CO" w:eastAsia="es-CO"/>
              </w:rPr>
              <w:t>2-1</w:t>
            </w:r>
          </w:p>
        </w:tc>
        <w:tc>
          <w:tcPr>
            <w:tcW w:w="1269"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34.632.000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N2L28</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poste concreto - vano tipo 1 - 3 hilos (3 fases, sin neutro) - conductor </w:t>
            </w:r>
            <w:r>
              <w:rPr>
                <w:rFonts w:cs="Arial"/>
                <w:sz w:val="16"/>
                <w:szCs w:val="16"/>
                <w:lang w:val="es-CO" w:eastAsia="es-CO"/>
              </w:rPr>
              <w:t>D-N</w:t>
            </w:r>
            <w:r w:rsidRPr="004E6CFC">
              <w:rPr>
                <w:rFonts w:cs="Arial"/>
                <w:sz w:val="16"/>
                <w:szCs w:val="16"/>
                <w:lang w:val="es-CO" w:eastAsia="es-CO"/>
              </w:rPr>
              <w:t>2-2</w:t>
            </w:r>
          </w:p>
        </w:tc>
        <w:tc>
          <w:tcPr>
            <w:tcW w:w="1269"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37.235.000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N2L29</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poste concreto - vano tipo 1 - 3 hilos (3 fases, sin neutro) - conductor </w:t>
            </w:r>
            <w:r>
              <w:rPr>
                <w:rFonts w:cs="Arial"/>
                <w:sz w:val="16"/>
                <w:szCs w:val="16"/>
                <w:lang w:val="es-CO" w:eastAsia="es-CO"/>
              </w:rPr>
              <w:t>D-N</w:t>
            </w:r>
            <w:r w:rsidRPr="004E6CFC">
              <w:rPr>
                <w:rFonts w:cs="Arial"/>
                <w:sz w:val="16"/>
                <w:szCs w:val="16"/>
                <w:lang w:val="es-CO" w:eastAsia="es-CO"/>
              </w:rPr>
              <w:t>2-3</w:t>
            </w:r>
          </w:p>
        </w:tc>
        <w:tc>
          <w:tcPr>
            <w:tcW w:w="1269"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43.320.000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N2L30</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poste concreto - vano tipo 1 - 3 hilos (3 fases, sin neutro) - conductor </w:t>
            </w:r>
            <w:r>
              <w:rPr>
                <w:rFonts w:cs="Arial"/>
                <w:sz w:val="16"/>
                <w:szCs w:val="16"/>
                <w:lang w:val="es-CO" w:eastAsia="es-CO"/>
              </w:rPr>
              <w:t>D-N</w:t>
            </w:r>
            <w:r w:rsidRPr="004E6CFC">
              <w:rPr>
                <w:rFonts w:cs="Arial"/>
                <w:sz w:val="16"/>
                <w:szCs w:val="16"/>
                <w:lang w:val="es-CO" w:eastAsia="es-CO"/>
              </w:rPr>
              <w:t>2-4</w:t>
            </w:r>
          </w:p>
        </w:tc>
        <w:tc>
          <w:tcPr>
            <w:tcW w:w="1269"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55.379.000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N2L31</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poste concreto - vano tipo 1 - 3 hilos (3 fases, sin neutro) - conductor </w:t>
            </w:r>
            <w:r>
              <w:rPr>
                <w:rFonts w:cs="Arial"/>
                <w:sz w:val="16"/>
                <w:szCs w:val="16"/>
                <w:lang w:val="es-CO" w:eastAsia="es-CO"/>
              </w:rPr>
              <w:t>D-N</w:t>
            </w:r>
            <w:r w:rsidRPr="004E6CFC">
              <w:rPr>
                <w:rFonts w:cs="Arial"/>
                <w:sz w:val="16"/>
                <w:szCs w:val="16"/>
                <w:lang w:val="es-CO" w:eastAsia="es-CO"/>
              </w:rPr>
              <w:t>2-5</w:t>
            </w:r>
          </w:p>
        </w:tc>
        <w:tc>
          <w:tcPr>
            <w:tcW w:w="1269"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76.235.000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N2L32</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poste concreto - vano tipo 2 - 3 hilos (3 fases, sin neutro) - conductor </w:t>
            </w:r>
            <w:r>
              <w:rPr>
                <w:rFonts w:cs="Arial"/>
                <w:sz w:val="16"/>
                <w:szCs w:val="16"/>
                <w:lang w:val="es-CO" w:eastAsia="es-CO"/>
              </w:rPr>
              <w:t>D-N</w:t>
            </w:r>
            <w:r w:rsidRPr="004E6CFC">
              <w:rPr>
                <w:rFonts w:cs="Arial"/>
                <w:sz w:val="16"/>
                <w:szCs w:val="16"/>
                <w:lang w:val="es-CO" w:eastAsia="es-CO"/>
              </w:rPr>
              <w:t>2-1</w:t>
            </w:r>
          </w:p>
        </w:tc>
        <w:tc>
          <w:tcPr>
            <w:tcW w:w="1269"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29.401.000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N2L33</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poste concreto - vano tipo 2 - 3 hilos (3 fases, sin neutro) - conductor </w:t>
            </w:r>
            <w:r>
              <w:rPr>
                <w:rFonts w:cs="Arial"/>
                <w:sz w:val="16"/>
                <w:szCs w:val="16"/>
                <w:lang w:val="es-CO" w:eastAsia="es-CO"/>
              </w:rPr>
              <w:t>D-N</w:t>
            </w:r>
            <w:r w:rsidRPr="004E6CFC">
              <w:rPr>
                <w:rFonts w:cs="Arial"/>
                <w:sz w:val="16"/>
                <w:szCs w:val="16"/>
                <w:lang w:val="es-CO" w:eastAsia="es-CO"/>
              </w:rPr>
              <w:t>2-2</w:t>
            </w:r>
          </w:p>
        </w:tc>
        <w:tc>
          <w:tcPr>
            <w:tcW w:w="1269"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32.004.000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N2L34</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poste concreto - vano tipo 2 - 3 hilos (3 fases, sin neutro) - conductor </w:t>
            </w:r>
            <w:r>
              <w:rPr>
                <w:rFonts w:cs="Arial"/>
                <w:sz w:val="16"/>
                <w:szCs w:val="16"/>
                <w:lang w:val="es-CO" w:eastAsia="es-CO"/>
              </w:rPr>
              <w:t>D-N</w:t>
            </w:r>
            <w:r w:rsidRPr="004E6CFC">
              <w:rPr>
                <w:rFonts w:cs="Arial"/>
                <w:sz w:val="16"/>
                <w:szCs w:val="16"/>
                <w:lang w:val="es-CO" w:eastAsia="es-CO"/>
              </w:rPr>
              <w:t>2-3</w:t>
            </w:r>
          </w:p>
        </w:tc>
        <w:tc>
          <w:tcPr>
            <w:tcW w:w="1269"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38.074.000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N2L35</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poste concreto - vano tipo 2 - 3 hilos (3 fases, sin neutro) - conductor </w:t>
            </w:r>
            <w:r>
              <w:rPr>
                <w:rFonts w:cs="Arial"/>
                <w:sz w:val="16"/>
                <w:szCs w:val="16"/>
                <w:lang w:val="es-CO" w:eastAsia="es-CO"/>
              </w:rPr>
              <w:t>D-N</w:t>
            </w:r>
            <w:r w:rsidRPr="004E6CFC">
              <w:rPr>
                <w:rFonts w:cs="Arial"/>
                <w:sz w:val="16"/>
                <w:szCs w:val="16"/>
                <w:lang w:val="es-CO" w:eastAsia="es-CO"/>
              </w:rPr>
              <w:t>2-4</w:t>
            </w:r>
          </w:p>
        </w:tc>
        <w:tc>
          <w:tcPr>
            <w:tcW w:w="1269"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50.148.000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N2L36</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poste concreto - vano tipo 2 - 3 hilos (3 fases, sin neutro) - conductor </w:t>
            </w:r>
            <w:r>
              <w:rPr>
                <w:rFonts w:cs="Arial"/>
                <w:sz w:val="16"/>
                <w:szCs w:val="16"/>
                <w:lang w:val="es-CO" w:eastAsia="es-CO"/>
              </w:rPr>
              <w:t>D-N</w:t>
            </w:r>
            <w:r w:rsidRPr="004E6CFC">
              <w:rPr>
                <w:rFonts w:cs="Arial"/>
                <w:sz w:val="16"/>
                <w:szCs w:val="16"/>
                <w:lang w:val="es-CO" w:eastAsia="es-CO"/>
              </w:rPr>
              <w:t>2-5</w:t>
            </w:r>
          </w:p>
        </w:tc>
        <w:tc>
          <w:tcPr>
            <w:tcW w:w="1269"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70.794.000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N2L37</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poste concreto - vano tipo 1 - 4 hilos (3 fases, con neutro) - conductor </w:t>
            </w:r>
            <w:r>
              <w:rPr>
                <w:rFonts w:cs="Arial"/>
                <w:sz w:val="16"/>
                <w:szCs w:val="16"/>
                <w:lang w:val="es-CO" w:eastAsia="es-CO"/>
              </w:rPr>
              <w:t>D-N</w:t>
            </w:r>
            <w:r w:rsidRPr="004E6CFC">
              <w:rPr>
                <w:rFonts w:cs="Arial"/>
                <w:sz w:val="16"/>
                <w:szCs w:val="16"/>
                <w:lang w:val="es-CO" w:eastAsia="es-CO"/>
              </w:rPr>
              <w:t>2-1</w:t>
            </w:r>
          </w:p>
        </w:tc>
        <w:tc>
          <w:tcPr>
            <w:tcW w:w="1269"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43.985.000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N2L38</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poste concreto - vano tipo 1 - 4 hilos (3 fases, con neutro) - conductor </w:t>
            </w:r>
            <w:r>
              <w:rPr>
                <w:rFonts w:cs="Arial"/>
                <w:sz w:val="16"/>
                <w:szCs w:val="16"/>
                <w:lang w:val="es-CO" w:eastAsia="es-CO"/>
              </w:rPr>
              <w:t>D-N</w:t>
            </w:r>
            <w:r w:rsidRPr="004E6CFC">
              <w:rPr>
                <w:rFonts w:cs="Arial"/>
                <w:sz w:val="16"/>
                <w:szCs w:val="16"/>
                <w:lang w:val="es-CO" w:eastAsia="es-CO"/>
              </w:rPr>
              <w:t>2-2</w:t>
            </w:r>
          </w:p>
        </w:tc>
        <w:tc>
          <w:tcPr>
            <w:tcW w:w="1269"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46.830.000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N2L39</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poste concreto - vano tipo 1 - 4 hilos (3 fases, con neutro) - conductor </w:t>
            </w:r>
            <w:r>
              <w:rPr>
                <w:rFonts w:cs="Arial"/>
                <w:sz w:val="16"/>
                <w:szCs w:val="16"/>
                <w:lang w:val="es-CO" w:eastAsia="es-CO"/>
              </w:rPr>
              <w:t>D-N</w:t>
            </w:r>
            <w:r w:rsidRPr="004E6CFC">
              <w:rPr>
                <w:rFonts w:cs="Arial"/>
                <w:sz w:val="16"/>
                <w:szCs w:val="16"/>
                <w:lang w:val="es-CO" w:eastAsia="es-CO"/>
              </w:rPr>
              <w:t>2-3</w:t>
            </w:r>
          </w:p>
        </w:tc>
        <w:tc>
          <w:tcPr>
            <w:tcW w:w="1269"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52.899.000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N2L40</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poste concreto - vano tipo 1 - 4 hilos (3 fases, con neutro) - conductor </w:t>
            </w:r>
            <w:r>
              <w:rPr>
                <w:rFonts w:cs="Arial"/>
                <w:sz w:val="16"/>
                <w:szCs w:val="16"/>
                <w:lang w:val="es-CO" w:eastAsia="es-CO"/>
              </w:rPr>
              <w:t>D-N</w:t>
            </w:r>
            <w:r w:rsidRPr="004E6CFC">
              <w:rPr>
                <w:rFonts w:cs="Arial"/>
                <w:sz w:val="16"/>
                <w:szCs w:val="16"/>
                <w:lang w:val="es-CO" w:eastAsia="es-CO"/>
              </w:rPr>
              <w:t>2-4</w:t>
            </w:r>
          </w:p>
        </w:tc>
        <w:tc>
          <w:tcPr>
            <w:tcW w:w="1269"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64.905.000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N2L41</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poste concreto - vano tipo 1 - 4 hilos (3 fases, con neutro) - conductor </w:t>
            </w:r>
            <w:r>
              <w:rPr>
                <w:rFonts w:cs="Arial"/>
                <w:sz w:val="16"/>
                <w:szCs w:val="16"/>
                <w:lang w:val="es-CO" w:eastAsia="es-CO"/>
              </w:rPr>
              <w:t>D-N</w:t>
            </w:r>
            <w:r w:rsidRPr="004E6CFC">
              <w:rPr>
                <w:rFonts w:cs="Arial"/>
                <w:sz w:val="16"/>
                <w:szCs w:val="16"/>
                <w:lang w:val="es-CO" w:eastAsia="es-CO"/>
              </w:rPr>
              <w:t>2-5</w:t>
            </w:r>
          </w:p>
        </w:tc>
        <w:tc>
          <w:tcPr>
            <w:tcW w:w="1269"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85.682.000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N2L42</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poste concreto - vano tipo 2 - 4 hilos (3 fases, con neutro) - conductor </w:t>
            </w:r>
            <w:r>
              <w:rPr>
                <w:rFonts w:cs="Arial"/>
                <w:sz w:val="16"/>
                <w:szCs w:val="16"/>
                <w:lang w:val="es-CO" w:eastAsia="es-CO"/>
              </w:rPr>
              <w:t>D-N</w:t>
            </w:r>
            <w:r w:rsidRPr="004E6CFC">
              <w:rPr>
                <w:rFonts w:cs="Arial"/>
                <w:sz w:val="16"/>
                <w:szCs w:val="16"/>
                <w:lang w:val="es-CO" w:eastAsia="es-CO"/>
              </w:rPr>
              <w:t>2-1</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36.841.000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N2L43</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poste concreto - vano tipo 2 - 4 hilos (3 fases, con neutro) - conductor </w:t>
            </w:r>
            <w:r>
              <w:rPr>
                <w:rFonts w:cs="Arial"/>
                <w:sz w:val="16"/>
                <w:szCs w:val="16"/>
                <w:lang w:val="es-CO" w:eastAsia="es-CO"/>
              </w:rPr>
              <w:t>D-N</w:t>
            </w:r>
            <w:r w:rsidRPr="004E6CFC">
              <w:rPr>
                <w:rFonts w:cs="Arial"/>
                <w:sz w:val="16"/>
                <w:szCs w:val="16"/>
                <w:lang w:val="es-CO" w:eastAsia="es-CO"/>
              </w:rPr>
              <w:t>2-2</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39.686.000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N2L44</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poste concreto - vano tipo 2 - 4 hilos (3 fases, con neutro) - conductor </w:t>
            </w:r>
            <w:r>
              <w:rPr>
                <w:rFonts w:cs="Arial"/>
                <w:sz w:val="16"/>
                <w:szCs w:val="16"/>
                <w:lang w:val="es-CO" w:eastAsia="es-CO"/>
              </w:rPr>
              <w:t>D-N</w:t>
            </w:r>
            <w:r w:rsidRPr="004E6CFC">
              <w:rPr>
                <w:rFonts w:cs="Arial"/>
                <w:sz w:val="16"/>
                <w:szCs w:val="16"/>
                <w:lang w:val="es-CO" w:eastAsia="es-CO"/>
              </w:rPr>
              <w:t>2-3</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45.683.000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N2L45</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poste concreto - vano tipo 2 - 4 hilos (3 fases, con neutro) - conductor </w:t>
            </w:r>
            <w:r>
              <w:rPr>
                <w:rFonts w:cs="Arial"/>
                <w:sz w:val="16"/>
                <w:szCs w:val="16"/>
                <w:lang w:val="es-CO" w:eastAsia="es-CO"/>
              </w:rPr>
              <w:t>D-N</w:t>
            </w:r>
            <w:r w:rsidRPr="004E6CFC">
              <w:rPr>
                <w:rFonts w:cs="Arial"/>
                <w:sz w:val="16"/>
                <w:szCs w:val="16"/>
                <w:lang w:val="es-CO" w:eastAsia="es-CO"/>
              </w:rPr>
              <w:t>2-4</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57.761.000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lastRenderedPageBreak/>
              <w:t>N2L46</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poste concreto - vano tipo 2 - 4 hilos (3 fases, con neutro) - conductor </w:t>
            </w:r>
            <w:r>
              <w:rPr>
                <w:rFonts w:cs="Arial"/>
                <w:sz w:val="16"/>
                <w:szCs w:val="16"/>
                <w:lang w:val="es-CO" w:eastAsia="es-CO"/>
              </w:rPr>
              <w:t>D-N</w:t>
            </w:r>
            <w:r w:rsidRPr="004E6CFC">
              <w:rPr>
                <w:rFonts w:cs="Arial"/>
                <w:sz w:val="16"/>
                <w:szCs w:val="16"/>
                <w:lang w:val="es-CO" w:eastAsia="es-CO"/>
              </w:rPr>
              <w:t>2-5</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78.538.000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N2L47</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poste concreto - vano tipo 2 - 2 hilos (2 fases, sin neutro) - conductor </w:t>
            </w:r>
            <w:r>
              <w:rPr>
                <w:rFonts w:cs="Arial"/>
                <w:sz w:val="16"/>
                <w:szCs w:val="16"/>
                <w:lang w:val="es-CO" w:eastAsia="es-CO"/>
              </w:rPr>
              <w:t>D-N</w:t>
            </w:r>
            <w:r w:rsidRPr="004E6CFC">
              <w:rPr>
                <w:rFonts w:cs="Arial"/>
                <w:sz w:val="16"/>
                <w:szCs w:val="16"/>
                <w:lang w:val="es-CO" w:eastAsia="es-CO"/>
              </w:rPr>
              <w:t>2-1</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30.318.000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N2L48</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poste concreto - vano tipo 2 - 2 hilos (2 fases, sin neutro) - conductor </w:t>
            </w:r>
            <w:r>
              <w:rPr>
                <w:rFonts w:cs="Arial"/>
                <w:sz w:val="16"/>
                <w:szCs w:val="16"/>
                <w:lang w:val="es-CO" w:eastAsia="es-CO"/>
              </w:rPr>
              <w:t>D-N</w:t>
            </w:r>
            <w:r w:rsidRPr="004E6CFC">
              <w:rPr>
                <w:rFonts w:cs="Arial"/>
                <w:sz w:val="16"/>
                <w:szCs w:val="16"/>
                <w:lang w:val="es-CO" w:eastAsia="es-CO"/>
              </w:rPr>
              <w:t>2-2</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32.062.000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N2L49</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rural - poste concreto - vano tipo 2 - 2 hilos (2 fases, sin neutro) - conductor </w:t>
            </w:r>
            <w:r>
              <w:rPr>
                <w:rFonts w:cs="Arial"/>
                <w:sz w:val="16"/>
                <w:szCs w:val="16"/>
                <w:lang w:val="es-CO" w:eastAsia="es-CO"/>
              </w:rPr>
              <w:t>D-N</w:t>
            </w:r>
            <w:r w:rsidRPr="004E6CFC">
              <w:rPr>
                <w:rFonts w:cs="Arial"/>
                <w:sz w:val="16"/>
                <w:szCs w:val="16"/>
                <w:lang w:val="es-CO" w:eastAsia="es-CO"/>
              </w:rPr>
              <w:t>2-4</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44.250.000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N2L50</w:t>
            </w:r>
          </w:p>
        </w:tc>
        <w:tc>
          <w:tcPr>
            <w:tcW w:w="7497"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1 - 4 hilos (3 fases, con neutro) - conductor </w:t>
            </w:r>
            <w:r>
              <w:rPr>
                <w:rFonts w:cs="Arial"/>
                <w:sz w:val="16"/>
                <w:szCs w:val="16"/>
                <w:lang w:val="es-CO" w:eastAsia="es-CO"/>
              </w:rPr>
              <w:t>SA-N</w:t>
            </w:r>
            <w:r w:rsidRPr="004E6CFC">
              <w:rPr>
                <w:rFonts w:cs="Arial"/>
                <w:sz w:val="16"/>
                <w:szCs w:val="16"/>
                <w:lang w:val="es-CO" w:eastAsia="es-CO"/>
              </w:rPr>
              <w:t>2-1</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111.106.000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N2L51</w:t>
            </w:r>
          </w:p>
        </w:tc>
        <w:tc>
          <w:tcPr>
            <w:tcW w:w="7497"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1 - 4 hilos (3 fases, con neutro) - conductor </w:t>
            </w:r>
            <w:r>
              <w:rPr>
                <w:rFonts w:cs="Arial"/>
                <w:sz w:val="16"/>
                <w:szCs w:val="16"/>
                <w:lang w:val="es-CO" w:eastAsia="es-CO"/>
              </w:rPr>
              <w:t>SA-N</w:t>
            </w:r>
            <w:r w:rsidRPr="004E6CFC">
              <w:rPr>
                <w:rFonts w:cs="Arial"/>
                <w:sz w:val="16"/>
                <w:szCs w:val="16"/>
                <w:lang w:val="es-CO" w:eastAsia="es-CO"/>
              </w:rPr>
              <w:t>2-2</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122.840.000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N2L52</w:t>
            </w:r>
          </w:p>
        </w:tc>
        <w:tc>
          <w:tcPr>
            <w:tcW w:w="7497"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1 - 4 hilos (3 fases, con neutro) - conductor </w:t>
            </w:r>
            <w:r>
              <w:rPr>
                <w:rFonts w:cs="Arial"/>
                <w:sz w:val="16"/>
                <w:szCs w:val="16"/>
                <w:lang w:val="es-CO" w:eastAsia="es-CO"/>
              </w:rPr>
              <w:t>SA-N</w:t>
            </w:r>
            <w:r w:rsidRPr="004E6CFC">
              <w:rPr>
                <w:rFonts w:cs="Arial"/>
                <w:sz w:val="16"/>
                <w:szCs w:val="16"/>
                <w:lang w:val="es-CO" w:eastAsia="es-CO"/>
              </w:rPr>
              <w:t>2-3</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135.765.000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N2L53</w:t>
            </w:r>
          </w:p>
        </w:tc>
        <w:tc>
          <w:tcPr>
            <w:tcW w:w="7497"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línea urbana - poste concreto - vano tipo 1 - 2 hilos (1 fase, con neutro) - conductor </w:t>
            </w:r>
            <w:r>
              <w:rPr>
                <w:rFonts w:cs="Arial"/>
                <w:sz w:val="16"/>
                <w:szCs w:val="16"/>
                <w:lang w:val="es-CO" w:eastAsia="es-CO"/>
              </w:rPr>
              <w:t>SA-N</w:t>
            </w:r>
            <w:r w:rsidRPr="004E6CFC">
              <w:rPr>
                <w:rFonts w:cs="Arial"/>
                <w:sz w:val="16"/>
                <w:szCs w:val="16"/>
                <w:lang w:val="es-CO" w:eastAsia="es-CO"/>
              </w:rPr>
              <w:t>2-1</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94.055.000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N2L54</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conductor </w:t>
            </w:r>
            <w:r w:rsidR="00BE7ED4" w:rsidRPr="004E6CFC">
              <w:rPr>
                <w:rFonts w:cs="Arial"/>
                <w:sz w:val="16"/>
                <w:szCs w:val="16"/>
                <w:lang w:val="es-CO" w:eastAsia="es-CO"/>
              </w:rPr>
              <w:t>subterráneo</w:t>
            </w:r>
            <w:r w:rsidRPr="004E6CFC">
              <w:rPr>
                <w:rFonts w:cs="Arial"/>
                <w:sz w:val="16"/>
                <w:szCs w:val="16"/>
                <w:lang w:val="es-CO" w:eastAsia="es-CO"/>
              </w:rPr>
              <w:t xml:space="preserve"> urbano - 3 cables monopolares - cu aislado xlp o  </w:t>
            </w:r>
            <w:r>
              <w:rPr>
                <w:rFonts w:cs="Arial"/>
                <w:sz w:val="16"/>
                <w:szCs w:val="16"/>
                <w:lang w:val="es-CO" w:eastAsia="es-CO"/>
              </w:rPr>
              <w:t>EPR</w:t>
            </w:r>
            <w:r w:rsidRPr="004E6CFC">
              <w:rPr>
                <w:rFonts w:cs="Arial"/>
                <w:sz w:val="16"/>
                <w:szCs w:val="16"/>
                <w:lang w:val="es-CO" w:eastAsia="es-CO"/>
              </w:rPr>
              <w:t xml:space="preserve">, 15 </w:t>
            </w:r>
            <w:r>
              <w:rPr>
                <w:rFonts w:cs="Arial"/>
                <w:sz w:val="16"/>
                <w:szCs w:val="16"/>
                <w:lang w:val="es-CO" w:eastAsia="es-CO"/>
              </w:rPr>
              <w:t>kV</w:t>
            </w:r>
            <w:r w:rsidRPr="004E6CFC">
              <w:rPr>
                <w:rFonts w:cs="Arial"/>
                <w:sz w:val="16"/>
                <w:szCs w:val="16"/>
                <w:lang w:val="es-CO" w:eastAsia="es-CO"/>
              </w:rPr>
              <w:t xml:space="preserve"> - 4 </w:t>
            </w:r>
            <w:r>
              <w:rPr>
                <w:rFonts w:cs="Arial"/>
                <w:sz w:val="16"/>
                <w:szCs w:val="16"/>
                <w:lang w:val="es-CO" w:eastAsia="es-CO"/>
              </w:rPr>
              <w:t>AWG</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52.127.000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N2L55</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conductor </w:t>
            </w:r>
            <w:r w:rsidR="00BE7ED4" w:rsidRPr="004E6CFC">
              <w:rPr>
                <w:rFonts w:cs="Arial"/>
                <w:sz w:val="16"/>
                <w:szCs w:val="16"/>
                <w:lang w:val="es-CO" w:eastAsia="es-CO"/>
              </w:rPr>
              <w:t>subterráneo</w:t>
            </w:r>
            <w:r w:rsidRPr="004E6CFC">
              <w:rPr>
                <w:rFonts w:cs="Arial"/>
                <w:sz w:val="16"/>
                <w:szCs w:val="16"/>
                <w:lang w:val="es-CO" w:eastAsia="es-CO"/>
              </w:rPr>
              <w:t xml:space="preserve"> urbano - 3 cables monopolares - cu aislado xlp o  </w:t>
            </w:r>
            <w:r>
              <w:rPr>
                <w:rFonts w:cs="Arial"/>
                <w:sz w:val="16"/>
                <w:szCs w:val="16"/>
                <w:lang w:val="es-CO" w:eastAsia="es-CO"/>
              </w:rPr>
              <w:t>EPR</w:t>
            </w:r>
            <w:r w:rsidRPr="004E6CFC">
              <w:rPr>
                <w:rFonts w:cs="Arial"/>
                <w:sz w:val="16"/>
                <w:szCs w:val="16"/>
                <w:lang w:val="es-CO" w:eastAsia="es-CO"/>
              </w:rPr>
              <w:t xml:space="preserve">, 15 </w:t>
            </w:r>
            <w:r>
              <w:rPr>
                <w:rFonts w:cs="Arial"/>
                <w:sz w:val="16"/>
                <w:szCs w:val="16"/>
                <w:lang w:val="es-CO" w:eastAsia="es-CO"/>
              </w:rPr>
              <w:t>kV</w:t>
            </w:r>
            <w:r w:rsidRPr="004E6CFC">
              <w:rPr>
                <w:rFonts w:cs="Arial"/>
                <w:sz w:val="16"/>
                <w:szCs w:val="16"/>
                <w:lang w:val="es-CO" w:eastAsia="es-CO"/>
              </w:rPr>
              <w:t xml:space="preserve"> - 2 </w:t>
            </w:r>
            <w:r>
              <w:rPr>
                <w:rFonts w:cs="Arial"/>
                <w:sz w:val="16"/>
                <w:szCs w:val="16"/>
                <w:lang w:val="es-CO" w:eastAsia="es-CO"/>
              </w:rPr>
              <w:t>AWG</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81.125.000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N2L56</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conductor </w:t>
            </w:r>
            <w:r w:rsidR="00BE7ED4" w:rsidRPr="004E6CFC">
              <w:rPr>
                <w:rFonts w:cs="Arial"/>
                <w:sz w:val="16"/>
                <w:szCs w:val="16"/>
                <w:lang w:val="es-CO" w:eastAsia="es-CO"/>
              </w:rPr>
              <w:t>subterráneo</w:t>
            </w:r>
            <w:r w:rsidRPr="004E6CFC">
              <w:rPr>
                <w:rFonts w:cs="Arial"/>
                <w:sz w:val="16"/>
                <w:szCs w:val="16"/>
                <w:lang w:val="es-CO" w:eastAsia="es-CO"/>
              </w:rPr>
              <w:t xml:space="preserve"> urbano - 3 cables monopolares - cu aislado xlp o  </w:t>
            </w:r>
            <w:r>
              <w:rPr>
                <w:rFonts w:cs="Arial"/>
                <w:sz w:val="16"/>
                <w:szCs w:val="16"/>
                <w:lang w:val="es-CO" w:eastAsia="es-CO"/>
              </w:rPr>
              <w:t>EPR</w:t>
            </w:r>
            <w:r w:rsidRPr="004E6CFC">
              <w:rPr>
                <w:rFonts w:cs="Arial"/>
                <w:sz w:val="16"/>
                <w:szCs w:val="16"/>
                <w:lang w:val="es-CO" w:eastAsia="es-CO"/>
              </w:rPr>
              <w:t xml:space="preserve">, 15 </w:t>
            </w:r>
            <w:r>
              <w:rPr>
                <w:rFonts w:cs="Arial"/>
                <w:sz w:val="16"/>
                <w:szCs w:val="16"/>
                <w:lang w:val="es-CO" w:eastAsia="es-CO"/>
              </w:rPr>
              <w:t>kV</w:t>
            </w:r>
            <w:r w:rsidRPr="004E6CFC">
              <w:rPr>
                <w:rFonts w:cs="Arial"/>
                <w:sz w:val="16"/>
                <w:szCs w:val="16"/>
                <w:lang w:val="es-CO" w:eastAsia="es-CO"/>
              </w:rPr>
              <w:t xml:space="preserve"> - 1/0 </w:t>
            </w:r>
            <w:r>
              <w:rPr>
                <w:rFonts w:cs="Arial"/>
                <w:sz w:val="16"/>
                <w:szCs w:val="16"/>
                <w:lang w:val="es-CO" w:eastAsia="es-CO"/>
              </w:rPr>
              <w:t>AWG</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91.758.000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N2L57</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conductor </w:t>
            </w:r>
            <w:r w:rsidR="00BE7ED4" w:rsidRPr="004E6CFC">
              <w:rPr>
                <w:rFonts w:cs="Arial"/>
                <w:sz w:val="16"/>
                <w:szCs w:val="16"/>
                <w:lang w:val="es-CO" w:eastAsia="es-CO"/>
              </w:rPr>
              <w:t>subterráneo</w:t>
            </w:r>
            <w:r w:rsidRPr="004E6CFC">
              <w:rPr>
                <w:rFonts w:cs="Arial"/>
                <w:sz w:val="16"/>
                <w:szCs w:val="16"/>
                <w:lang w:val="es-CO" w:eastAsia="es-CO"/>
              </w:rPr>
              <w:t xml:space="preserve"> urbano - 3 cables monopolares - cu aislado xlp o  </w:t>
            </w:r>
            <w:r>
              <w:rPr>
                <w:rFonts w:cs="Arial"/>
                <w:sz w:val="16"/>
                <w:szCs w:val="16"/>
                <w:lang w:val="es-CO" w:eastAsia="es-CO"/>
              </w:rPr>
              <w:t>EPR</w:t>
            </w:r>
            <w:r w:rsidRPr="004E6CFC">
              <w:rPr>
                <w:rFonts w:cs="Arial"/>
                <w:sz w:val="16"/>
                <w:szCs w:val="16"/>
                <w:lang w:val="es-CO" w:eastAsia="es-CO"/>
              </w:rPr>
              <w:t xml:space="preserve">, 15 </w:t>
            </w:r>
            <w:r>
              <w:rPr>
                <w:rFonts w:cs="Arial"/>
                <w:sz w:val="16"/>
                <w:szCs w:val="16"/>
                <w:lang w:val="es-CO" w:eastAsia="es-CO"/>
              </w:rPr>
              <w:t>kV</w:t>
            </w:r>
            <w:r w:rsidRPr="004E6CFC">
              <w:rPr>
                <w:rFonts w:cs="Arial"/>
                <w:sz w:val="16"/>
                <w:szCs w:val="16"/>
                <w:lang w:val="es-CO" w:eastAsia="es-CO"/>
              </w:rPr>
              <w:t xml:space="preserve"> - 2/0 </w:t>
            </w:r>
            <w:r>
              <w:rPr>
                <w:rFonts w:cs="Arial"/>
                <w:sz w:val="16"/>
                <w:szCs w:val="16"/>
                <w:lang w:val="es-CO" w:eastAsia="es-CO"/>
              </w:rPr>
              <w:t>AWG</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102.390.000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N2L58</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conductor </w:t>
            </w:r>
            <w:r w:rsidR="00BE7ED4" w:rsidRPr="004E6CFC">
              <w:rPr>
                <w:rFonts w:cs="Arial"/>
                <w:sz w:val="16"/>
                <w:szCs w:val="16"/>
                <w:lang w:val="es-CO" w:eastAsia="es-CO"/>
              </w:rPr>
              <w:t>subterráneo</w:t>
            </w:r>
            <w:r w:rsidRPr="004E6CFC">
              <w:rPr>
                <w:rFonts w:cs="Arial"/>
                <w:sz w:val="16"/>
                <w:szCs w:val="16"/>
                <w:lang w:val="es-CO" w:eastAsia="es-CO"/>
              </w:rPr>
              <w:t xml:space="preserve"> urbano - 3 cables monopolares - cu aislado xlp o  </w:t>
            </w:r>
            <w:r>
              <w:rPr>
                <w:rFonts w:cs="Arial"/>
                <w:sz w:val="16"/>
                <w:szCs w:val="16"/>
                <w:lang w:val="es-CO" w:eastAsia="es-CO"/>
              </w:rPr>
              <w:t>EPR</w:t>
            </w:r>
            <w:r w:rsidRPr="004E6CFC">
              <w:rPr>
                <w:rFonts w:cs="Arial"/>
                <w:sz w:val="16"/>
                <w:szCs w:val="16"/>
                <w:lang w:val="es-CO" w:eastAsia="es-CO"/>
              </w:rPr>
              <w:t xml:space="preserve">, 15 </w:t>
            </w:r>
            <w:r>
              <w:rPr>
                <w:rFonts w:cs="Arial"/>
                <w:sz w:val="16"/>
                <w:szCs w:val="16"/>
                <w:lang w:val="es-CO" w:eastAsia="es-CO"/>
              </w:rPr>
              <w:t>kV</w:t>
            </w:r>
            <w:r w:rsidRPr="004E6CFC">
              <w:rPr>
                <w:rFonts w:cs="Arial"/>
                <w:sz w:val="16"/>
                <w:szCs w:val="16"/>
                <w:lang w:val="es-CO" w:eastAsia="es-CO"/>
              </w:rPr>
              <w:t xml:space="preserve"> - 3/0 </w:t>
            </w:r>
            <w:r>
              <w:rPr>
                <w:rFonts w:cs="Arial"/>
                <w:sz w:val="16"/>
                <w:szCs w:val="16"/>
                <w:lang w:val="es-CO" w:eastAsia="es-CO"/>
              </w:rPr>
              <w:t>AWG</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114.938.000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N2L59</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conductor </w:t>
            </w:r>
            <w:r w:rsidR="00BE7ED4" w:rsidRPr="004E6CFC">
              <w:rPr>
                <w:rFonts w:cs="Arial"/>
                <w:sz w:val="16"/>
                <w:szCs w:val="16"/>
                <w:lang w:val="es-CO" w:eastAsia="es-CO"/>
              </w:rPr>
              <w:t>subterráneo</w:t>
            </w:r>
            <w:r w:rsidRPr="004E6CFC">
              <w:rPr>
                <w:rFonts w:cs="Arial"/>
                <w:sz w:val="16"/>
                <w:szCs w:val="16"/>
                <w:lang w:val="es-CO" w:eastAsia="es-CO"/>
              </w:rPr>
              <w:t xml:space="preserve"> urbano - 3 cables monopolares - cu aislado xlp o  </w:t>
            </w:r>
            <w:r>
              <w:rPr>
                <w:rFonts w:cs="Arial"/>
                <w:sz w:val="16"/>
                <w:szCs w:val="16"/>
                <w:lang w:val="es-CO" w:eastAsia="es-CO"/>
              </w:rPr>
              <w:t>EPR</w:t>
            </w:r>
            <w:r w:rsidRPr="004E6CFC">
              <w:rPr>
                <w:rFonts w:cs="Arial"/>
                <w:sz w:val="16"/>
                <w:szCs w:val="16"/>
                <w:lang w:val="es-CO" w:eastAsia="es-CO"/>
              </w:rPr>
              <w:t xml:space="preserve">, 15 </w:t>
            </w:r>
            <w:r>
              <w:rPr>
                <w:rFonts w:cs="Arial"/>
                <w:sz w:val="16"/>
                <w:szCs w:val="16"/>
                <w:lang w:val="es-CO" w:eastAsia="es-CO"/>
              </w:rPr>
              <w:t>kV</w:t>
            </w:r>
            <w:r w:rsidRPr="004E6CFC">
              <w:rPr>
                <w:rFonts w:cs="Arial"/>
                <w:sz w:val="16"/>
                <w:szCs w:val="16"/>
                <w:lang w:val="es-CO" w:eastAsia="es-CO"/>
              </w:rPr>
              <w:t xml:space="preserve"> - 4/0 </w:t>
            </w:r>
            <w:r>
              <w:rPr>
                <w:rFonts w:cs="Arial"/>
                <w:sz w:val="16"/>
                <w:szCs w:val="16"/>
                <w:lang w:val="es-CO" w:eastAsia="es-CO"/>
              </w:rPr>
              <w:t>AWG</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130.111.000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N2L60</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conductor </w:t>
            </w:r>
            <w:r w:rsidR="00BE7ED4" w:rsidRPr="004E6CFC">
              <w:rPr>
                <w:rFonts w:cs="Arial"/>
                <w:sz w:val="16"/>
                <w:szCs w:val="16"/>
                <w:lang w:val="es-CO" w:eastAsia="es-CO"/>
              </w:rPr>
              <w:t>subterráneo</w:t>
            </w:r>
            <w:r w:rsidRPr="004E6CFC">
              <w:rPr>
                <w:rFonts w:cs="Arial"/>
                <w:sz w:val="16"/>
                <w:szCs w:val="16"/>
                <w:lang w:val="es-CO" w:eastAsia="es-CO"/>
              </w:rPr>
              <w:t xml:space="preserve"> urbano - 3 cables monopolares - cu aislado xlp o  </w:t>
            </w:r>
            <w:r>
              <w:rPr>
                <w:rFonts w:cs="Arial"/>
                <w:sz w:val="16"/>
                <w:szCs w:val="16"/>
                <w:lang w:val="es-CO" w:eastAsia="es-CO"/>
              </w:rPr>
              <w:t>EPR</w:t>
            </w:r>
            <w:r w:rsidRPr="004E6CFC">
              <w:rPr>
                <w:rFonts w:cs="Arial"/>
                <w:sz w:val="16"/>
                <w:szCs w:val="16"/>
                <w:lang w:val="es-CO" w:eastAsia="es-CO"/>
              </w:rPr>
              <w:t xml:space="preserve">, 15 </w:t>
            </w:r>
            <w:r>
              <w:rPr>
                <w:rFonts w:cs="Arial"/>
                <w:sz w:val="16"/>
                <w:szCs w:val="16"/>
                <w:lang w:val="es-CO" w:eastAsia="es-CO"/>
              </w:rPr>
              <w:t>kV</w:t>
            </w:r>
            <w:r w:rsidRPr="004E6CFC">
              <w:rPr>
                <w:rFonts w:cs="Arial"/>
                <w:sz w:val="16"/>
                <w:szCs w:val="16"/>
                <w:lang w:val="es-CO" w:eastAsia="es-CO"/>
              </w:rPr>
              <w:t xml:space="preserve"> - 300 kcmil</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166.586.000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N2L61</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conductor </w:t>
            </w:r>
            <w:r w:rsidR="00BE7ED4" w:rsidRPr="004E6CFC">
              <w:rPr>
                <w:rFonts w:cs="Arial"/>
                <w:sz w:val="16"/>
                <w:szCs w:val="16"/>
                <w:lang w:val="es-CO" w:eastAsia="es-CO"/>
              </w:rPr>
              <w:t>subterráneo</w:t>
            </w:r>
            <w:r w:rsidRPr="004E6CFC">
              <w:rPr>
                <w:rFonts w:cs="Arial"/>
                <w:sz w:val="16"/>
                <w:szCs w:val="16"/>
                <w:lang w:val="es-CO" w:eastAsia="es-CO"/>
              </w:rPr>
              <w:t xml:space="preserve"> urbano - 3 cables monopolares - cu aislado xlp o  </w:t>
            </w:r>
            <w:r>
              <w:rPr>
                <w:rFonts w:cs="Arial"/>
                <w:sz w:val="16"/>
                <w:szCs w:val="16"/>
                <w:lang w:val="es-CO" w:eastAsia="es-CO"/>
              </w:rPr>
              <w:t>EPR</w:t>
            </w:r>
            <w:r w:rsidRPr="004E6CFC">
              <w:rPr>
                <w:rFonts w:cs="Arial"/>
                <w:sz w:val="16"/>
                <w:szCs w:val="16"/>
                <w:lang w:val="es-CO" w:eastAsia="es-CO"/>
              </w:rPr>
              <w:t xml:space="preserve">, 15 </w:t>
            </w:r>
            <w:r>
              <w:rPr>
                <w:rFonts w:cs="Arial"/>
                <w:sz w:val="16"/>
                <w:szCs w:val="16"/>
                <w:lang w:val="es-CO" w:eastAsia="es-CO"/>
              </w:rPr>
              <w:t>kV</w:t>
            </w:r>
            <w:r w:rsidRPr="004E6CFC">
              <w:rPr>
                <w:rFonts w:cs="Arial"/>
                <w:sz w:val="16"/>
                <w:szCs w:val="16"/>
                <w:lang w:val="es-CO" w:eastAsia="es-CO"/>
              </w:rPr>
              <w:t xml:space="preserve"> - 350 kcmil</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181.176.000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N2L62</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conductor </w:t>
            </w:r>
            <w:r w:rsidR="00BE7ED4" w:rsidRPr="004E6CFC">
              <w:rPr>
                <w:rFonts w:cs="Arial"/>
                <w:sz w:val="16"/>
                <w:szCs w:val="16"/>
                <w:lang w:val="es-CO" w:eastAsia="es-CO"/>
              </w:rPr>
              <w:t>subterráneo</w:t>
            </w:r>
            <w:r w:rsidRPr="004E6CFC">
              <w:rPr>
                <w:rFonts w:cs="Arial"/>
                <w:sz w:val="16"/>
                <w:szCs w:val="16"/>
                <w:lang w:val="es-CO" w:eastAsia="es-CO"/>
              </w:rPr>
              <w:t xml:space="preserve"> urbano - 3 cables monopolares - cu aislado xlp o  </w:t>
            </w:r>
            <w:r>
              <w:rPr>
                <w:rFonts w:cs="Arial"/>
                <w:sz w:val="16"/>
                <w:szCs w:val="16"/>
                <w:lang w:val="es-CO" w:eastAsia="es-CO"/>
              </w:rPr>
              <w:t>EPR</w:t>
            </w:r>
            <w:r w:rsidRPr="004E6CFC">
              <w:rPr>
                <w:rFonts w:cs="Arial"/>
                <w:sz w:val="16"/>
                <w:szCs w:val="16"/>
                <w:lang w:val="es-CO" w:eastAsia="es-CO"/>
              </w:rPr>
              <w:t xml:space="preserve">, 15 </w:t>
            </w:r>
            <w:r>
              <w:rPr>
                <w:rFonts w:cs="Arial"/>
                <w:sz w:val="16"/>
                <w:szCs w:val="16"/>
                <w:lang w:val="es-CO" w:eastAsia="es-CO"/>
              </w:rPr>
              <w:t>kV</w:t>
            </w:r>
            <w:r w:rsidRPr="004E6CFC">
              <w:rPr>
                <w:rFonts w:cs="Arial"/>
                <w:sz w:val="16"/>
                <w:szCs w:val="16"/>
                <w:lang w:val="es-CO" w:eastAsia="es-CO"/>
              </w:rPr>
              <w:t xml:space="preserve"> - 500 kcmil</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228.877.000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N2L63</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conductor </w:t>
            </w:r>
            <w:r w:rsidR="00BE7ED4" w:rsidRPr="004E6CFC">
              <w:rPr>
                <w:rFonts w:cs="Arial"/>
                <w:sz w:val="16"/>
                <w:szCs w:val="16"/>
                <w:lang w:val="es-CO" w:eastAsia="es-CO"/>
              </w:rPr>
              <w:t>subterráneo</w:t>
            </w:r>
            <w:r w:rsidRPr="004E6CFC">
              <w:rPr>
                <w:rFonts w:cs="Arial"/>
                <w:sz w:val="16"/>
                <w:szCs w:val="16"/>
                <w:lang w:val="es-CO" w:eastAsia="es-CO"/>
              </w:rPr>
              <w:t xml:space="preserve"> urbano - 3 cables monopolares - aaac aislado xlp o  </w:t>
            </w:r>
            <w:r>
              <w:rPr>
                <w:rFonts w:cs="Arial"/>
                <w:sz w:val="16"/>
                <w:szCs w:val="16"/>
                <w:lang w:val="es-CO" w:eastAsia="es-CO"/>
              </w:rPr>
              <w:t>EPR</w:t>
            </w:r>
            <w:r w:rsidRPr="004E6CFC">
              <w:rPr>
                <w:rFonts w:cs="Arial"/>
                <w:sz w:val="16"/>
                <w:szCs w:val="16"/>
                <w:lang w:val="es-CO" w:eastAsia="es-CO"/>
              </w:rPr>
              <w:t xml:space="preserve">, 15 </w:t>
            </w:r>
            <w:r>
              <w:rPr>
                <w:rFonts w:cs="Arial"/>
                <w:sz w:val="16"/>
                <w:szCs w:val="16"/>
                <w:lang w:val="es-CO" w:eastAsia="es-CO"/>
              </w:rPr>
              <w:t>kV</w:t>
            </w:r>
            <w:r w:rsidRPr="004E6CFC">
              <w:rPr>
                <w:rFonts w:cs="Arial"/>
                <w:sz w:val="16"/>
                <w:szCs w:val="16"/>
                <w:lang w:val="es-CO" w:eastAsia="es-CO"/>
              </w:rPr>
              <w:t xml:space="preserve"> - 500 kcmil</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182.038.000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N2L64</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conductor </w:t>
            </w:r>
            <w:r w:rsidR="00A95F4F" w:rsidRPr="004E6CFC">
              <w:rPr>
                <w:rFonts w:cs="Arial"/>
                <w:sz w:val="16"/>
                <w:szCs w:val="16"/>
                <w:lang w:val="es-CO" w:eastAsia="es-CO"/>
              </w:rPr>
              <w:t>subterráneo</w:t>
            </w:r>
            <w:r w:rsidRPr="004E6CFC">
              <w:rPr>
                <w:rFonts w:cs="Arial"/>
                <w:sz w:val="16"/>
                <w:szCs w:val="16"/>
                <w:lang w:val="es-CO" w:eastAsia="es-CO"/>
              </w:rPr>
              <w:t xml:space="preserve"> urbano - 3 cables monopolares - aaac aislado xlp o  </w:t>
            </w:r>
            <w:r>
              <w:rPr>
                <w:rFonts w:cs="Arial"/>
                <w:sz w:val="16"/>
                <w:szCs w:val="16"/>
                <w:lang w:val="es-CO" w:eastAsia="es-CO"/>
              </w:rPr>
              <w:t>EPR</w:t>
            </w:r>
            <w:r w:rsidRPr="004E6CFC">
              <w:rPr>
                <w:rFonts w:cs="Arial"/>
                <w:sz w:val="16"/>
                <w:szCs w:val="16"/>
                <w:lang w:val="es-CO" w:eastAsia="es-CO"/>
              </w:rPr>
              <w:t xml:space="preserve">, 15 </w:t>
            </w:r>
            <w:r>
              <w:rPr>
                <w:rFonts w:cs="Arial"/>
                <w:sz w:val="16"/>
                <w:szCs w:val="16"/>
                <w:lang w:val="es-CO" w:eastAsia="es-CO"/>
              </w:rPr>
              <w:t>kV</w:t>
            </w:r>
            <w:r w:rsidRPr="004E6CFC">
              <w:rPr>
                <w:rFonts w:cs="Arial"/>
                <w:sz w:val="16"/>
                <w:szCs w:val="16"/>
                <w:lang w:val="es-CO" w:eastAsia="es-CO"/>
              </w:rPr>
              <w:t xml:space="preserve"> - 750 kcmil</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251.252.000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N2L65</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km conductor </w:t>
            </w:r>
            <w:r w:rsidR="00A95F4F" w:rsidRPr="004E6CFC">
              <w:rPr>
                <w:rFonts w:cs="Arial"/>
                <w:sz w:val="16"/>
                <w:szCs w:val="16"/>
                <w:lang w:val="es-CO" w:eastAsia="es-CO"/>
              </w:rPr>
              <w:t>subterráneo</w:t>
            </w:r>
            <w:r w:rsidRPr="004E6CFC">
              <w:rPr>
                <w:rFonts w:cs="Arial"/>
                <w:sz w:val="16"/>
                <w:szCs w:val="16"/>
                <w:lang w:val="es-CO" w:eastAsia="es-CO"/>
              </w:rPr>
              <w:t xml:space="preserve"> urbano - 1 cable monopolar - cu aislado xlp o  </w:t>
            </w:r>
            <w:r>
              <w:rPr>
                <w:rFonts w:cs="Arial"/>
                <w:sz w:val="16"/>
                <w:szCs w:val="16"/>
                <w:lang w:val="es-CO" w:eastAsia="es-CO"/>
              </w:rPr>
              <w:t>EPR</w:t>
            </w:r>
            <w:r w:rsidRPr="004E6CFC">
              <w:rPr>
                <w:rFonts w:cs="Arial"/>
                <w:sz w:val="16"/>
                <w:szCs w:val="16"/>
                <w:lang w:val="es-CO" w:eastAsia="es-CO"/>
              </w:rPr>
              <w:t xml:space="preserve">, 15 </w:t>
            </w:r>
            <w:r>
              <w:rPr>
                <w:rFonts w:cs="Arial"/>
                <w:sz w:val="16"/>
                <w:szCs w:val="16"/>
                <w:lang w:val="es-CO" w:eastAsia="es-CO"/>
              </w:rPr>
              <w:t>kV</w:t>
            </w:r>
            <w:r w:rsidRPr="004E6CFC">
              <w:rPr>
                <w:rFonts w:cs="Arial"/>
                <w:sz w:val="16"/>
                <w:szCs w:val="16"/>
                <w:lang w:val="es-CO" w:eastAsia="es-CO"/>
              </w:rPr>
              <w:t xml:space="preserve">- 1/0 </w:t>
            </w:r>
            <w:r>
              <w:rPr>
                <w:rFonts w:cs="Arial"/>
                <w:sz w:val="16"/>
                <w:szCs w:val="16"/>
                <w:lang w:val="es-CO" w:eastAsia="es-CO"/>
              </w:rPr>
              <w:t>AWG</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30.586.000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N2L66</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km canalización urbana 2x4"</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224.811.000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N2L67</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km canalización urbana 4x4"</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278.426.000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N2L68</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km canalización urbana 6x4"</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340.573.000</w:t>
            </w:r>
          </w:p>
        </w:tc>
      </w:tr>
      <w:tr w:rsidR="00697252" w:rsidRPr="004E6CFC" w:rsidTr="00045289">
        <w:trPr>
          <w:trHeight w:val="255"/>
        </w:trPr>
        <w:tc>
          <w:tcPr>
            <w:tcW w:w="652"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N2L69</w:t>
            </w:r>
          </w:p>
        </w:tc>
        <w:tc>
          <w:tcPr>
            <w:tcW w:w="749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km canalización urbana 6x4" y 3x6"</w:t>
            </w:r>
          </w:p>
        </w:tc>
        <w:tc>
          <w:tcPr>
            <w:tcW w:w="1269"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533.351.000</w:t>
            </w:r>
          </w:p>
        </w:tc>
      </w:tr>
    </w:tbl>
    <w:p w:rsidR="00697252" w:rsidRPr="004E6CFC" w:rsidRDefault="00697252" w:rsidP="00697252">
      <w:pPr>
        <w:pStyle w:val="Descripcin"/>
        <w:rPr>
          <w:sz w:val="18"/>
          <w:szCs w:val="18"/>
        </w:rPr>
      </w:pPr>
      <w:r w:rsidRPr="004E6CFC">
        <w:t xml:space="preserve">Tabla </w:t>
      </w:r>
      <w:r w:rsidRPr="004E6CFC">
        <w:fldChar w:fldCharType="begin"/>
      </w:r>
      <w:r w:rsidRPr="004E6CFC">
        <w:instrText xml:space="preserve"> SEQ Tabla \* ARABIC </w:instrText>
      </w:r>
      <w:r w:rsidRPr="004E6CFC">
        <w:fldChar w:fldCharType="separate"/>
      </w:r>
      <w:r w:rsidR="00737178">
        <w:rPr>
          <w:noProof/>
        </w:rPr>
        <w:t>51</w:t>
      </w:r>
      <w:r w:rsidRPr="004E6CFC">
        <w:fldChar w:fldCharType="end"/>
      </w:r>
      <w:r w:rsidRPr="004E6CFC">
        <w:t xml:space="preserve"> UC de transformadores de conexión al STN </w:t>
      </w:r>
    </w:p>
    <w:tbl>
      <w:tblPr>
        <w:tblW w:w="0" w:type="auto"/>
        <w:tblInd w:w="-72" w:type="dxa"/>
        <w:tblLayout w:type="fixed"/>
        <w:tblCellMar>
          <w:left w:w="70" w:type="dxa"/>
          <w:right w:w="70" w:type="dxa"/>
        </w:tblCellMar>
        <w:tblLook w:val="04A0" w:firstRow="1" w:lastRow="0" w:firstColumn="1" w:lastColumn="0" w:noHBand="0" w:noVBand="1"/>
      </w:tblPr>
      <w:tblGrid>
        <w:gridCol w:w="737"/>
        <w:gridCol w:w="6236"/>
        <w:gridCol w:w="1417"/>
        <w:gridCol w:w="1134"/>
      </w:tblGrid>
      <w:tr w:rsidR="00697252" w:rsidRPr="004E6CFC" w:rsidTr="00045289">
        <w:trPr>
          <w:trHeight w:val="624"/>
          <w:tblHeader/>
        </w:trPr>
        <w:tc>
          <w:tcPr>
            <w:tcW w:w="73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UC</w:t>
            </w:r>
          </w:p>
        </w:tc>
        <w:tc>
          <w:tcPr>
            <w:tcW w:w="6236"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DESCRIPCIÓN UNIDAD CONSTRUCTIVA</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 xml:space="preserve">COSTO DE INSTALACIÓN </w:t>
            </w:r>
            <w:r w:rsidRPr="004E6CFC">
              <w:rPr>
                <w:rFonts w:cs="Arial"/>
                <w:sz w:val="18"/>
                <w:szCs w:val="14"/>
                <w:lang w:val="es-CO" w:eastAsia="es-CO"/>
              </w:rPr>
              <w:br/>
              <w:t>[$Dic 2007]</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VALOR UNITARIO [$/MVA Dic 2007]</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N5T1</w:t>
            </w:r>
          </w:p>
        </w:tc>
        <w:tc>
          <w:tcPr>
            <w:tcW w:w="6236"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trifásico (</w:t>
            </w:r>
            <w:r>
              <w:rPr>
                <w:rFonts w:cs="Arial"/>
                <w:sz w:val="16"/>
                <w:szCs w:val="16"/>
                <w:lang w:val="es-CO" w:eastAsia="es-CO"/>
              </w:rPr>
              <w:t>OLTC</w:t>
            </w:r>
            <w:r w:rsidRPr="004E6CFC">
              <w:rPr>
                <w:rFonts w:cs="Arial"/>
                <w:sz w:val="16"/>
                <w:szCs w:val="16"/>
                <w:lang w:val="es-CO" w:eastAsia="es-CO"/>
              </w:rPr>
              <w:t xml:space="preserve">) - conexión al </w:t>
            </w:r>
            <w:r>
              <w:rPr>
                <w:rFonts w:cs="Arial"/>
                <w:sz w:val="16"/>
                <w:szCs w:val="16"/>
                <w:lang w:val="es-CO" w:eastAsia="es-CO"/>
              </w:rPr>
              <w:t>STN</w:t>
            </w:r>
            <w:r w:rsidRPr="004E6CFC">
              <w:rPr>
                <w:rFonts w:cs="Arial"/>
                <w:sz w:val="16"/>
                <w:szCs w:val="16"/>
                <w:lang w:val="es-CO" w:eastAsia="es-CO"/>
              </w:rPr>
              <w:t xml:space="preserve"> -   hasta 10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161.846.000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54.795.000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N5T2</w:t>
            </w:r>
          </w:p>
        </w:tc>
        <w:tc>
          <w:tcPr>
            <w:tcW w:w="6236"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trifásico (</w:t>
            </w:r>
            <w:r>
              <w:rPr>
                <w:rFonts w:cs="Arial"/>
                <w:sz w:val="16"/>
                <w:szCs w:val="16"/>
                <w:lang w:val="es-CO" w:eastAsia="es-CO"/>
              </w:rPr>
              <w:t>OLTC</w:t>
            </w:r>
            <w:r w:rsidRPr="004E6CFC">
              <w:rPr>
                <w:rFonts w:cs="Arial"/>
                <w:sz w:val="16"/>
                <w:szCs w:val="16"/>
                <w:lang w:val="es-CO" w:eastAsia="es-CO"/>
              </w:rPr>
              <w:t xml:space="preserve">) - conexión al </w:t>
            </w:r>
            <w:r>
              <w:rPr>
                <w:rFonts w:cs="Arial"/>
                <w:sz w:val="16"/>
                <w:szCs w:val="16"/>
                <w:lang w:val="es-CO" w:eastAsia="es-CO"/>
              </w:rPr>
              <w:t>STN</w:t>
            </w:r>
            <w:r w:rsidRPr="004E6CFC">
              <w:rPr>
                <w:rFonts w:cs="Arial"/>
                <w:sz w:val="16"/>
                <w:szCs w:val="16"/>
                <w:lang w:val="es-CO" w:eastAsia="es-CO"/>
              </w:rPr>
              <w:t xml:space="preserve"> -   de 11 a 20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174.071.000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48.568.000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N5T3</w:t>
            </w:r>
          </w:p>
        </w:tc>
        <w:tc>
          <w:tcPr>
            <w:tcW w:w="6236"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trifásico (</w:t>
            </w:r>
            <w:r>
              <w:rPr>
                <w:rFonts w:cs="Arial"/>
                <w:sz w:val="16"/>
                <w:szCs w:val="16"/>
                <w:lang w:val="es-CO" w:eastAsia="es-CO"/>
              </w:rPr>
              <w:t>OLTC</w:t>
            </w:r>
            <w:r w:rsidRPr="004E6CFC">
              <w:rPr>
                <w:rFonts w:cs="Arial"/>
                <w:sz w:val="16"/>
                <w:szCs w:val="16"/>
                <w:lang w:val="es-CO" w:eastAsia="es-CO"/>
              </w:rPr>
              <w:t xml:space="preserve">) - conexión al </w:t>
            </w:r>
            <w:r>
              <w:rPr>
                <w:rFonts w:cs="Arial"/>
                <w:sz w:val="16"/>
                <w:szCs w:val="16"/>
                <w:lang w:val="es-CO" w:eastAsia="es-CO"/>
              </w:rPr>
              <w:t>STN</w:t>
            </w:r>
            <w:r w:rsidRPr="004E6CFC">
              <w:rPr>
                <w:rFonts w:cs="Arial"/>
                <w:sz w:val="16"/>
                <w:szCs w:val="16"/>
                <w:lang w:val="es-CO" w:eastAsia="es-CO"/>
              </w:rPr>
              <w:t xml:space="preserve"> -   de 21 a 40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234.809.000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44.500.000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N5T4</w:t>
            </w:r>
          </w:p>
        </w:tc>
        <w:tc>
          <w:tcPr>
            <w:tcW w:w="6236"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trifásico (</w:t>
            </w:r>
            <w:r>
              <w:rPr>
                <w:rFonts w:cs="Arial"/>
                <w:sz w:val="16"/>
                <w:szCs w:val="16"/>
                <w:lang w:val="es-CO" w:eastAsia="es-CO"/>
              </w:rPr>
              <w:t>OLTC</w:t>
            </w:r>
            <w:r w:rsidRPr="004E6CFC">
              <w:rPr>
                <w:rFonts w:cs="Arial"/>
                <w:sz w:val="16"/>
                <w:szCs w:val="16"/>
                <w:lang w:val="es-CO" w:eastAsia="es-CO"/>
              </w:rPr>
              <w:t xml:space="preserve">) - conexión al </w:t>
            </w:r>
            <w:r>
              <w:rPr>
                <w:rFonts w:cs="Arial"/>
                <w:sz w:val="16"/>
                <w:szCs w:val="16"/>
                <w:lang w:val="es-CO" w:eastAsia="es-CO"/>
              </w:rPr>
              <w:t>STN</w:t>
            </w:r>
            <w:r w:rsidRPr="004E6CFC">
              <w:rPr>
                <w:rFonts w:cs="Arial"/>
                <w:sz w:val="16"/>
                <w:szCs w:val="16"/>
                <w:lang w:val="es-CO" w:eastAsia="es-CO"/>
              </w:rPr>
              <w:t xml:space="preserve"> -   de 41 a 50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254.438.000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42.096.000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N5T5</w:t>
            </w:r>
          </w:p>
        </w:tc>
        <w:tc>
          <w:tcPr>
            <w:tcW w:w="6236"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trifásico (</w:t>
            </w:r>
            <w:r>
              <w:rPr>
                <w:rFonts w:cs="Arial"/>
                <w:sz w:val="16"/>
                <w:szCs w:val="16"/>
                <w:lang w:val="es-CO" w:eastAsia="es-CO"/>
              </w:rPr>
              <w:t>OLTC</w:t>
            </w:r>
            <w:r w:rsidRPr="004E6CFC">
              <w:rPr>
                <w:rFonts w:cs="Arial"/>
                <w:sz w:val="16"/>
                <w:szCs w:val="16"/>
                <w:lang w:val="es-CO" w:eastAsia="es-CO"/>
              </w:rPr>
              <w:t xml:space="preserve">) - conexión al </w:t>
            </w:r>
            <w:r>
              <w:rPr>
                <w:rFonts w:cs="Arial"/>
                <w:sz w:val="16"/>
                <w:szCs w:val="16"/>
                <w:lang w:val="es-CO" w:eastAsia="es-CO"/>
              </w:rPr>
              <w:t>STN</w:t>
            </w:r>
            <w:r w:rsidRPr="004E6CFC">
              <w:rPr>
                <w:rFonts w:cs="Arial"/>
                <w:sz w:val="16"/>
                <w:szCs w:val="16"/>
                <w:lang w:val="es-CO" w:eastAsia="es-CO"/>
              </w:rPr>
              <w:t xml:space="preserve"> -   de 51 a 60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267.152.000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40.902.000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N5T6</w:t>
            </w:r>
          </w:p>
        </w:tc>
        <w:tc>
          <w:tcPr>
            <w:tcW w:w="6236"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trifásico (</w:t>
            </w:r>
            <w:r>
              <w:rPr>
                <w:rFonts w:cs="Arial"/>
                <w:sz w:val="16"/>
                <w:szCs w:val="16"/>
                <w:lang w:val="es-CO" w:eastAsia="es-CO"/>
              </w:rPr>
              <w:t>OLTC</w:t>
            </w:r>
            <w:r w:rsidRPr="004E6CFC">
              <w:rPr>
                <w:rFonts w:cs="Arial"/>
                <w:sz w:val="16"/>
                <w:szCs w:val="16"/>
                <w:lang w:val="es-CO" w:eastAsia="es-CO"/>
              </w:rPr>
              <w:t xml:space="preserve">) - conexión al </w:t>
            </w:r>
            <w:r>
              <w:rPr>
                <w:rFonts w:cs="Arial"/>
                <w:sz w:val="16"/>
                <w:szCs w:val="16"/>
                <w:lang w:val="es-CO" w:eastAsia="es-CO"/>
              </w:rPr>
              <w:t>STN</w:t>
            </w:r>
            <w:r w:rsidRPr="004E6CFC">
              <w:rPr>
                <w:rFonts w:cs="Arial"/>
                <w:sz w:val="16"/>
                <w:szCs w:val="16"/>
                <w:lang w:val="es-CO" w:eastAsia="es-CO"/>
              </w:rPr>
              <w:t xml:space="preserve"> -   61-90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414.005.000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39.052.000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N5T7</w:t>
            </w:r>
          </w:p>
        </w:tc>
        <w:tc>
          <w:tcPr>
            <w:tcW w:w="6236"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trifásico (</w:t>
            </w:r>
            <w:r>
              <w:rPr>
                <w:rFonts w:cs="Arial"/>
                <w:sz w:val="16"/>
                <w:szCs w:val="16"/>
                <w:lang w:val="es-CO" w:eastAsia="es-CO"/>
              </w:rPr>
              <w:t>OLTC</w:t>
            </w:r>
            <w:r w:rsidRPr="004E6CFC">
              <w:rPr>
                <w:rFonts w:cs="Arial"/>
                <w:sz w:val="16"/>
                <w:szCs w:val="16"/>
                <w:lang w:val="es-CO" w:eastAsia="es-CO"/>
              </w:rPr>
              <w:t xml:space="preserve">) - conexión al </w:t>
            </w:r>
            <w:r>
              <w:rPr>
                <w:rFonts w:cs="Arial"/>
                <w:sz w:val="16"/>
                <w:szCs w:val="16"/>
                <w:lang w:val="es-CO" w:eastAsia="es-CO"/>
              </w:rPr>
              <w:t>STN</w:t>
            </w:r>
            <w:r w:rsidRPr="004E6CFC">
              <w:rPr>
                <w:rFonts w:cs="Arial"/>
                <w:sz w:val="16"/>
                <w:szCs w:val="16"/>
                <w:lang w:val="es-CO" w:eastAsia="es-CO"/>
              </w:rPr>
              <w:t xml:space="preserve"> -   91-100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438.082.000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37.640.000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N5T8</w:t>
            </w:r>
          </w:p>
        </w:tc>
        <w:tc>
          <w:tcPr>
            <w:tcW w:w="6236"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trifásico (</w:t>
            </w:r>
            <w:r>
              <w:rPr>
                <w:rFonts w:cs="Arial"/>
                <w:sz w:val="16"/>
                <w:szCs w:val="16"/>
                <w:lang w:val="es-CO" w:eastAsia="es-CO"/>
              </w:rPr>
              <w:t>OLTC</w:t>
            </w:r>
            <w:r w:rsidRPr="004E6CFC">
              <w:rPr>
                <w:rFonts w:cs="Arial"/>
                <w:sz w:val="16"/>
                <w:szCs w:val="16"/>
                <w:lang w:val="es-CO" w:eastAsia="es-CO"/>
              </w:rPr>
              <w:t xml:space="preserve">) - conexión al </w:t>
            </w:r>
            <w:r>
              <w:rPr>
                <w:rFonts w:cs="Arial"/>
                <w:sz w:val="16"/>
                <w:szCs w:val="16"/>
                <w:lang w:val="es-CO" w:eastAsia="es-CO"/>
              </w:rPr>
              <w:t>STN</w:t>
            </w:r>
            <w:r w:rsidRPr="004E6CFC">
              <w:rPr>
                <w:rFonts w:cs="Arial"/>
                <w:sz w:val="16"/>
                <w:szCs w:val="16"/>
                <w:lang w:val="es-CO" w:eastAsia="es-CO"/>
              </w:rPr>
              <w:t xml:space="preserve"> -   101-120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455.779.000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36.763.000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N5T9</w:t>
            </w:r>
          </w:p>
        </w:tc>
        <w:tc>
          <w:tcPr>
            <w:tcW w:w="6236"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trifásico (</w:t>
            </w:r>
            <w:r>
              <w:rPr>
                <w:rFonts w:cs="Arial"/>
                <w:sz w:val="16"/>
                <w:szCs w:val="16"/>
                <w:lang w:val="es-CO" w:eastAsia="es-CO"/>
              </w:rPr>
              <w:t>OLTC</w:t>
            </w:r>
            <w:r w:rsidRPr="004E6CFC">
              <w:rPr>
                <w:rFonts w:cs="Arial"/>
                <w:sz w:val="16"/>
                <w:szCs w:val="16"/>
                <w:lang w:val="es-CO" w:eastAsia="es-CO"/>
              </w:rPr>
              <w:t xml:space="preserve">) - conexión al </w:t>
            </w:r>
            <w:r>
              <w:rPr>
                <w:rFonts w:cs="Arial"/>
                <w:sz w:val="16"/>
                <w:szCs w:val="16"/>
                <w:lang w:val="es-CO" w:eastAsia="es-CO"/>
              </w:rPr>
              <w:t>STN</w:t>
            </w:r>
            <w:r w:rsidRPr="004E6CFC">
              <w:rPr>
                <w:rFonts w:cs="Arial"/>
                <w:sz w:val="16"/>
                <w:szCs w:val="16"/>
                <w:lang w:val="es-CO" w:eastAsia="es-CO"/>
              </w:rPr>
              <w:t xml:space="preserve"> - 121-150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484.711.000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35.538.000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N5T10</w:t>
            </w:r>
          </w:p>
        </w:tc>
        <w:tc>
          <w:tcPr>
            <w:tcW w:w="6236"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trifásico (</w:t>
            </w:r>
            <w:r>
              <w:rPr>
                <w:rFonts w:cs="Arial"/>
                <w:sz w:val="16"/>
                <w:szCs w:val="16"/>
                <w:lang w:val="es-CO" w:eastAsia="es-CO"/>
              </w:rPr>
              <w:t>OLTC</w:t>
            </w:r>
            <w:r w:rsidRPr="004E6CFC">
              <w:rPr>
                <w:rFonts w:cs="Arial"/>
                <w:sz w:val="16"/>
                <w:szCs w:val="16"/>
                <w:lang w:val="es-CO" w:eastAsia="es-CO"/>
              </w:rPr>
              <w:t xml:space="preserve">) - conexión al </w:t>
            </w:r>
            <w:r>
              <w:rPr>
                <w:rFonts w:cs="Arial"/>
                <w:sz w:val="16"/>
                <w:szCs w:val="16"/>
                <w:lang w:val="es-CO" w:eastAsia="es-CO"/>
              </w:rPr>
              <w:t>STN</w:t>
            </w:r>
            <w:r w:rsidRPr="004E6CFC">
              <w:rPr>
                <w:rFonts w:cs="Arial"/>
                <w:sz w:val="16"/>
                <w:szCs w:val="16"/>
                <w:lang w:val="es-CO" w:eastAsia="es-CO"/>
              </w:rPr>
              <w:t xml:space="preserve"> – 151-180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518.654.000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34.336.000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N5T11</w:t>
            </w:r>
          </w:p>
        </w:tc>
        <w:tc>
          <w:tcPr>
            <w:tcW w:w="6236"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Autotransformador monofásico (</w:t>
            </w:r>
            <w:r>
              <w:rPr>
                <w:rFonts w:cs="Arial"/>
                <w:sz w:val="16"/>
                <w:szCs w:val="16"/>
                <w:lang w:val="es-CO" w:eastAsia="es-CO"/>
              </w:rPr>
              <w:t>OLTC</w:t>
            </w:r>
            <w:r w:rsidRPr="004E6CFC">
              <w:rPr>
                <w:rFonts w:cs="Arial"/>
                <w:sz w:val="16"/>
                <w:szCs w:val="16"/>
                <w:lang w:val="es-CO" w:eastAsia="es-CO"/>
              </w:rPr>
              <w:t xml:space="preserve">) - conexión al </w:t>
            </w:r>
            <w:r>
              <w:rPr>
                <w:rFonts w:cs="Arial"/>
                <w:sz w:val="16"/>
                <w:szCs w:val="16"/>
                <w:lang w:val="es-CO" w:eastAsia="es-CO"/>
              </w:rPr>
              <w:t>STN</w:t>
            </w:r>
            <w:r w:rsidRPr="004E6CFC">
              <w:rPr>
                <w:rFonts w:cs="Arial"/>
                <w:sz w:val="16"/>
                <w:szCs w:val="16"/>
                <w:lang w:val="es-CO" w:eastAsia="es-CO"/>
              </w:rPr>
              <w:t xml:space="preserve"> -  hasta 20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171.525.000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48.603.000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N5T12</w:t>
            </w:r>
          </w:p>
        </w:tc>
        <w:tc>
          <w:tcPr>
            <w:tcW w:w="6236"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Autotransformador monofásico (</w:t>
            </w:r>
            <w:r>
              <w:rPr>
                <w:rFonts w:cs="Arial"/>
                <w:sz w:val="16"/>
                <w:szCs w:val="16"/>
                <w:lang w:val="es-CO" w:eastAsia="es-CO"/>
              </w:rPr>
              <w:t>OLTC</w:t>
            </w:r>
            <w:r w:rsidRPr="004E6CFC">
              <w:rPr>
                <w:rFonts w:cs="Arial"/>
                <w:sz w:val="16"/>
                <w:szCs w:val="16"/>
                <w:lang w:val="es-CO" w:eastAsia="es-CO"/>
              </w:rPr>
              <w:t xml:space="preserve">) - conexión al </w:t>
            </w:r>
            <w:r>
              <w:rPr>
                <w:rFonts w:cs="Arial"/>
                <w:sz w:val="16"/>
                <w:szCs w:val="16"/>
                <w:lang w:val="es-CO" w:eastAsia="es-CO"/>
              </w:rPr>
              <w:t>STN</w:t>
            </w:r>
            <w:r w:rsidRPr="004E6CFC">
              <w:rPr>
                <w:rFonts w:cs="Arial"/>
                <w:sz w:val="16"/>
                <w:szCs w:val="16"/>
                <w:lang w:val="es-CO" w:eastAsia="es-CO"/>
              </w:rPr>
              <w:t xml:space="preserve"> -  21-40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234.549.000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44.091.000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N5T13</w:t>
            </w:r>
          </w:p>
        </w:tc>
        <w:tc>
          <w:tcPr>
            <w:tcW w:w="6236"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Autotransformador monofásico (</w:t>
            </w:r>
            <w:r>
              <w:rPr>
                <w:rFonts w:cs="Arial"/>
                <w:sz w:val="16"/>
                <w:szCs w:val="16"/>
                <w:lang w:val="es-CO" w:eastAsia="es-CO"/>
              </w:rPr>
              <w:t>OLTC</w:t>
            </w:r>
            <w:r w:rsidRPr="004E6CFC">
              <w:rPr>
                <w:rFonts w:cs="Arial"/>
                <w:sz w:val="16"/>
                <w:szCs w:val="16"/>
                <w:lang w:val="es-CO" w:eastAsia="es-CO"/>
              </w:rPr>
              <w:t xml:space="preserve">) - conexión al </w:t>
            </w:r>
            <w:r>
              <w:rPr>
                <w:rFonts w:cs="Arial"/>
                <w:sz w:val="16"/>
                <w:szCs w:val="16"/>
                <w:lang w:val="es-CO" w:eastAsia="es-CO"/>
              </w:rPr>
              <w:t>STN</w:t>
            </w:r>
            <w:r w:rsidRPr="004E6CFC">
              <w:rPr>
                <w:rFonts w:cs="Arial"/>
                <w:sz w:val="16"/>
                <w:szCs w:val="16"/>
                <w:lang w:val="es-CO" w:eastAsia="es-CO"/>
              </w:rPr>
              <w:t xml:space="preserve"> -  41-50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251.540.000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39.057.000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N5T14</w:t>
            </w:r>
          </w:p>
        </w:tc>
        <w:tc>
          <w:tcPr>
            <w:tcW w:w="6236"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Autotransformador monofásico (</w:t>
            </w:r>
            <w:r>
              <w:rPr>
                <w:rFonts w:cs="Arial"/>
                <w:sz w:val="16"/>
                <w:szCs w:val="16"/>
                <w:lang w:val="es-CO" w:eastAsia="es-CO"/>
              </w:rPr>
              <w:t>OLTC</w:t>
            </w:r>
            <w:r w:rsidRPr="004E6CFC">
              <w:rPr>
                <w:rFonts w:cs="Arial"/>
                <w:sz w:val="16"/>
                <w:szCs w:val="16"/>
                <w:lang w:val="es-CO" w:eastAsia="es-CO"/>
              </w:rPr>
              <w:t xml:space="preserve">) - conexión al </w:t>
            </w:r>
            <w:r>
              <w:rPr>
                <w:rFonts w:cs="Arial"/>
                <w:sz w:val="16"/>
                <w:szCs w:val="16"/>
                <w:lang w:val="es-CO" w:eastAsia="es-CO"/>
              </w:rPr>
              <w:t>STN</w:t>
            </w:r>
            <w:r w:rsidRPr="004E6CFC">
              <w:rPr>
                <w:rFonts w:cs="Arial"/>
                <w:sz w:val="16"/>
                <w:szCs w:val="16"/>
                <w:lang w:val="es-CO" w:eastAsia="es-CO"/>
              </w:rPr>
              <w:t xml:space="preserve"> -  51-60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263.494.000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37.764.000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N5T15</w:t>
            </w:r>
          </w:p>
        </w:tc>
        <w:tc>
          <w:tcPr>
            <w:tcW w:w="6236"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Autotransformador monofásico (</w:t>
            </w:r>
            <w:r>
              <w:rPr>
                <w:rFonts w:cs="Arial"/>
                <w:sz w:val="16"/>
                <w:szCs w:val="16"/>
                <w:lang w:val="es-CO" w:eastAsia="es-CO"/>
              </w:rPr>
              <w:t>OLTC</w:t>
            </w:r>
            <w:r w:rsidRPr="004E6CFC">
              <w:rPr>
                <w:rFonts w:cs="Arial"/>
                <w:sz w:val="16"/>
                <w:szCs w:val="16"/>
                <w:lang w:val="es-CO" w:eastAsia="es-CO"/>
              </w:rPr>
              <w:t xml:space="preserve">) - conexión al </w:t>
            </w:r>
            <w:r>
              <w:rPr>
                <w:rFonts w:cs="Arial"/>
                <w:sz w:val="16"/>
                <w:szCs w:val="16"/>
                <w:lang w:val="es-CO" w:eastAsia="es-CO"/>
              </w:rPr>
              <w:t>STN</w:t>
            </w:r>
            <w:r w:rsidRPr="004E6CFC">
              <w:rPr>
                <w:rFonts w:cs="Arial"/>
                <w:sz w:val="16"/>
                <w:szCs w:val="16"/>
                <w:lang w:val="es-CO" w:eastAsia="es-CO"/>
              </w:rPr>
              <w:t xml:space="preserve"> -  61-90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408.773.000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35.760.000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N5T16</w:t>
            </w:r>
          </w:p>
        </w:tc>
        <w:tc>
          <w:tcPr>
            <w:tcW w:w="6236"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Autotransformador monofásico (</w:t>
            </w:r>
            <w:r>
              <w:rPr>
                <w:rFonts w:cs="Arial"/>
                <w:sz w:val="16"/>
                <w:szCs w:val="16"/>
                <w:lang w:val="es-CO" w:eastAsia="es-CO"/>
              </w:rPr>
              <w:t>OLTC</w:t>
            </w:r>
            <w:r w:rsidRPr="004E6CFC">
              <w:rPr>
                <w:rFonts w:cs="Arial"/>
                <w:sz w:val="16"/>
                <w:szCs w:val="16"/>
                <w:lang w:val="es-CO" w:eastAsia="es-CO"/>
              </w:rPr>
              <w:t xml:space="preserve">) - conexión al </w:t>
            </w:r>
            <w:r>
              <w:rPr>
                <w:rFonts w:cs="Arial"/>
                <w:sz w:val="16"/>
                <w:szCs w:val="16"/>
                <w:lang w:val="es-CO" w:eastAsia="es-CO"/>
              </w:rPr>
              <w:t>STN</w:t>
            </w:r>
            <w:r w:rsidRPr="004E6CFC">
              <w:rPr>
                <w:rFonts w:cs="Arial"/>
                <w:sz w:val="16"/>
                <w:szCs w:val="16"/>
                <w:lang w:val="es-CO" w:eastAsia="es-CO"/>
              </w:rPr>
              <w:t xml:space="preserve"> -  91-100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431.218.000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34.231.000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lastRenderedPageBreak/>
              <w:t>N5T17</w:t>
            </w:r>
          </w:p>
        </w:tc>
        <w:tc>
          <w:tcPr>
            <w:tcW w:w="6236"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Autotransformador monofásico (</w:t>
            </w:r>
            <w:r>
              <w:rPr>
                <w:rFonts w:cs="Arial"/>
                <w:sz w:val="16"/>
                <w:szCs w:val="16"/>
                <w:lang w:val="es-CO" w:eastAsia="es-CO"/>
              </w:rPr>
              <w:t>OLTC</w:t>
            </w:r>
            <w:r w:rsidRPr="004E6CFC">
              <w:rPr>
                <w:rFonts w:cs="Arial"/>
                <w:sz w:val="16"/>
                <w:szCs w:val="16"/>
                <w:lang w:val="es-CO" w:eastAsia="es-CO"/>
              </w:rPr>
              <w:t xml:space="preserve">) - conexión al </w:t>
            </w:r>
            <w:r>
              <w:rPr>
                <w:rFonts w:cs="Arial"/>
                <w:sz w:val="16"/>
                <w:szCs w:val="16"/>
                <w:lang w:val="es-CO" w:eastAsia="es-CO"/>
              </w:rPr>
              <w:t>STN</w:t>
            </w:r>
            <w:r w:rsidRPr="004E6CFC">
              <w:rPr>
                <w:rFonts w:cs="Arial"/>
                <w:sz w:val="16"/>
                <w:szCs w:val="16"/>
                <w:lang w:val="es-CO" w:eastAsia="es-CO"/>
              </w:rPr>
              <w:t xml:space="preserve"> - 101 - 120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447.662.000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33.281.000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N5T18</w:t>
            </w:r>
          </w:p>
        </w:tc>
        <w:tc>
          <w:tcPr>
            <w:tcW w:w="6236"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Autotransformador monofásico (</w:t>
            </w:r>
            <w:r>
              <w:rPr>
                <w:rFonts w:cs="Arial"/>
                <w:sz w:val="16"/>
                <w:szCs w:val="16"/>
                <w:lang w:val="es-CO" w:eastAsia="es-CO"/>
              </w:rPr>
              <w:t>OLTC</w:t>
            </w:r>
            <w:r w:rsidRPr="004E6CFC">
              <w:rPr>
                <w:rFonts w:cs="Arial"/>
                <w:sz w:val="16"/>
                <w:szCs w:val="16"/>
                <w:lang w:val="es-CO" w:eastAsia="es-CO"/>
              </w:rPr>
              <w:t xml:space="preserve">) - conexión al </w:t>
            </w:r>
            <w:r>
              <w:rPr>
                <w:rFonts w:cs="Arial"/>
                <w:sz w:val="16"/>
                <w:szCs w:val="16"/>
                <w:lang w:val="es-CO" w:eastAsia="es-CO"/>
              </w:rPr>
              <w:t>STN</w:t>
            </w:r>
            <w:r w:rsidRPr="004E6CFC">
              <w:rPr>
                <w:rFonts w:cs="Arial"/>
                <w:sz w:val="16"/>
                <w:szCs w:val="16"/>
                <w:lang w:val="es-CO" w:eastAsia="es-CO"/>
              </w:rPr>
              <w:t xml:space="preserve"> - 121 - 150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474.457.000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31.953.000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N5T19</w:t>
            </w:r>
          </w:p>
        </w:tc>
        <w:tc>
          <w:tcPr>
            <w:tcW w:w="6236"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tridevanado trifásico</w:t>
            </w:r>
            <w:r>
              <w:rPr>
                <w:rFonts w:cs="Arial"/>
                <w:sz w:val="16"/>
                <w:szCs w:val="16"/>
                <w:lang w:val="es-CO" w:eastAsia="es-CO"/>
              </w:rPr>
              <w:t xml:space="preserve"> </w:t>
            </w:r>
            <w:r w:rsidRPr="004E6CFC">
              <w:rPr>
                <w:rFonts w:cs="Arial"/>
                <w:sz w:val="16"/>
                <w:szCs w:val="16"/>
                <w:lang w:val="es-CO" w:eastAsia="es-CO"/>
              </w:rPr>
              <w:t>(</w:t>
            </w:r>
            <w:r>
              <w:rPr>
                <w:rFonts w:cs="Arial"/>
                <w:sz w:val="16"/>
                <w:szCs w:val="16"/>
                <w:lang w:val="es-CO" w:eastAsia="es-CO"/>
              </w:rPr>
              <w:t>OLTC</w:t>
            </w:r>
            <w:r w:rsidRPr="004E6CFC">
              <w:rPr>
                <w:rFonts w:cs="Arial"/>
                <w:sz w:val="16"/>
                <w:szCs w:val="16"/>
                <w:lang w:val="es-CO" w:eastAsia="es-CO"/>
              </w:rPr>
              <w:t>)</w:t>
            </w:r>
            <w:r>
              <w:rPr>
                <w:rFonts w:cs="Arial"/>
                <w:sz w:val="16"/>
                <w:szCs w:val="16"/>
                <w:lang w:val="es-CO" w:eastAsia="es-CO"/>
              </w:rPr>
              <w:t xml:space="preserve"> </w:t>
            </w:r>
            <w:r w:rsidRPr="004E6CFC">
              <w:rPr>
                <w:rFonts w:cs="Arial"/>
                <w:sz w:val="16"/>
                <w:szCs w:val="16"/>
                <w:lang w:val="es-CO" w:eastAsia="es-CO"/>
              </w:rPr>
              <w:t>-</w:t>
            </w:r>
            <w:r>
              <w:rPr>
                <w:rFonts w:cs="Arial"/>
                <w:sz w:val="16"/>
                <w:szCs w:val="16"/>
                <w:lang w:val="es-CO" w:eastAsia="es-CO"/>
              </w:rPr>
              <w:t xml:space="preserve"> </w:t>
            </w:r>
            <w:r w:rsidRPr="004E6CFC">
              <w:rPr>
                <w:rFonts w:cs="Arial"/>
                <w:sz w:val="16"/>
                <w:szCs w:val="16"/>
                <w:lang w:val="es-CO" w:eastAsia="es-CO"/>
              </w:rPr>
              <w:t xml:space="preserve">conexión </w:t>
            </w:r>
            <w:r>
              <w:rPr>
                <w:rFonts w:cs="Arial"/>
                <w:sz w:val="16"/>
                <w:szCs w:val="16"/>
                <w:lang w:val="es-CO" w:eastAsia="es-CO"/>
              </w:rPr>
              <w:t>STN</w:t>
            </w:r>
            <w:r w:rsidRPr="004E6CFC">
              <w:rPr>
                <w:rFonts w:cs="Arial"/>
                <w:sz w:val="16"/>
                <w:szCs w:val="16"/>
                <w:lang w:val="es-CO" w:eastAsia="es-CO"/>
              </w:rPr>
              <w:t xml:space="preserve">- hasta 20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177.568.000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77.123.000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N5T20</w:t>
            </w:r>
          </w:p>
        </w:tc>
        <w:tc>
          <w:tcPr>
            <w:tcW w:w="6236" w:type="dxa"/>
            <w:tcBorders>
              <w:top w:val="nil"/>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tridevanado trifásico</w:t>
            </w:r>
            <w:r>
              <w:rPr>
                <w:rFonts w:cs="Arial"/>
                <w:sz w:val="16"/>
                <w:szCs w:val="16"/>
                <w:lang w:val="es-CO" w:eastAsia="es-CO"/>
              </w:rPr>
              <w:t xml:space="preserve"> </w:t>
            </w:r>
            <w:r w:rsidRPr="004E6CFC">
              <w:rPr>
                <w:rFonts w:cs="Arial"/>
                <w:sz w:val="16"/>
                <w:szCs w:val="16"/>
                <w:lang w:val="es-CO" w:eastAsia="es-CO"/>
              </w:rPr>
              <w:t>(</w:t>
            </w:r>
            <w:r>
              <w:rPr>
                <w:rFonts w:cs="Arial"/>
                <w:sz w:val="16"/>
                <w:szCs w:val="16"/>
                <w:lang w:val="es-CO" w:eastAsia="es-CO"/>
              </w:rPr>
              <w:t>OLTC</w:t>
            </w:r>
            <w:r w:rsidRPr="004E6CFC">
              <w:rPr>
                <w:rFonts w:cs="Arial"/>
                <w:sz w:val="16"/>
                <w:szCs w:val="16"/>
                <w:lang w:val="es-CO" w:eastAsia="es-CO"/>
              </w:rPr>
              <w:t>)</w:t>
            </w:r>
            <w:r>
              <w:rPr>
                <w:rFonts w:cs="Arial"/>
                <w:sz w:val="16"/>
                <w:szCs w:val="16"/>
                <w:lang w:val="es-CO" w:eastAsia="es-CO"/>
              </w:rPr>
              <w:t xml:space="preserve"> </w:t>
            </w:r>
            <w:r w:rsidRPr="004E6CFC">
              <w:rPr>
                <w:rFonts w:cs="Arial"/>
                <w:sz w:val="16"/>
                <w:szCs w:val="16"/>
                <w:lang w:val="es-CO" w:eastAsia="es-CO"/>
              </w:rPr>
              <w:t>-</w:t>
            </w:r>
            <w:r>
              <w:rPr>
                <w:rFonts w:cs="Arial"/>
                <w:sz w:val="16"/>
                <w:szCs w:val="16"/>
                <w:lang w:val="es-CO" w:eastAsia="es-CO"/>
              </w:rPr>
              <w:t xml:space="preserve"> </w:t>
            </w:r>
            <w:r w:rsidRPr="004E6CFC">
              <w:rPr>
                <w:rFonts w:cs="Arial"/>
                <w:sz w:val="16"/>
                <w:szCs w:val="16"/>
                <w:lang w:val="es-CO" w:eastAsia="es-CO"/>
              </w:rPr>
              <w:t xml:space="preserve">conexión al </w:t>
            </w:r>
            <w:r>
              <w:rPr>
                <w:rFonts w:cs="Arial"/>
                <w:sz w:val="16"/>
                <w:szCs w:val="16"/>
                <w:lang w:val="es-CO" w:eastAsia="es-CO"/>
              </w:rPr>
              <w:t>STN</w:t>
            </w:r>
            <w:r w:rsidRPr="004E6CFC">
              <w:rPr>
                <w:rFonts w:cs="Arial"/>
                <w:sz w:val="16"/>
                <w:szCs w:val="16"/>
                <w:lang w:val="es-CO" w:eastAsia="es-CO"/>
              </w:rPr>
              <w:t xml:space="preserve"> – 21-40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243.846.000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58.716.000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N5T21</w:t>
            </w:r>
          </w:p>
        </w:tc>
        <w:tc>
          <w:tcPr>
            <w:tcW w:w="6236"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tridevanado trifásico</w:t>
            </w:r>
            <w:r>
              <w:rPr>
                <w:rFonts w:cs="Arial"/>
                <w:sz w:val="16"/>
                <w:szCs w:val="16"/>
                <w:lang w:val="es-CO" w:eastAsia="es-CO"/>
              </w:rPr>
              <w:t xml:space="preserve"> </w:t>
            </w:r>
            <w:r w:rsidRPr="004E6CFC">
              <w:rPr>
                <w:rFonts w:cs="Arial"/>
                <w:sz w:val="16"/>
                <w:szCs w:val="16"/>
                <w:lang w:val="es-CO" w:eastAsia="es-CO"/>
              </w:rPr>
              <w:t>(</w:t>
            </w:r>
            <w:r>
              <w:rPr>
                <w:rFonts w:cs="Arial"/>
                <w:sz w:val="16"/>
                <w:szCs w:val="16"/>
                <w:lang w:val="es-CO" w:eastAsia="es-CO"/>
              </w:rPr>
              <w:t>OLTC</w:t>
            </w:r>
            <w:r w:rsidRPr="004E6CFC">
              <w:rPr>
                <w:rFonts w:cs="Arial"/>
                <w:sz w:val="16"/>
                <w:szCs w:val="16"/>
                <w:lang w:val="es-CO" w:eastAsia="es-CO"/>
              </w:rPr>
              <w:t>)</w:t>
            </w:r>
            <w:r>
              <w:rPr>
                <w:rFonts w:cs="Arial"/>
                <w:sz w:val="16"/>
                <w:szCs w:val="16"/>
                <w:lang w:val="es-CO" w:eastAsia="es-CO"/>
              </w:rPr>
              <w:t xml:space="preserve"> </w:t>
            </w:r>
            <w:r w:rsidRPr="004E6CFC">
              <w:rPr>
                <w:rFonts w:cs="Arial"/>
                <w:sz w:val="16"/>
                <w:szCs w:val="16"/>
                <w:lang w:val="es-CO" w:eastAsia="es-CO"/>
              </w:rPr>
              <w:t>-</w:t>
            </w:r>
            <w:r>
              <w:rPr>
                <w:rFonts w:cs="Arial"/>
                <w:sz w:val="16"/>
                <w:szCs w:val="16"/>
                <w:lang w:val="es-CO" w:eastAsia="es-CO"/>
              </w:rPr>
              <w:t xml:space="preserve"> </w:t>
            </w:r>
            <w:r w:rsidRPr="004E6CFC">
              <w:rPr>
                <w:rFonts w:cs="Arial"/>
                <w:sz w:val="16"/>
                <w:szCs w:val="16"/>
                <w:lang w:val="es-CO" w:eastAsia="es-CO"/>
              </w:rPr>
              <w:t xml:space="preserve">conexión al </w:t>
            </w:r>
            <w:r>
              <w:rPr>
                <w:rFonts w:cs="Arial"/>
                <w:sz w:val="16"/>
                <w:szCs w:val="16"/>
                <w:lang w:val="es-CO" w:eastAsia="es-CO"/>
              </w:rPr>
              <w:t>STN</w:t>
            </w:r>
            <w:r w:rsidRPr="004E6CFC">
              <w:rPr>
                <w:rFonts w:cs="Arial"/>
                <w:sz w:val="16"/>
                <w:szCs w:val="16"/>
                <w:lang w:val="es-CO" w:eastAsia="es-CO"/>
              </w:rPr>
              <w:t xml:space="preserve"> – 41-50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262.103.000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50.134.000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N5T22</w:t>
            </w:r>
          </w:p>
        </w:tc>
        <w:tc>
          <w:tcPr>
            <w:tcW w:w="6236"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tridevanado trifásico</w:t>
            </w:r>
            <w:r>
              <w:rPr>
                <w:rFonts w:cs="Arial"/>
                <w:sz w:val="16"/>
                <w:szCs w:val="16"/>
                <w:lang w:val="es-CO" w:eastAsia="es-CO"/>
              </w:rPr>
              <w:t xml:space="preserve"> </w:t>
            </w:r>
            <w:r w:rsidRPr="004E6CFC">
              <w:rPr>
                <w:rFonts w:cs="Arial"/>
                <w:sz w:val="16"/>
                <w:szCs w:val="16"/>
                <w:lang w:val="es-CO" w:eastAsia="es-CO"/>
              </w:rPr>
              <w:t>(</w:t>
            </w:r>
            <w:r>
              <w:rPr>
                <w:rFonts w:cs="Arial"/>
                <w:sz w:val="16"/>
                <w:szCs w:val="16"/>
                <w:lang w:val="es-CO" w:eastAsia="es-CO"/>
              </w:rPr>
              <w:t>OLTC</w:t>
            </w:r>
            <w:r w:rsidRPr="004E6CFC">
              <w:rPr>
                <w:rFonts w:cs="Arial"/>
                <w:sz w:val="16"/>
                <w:szCs w:val="16"/>
                <w:lang w:val="es-CO" w:eastAsia="es-CO"/>
              </w:rPr>
              <w:t>)</w:t>
            </w:r>
            <w:r>
              <w:rPr>
                <w:rFonts w:cs="Arial"/>
                <w:sz w:val="16"/>
                <w:szCs w:val="16"/>
                <w:lang w:val="es-CO" w:eastAsia="es-CO"/>
              </w:rPr>
              <w:t xml:space="preserve"> </w:t>
            </w:r>
            <w:r w:rsidRPr="004E6CFC">
              <w:rPr>
                <w:rFonts w:cs="Arial"/>
                <w:sz w:val="16"/>
                <w:szCs w:val="16"/>
                <w:lang w:val="es-CO" w:eastAsia="es-CO"/>
              </w:rPr>
              <w:t>-</w:t>
            </w:r>
            <w:r>
              <w:rPr>
                <w:rFonts w:cs="Arial"/>
                <w:sz w:val="16"/>
                <w:szCs w:val="16"/>
                <w:lang w:val="es-CO" w:eastAsia="es-CO"/>
              </w:rPr>
              <w:t xml:space="preserve"> </w:t>
            </w:r>
            <w:r w:rsidRPr="004E6CFC">
              <w:rPr>
                <w:rFonts w:cs="Arial"/>
                <w:sz w:val="16"/>
                <w:szCs w:val="16"/>
                <w:lang w:val="es-CO" w:eastAsia="es-CO"/>
              </w:rPr>
              <w:t xml:space="preserve">conexión al </w:t>
            </w:r>
            <w:r>
              <w:rPr>
                <w:rFonts w:cs="Arial"/>
                <w:sz w:val="16"/>
                <w:szCs w:val="16"/>
                <w:lang w:val="es-CO" w:eastAsia="es-CO"/>
              </w:rPr>
              <w:t>STN</w:t>
            </w:r>
            <w:r w:rsidRPr="004E6CFC">
              <w:rPr>
                <w:rFonts w:cs="Arial"/>
                <w:sz w:val="16"/>
                <w:szCs w:val="16"/>
                <w:lang w:val="es-CO" w:eastAsia="es-CO"/>
              </w:rPr>
              <w:t xml:space="preserve"> – 51- 60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275.341.000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47.929.000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N5T23</w:t>
            </w:r>
          </w:p>
        </w:tc>
        <w:tc>
          <w:tcPr>
            <w:tcW w:w="6236"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tridevanado trifásico</w:t>
            </w:r>
            <w:r>
              <w:rPr>
                <w:rFonts w:cs="Arial"/>
                <w:sz w:val="16"/>
                <w:szCs w:val="16"/>
                <w:lang w:val="es-CO" w:eastAsia="es-CO"/>
              </w:rPr>
              <w:t xml:space="preserve"> </w:t>
            </w:r>
            <w:r w:rsidRPr="004E6CFC">
              <w:rPr>
                <w:rFonts w:cs="Arial"/>
                <w:sz w:val="16"/>
                <w:szCs w:val="16"/>
                <w:lang w:val="es-CO" w:eastAsia="es-CO"/>
              </w:rPr>
              <w:t>(</w:t>
            </w:r>
            <w:r>
              <w:rPr>
                <w:rFonts w:cs="Arial"/>
                <w:sz w:val="16"/>
                <w:szCs w:val="16"/>
                <w:lang w:val="es-CO" w:eastAsia="es-CO"/>
              </w:rPr>
              <w:t>OLTC</w:t>
            </w:r>
            <w:r w:rsidRPr="004E6CFC">
              <w:rPr>
                <w:rFonts w:cs="Arial"/>
                <w:sz w:val="16"/>
                <w:szCs w:val="16"/>
                <w:lang w:val="es-CO" w:eastAsia="es-CO"/>
              </w:rPr>
              <w:t>)</w:t>
            </w:r>
            <w:r>
              <w:rPr>
                <w:rFonts w:cs="Arial"/>
                <w:sz w:val="16"/>
                <w:szCs w:val="16"/>
                <w:lang w:val="es-CO" w:eastAsia="es-CO"/>
              </w:rPr>
              <w:t xml:space="preserve"> </w:t>
            </w:r>
            <w:r w:rsidRPr="004E6CFC">
              <w:rPr>
                <w:rFonts w:cs="Arial"/>
                <w:sz w:val="16"/>
                <w:szCs w:val="16"/>
                <w:lang w:val="es-CO" w:eastAsia="es-CO"/>
              </w:rPr>
              <w:t>-</w:t>
            </w:r>
            <w:r>
              <w:rPr>
                <w:rFonts w:cs="Arial"/>
                <w:sz w:val="16"/>
                <w:szCs w:val="16"/>
                <w:lang w:val="es-CO" w:eastAsia="es-CO"/>
              </w:rPr>
              <w:t xml:space="preserve"> </w:t>
            </w:r>
            <w:r w:rsidRPr="004E6CFC">
              <w:rPr>
                <w:rFonts w:cs="Arial"/>
                <w:sz w:val="16"/>
                <w:szCs w:val="16"/>
                <w:lang w:val="es-CO" w:eastAsia="es-CO"/>
              </w:rPr>
              <w:t xml:space="preserve">conexión al </w:t>
            </w:r>
            <w:r>
              <w:rPr>
                <w:rFonts w:cs="Arial"/>
                <w:sz w:val="16"/>
                <w:szCs w:val="16"/>
                <w:lang w:val="es-CO" w:eastAsia="es-CO"/>
              </w:rPr>
              <w:t>STN</w:t>
            </w:r>
            <w:r w:rsidRPr="004E6CFC">
              <w:rPr>
                <w:rFonts w:cs="Arial"/>
                <w:sz w:val="16"/>
                <w:szCs w:val="16"/>
                <w:lang w:val="es-CO" w:eastAsia="es-CO"/>
              </w:rPr>
              <w:t xml:space="preserve"> – 61- 90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422.682.000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44.513.000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N5T24</w:t>
            </w:r>
          </w:p>
        </w:tc>
        <w:tc>
          <w:tcPr>
            <w:tcW w:w="6236"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tridevanado trifásico</w:t>
            </w:r>
            <w:r>
              <w:rPr>
                <w:rFonts w:cs="Arial"/>
                <w:sz w:val="16"/>
                <w:szCs w:val="16"/>
                <w:lang w:val="es-CO" w:eastAsia="es-CO"/>
              </w:rPr>
              <w:t xml:space="preserve"> </w:t>
            </w:r>
            <w:r w:rsidRPr="004E6CFC">
              <w:rPr>
                <w:rFonts w:cs="Arial"/>
                <w:sz w:val="16"/>
                <w:szCs w:val="16"/>
                <w:lang w:val="es-CO" w:eastAsia="es-CO"/>
              </w:rPr>
              <w:t>(</w:t>
            </w:r>
            <w:r>
              <w:rPr>
                <w:rFonts w:cs="Arial"/>
                <w:sz w:val="16"/>
                <w:szCs w:val="16"/>
                <w:lang w:val="es-CO" w:eastAsia="es-CO"/>
              </w:rPr>
              <w:t>OLTC</w:t>
            </w:r>
            <w:r w:rsidRPr="004E6CFC">
              <w:rPr>
                <w:rFonts w:cs="Arial"/>
                <w:sz w:val="16"/>
                <w:szCs w:val="16"/>
                <w:lang w:val="es-CO" w:eastAsia="es-CO"/>
              </w:rPr>
              <w:t>)</w:t>
            </w:r>
            <w:r>
              <w:rPr>
                <w:rFonts w:cs="Arial"/>
                <w:sz w:val="16"/>
                <w:szCs w:val="16"/>
                <w:lang w:val="es-CO" w:eastAsia="es-CO"/>
              </w:rPr>
              <w:t xml:space="preserve"> </w:t>
            </w:r>
            <w:r w:rsidRPr="004E6CFC">
              <w:rPr>
                <w:rFonts w:cs="Arial"/>
                <w:sz w:val="16"/>
                <w:szCs w:val="16"/>
                <w:lang w:val="es-CO" w:eastAsia="es-CO"/>
              </w:rPr>
              <w:t>-</w:t>
            </w:r>
            <w:r>
              <w:rPr>
                <w:rFonts w:cs="Arial"/>
                <w:sz w:val="16"/>
                <w:szCs w:val="16"/>
                <w:lang w:val="es-CO" w:eastAsia="es-CO"/>
              </w:rPr>
              <w:t xml:space="preserve"> </w:t>
            </w:r>
            <w:r w:rsidRPr="004E6CFC">
              <w:rPr>
                <w:rFonts w:cs="Arial"/>
                <w:sz w:val="16"/>
                <w:szCs w:val="16"/>
                <w:lang w:val="es-CO" w:eastAsia="es-CO"/>
              </w:rPr>
              <w:t xml:space="preserve">conexión al </w:t>
            </w:r>
            <w:r>
              <w:rPr>
                <w:rFonts w:cs="Arial"/>
                <w:sz w:val="16"/>
                <w:szCs w:val="16"/>
                <w:lang w:val="es-CO" w:eastAsia="es-CO"/>
              </w:rPr>
              <w:t>STN</w:t>
            </w:r>
            <w:r w:rsidRPr="004E6CFC">
              <w:rPr>
                <w:rFonts w:cs="Arial"/>
                <w:sz w:val="16"/>
                <w:szCs w:val="16"/>
                <w:lang w:val="es-CO" w:eastAsia="es-CO"/>
              </w:rPr>
              <w:t xml:space="preserve">- 91-120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458.270.000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40.799.000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N5T25</w:t>
            </w:r>
          </w:p>
        </w:tc>
        <w:tc>
          <w:tcPr>
            <w:tcW w:w="6236"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tridevanado trifásico</w:t>
            </w:r>
            <w:r>
              <w:rPr>
                <w:rFonts w:cs="Arial"/>
                <w:sz w:val="16"/>
                <w:szCs w:val="16"/>
                <w:lang w:val="es-CO" w:eastAsia="es-CO"/>
              </w:rPr>
              <w:t xml:space="preserve"> </w:t>
            </w:r>
            <w:r w:rsidRPr="004E6CFC">
              <w:rPr>
                <w:rFonts w:cs="Arial"/>
                <w:sz w:val="16"/>
                <w:szCs w:val="16"/>
                <w:lang w:val="es-CO" w:eastAsia="es-CO"/>
              </w:rPr>
              <w:t>(</w:t>
            </w:r>
            <w:r>
              <w:rPr>
                <w:rFonts w:cs="Arial"/>
                <w:sz w:val="16"/>
                <w:szCs w:val="16"/>
                <w:lang w:val="es-CO" w:eastAsia="es-CO"/>
              </w:rPr>
              <w:t>OLTC</w:t>
            </w:r>
            <w:r w:rsidRPr="004E6CFC">
              <w:rPr>
                <w:rFonts w:cs="Arial"/>
                <w:sz w:val="16"/>
                <w:szCs w:val="16"/>
                <w:lang w:val="es-CO" w:eastAsia="es-CO"/>
              </w:rPr>
              <w:t>)</w:t>
            </w:r>
            <w:r>
              <w:rPr>
                <w:rFonts w:cs="Arial"/>
                <w:sz w:val="16"/>
                <w:szCs w:val="16"/>
                <w:lang w:val="es-CO" w:eastAsia="es-CO"/>
              </w:rPr>
              <w:t xml:space="preserve"> - </w:t>
            </w:r>
            <w:r w:rsidRPr="004E6CFC">
              <w:rPr>
                <w:rFonts w:cs="Arial"/>
                <w:sz w:val="16"/>
                <w:szCs w:val="16"/>
                <w:lang w:val="es-CO" w:eastAsia="es-CO"/>
              </w:rPr>
              <w:t xml:space="preserve">conexión al </w:t>
            </w:r>
            <w:r>
              <w:rPr>
                <w:rFonts w:cs="Arial"/>
                <w:sz w:val="16"/>
                <w:szCs w:val="16"/>
                <w:lang w:val="es-CO" w:eastAsia="es-CO"/>
              </w:rPr>
              <w:t>STN</w:t>
            </w:r>
            <w:r w:rsidRPr="004E6CFC">
              <w:rPr>
                <w:rFonts w:cs="Arial"/>
                <w:sz w:val="16"/>
                <w:szCs w:val="16"/>
                <w:lang w:val="es-CO" w:eastAsia="es-CO"/>
              </w:rPr>
              <w:t>- &gt; 121</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471.952.000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38.021.000</w:t>
            </w:r>
          </w:p>
        </w:tc>
      </w:tr>
    </w:tbl>
    <w:p w:rsidR="00697252" w:rsidRPr="004E6CFC" w:rsidRDefault="00697252" w:rsidP="00697252">
      <w:pPr>
        <w:pStyle w:val="Descripcin"/>
        <w:rPr>
          <w:sz w:val="18"/>
          <w:szCs w:val="18"/>
        </w:rPr>
      </w:pPr>
      <w:r w:rsidRPr="004E6CFC">
        <w:t xml:space="preserve">Tabla </w:t>
      </w:r>
      <w:r w:rsidRPr="004E6CFC">
        <w:fldChar w:fldCharType="begin"/>
      </w:r>
      <w:r w:rsidRPr="004E6CFC">
        <w:instrText xml:space="preserve"> SEQ Tabla \* ARABIC </w:instrText>
      </w:r>
      <w:r w:rsidRPr="004E6CFC">
        <w:fldChar w:fldCharType="separate"/>
      </w:r>
      <w:r w:rsidR="00737178">
        <w:rPr>
          <w:noProof/>
        </w:rPr>
        <w:t>52</w:t>
      </w:r>
      <w:r w:rsidRPr="004E6CFC">
        <w:fldChar w:fldCharType="end"/>
      </w:r>
      <w:r w:rsidRPr="004E6CFC">
        <w:t xml:space="preserve"> UC de transformadores de potencia</w:t>
      </w:r>
    </w:p>
    <w:tbl>
      <w:tblPr>
        <w:tblW w:w="0" w:type="auto"/>
        <w:tblInd w:w="-72" w:type="dxa"/>
        <w:tblCellMar>
          <w:left w:w="70" w:type="dxa"/>
          <w:right w:w="70" w:type="dxa"/>
        </w:tblCellMar>
        <w:tblLook w:val="04A0" w:firstRow="1" w:lastRow="0" w:firstColumn="1" w:lastColumn="0" w:noHBand="0" w:noVBand="1"/>
      </w:tblPr>
      <w:tblGrid>
        <w:gridCol w:w="732"/>
        <w:gridCol w:w="6133"/>
        <w:gridCol w:w="1417"/>
        <w:gridCol w:w="1136"/>
      </w:tblGrid>
      <w:tr w:rsidR="00697252" w:rsidRPr="004E6CFC" w:rsidTr="00045289">
        <w:trPr>
          <w:trHeight w:val="733"/>
          <w:tblHeader/>
        </w:trPr>
        <w:tc>
          <w:tcPr>
            <w:tcW w:w="732"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2"/>
                <w:lang w:val="es-CO" w:eastAsia="es-CO"/>
              </w:rPr>
            </w:pPr>
            <w:r w:rsidRPr="004E6CFC">
              <w:rPr>
                <w:rFonts w:cs="Arial"/>
                <w:sz w:val="18"/>
                <w:szCs w:val="12"/>
                <w:lang w:val="es-CO" w:eastAsia="es-CO"/>
              </w:rPr>
              <w:t>UC</w:t>
            </w:r>
          </w:p>
        </w:tc>
        <w:tc>
          <w:tcPr>
            <w:tcW w:w="6133"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2"/>
                <w:lang w:val="es-CO" w:eastAsia="es-CO"/>
              </w:rPr>
            </w:pPr>
            <w:r w:rsidRPr="004E6CFC">
              <w:rPr>
                <w:rFonts w:cs="Arial"/>
                <w:sz w:val="18"/>
                <w:szCs w:val="12"/>
                <w:lang w:val="es-CO" w:eastAsia="es-CO"/>
              </w:rPr>
              <w:t>DESCRIPCIÓN UNIDAD CONSTRUCTIVA</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2"/>
                <w:lang w:val="es-CO" w:eastAsia="es-CO"/>
              </w:rPr>
            </w:pPr>
            <w:r w:rsidRPr="004E6CFC">
              <w:rPr>
                <w:rFonts w:cs="Arial"/>
                <w:sz w:val="18"/>
                <w:szCs w:val="12"/>
                <w:lang w:val="es-CO" w:eastAsia="es-CO"/>
              </w:rPr>
              <w:t xml:space="preserve">COSTO DE INSTALACIÓN </w:t>
            </w:r>
            <w:r w:rsidRPr="004E6CFC">
              <w:rPr>
                <w:rFonts w:cs="Arial"/>
                <w:sz w:val="18"/>
                <w:szCs w:val="12"/>
                <w:lang w:val="es-CO" w:eastAsia="es-CO"/>
              </w:rPr>
              <w:br/>
              <w:t>[$Dic 2007]</w:t>
            </w:r>
          </w:p>
        </w:tc>
        <w:tc>
          <w:tcPr>
            <w:tcW w:w="1136"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2"/>
                <w:lang w:val="es-CO" w:eastAsia="es-CO"/>
              </w:rPr>
            </w:pPr>
            <w:r w:rsidRPr="004E6CFC">
              <w:rPr>
                <w:rFonts w:cs="Arial"/>
                <w:sz w:val="18"/>
                <w:szCs w:val="12"/>
                <w:lang w:val="es-CO" w:eastAsia="es-CO"/>
              </w:rPr>
              <w:t>VALOR UNITARIO [$/MVA Dic 2007]</w:t>
            </w:r>
          </w:p>
        </w:tc>
      </w:tr>
      <w:tr w:rsidR="00697252" w:rsidRPr="004E6CFC" w:rsidTr="00045289">
        <w:trPr>
          <w:trHeight w:val="255"/>
        </w:trPr>
        <w:tc>
          <w:tcPr>
            <w:tcW w:w="732"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N4T1</w:t>
            </w:r>
          </w:p>
        </w:tc>
        <w:tc>
          <w:tcPr>
            <w:tcW w:w="6133" w:type="dxa"/>
            <w:tcBorders>
              <w:top w:val="nil"/>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trifásico (</w:t>
            </w:r>
            <w:r>
              <w:rPr>
                <w:rFonts w:cs="Arial"/>
                <w:sz w:val="16"/>
                <w:szCs w:val="16"/>
                <w:lang w:val="es-CO" w:eastAsia="es-CO"/>
              </w:rPr>
              <w:t>OLTC</w:t>
            </w:r>
            <w:r w:rsidRPr="004E6CFC">
              <w:rPr>
                <w:rFonts w:cs="Arial"/>
                <w:sz w:val="16"/>
                <w:szCs w:val="16"/>
                <w:lang w:val="es-CO" w:eastAsia="es-CO"/>
              </w:rPr>
              <w:t xml:space="preserve">) - lado de alta en el nivel 4 - hasta 5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152.592.000</w:t>
            </w:r>
          </w:p>
        </w:tc>
        <w:tc>
          <w:tcPr>
            <w:tcW w:w="11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95.390.000</w:t>
            </w:r>
          </w:p>
        </w:tc>
      </w:tr>
      <w:tr w:rsidR="00697252" w:rsidRPr="004E6CFC" w:rsidTr="00045289">
        <w:trPr>
          <w:trHeight w:val="255"/>
        </w:trPr>
        <w:tc>
          <w:tcPr>
            <w:tcW w:w="732"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N4T2</w:t>
            </w:r>
          </w:p>
        </w:tc>
        <w:tc>
          <w:tcPr>
            <w:tcW w:w="6133"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trifásico (</w:t>
            </w:r>
            <w:r>
              <w:rPr>
                <w:rFonts w:cs="Arial"/>
                <w:sz w:val="16"/>
                <w:szCs w:val="16"/>
                <w:lang w:val="es-CO" w:eastAsia="es-CO"/>
              </w:rPr>
              <w:t>OLTC</w:t>
            </w:r>
            <w:r w:rsidRPr="004E6CFC">
              <w:rPr>
                <w:rFonts w:cs="Arial"/>
                <w:sz w:val="16"/>
                <w:szCs w:val="16"/>
                <w:lang w:val="es-CO" w:eastAsia="es-CO"/>
              </w:rPr>
              <w:t xml:space="preserve">) - lado de alta en el nivel 4  -  de 5  a 10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161.743.000</w:t>
            </w:r>
          </w:p>
        </w:tc>
        <w:tc>
          <w:tcPr>
            <w:tcW w:w="11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74.400.000</w:t>
            </w:r>
          </w:p>
        </w:tc>
      </w:tr>
      <w:tr w:rsidR="00697252" w:rsidRPr="004E6CFC" w:rsidTr="00045289">
        <w:trPr>
          <w:trHeight w:val="255"/>
        </w:trPr>
        <w:tc>
          <w:tcPr>
            <w:tcW w:w="732"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N4T3</w:t>
            </w:r>
          </w:p>
        </w:tc>
        <w:tc>
          <w:tcPr>
            <w:tcW w:w="6133"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trifásico (</w:t>
            </w:r>
            <w:r>
              <w:rPr>
                <w:rFonts w:cs="Arial"/>
                <w:sz w:val="16"/>
                <w:szCs w:val="16"/>
                <w:lang w:val="es-CO" w:eastAsia="es-CO"/>
              </w:rPr>
              <w:t>OLTC</w:t>
            </w:r>
            <w:r w:rsidRPr="004E6CFC">
              <w:rPr>
                <w:rFonts w:cs="Arial"/>
                <w:sz w:val="16"/>
                <w:szCs w:val="16"/>
                <w:lang w:val="es-CO" w:eastAsia="es-CO"/>
              </w:rPr>
              <w:t xml:space="preserve">) - lado de alta en el nivel 4 -  de 11 a 15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172.110.000</w:t>
            </w:r>
          </w:p>
        </w:tc>
        <w:tc>
          <w:tcPr>
            <w:tcW w:w="11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64.011.000</w:t>
            </w:r>
          </w:p>
        </w:tc>
      </w:tr>
      <w:tr w:rsidR="00697252" w:rsidRPr="004E6CFC" w:rsidTr="00045289">
        <w:trPr>
          <w:trHeight w:val="255"/>
        </w:trPr>
        <w:tc>
          <w:tcPr>
            <w:tcW w:w="732"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N4T4</w:t>
            </w:r>
          </w:p>
        </w:tc>
        <w:tc>
          <w:tcPr>
            <w:tcW w:w="6133"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trifásico (</w:t>
            </w:r>
            <w:r>
              <w:rPr>
                <w:rFonts w:cs="Arial"/>
                <w:sz w:val="16"/>
                <w:szCs w:val="16"/>
                <w:lang w:val="es-CO" w:eastAsia="es-CO"/>
              </w:rPr>
              <w:t>OLTC</w:t>
            </w:r>
            <w:r w:rsidRPr="004E6CFC">
              <w:rPr>
                <w:rFonts w:cs="Arial"/>
                <w:sz w:val="16"/>
                <w:szCs w:val="16"/>
                <w:lang w:val="es-CO" w:eastAsia="es-CO"/>
              </w:rPr>
              <w:t xml:space="preserve">) - lado de alta en el nivel 4 -  de 16 a 20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181.070.000</w:t>
            </w:r>
          </w:p>
        </w:tc>
        <w:tc>
          <w:tcPr>
            <w:tcW w:w="11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57.047.000</w:t>
            </w:r>
          </w:p>
        </w:tc>
      </w:tr>
      <w:tr w:rsidR="00697252" w:rsidRPr="004E6CFC" w:rsidTr="00045289">
        <w:trPr>
          <w:trHeight w:val="255"/>
        </w:trPr>
        <w:tc>
          <w:tcPr>
            <w:tcW w:w="732"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N4T5</w:t>
            </w:r>
          </w:p>
        </w:tc>
        <w:tc>
          <w:tcPr>
            <w:tcW w:w="6133"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trifásico (</w:t>
            </w:r>
            <w:r>
              <w:rPr>
                <w:rFonts w:cs="Arial"/>
                <w:sz w:val="16"/>
                <w:szCs w:val="16"/>
                <w:lang w:val="es-CO" w:eastAsia="es-CO"/>
              </w:rPr>
              <w:t>OLTC</w:t>
            </w:r>
            <w:r w:rsidRPr="004E6CFC">
              <w:rPr>
                <w:rFonts w:cs="Arial"/>
                <w:sz w:val="16"/>
                <w:szCs w:val="16"/>
                <w:lang w:val="es-CO" w:eastAsia="es-CO"/>
              </w:rPr>
              <w:t xml:space="preserve">) - lado de alta en el nivel 4 -  de 21 a 30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192.852.000</w:t>
            </w:r>
          </w:p>
        </w:tc>
        <w:tc>
          <w:tcPr>
            <w:tcW w:w="11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49.593.000</w:t>
            </w:r>
          </w:p>
        </w:tc>
      </w:tr>
      <w:tr w:rsidR="00697252" w:rsidRPr="004E6CFC" w:rsidTr="00045289">
        <w:trPr>
          <w:trHeight w:val="255"/>
        </w:trPr>
        <w:tc>
          <w:tcPr>
            <w:tcW w:w="732"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N4T6</w:t>
            </w:r>
          </w:p>
        </w:tc>
        <w:tc>
          <w:tcPr>
            <w:tcW w:w="6133"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trifásico (</w:t>
            </w:r>
            <w:r>
              <w:rPr>
                <w:rFonts w:cs="Arial"/>
                <w:sz w:val="16"/>
                <w:szCs w:val="16"/>
                <w:lang w:val="es-CO" w:eastAsia="es-CO"/>
              </w:rPr>
              <w:t>OLTC</w:t>
            </w:r>
            <w:r w:rsidRPr="004E6CFC">
              <w:rPr>
                <w:rFonts w:cs="Arial"/>
                <w:sz w:val="16"/>
                <w:szCs w:val="16"/>
                <w:lang w:val="es-CO" w:eastAsia="es-CO"/>
              </w:rPr>
              <w:t xml:space="preserve">) - lado de alta en el nivel 4 -  de 31 a 40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247.740.000</w:t>
            </w:r>
          </w:p>
        </w:tc>
        <w:tc>
          <w:tcPr>
            <w:tcW w:w="11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42.513.000</w:t>
            </w:r>
          </w:p>
        </w:tc>
      </w:tr>
      <w:tr w:rsidR="00697252" w:rsidRPr="004E6CFC" w:rsidTr="00045289">
        <w:trPr>
          <w:trHeight w:val="255"/>
        </w:trPr>
        <w:tc>
          <w:tcPr>
            <w:tcW w:w="732"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N4T7</w:t>
            </w:r>
          </w:p>
        </w:tc>
        <w:tc>
          <w:tcPr>
            <w:tcW w:w="6133"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trifásico (</w:t>
            </w:r>
            <w:r>
              <w:rPr>
                <w:rFonts w:cs="Arial"/>
                <w:sz w:val="16"/>
                <w:szCs w:val="16"/>
                <w:lang w:val="es-CO" w:eastAsia="es-CO"/>
              </w:rPr>
              <w:t>OLTC</w:t>
            </w:r>
            <w:r w:rsidRPr="004E6CFC">
              <w:rPr>
                <w:rFonts w:cs="Arial"/>
                <w:sz w:val="16"/>
                <w:szCs w:val="16"/>
                <w:lang w:val="es-CO" w:eastAsia="es-CO"/>
              </w:rPr>
              <w:t xml:space="preserve">) - lado de alta en el nivel 4 -  de 41 a 50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261.206.000</w:t>
            </w:r>
          </w:p>
        </w:tc>
        <w:tc>
          <w:tcPr>
            <w:tcW w:w="11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37.201.000</w:t>
            </w:r>
          </w:p>
        </w:tc>
      </w:tr>
      <w:tr w:rsidR="00697252" w:rsidRPr="004E6CFC" w:rsidTr="00045289">
        <w:trPr>
          <w:trHeight w:val="255"/>
        </w:trPr>
        <w:tc>
          <w:tcPr>
            <w:tcW w:w="732"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N4T8</w:t>
            </w:r>
          </w:p>
        </w:tc>
        <w:tc>
          <w:tcPr>
            <w:tcW w:w="6133"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trifásico (</w:t>
            </w:r>
            <w:r>
              <w:rPr>
                <w:rFonts w:cs="Arial"/>
                <w:sz w:val="16"/>
                <w:szCs w:val="16"/>
                <w:lang w:val="es-CO" w:eastAsia="es-CO"/>
              </w:rPr>
              <w:t>OLTC</w:t>
            </w:r>
            <w:r w:rsidRPr="004E6CFC">
              <w:rPr>
                <w:rFonts w:cs="Arial"/>
                <w:sz w:val="16"/>
                <w:szCs w:val="16"/>
                <w:lang w:val="es-CO" w:eastAsia="es-CO"/>
              </w:rPr>
              <w:t xml:space="preserve">) - lado de alta en el nivel 4 -  de 51 a 60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273.655.000</w:t>
            </w:r>
          </w:p>
        </w:tc>
        <w:tc>
          <w:tcPr>
            <w:tcW w:w="11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32.950.000</w:t>
            </w:r>
          </w:p>
        </w:tc>
      </w:tr>
      <w:tr w:rsidR="00697252" w:rsidRPr="004E6CFC" w:rsidTr="00045289">
        <w:trPr>
          <w:trHeight w:val="255"/>
        </w:trPr>
        <w:tc>
          <w:tcPr>
            <w:tcW w:w="732"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N4T9</w:t>
            </w:r>
          </w:p>
        </w:tc>
        <w:tc>
          <w:tcPr>
            <w:tcW w:w="6133"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trifásico (</w:t>
            </w:r>
            <w:r>
              <w:rPr>
                <w:rFonts w:cs="Arial"/>
                <w:sz w:val="16"/>
                <w:szCs w:val="16"/>
                <w:lang w:val="es-CO" w:eastAsia="es-CO"/>
              </w:rPr>
              <w:t>OLTC</w:t>
            </w:r>
            <w:r w:rsidRPr="004E6CFC">
              <w:rPr>
                <w:rFonts w:cs="Arial"/>
                <w:sz w:val="16"/>
                <w:szCs w:val="16"/>
                <w:lang w:val="es-CO" w:eastAsia="es-CO"/>
              </w:rPr>
              <w:t xml:space="preserve">) - lado de alta en el nivel 4 -  de 61 a 80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416.987.000</w:t>
            </w:r>
          </w:p>
        </w:tc>
        <w:tc>
          <w:tcPr>
            <w:tcW w:w="11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29.569.000</w:t>
            </w:r>
          </w:p>
        </w:tc>
      </w:tr>
      <w:tr w:rsidR="00697252" w:rsidRPr="004E6CFC" w:rsidTr="00045289">
        <w:trPr>
          <w:trHeight w:val="255"/>
        </w:trPr>
        <w:tc>
          <w:tcPr>
            <w:tcW w:w="732"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N4T10</w:t>
            </w:r>
          </w:p>
        </w:tc>
        <w:tc>
          <w:tcPr>
            <w:tcW w:w="6133"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trifásico (</w:t>
            </w:r>
            <w:r>
              <w:rPr>
                <w:rFonts w:cs="Arial"/>
                <w:sz w:val="16"/>
                <w:szCs w:val="16"/>
                <w:lang w:val="es-CO" w:eastAsia="es-CO"/>
              </w:rPr>
              <w:t>OLTC</w:t>
            </w:r>
            <w:r w:rsidRPr="004E6CFC">
              <w:rPr>
                <w:rFonts w:cs="Arial"/>
                <w:sz w:val="16"/>
                <w:szCs w:val="16"/>
                <w:lang w:val="es-CO" w:eastAsia="es-CO"/>
              </w:rPr>
              <w:t xml:space="preserve">) - lado alta en el nivel 4 -  de 81 a 100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465.610.000</w:t>
            </w:r>
          </w:p>
        </w:tc>
        <w:tc>
          <w:tcPr>
            <w:tcW w:w="11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25.125.000</w:t>
            </w:r>
          </w:p>
        </w:tc>
      </w:tr>
      <w:tr w:rsidR="00697252" w:rsidRPr="004E6CFC" w:rsidTr="00045289">
        <w:trPr>
          <w:trHeight w:val="255"/>
        </w:trPr>
        <w:tc>
          <w:tcPr>
            <w:tcW w:w="732"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N4T11</w:t>
            </w:r>
          </w:p>
        </w:tc>
        <w:tc>
          <w:tcPr>
            <w:tcW w:w="6133"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trifásico (</w:t>
            </w:r>
            <w:r>
              <w:rPr>
                <w:rFonts w:cs="Arial"/>
                <w:sz w:val="16"/>
                <w:szCs w:val="16"/>
                <w:lang w:val="es-CO" w:eastAsia="es-CO"/>
              </w:rPr>
              <w:t>OLTC</w:t>
            </w:r>
            <w:r w:rsidRPr="004E6CFC">
              <w:rPr>
                <w:rFonts w:cs="Arial"/>
                <w:sz w:val="16"/>
                <w:szCs w:val="16"/>
                <w:lang w:val="es-CO" w:eastAsia="es-CO"/>
              </w:rPr>
              <w:t xml:space="preserve">) - lado alta en el nivel 4 -  mayor a 100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470.974.000</w:t>
            </w:r>
          </w:p>
        </w:tc>
        <w:tc>
          <w:tcPr>
            <w:tcW w:w="11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20.350.000</w:t>
            </w:r>
          </w:p>
        </w:tc>
      </w:tr>
      <w:tr w:rsidR="00697252" w:rsidRPr="004E6CFC" w:rsidTr="00045289">
        <w:trPr>
          <w:trHeight w:val="255"/>
        </w:trPr>
        <w:tc>
          <w:tcPr>
            <w:tcW w:w="732"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N4T12</w:t>
            </w:r>
          </w:p>
        </w:tc>
        <w:tc>
          <w:tcPr>
            <w:tcW w:w="6133"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tridevanado trifásico (</w:t>
            </w:r>
            <w:r>
              <w:rPr>
                <w:rFonts w:cs="Arial"/>
                <w:sz w:val="16"/>
                <w:szCs w:val="16"/>
                <w:lang w:val="es-CO" w:eastAsia="es-CO"/>
              </w:rPr>
              <w:t>OLTC</w:t>
            </w:r>
            <w:r w:rsidRPr="004E6CFC">
              <w:rPr>
                <w:rFonts w:cs="Arial"/>
                <w:sz w:val="16"/>
                <w:szCs w:val="16"/>
                <w:lang w:val="es-CO" w:eastAsia="es-CO"/>
              </w:rPr>
              <w:t xml:space="preserve">) - lado alta nivel 4 -  hasta 5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153.214.000</w:t>
            </w:r>
          </w:p>
        </w:tc>
        <w:tc>
          <w:tcPr>
            <w:tcW w:w="11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107.134.000</w:t>
            </w:r>
          </w:p>
        </w:tc>
      </w:tr>
      <w:tr w:rsidR="00697252" w:rsidRPr="004E6CFC" w:rsidTr="00045289">
        <w:trPr>
          <w:trHeight w:val="255"/>
        </w:trPr>
        <w:tc>
          <w:tcPr>
            <w:tcW w:w="732"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N4T13</w:t>
            </w:r>
          </w:p>
        </w:tc>
        <w:tc>
          <w:tcPr>
            <w:tcW w:w="6133"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tridevanado trifásico (</w:t>
            </w:r>
            <w:r>
              <w:rPr>
                <w:rFonts w:cs="Arial"/>
                <w:sz w:val="16"/>
                <w:szCs w:val="16"/>
                <w:lang w:val="es-CO" w:eastAsia="es-CO"/>
              </w:rPr>
              <w:t>OLTC</w:t>
            </w:r>
            <w:r w:rsidRPr="004E6CFC">
              <w:rPr>
                <w:rFonts w:cs="Arial"/>
                <w:sz w:val="16"/>
                <w:szCs w:val="16"/>
                <w:lang w:val="es-CO" w:eastAsia="es-CO"/>
              </w:rPr>
              <w:t xml:space="preserve">) - lado alta nivel 4 -  de 6 a 10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164.096.000</w:t>
            </w:r>
          </w:p>
        </w:tc>
        <w:tc>
          <w:tcPr>
            <w:tcW w:w="11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86.212.000</w:t>
            </w:r>
          </w:p>
        </w:tc>
      </w:tr>
      <w:tr w:rsidR="00697252" w:rsidRPr="004E6CFC" w:rsidTr="00045289">
        <w:trPr>
          <w:trHeight w:val="255"/>
        </w:trPr>
        <w:tc>
          <w:tcPr>
            <w:tcW w:w="732"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N4T14</w:t>
            </w:r>
          </w:p>
        </w:tc>
        <w:tc>
          <w:tcPr>
            <w:tcW w:w="6133"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tridevanado trifásico (</w:t>
            </w:r>
            <w:r>
              <w:rPr>
                <w:rFonts w:cs="Arial"/>
                <w:sz w:val="16"/>
                <w:szCs w:val="16"/>
                <w:lang w:val="es-CO" w:eastAsia="es-CO"/>
              </w:rPr>
              <w:t>OLTC</w:t>
            </w:r>
            <w:r w:rsidRPr="004E6CFC">
              <w:rPr>
                <w:rFonts w:cs="Arial"/>
                <w:sz w:val="16"/>
                <w:szCs w:val="16"/>
                <w:lang w:val="es-CO" w:eastAsia="es-CO"/>
              </w:rPr>
              <w:t xml:space="preserve">) - lado alta nivel 4- de 11 a 20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180.004.000</w:t>
            </w:r>
          </w:p>
        </w:tc>
        <w:tc>
          <w:tcPr>
            <w:tcW w:w="11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72.187.000</w:t>
            </w:r>
          </w:p>
        </w:tc>
      </w:tr>
      <w:tr w:rsidR="00697252" w:rsidRPr="004E6CFC" w:rsidTr="00045289">
        <w:trPr>
          <w:trHeight w:val="255"/>
        </w:trPr>
        <w:tc>
          <w:tcPr>
            <w:tcW w:w="732"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N4T15</w:t>
            </w:r>
          </w:p>
        </w:tc>
        <w:tc>
          <w:tcPr>
            <w:tcW w:w="6133"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tridevanado trifásico (</w:t>
            </w:r>
            <w:r>
              <w:rPr>
                <w:rFonts w:cs="Arial"/>
                <w:sz w:val="16"/>
                <w:szCs w:val="16"/>
                <w:lang w:val="es-CO" w:eastAsia="es-CO"/>
              </w:rPr>
              <w:t>OLTC</w:t>
            </w:r>
            <w:r w:rsidRPr="004E6CFC">
              <w:rPr>
                <w:rFonts w:cs="Arial"/>
                <w:sz w:val="16"/>
                <w:szCs w:val="16"/>
                <w:lang w:val="es-CO" w:eastAsia="es-CO"/>
              </w:rPr>
              <w:t xml:space="preserve">) - lado alta nivel 4- de 21 a 30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198.017.000</w:t>
            </w:r>
          </w:p>
        </w:tc>
        <w:tc>
          <w:tcPr>
            <w:tcW w:w="11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59.343.000</w:t>
            </w:r>
          </w:p>
        </w:tc>
      </w:tr>
      <w:tr w:rsidR="00697252" w:rsidRPr="004E6CFC" w:rsidTr="00045289">
        <w:trPr>
          <w:trHeight w:val="255"/>
        </w:trPr>
        <w:tc>
          <w:tcPr>
            <w:tcW w:w="732"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N4T16</w:t>
            </w:r>
          </w:p>
        </w:tc>
        <w:tc>
          <w:tcPr>
            <w:tcW w:w="6133"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tridevanado trifásico (</w:t>
            </w:r>
            <w:r>
              <w:rPr>
                <w:rFonts w:cs="Arial"/>
                <w:sz w:val="16"/>
                <w:szCs w:val="16"/>
                <w:lang w:val="es-CO" w:eastAsia="es-CO"/>
              </w:rPr>
              <w:t>OLTC</w:t>
            </w:r>
            <w:r w:rsidRPr="004E6CFC">
              <w:rPr>
                <w:rFonts w:cs="Arial"/>
                <w:sz w:val="16"/>
                <w:szCs w:val="16"/>
                <w:lang w:val="es-CO" w:eastAsia="es-CO"/>
              </w:rPr>
              <w:t xml:space="preserve">) - lado alta nivel 4- de 31 a 40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253.892.000</w:t>
            </w:r>
          </w:p>
        </w:tc>
        <w:tc>
          <w:tcPr>
            <w:tcW w:w="11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50.807.000</w:t>
            </w:r>
          </w:p>
        </w:tc>
      </w:tr>
      <w:tr w:rsidR="00697252" w:rsidRPr="004E6CFC" w:rsidTr="00045289">
        <w:trPr>
          <w:trHeight w:val="255"/>
        </w:trPr>
        <w:tc>
          <w:tcPr>
            <w:tcW w:w="732"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N4T17</w:t>
            </w:r>
          </w:p>
        </w:tc>
        <w:tc>
          <w:tcPr>
            <w:tcW w:w="6133"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tridevanado trifásico (</w:t>
            </w:r>
            <w:r>
              <w:rPr>
                <w:rFonts w:cs="Arial"/>
                <w:sz w:val="16"/>
                <w:szCs w:val="16"/>
                <w:lang w:val="es-CO" w:eastAsia="es-CO"/>
              </w:rPr>
              <w:t>OLTC</w:t>
            </w:r>
            <w:r w:rsidRPr="004E6CFC">
              <w:rPr>
                <w:rFonts w:cs="Arial"/>
                <w:sz w:val="16"/>
                <w:szCs w:val="16"/>
                <w:lang w:val="es-CO" w:eastAsia="es-CO"/>
              </w:rPr>
              <w:t xml:space="preserve">) - lado alta nivel 4- de 41 a 50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268.073.000</w:t>
            </w:r>
          </w:p>
        </w:tc>
        <w:tc>
          <w:tcPr>
            <w:tcW w:w="11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44.404.000</w:t>
            </w:r>
          </w:p>
        </w:tc>
      </w:tr>
      <w:tr w:rsidR="00697252" w:rsidRPr="004E6CFC" w:rsidTr="00045289">
        <w:trPr>
          <w:trHeight w:val="255"/>
        </w:trPr>
        <w:tc>
          <w:tcPr>
            <w:tcW w:w="732"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N4T18</w:t>
            </w:r>
          </w:p>
        </w:tc>
        <w:tc>
          <w:tcPr>
            <w:tcW w:w="6133"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tridevanado trifásico (</w:t>
            </w:r>
            <w:r>
              <w:rPr>
                <w:rFonts w:cs="Arial"/>
                <w:sz w:val="16"/>
                <w:szCs w:val="16"/>
                <w:lang w:val="es-CO" w:eastAsia="es-CO"/>
              </w:rPr>
              <w:t>OLTC</w:t>
            </w:r>
            <w:r w:rsidRPr="004E6CFC">
              <w:rPr>
                <w:rFonts w:cs="Arial"/>
                <w:sz w:val="16"/>
                <w:szCs w:val="16"/>
                <w:lang w:val="es-CO" w:eastAsia="es-CO"/>
              </w:rPr>
              <w:t xml:space="preserve">) - lado alta nivel 4- de 51 a 60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281.030.000</w:t>
            </w:r>
          </w:p>
        </w:tc>
        <w:tc>
          <w:tcPr>
            <w:tcW w:w="11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39.278.000</w:t>
            </w:r>
          </w:p>
        </w:tc>
      </w:tr>
      <w:tr w:rsidR="00697252" w:rsidRPr="004E6CFC" w:rsidTr="00045289">
        <w:trPr>
          <w:trHeight w:val="255"/>
        </w:trPr>
        <w:tc>
          <w:tcPr>
            <w:tcW w:w="732"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N4T19</w:t>
            </w:r>
          </w:p>
        </w:tc>
        <w:tc>
          <w:tcPr>
            <w:tcW w:w="6133"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tridevanado trifásico (</w:t>
            </w:r>
            <w:r>
              <w:rPr>
                <w:rFonts w:cs="Arial"/>
                <w:sz w:val="16"/>
                <w:szCs w:val="16"/>
                <w:lang w:val="es-CO" w:eastAsia="es-CO"/>
              </w:rPr>
              <w:t>OLTC</w:t>
            </w:r>
            <w:r w:rsidRPr="004E6CFC">
              <w:rPr>
                <w:rFonts w:cs="Arial"/>
                <w:sz w:val="16"/>
                <w:szCs w:val="16"/>
                <w:lang w:val="es-CO" w:eastAsia="es-CO"/>
              </w:rPr>
              <w:t xml:space="preserve">) - alta nivel 4- mayor a  60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282.338.000</w:t>
            </w:r>
          </w:p>
        </w:tc>
        <w:tc>
          <w:tcPr>
            <w:tcW w:w="11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33.289.000</w:t>
            </w:r>
          </w:p>
        </w:tc>
      </w:tr>
      <w:tr w:rsidR="00697252" w:rsidRPr="004E6CFC" w:rsidTr="00045289">
        <w:trPr>
          <w:trHeight w:val="255"/>
        </w:trPr>
        <w:tc>
          <w:tcPr>
            <w:tcW w:w="732"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N3T1</w:t>
            </w:r>
          </w:p>
        </w:tc>
        <w:tc>
          <w:tcPr>
            <w:tcW w:w="6133"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Transformador trifásico (nltc) - lado alta nivel 3 -  de 0.5 a 2.5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96.712.000</w:t>
            </w:r>
          </w:p>
        </w:tc>
        <w:tc>
          <w:tcPr>
            <w:tcW w:w="11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53.376.000</w:t>
            </w:r>
          </w:p>
        </w:tc>
      </w:tr>
      <w:tr w:rsidR="00697252" w:rsidRPr="004E6CFC" w:rsidTr="00045289">
        <w:trPr>
          <w:trHeight w:val="255"/>
        </w:trPr>
        <w:tc>
          <w:tcPr>
            <w:tcW w:w="732"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N3T2</w:t>
            </w:r>
          </w:p>
        </w:tc>
        <w:tc>
          <w:tcPr>
            <w:tcW w:w="6133"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Transformador trifásico (nltc) - lado alta nivel 3 -  de 2.6 a 6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103.303.000</w:t>
            </w:r>
          </w:p>
        </w:tc>
        <w:tc>
          <w:tcPr>
            <w:tcW w:w="11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47.184.000</w:t>
            </w:r>
          </w:p>
        </w:tc>
      </w:tr>
      <w:tr w:rsidR="00697252" w:rsidRPr="004E6CFC" w:rsidTr="00045289">
        <w:trPr>
          <w:trHeight w:val="255"/>
        </w:trPr>
        <w:tc>
          <w:tcPr>
            <w:tcW w:w="732"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N3T3</w:t>
            </w:r>
          </w:p>
        </w:tc>
        <w:tc>
          <w:tcPr>
            <w:tcW w:w="6133"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trifásico (</w:t>
            </w:r>
            <w:r>
              <w:rPr>
                <w:rFonts w:cs="Arial"/>
                <w:sz w:val="16"/>
                <w:szCs w:val="16"/>
                <w:lang w:val="es-CO" w:eastAsia="es-CO"/>
              </w:rPr>
              <w:t>OLTC</w:t>
            </w:r>
            <w:r w:rsidRPr="004E6CFC">
              <w:rPr>
                <w:rFonts w:cs="Arial"/>
                <w:sz w:val="16"/>
                <w:szCs w:val="16"/>
                <w:lang w:val="es-CO" w:eastAsia="es-CO"/>
              </w:rPr>
              <w:t xml:space="preserve">) - lado alta nivel 3 -  de 6.1 a 10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112.806.000</w:t>
            </w:r>
          </w:p>
        </w:tc>
        <w:tc>
          <w:tcPr>
            <w:tcW w:w="11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43.497.000</w:t>
            </w:r>
          </w:p>
        </w:tc>
      </w:tr>
      <w:tr w:rsidR="00697252" w:rsidRPr="004E6CFC" w:rsidTr="00045289">
        <w:trPr>
          <w:trHeight w:val="255"/>
        </w:trPr>
        <w:tc>
          <w:tcPr>
            <w:tcW w:w="732"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N3T4</w:t>
            </w:r>
          </w:p>
        </w:tc>
        <w:tc>
          <w:tcPr>
            <w:tcW w:w="6133"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trifásico (</w:t>
            </w:r>
            <w:r>
              <w:rPr>
                <w:rFonts w:cs="Arial"/>
                <w:sz w:val="16"/>
                <w:szCs w:val="16"/>
                <w:lang w:val="es-CO" w:eastAsia="es-CO"/>
              </w:rPr>
              <w:t>OLTC</w:t>
            </w:r>
            <w:r w:rsidRPr="004E6CFC">
              <w:rPr>
                <w:rFonts w:cs="Arial"/>
                <w:sz w:val="16"/>
                <w:szCs w:val="16"/>
                <w:lang w:val="es-CO" w:eastAsia="es-CO"/>
              </w:rPr>
              <w:t xml:space="preserve">) - lado alta nivel 3 -  de 11 a 15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126.108.000</w:t>
            </w:r>
          </w:p>
        </w:tc>
        <w:tc>
          <w:tcPr>
            <w:tcW w:w="11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40.679.000</w:t>
            </w:r>
          </w:p>
        </w:tc>
      </w:tr>
      <w:tr w:rsidR="00697252" w:rsidRPr="004E6CFC" w:rsidTr="00045289">
        <w:trPr>
          <w:trHeight w:val="255"/>
        </w:trPr>
        <w:tc>
          <w:tcPr>
            <w:tcW w:w="732"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N3T5</w:t>
            </w:r>
          </w:p>
        </w:tc>
        <w:tc>
          <w:tcPr>
            <w:tcW w:w="6133"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trifásico (</w:t>
            </w:r>
            <w:r>
              <w:rPr>
                <w:rFonts w:cs="Arial"/>
                <w:sz w:val="16"/>
                <w:szCs w:val="16"/>
                <w:lang w:val="es-CO" w:eastAsia="es-CO"/>
              </w:rPr>
              <w:t>OLTC</w:t>
            </w:r>
            <w:r w:rsidRPr="004E6CFC">
              <w:rPr>
                <w:rFonts w:cs="Arial"/>
                <w:sz w:val="16"/>
                <w:szCs w:val="16"/>
                <w:lang w:val="es-CO" w:eastAsia="es-CO"/>
              </w:rPr>
              <w:t xml:space="preserve">) - lado alta nivel 3 -  de 16 a 20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138.748.000</w:t>
            </w:r>
          </w:p>
        </w:tc>
        <w:tc>
          <w:tcPr>
            <w:tcW w:w="11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38.765.000</w:t>
            </w:r>
          </w:p>
        </w:tc>
      </w:tr>
      <w:tr w:rsidR="00697252" w:rsidRPr="004E6CFC" w:rsidTr="00045289">
        <w:trPr>
          <w:trHeight w:val="255"/>
        </w:trPr>
        <w:tc>
          <w:tcPr>
            <w:tcW w:w="732"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N3T6</w:t>
            </w:r>
          </w:p>
        </w:tc>
        <w:tc>
          <w:tcPr>
            <w:tcW w:w="6133"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trifásico (</w:t>
            </w:r>
            <w:r>
              <w:rPr>
                <w:rFonts w:cs="Arial"/>
                <w:sz w:val="16"/>
                <w:szCs w:val="16"/>
                <w:lang w:val="es-CO" w:eastAsia="es-CO"/>
              </w:rPr>
              <w:t>OLTC</w:t>
            </w:r>
            <w:r w:rsidRPr="004E6CFC">
              <w:rPr>
                <w:rFonts w:cs="Arial"/>
                <w:sz w:val="16"/>
                <w:szCs w:val="16"/>
                <w:lang w:val="es-CO" w:eastAsia="es-CO"/>
              </w:rPr>
              <w:t xml:space="preserve">) - lado alta nivel 3 -  de 21 a 30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157.082.000</w:t>
            </w:r>
          </w:p>
        </w:tc>
        <w:tc>
          <w:tcPr>
            <w:tcW w:w="11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36.717.000</w:t>
            </w:r>
          </w:p>
        </w:tc>
      </w:tr>
      <w:tr w:rsidR="00697252" w:rsidRPr="004E6CFC" w:rsidTr="00045289">
        <w:trPr>
          <w:trHeight w:val="255"/>
        </w:trPr>
        <w:tc>
          <w:tcPr>
            <w:tcW w:w="732"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N3T7</w:t>
            </w:r>
          </w:p>
        </w:tc>
        <w:tc>
          <w:tcPr>
            <w:tcW w:w="6133"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trifásico (</w:t>
            </w:r>
            <w:r>
              <w:rPr>
                <w:rFonts w:cs="Arial"/>
                <w:sz w:val="16"/>
                <w:szCs w:val="16"/>
                <w:lang w:val="es-CO" w:eastAsia="es-CO"/>
              </w:rPr>
              <w:t>OLTC</w:t>
            </w:r>
            <w:r w:rsidRPr="004E6CFC">
              <w:rPr>
                <w:rFonts w:cs="Arial"/>
                <w:sz w:val="16"/>
                <w:szCs w:val="16"/>
                <w:lang w:val="es-CO" w:eastAsia="es-CO"/>
              </w:rPr>
              <w:t xml:space="preserve">) - lado alta nivel 3 -  mayor a 31 </w:t>
            </w:r>
            <w:r>
              <w:rPr>
                <w:rFonts w:cs="Arial"/>
                <w:sz w:val="16"/>
                <w:szCs w:val="16"/>
                <w:lang w:val="es-CO" w:eastAsia="es-CO"/>
              </w:rPr>
              <w:t>MVA</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208.869.000</w:t>
            </w:r>
          </w:p>
        </w:tc>
        <w:tc>
          <w:tcPr>
            <w:tcW w:w="11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34.070.000</w:t>
            </w:r>
          </w:p>
        </w:tc>
      </w:tr>
    </w:tbl>
    <w:p w:rsidR="00697252" w:rsidRPr="004E6CFC" w:rsidRDefault="00697252" w:rsidP="00697252">
      <w:pPr>
        <w:pStyle w:val="Descripcin"/>
        <w:rPr>
          <w:sz w:val="18"/>
          <w:szCs w:val="18"/>
        </w:rPr>
      </w:pPr>
      <w:r w:rsidRPr="004E6CFC">
        <w:t xml:space="preserve">Tabla </w:t>
      </w:r>
      <w:r w:rsidRPr="004E6CFC">
        <w:fldChar w:fldCharType="begin"/>
      </w:r>
      <w:r w:rsidRPr="004E6CFC">
        <w:instrText xml:space="preserve"> SEQ Tabla \* ARABIC </w:instrText>
      </w:r>
      <w:r w:rsidRPr="004E6CFC">
        <w:fldChar w:fldCharType="separate"/>
      </w:r>
      <w:r w:rsidR="00737178">
        <w:rPr>
          <w:noProof/>
        </w:rPr>
        <w:t>53</w:t>
      </w:r>
      <w:r w:rsidRPr="004E6CFC">
        <w:fldChar w:fldCharType="end"/>
      </w:r>
      <w:r w:rsidRPr="004E6CFC">
        <w:t xml:space="preserve"> UC de equipos de compensación</w:t>
      </w:r>
    </w:p>
    <w:tbl>
      <w:tblPr>
        <w:tblW w:w="9524" w:type="dxa"/>
        <w:tblInd w:w="-72" w:type="dxa"/>
        <w:tblLayout w:type="fixed"/>
        <w:tblCellMar>
          <w:left w:w="70" w:type="dxa"/>
          <w:right w:w="70" w:type="dxa"/>
        </w:tblCellMar>
        <w:tblLook w:val="04A0" w:firstRow="1" w:lastRow="0" w:firstColumn="1" w:lastColumn="0" w:noHBand="0" w:noVBand="1"/>
      </w:tblPr>
      <w:tblGrid>
        <w:gridCol w:w="737"/>
        <w:gridCol w:w="6236"/>
        <w:gridCol w:w="1417"/>
        <w:gridCol w:w="1134"/>
      </w:tblGrid>
      <w:tr w:rsidR="00697252" w:rsidRPr="004E6CFC" w:rsidTr="00045289">
        <w:trPr>
          <w:trHeight w:val="790"/>
          <w:tblHeader/>
        </w:trPr>
        <w:tc>
          <w:tcPr>
            <w:tcW w:w="73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8"/>
                <w:szCs w:val="12"/>
                <w:lang w:val="es-CO" w:eastAsia="es-CO"/>
              </w:rPr>
            </w:pPr>
            <w:r w:rsidRPr="004E6CFC">
              <w:rPr>
                <w:rFonts w:cs="Arial"/>
                <w:sz w:val="18"/>
                <w:szCs w:val="12"/>
                <w:lang w:val="es-CO" w:eastAsia="es-CO"/>
              </w:rPr>
              <w:t>UC</w:t>
            </w:r>
          </w:p>
        </w:tc>
        <w:tc>
          <w:tcPr>
            <w:tcW w:w="6236" w:type="dxa"/>
            <w:tcBorders>
              <w:top w:val="single" w:sz="4" w:space="0" w:color="auto"/>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8"/>
                <w:szCs w:val="12"/>
                <w:lang w:val="es-CO" w:eastAsia="es-CO"/>
              </w:rPr>
            </w:pPr>
            <w:r w:rsidRPr="004E6CFC">
              <w:rPr>
                <w:rFonts w:cs="Arial"/>
                <w:sz w:val="18"/>
                <w:szCs w:val="12"/>
                <w:lang w:val="es-CO" w:eastAsia="es-CO"/>
              </w:rPr>
              <w:t>DESCRIPCIÓN UNIDAD CONSTRUCTIVA</w:t>
            </w:r>
          </w:p>
        </w:tc>
        <w:tc>
          <w:tcPr>
            <w:tcW w:w="1417"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2"/>
                <w:lang w:val="es-CO" w:eastAsia="es-CO"/>
              </w:rPr>
            </w:pPr>
            <w:r w:rsidRPr="004E6CFC">
              <w:rPr>
                <w:rFonts w:cs="Arial"/>
                <w:sz w:val="18"/>
                <w:szCs w:val="12"/>
                <w:lang w:val="es-CO" w:eastAsia="es-CO"/>
              </w:rPr>
              <w:t>COSTO DE INSTALACIÓN  [$ Dic 2007]</w:t>
            </w:r>
          </w:p>
        </w:tc>
        <w:tc>
          <w:tcPr>
            <w:tcW w:w="1134"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2"/>
                <w:lang w:val="es-CO" w:eastAsia="es-CO"/>
              </w:rPr>
            </w:pPr>
            <w:r w:rsidRPr="004E6CFC">
              <w:rPr>
                <w:rFonts w:cs="Arial"/>
                <w:sz w:val="18"/>
                <w:szCs w:val="12"/>
                <w:lang w:val="es-CO" w:eastAsia="es-CO"/>
              </w:rPr>
              <w:t>VALOR UNITARIO [$/kVAr Dic 2007]</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N4CR1</w:t>
            </w:r>
          </w:p>
        </w:tc>
        <w:tc>
          <w:tcPr>
            <w:tcW w:w="62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 xml:space="preserve">Compensación reactiva - </w:t>
            </w:r>
            <w:r w:rsidR="00A95F4F" w:rsidRPr="004E6CFC">
              <w:rPr>
                <w:rFonts w:cs="Arial"/>
                <w:color w:val="000000"/>
                <w:sz w:val="16"/>
                <w:szCs w:val="16"/>
                <w:lang w:val="es-CO" w:eastAsia="es-CO"/>
              </w:rPr>
              <w:t>capacidad</w:t>
            </w:r>
            <w:r w:rsidRPr="004E6CFC">
              <w:rPr>
                <w:rFonts w:cs="Arial"/>
                <w:color w:val="000000"/>
                <w:sz w:val="16"/>
                <w:szCs w:val="16"/>
                <w:lang w:val="es-CO" w:eastAsia="es-CO"/>
              </w:rPr>
              <w:t xml:space="preserve"> final mayor de 3 a 6 </w:t>
            </w:r>
            <w:r>
              <w:rPr>
                <w:rFonts w:cs="Arial"/>
                <w:color w:val="000000"/>
                <w:sz w:val="16"/>
                <w:szCs w:val="16"/>
                <w:lang w:val="es-CO" w:eastAsia="es-CO"/>
              </w:rPr>
              <w:t>MVAr</w:t>
            </w:r>
            <w:r w:rsidRPr="004E6CFC">
              <w:rPr>
                <w:rFonts w:cs="Arial"/>
                <w:color w:val="000000"/>
                <w:sz w:val="16"/>
                <w:szCs w:val="16"/>
                <w:lang w:val="es-CO" w:eastAsia="es-CO"/>
              </w:rPr>
              <w:t xml:space="preserve"> - nivel 4</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color w:val="000000"/>
                <w:sz w:val="16"/>
                <w:szCs w:val="16"/>
                <w:lang w:val="es-CO" w:eastAsia="es-CO"/>
              </w:rPr>
            </w:pPr>
            <w:r w:rsidRPr="004E6CFC">
              <w:rPr>
                <w:rFonts w:cs="Arial"/>
                <w:color w:val="000000"/>
                <w:sz w:val="16"/>
                <w:szCs w:val="16"/>
                <w:lang w:val="es-CO" w:eastAsia="es-CO"/>
              </w:rPr>
              <w:t>31.883.000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16.740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N4CR2</w:t>
            </w:r>
          </w:p>
        </w:tc>
        <w:tc>
          <w:tcPr>
            <w:tcW w:w="62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 xml:space="preserve">Compensación reactiva - </w:t>
            </w:r>
            <w:r w:rsidR="00A95F4F" w:rsidRPr="004E6CFC">
              <w:rPr>
                <w:rFonts w:cs="Arial"/>
                <w:color w:val="000000"/>
                <w:sz w:val="16"/>
                <w:szCs w:val="16"/>
                <w:lang w:val="es-CO" w:eastAsia="es-CO"/>
              </w:rPr>
              <w:t>capacidad</w:t>
            </w:r>
            <w:r w:rsidRPr="004E6CFC">
              <w:rPr>
                <w:rFonts w:cs="Arial"/>
                <w:color w:val="000000"/>
                <w:sz w:val="16"/>
                <w:szCs w:val="16"/>
                <w:lang w:val="es-CO" w:eastAsia="es-CO"/>
              </w:rPr>
              <w:t xml:space="preserve"> final mayor de 6 a 12 </w:t>
            </w:r>
            <w:r>
              <w:rPr>
                <w:rFonts w:cs="Arial"/>
                <w:color w:val="000000"/>
                <w:sz w:val="16"/>
                <w:szCs w:val="16"/>
                <w:lang w:val="es-CO" w:eastAsia="es-CO"/>
              </w:rPr>
              <w:t>MVAr</w:t>
            </w:r>
            <w:r w:rsidRPr="004E6CFC">
              <w:rPr>
                <w:rFonts w:cs="Arial"/>
                <w:color w:val="000000"/>
                <w:sz w:val="16"/>
                <w:szCs w:val="16"/>
                <w:lang w:val="es-CO" w:eastAsia="es-CO"/>
              </w:rPr>
              <w:t xml:space="preserve"> - nivel 4</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color w:val="000000"/>
                <w:sz w:val="16"/>
                <w:szCs w:val="16"/>
                <w:lang w:val="es-CO" w:eastAsia="es-CO"/>
              </w:rPr>
            </w:pPr>
            <w:r w:rsidRPr="004E6CFC">
              <w:rPr>
                <w:rFonts w:cs="Arial"/>
                <w:color w:val="000000"/>
                <w:sz w:val="16"/>
                <w:szCs w:val="16"/>
                <w:lang w:val="es-CO" w:eastAsia="es-CO"/>
              </w:rPr>
              <w:t>36.038.000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14.820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N4CR3</w:t>
            </w:r>
          </w:p>
        </w:tc>
        <w:tc>
          <w:tcPr>
            <w:tcW w:w="62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 xml:space="preserve">Compensación reactiva - </w:t>
            </w:r>
            <w:r w:rsidR="00A95F4F" w:rsidRPr="004E6CFC">
              <w:rPr>
                <w:rFonts w:cs="Arial"/>
                <w:color w:val="000000"/>
                <w:sz w:val="16"/>
                <w:szCs w:val="16"/>
                <w:lang w:val="es-CO" w:eastAsia="es-CO"/>
              </w:rPr>
              <w:t>capacidad</w:t>
            </w:r>
            <w:r w:rsidRPr="004E6CFC">
              <w:rPr>
                <w:rFonts w:cs="Arial"/>
                <w:color w:val="000000"/>
                <w:sz w:val="16"/>
                <w:szCs w:val="16"/>
                <w:lang w:val="es-CO" w:eastAsia="es-CO"/>
              </w:rPr>
              <w:t xml:space="preserve"> final mayor de 12 a 18 </w:t>
            </w:r>
            <w:r>
              <w:rPr>
                <w:rFonts w:cs="Arial"/>
                <w:color w:val="000000"/>
                <w:sz w:val="16"/>
                <w:szCs w:val="16"/>
                <w:lang w:val="es-CO" w:eastAsia="es-CO"/>
              </w:rPr>
              <w:t>MVAr</w:t>
            </w:r>
            <w:r w:rsidRPr="004E6CFC">
              <w:rPr>
                <w:rFonts w:cs="Arial"/>
                <w:color w:val="000000"/>
                <w:sz w:val="16"/>
                <w:szCs w:val="16"/>
                <w:lang w:val="es-CO" w:eastAsia="es-CO"/>
              </w:rPr>
              <w:t xml:space="preserve"> - nivel 4</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color w:val="000000"/>
                <w:sz w:val="16"/>
                <w:szCs w:val="16"/>
                <w:lang w:val="es-CO" w:eastAsia="es-CO"/>
              </w:rPr>
            </w:pPr>
            <w:r w:rsidRPr="004E6CFC">
              <w:rPr>
                <w:rFonts w:cs="Arial"/>
                <w:color w:val="000000"/>
                <w:sz w:val="16"/>
                <w:szCs w:val="16"/>
                <w:lang w:val="es-CO" w:eastAsia="es-CO"/>
              </w:rPr>
              <w:t>42.492.000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13.550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lastRenderedPageBreak/>
              <w:t>N4CR4</w:t>
            </w:r>
          </w:p>
        </w:tc>
        <w:tc>
          <w:tcPr>
            <w:tcW w:w="62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 xml:space="preserve">Compensación reactiva - </w:t>
            </w:r>
            <w:r w:rsidR="00A95F4F" w:rsidRPr="004E6CFC">
              <w:rPr>
                <w:rFonts w:cs="Arial"/>
                <w:color w:val="000000"/>
                <w:sz w:val="16"/>
                <w:szCs w:val="16"/>
                <w:lang w:val="es-CO" w:eastAsia="es-CO"/>
              </w:rPr>
              <w:t>capacidad</w:t>
            </w:r>
            <w:r w:rsidRPr="004E6CFC">
              <w:rPr>
                <w:rFonts w:cs="Arial"/>
                <w:color w:val="000000"/>
                <w:sz w:val="16"/>
                <w:szCs w:val="16"/>
                <w:lang w:val="es-CO" w:eastAsia="es-CO"/>
              </w:rPr>
              <w:t xml:space="preserve"> final mayor de 18 a 54 </w:t>
            </w:r>
            <w:r>
              <w:rPr>
                <w:rFonts w:cs="Arial"/>
                <w:color w:val="000000"/>
                <w:sz w:val="16"/>
                <w:szCs w:val="16"/>
                <w:lang w:val="es-CO" w:eastAsia="es-CO"/>
              </w:rPr>
              <w:t>MVAr</w:t>
            </w:r>
            <w:r w:rsidRPr="004E6CFC">
              <w:rPr>
                <w:rFonts w:cs="Arial"/>
                <w:color w:val="000000"/>
                <w:sz w:val="16"/>
                <w:szCs w:val="16"/>
                <w:lang w:val="es-CO" w:eastAsia="es-CO"/>
              </w:rPr>
              <w:t xml:space="preserve"> - nivel 4</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color w:val="000000"/>
                <w:sz w:val="16"/>
                <w:szCs w:val="16"/>
                <w:lang w:val="es-CO" w:eastAsia="es-CO"/>
              </w:rPr>
            </w:pPr>
            <w:r w:rsidRPr="004E6CFC">
              <w:rPr>
                <w:rFonts w:cs="Arial"/>
                <w:color w:val="000000"/>
                <w:sz w:val="16"/>
                <w:szCs w:val="16"/>
                <w:lang w:val="es-CO" w:eastAsia="es-CO"/>
              </w:rPr>
              <w:t>73.560.000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13.130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N4CR5</w:t>
            </w:r>
          </w:p>
        </w:tc>
        <w:tc>
          <w:tcPr>
            <w:tcW w:w="62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 xml:space="preserve">Compensación reactiva - </w:t>
            </w:r>
            <w:r w:rsidR="00A95F4F" w:rsidRPr="004E6CFC">
              <w:rPr>
                <w:rFonts w:cs="Arial"/>
                <w:color w:val="000000"/>
                <w:sz w:val="16"/>
                <w:szCs w:val="16"/>
                <w:lang w:val="es-CO" w:eastAsia="es-CO"/>
              </w:rPr>
              <w:t>capacidad</w:t>
            </w:r>
            <w:r w:rsidRPr="004E6CFC">
              <w:rPr>
                <w:rFonts w:cs="Arial"/>
                <w:color w:val="000000"/>
                <w:sz w:val="16"/>
                <w:szCs w:val="16"/>
                <w:lang w:val="es-CO" w:eastAsia="es-CO"/>
              </w:rPr>
              <w:t xml:space="preserve"> final mayor de 54 a 90 </w:t>
            </w:r>
            <w:r>
              <w:rPr>
                <w:rFonts w:cs="Arial"/>
                <w:color w:val="000000"/>
                <w:sz w:val="16"/>
                <w:szCs w:val="16"/>
                <w:lang w:val="es-CO" w:eastAsia="es-CO"/>
              </w:rPr>
              <w:t>MVAr</w:t>
            </w:r>
            <w:r w:rsidRPr="004E6CFC">
              <w:rPr>
                <w:rFonts w:cs="Arial"/>
                <w:color w:val="000000"/>
                <w:sz w:val="16"/>
                <w:szCs w:val="16"/>
                <w:lang w:val="es-CO" w:eastAsia="es-CO"/>
              </w:rPr>
              <w:t xml:space="preserve"> - nivel 4</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color w:val="000000"/>
                <w:sz w:val="16"/>
                <w:szCs w:val="16"/>
                <w:lang w:val="es-CO" w:eastAsia="es-CO"/>
              </w:rPr>
            </w:pPr>
            <w:r w:rsidRPr="004E6CFC">
              <w:rPr>
                <w:rFonts w:cs="Arial"/>
                <w:color w:val="000000"/>
                <w:sz w:val="16"/>
                <w:szCs w:val="16"/>
                <w:lang w:val="es-CO" w:eastAsia="es-CO"/>
              </w:rPr>
              <w:t>130.401.000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13.130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N3CR1</w:t>
            </w:r>
          </w:p>
        </w:tc>
        <w:tc>
          <w:tcPr>
            <w:tcW w:w="62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 xml:space="preserve">Compensación reactiva - </w:t>
            </w:r>
            <w:r w:rsidR="00A95F4F" w:rsidRPr="004E6CFC">
              <w:rPr>
                <w:rFonts w:cs="Arial"/>
                <w:color w:val="000000"/>
                <w:sz w:val="16"/>
                <w:szCs w:val="16"/>
                <w:lang w:val="es-CO" w:eastAsia="es-CO"/>
              </w:rPr>
              <w:t>capacidad</w:t>
            </w:r>
            <w:r w:rsidRPr="004E6CFC">
              <w:rPr>
                <w:rFonts w:cs="Arial"/>
                <w:color w:val="000000"/>
                <w:sz w:val="16"/>
                <w:szCs w:val="16"/>
                <w:lang w:val="es-CO" w:eastAsia="es-CO"/>
              </w:rPr>
              <w:t xml:space="preserve"> final mayor de 1,2 a 2,4 </w:t>
            </w:r>
            <w:r>
              <w:rPr>
                <w:rFonts w:cs="Arial"/>
                <w:color w:val="000000"/>
                <w:sz w:val="16"/>
                <w:szCs w:val="16"/>
                <w:lang w:val="es-CO" w:eastAsia="es-CO"/>
              </w:rPr>
              <w:t>MVAr</w:t>
            </w:r>
            <w:r w:rsidRPr="004E6CFC">
              <w:rPr>
                <w:rFonts w:cs="Arial"/>
                <w:color w:val="000000"/>
                <w:sz w:val="16"/>
                <w:szCs w:val="16"/>
                <w:lang w:val="es-CO" w:eastAsia="es-CO"/>
              </w:rPr>
              <w:t xml:space="preserve"> - nivel 3</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color w:val="000000"/>
                <w:sz w:val="16"/>
                <w:szCs w:val="16"/>
                <w:lang w:val="es-CO" w:eastAsia="es-CO"/>
              </w:rPr>
            </w:pPr>
            <w:r w:rsidRPr="004E6CFC">
              <w:rPr>
                <w:rFonts w:cs="Arial"/>
                <w:color w:val="000000"/>
                <w:sz w:val="16"/>
                <w:szCs w:val="16"/>
                <w:lang w:val="es-CO" w:eastAsia="es-CO"/>
              </w:rPr>
              <w:t>21.112.000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20.740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N3CR2</w:t>
            </w:r>
          </w:p>
        </w:tc>
        <w:tc>
          <w:tcPr>
            <w:tcW w:w="62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 xml:space="preserve">Compensación reactiva - </w:t>
            </w:r>
            <w:r w:rsidR="00A95F4F" w:rsidRPr="004E6CFC">
              <w:rPr>
                <w:rFonts w:cs="Arial"/>
                <w:color w:val="000000"/>
                <w:sz w:val="16"/>
                <w:szCs w:val="16"/>
                <w:lang w:val="es-CO" w:eastAsia="es-CO"/>
              </w:rPr>
              <w:t>capacidad</w:t>
            </w:r>
            <w:r w:rsidRPr="004E6CFC">
              <w:rPr>
                <w:rFonts w:cs="Arial"/>
                <w:color w:val="000000"/>
                <w:sz w:val="16"/>
                <w:szCs w:val="16"/>
                <w:lang w:val="es-CO" w:eastAsia="es-CO"/>
              </w:rPr>
              <w:t xml:space="preserve"> final mayor de 2,4 a 5,4 </w:t>
            </w:r>
            <w:r>
              <w:rPr>
                <w:rFonts w:cs="Arial"/>
                <w:color w:val="000000"/>
                <w:sz w:val="16"/>
                <w:szCs w:val="16"/>
                <w:lang w:val="es-CO" w:eastAsia="es-CO"/>
              </w:rPr>
              <w:t>MVAr</w:t>
            </w:r>
            <w:r w:rsidRPr="004E6CFC">
              <w:rPr>
                <w:rFonts w:cs="Arial"/>
                <w:color w:val="000000"/>
                <w:sz w:val="16"/>
                <w:szCs w:val="16"/>
                <w:lang w:val="es-CO" w:eastAsia="es-CO"/>
              </w:rPr>
              <w:t xml:space="preserve"> - nivel 3</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color w:val="000000"/>
                <w:sz w:val="16"/>
                <w:szCs w:val="16"/>
                <w:lang w:val="es-CO" w:eastAsia="es-CO"/>
              </w:rPr>
            </w:pPr>
            <w:r w:rsidRPr="004E6CFC">
              <w:rPr>
                <w:rFonts w:cs="Arial"/>
                <w:color w:val="000000"/>
                <w:sz w:val="16"/>
                <w:szCs w:val="16"/>
                <w:lang w:val="es-CO" w:eastAsia="es-CO"/>
              </w:rPr>
              <w:t>22.833.000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17.980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N3CR3</w:t>
            </w:r>
          </w:p>
        </w:tc>
        <w:tc>
          <w:tcPr>
            <w:tcW w:w="62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 xml:space="preserve">Compensación reactiva - </w:t>
            </w:r>
            <w:r w:rsidR="00A95F4F" w:rsidRPr="004E6CFC">
              <w:rPr>
                <w:rFonts w:cs="Arial"/>
                <w:color w:val="000000"/>
                <w:sz w:val="16"/>
                <w:szCs w:val="16"/>
                <w:lang w:val="es-CO" w:eastAsia="es-CO"/>
              </w:rPr>
              <w:t>capacidad</w:t>
            </w:r>
            <w:r w:rsidRPr="004E6CFC">
              <w:rPr>
                <w:rFonts w:cs="Arial"/>
                <w:color w:val="000000"/>
                <w:sz w:val="16"/>
                <w:szCs w:val="16"/>
                <w:lang w:val="es-CO" w:eastAsia="es-CO"/>
              </w:rPr>
              <w:t xml:space="preserve"> final mayor de ,4 a 14,4 </w:t>
            </w:r>
            <w:r>
              <w:rPr>
                <w:rFonts w:cs="Arial"/>
                <w:color w:val="000000"/>
                <w:sz w:val="16"/>
                <w:szCs w:val="16"/>
                <w:lang w:val="es-CO" w:eastAsia="es-CO"/>
              </w:rPr>
              <w:t>MVAr</w:t>
            </w:r>
            <w:r w:rsidRPr="004E6CFC">
              <w:rPr>
                <w:rFonts w:cs="Arial"/>
                <w:color w:val="000000"/>
                <w:sz w:val="16"/>
                <w:szCs w:val="16"/>
                <w:lang w:val="es-CO" w:eastAsia="es-CO"/>
              </w:rPr>
              <w:t xml:space="preserve"> - nivel 3</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color w:val="000000"/>
                <w:sz w:val="16"/>
                <w:szCs w:val="16"/>
                <w:lang w:val="es-CO" w:eastAsia="es-CO"/>
              </w:rPr>
            </w:pPr>
            <w:r w:rsidRPr="004E6CFC">
              <w:rPr>
                <w:rFonts w:cs="Arial"/>
                <w:color w:val="000000"/>
                <w:sz w:val="16"/>
                <w:szCs w:val="16"/>
                <w:lang w:val="es-CO" w:eastAsia="es-CO"/>
              </w:rPr>
              <w:t>26.589.000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15.920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N3CR4</w:t>
            </w:r>
          </w:p>
        </w:tc>
        <w:tc>
          <w:tcPr>
            <w:tcW w:w="62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 xml:space="preserve">Compensación reactiva - </w:t>
            </w:r>
            <w:r w:rsidR="00A95F4F" w:rsidRPr="004E6CFC">
              <w:rPr>
                <w:rFonts w:cs="Arial"/>
                <w:color w:val="000000"/>
                <w:sz w:val="16"/>
                <w:szCs w:val="16"/>
                <w:lang w:val="es-CO" w:eastAsia="es-CO"/>
              </w:rPr>
              <w:t>capacidad</w:t>
            </w:r>
            <w:r w:rsidRPr="004E6CFC">
              <w:rPr>
                <w:rFonts w:cs="Arial"/>
                <w:color w:val="000000"/>
                <w:sz w:val="16"/>
                <w:szCs w:val="16"/>
                <w:lang w:val="es-CO" w:eastAsia="es-CO"/>
              </w:rPr>
              <w:t xml:space="preserve"> final mayor de 14,4 a 28,8 </w:t>
            </w:r>
            <w:r>
              <w:rPr>
                <w:rFonts w:cs="Arial"/>
                <w:color w:val="000000"/>
                <w:sz w:val="16"/>
                <w:szCs w:val="16"/>
                <w:lang w:val="es-CO" w:eastAsia="es-CO"/>
              </w:rPr>
              <w:t>MVAr</w:t>
            </w:r>
            <w:r w:rsidRPr="004E6CFC">
              <w:rPr>
                <w:rFonts w:cs="Arial"/>
                <w:color w:val="000000"/>
                <w:sz w:val="16"/>
                <w:szCs w:val="16"/>
                <w:lang w:val="es-CO" w:eastAsia="es-CO"/>
              </w:rPr>
              <w:t xml:space="preserve"> - nivel 3</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color w:val="000000"/>
                <w:sz w:val="16"/>
                <w:szCs w:val="16"/>
                <w:lang w:val="es-CO" w:eastAsia="es-CO"/>
              </w:rPr>
            </w:pPr>
            <w:r w:rsidRPr="004E6CFC">
              <w:rPr>
                <w:rFonts w:cs="Arial"/>
                <w:color w:val="000000"/>
                <w:sz w:val="16"/>
                <w:szCs w:val="16"/>
                <w:lang w:val="es-CO" w:eastAsia="es-CO"/>
              </w:rPr>
              <w:t>48.879.000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15.920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N3CR5</w:t>
            </w:r>
          </w:p>
        </w:tc>
        <w:tc>
          <w:tcPr>
            <w:tcW w:w="62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 xml:space="preserve">Compensación reactiva - </w:t>
            </w:r>
            <w:r w:rsidR="00A95F4F" w:rsidRPr="004E6CFC">
              <w:rPr>
                <w:rFonts w:cs="Arial"/>
                <w:color w:val="000000"/>
                <w:sz w:val="16"/>
                <w:szCs w:val="16"/>
                <w:lang w:val="es-CO" w:eastAsia="es-CO"/>
              </w:rPr>
              <w:t>capacidad</w:t>
            </w:r>
            <w:r w:rsidRPr="004E6CFC">
              <w:rPr>
                <w:rFonts w:cs="Arial"/>
                <w:color w:val="000000"/>
                <w:sz w:val="16"/>
                <w:szCs w:val="16"/>
                <w:lang w:val="es-CO" w:eastAsia="es-CO"/>
              </w:rPr>
              <w:t xml:space="preserve"> final mayor de 28,8 a 43,2 </w:t>
            </w:r>
            <w:r>
              <w:rPr>
                <w:rFonts w:cs="Arial"/>
                <w:color w:val="000000"/>
                <w:sz w:val="16"/>
                <w:szCs w:val="16"/>
                <w:lang w:val="es-CO" w:eastAsia="es-CO"/>
              </w:rPr>
              <w:t>MVAr</w:t>
            </w:r>
            <w:r w:rsidRPr="004E6CFC">
              <w:rPr>
                <w:rFonts w:cs="Arial"/>
                <w:color w:val="000000"/>
                <w:sz w:val="16"/>
                <w:szCs w:val="16"/>
                <w:lang w:val="es-CO" w:eastAsia="es-CO"/>
              </w:rPr>
              <w:t xml:space="preserve"> - nivel 3</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color w:val="000000"/>
                <w:sz w:val="16"/>
                <w:szCs w:val="16"/>
                <w:lang w:val="es-CO" w:eastAsia="es-CO"/>
              </w:rPr>
            </w:pPr>
            <w:r w:rsidRPr="004E6CFC">
              <w:rPr>
                <w:rFonts w:cs="Arial"/>
                <w:color w:val="000000"/>
                <w:sz w:val="16"/>
                <w:szCs w:val="16"/>
                <w:lang w:val="es-CO" w:eastAsia="es-CO"/>
              </w:rPr>
              <w:t>71.680.000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15.920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N2CR1</w:t>
            </w:r>
          </w:p>
        </w:tc>
        <w:tc>
          <w:tcPr>
            <w:tcW w:w="62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 xml:space="preserve">Compensación reactiva - </w:t>
            </w:r>
            <w:r w:rsidR="00A95F4F" w:rsidRPr="004E6CFC">
              <w:rPr>
                <w:rFonts w:cs="Arial"/>
                <w:color w:val="000000"/>
                <w:sz w:val="16"/>
                <w:szCs w:val="16"/>
                <w:lang w:val="es-CO" w:eastAsia="es-CO"/>
              </w:rPr>
              <w:t>capacidad</w:t>
            </w:r>
            <w:r w:rsidRPr="004E6CFC">
              <w:rPr>
                <w:rFonts w:cs="Arial"/>
                <w:color w:val="000000"/>
                <w:sz w:val="16"/>
                <w:szCs w:val="16"/>
                <w:lang w:val="es-CO" w:eastAsia="es-CO"/>
              </w:rPr>
              <w:t xml:space="preserve"> final mayor de 90 a 180 </w:t>
            </w:r>
            <w:r>
              <w:rPr>
                <w:rFonts w:cs="Arial"/>
                <w:color w:val="000000"/>
                <w:sz w:val="16"/>
                <w:szCs w:val="16"/>
                <w:lang w:val="es-CO" w:eastAsia="es-CO"/>
              </w:rPr>
              <w:t>kVAr</w:t>
            </w:r>
            <w:r w:rsidRPr="004E6CFC">
              <w:rPr>
                <w:rFonts w:cs="Arial"/>
                <w:color w:val="000000"/>
                <w:sz w:val="16"/>
                <w:szCs w:val="16"/>
                <w:lang w:val="es-CO" w:eastAsia="es-CO"/>
              </w:rPr>
              <w:t xml:space="preserve"> - nivel 2</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color w:val="000000"/>
                <w:sz w:val="16"/>
                <w:szCs w:val="16"/>
                <w:lang w:val="es-CO" w:eastAsia="es-CO"/>
              </w:rPr>
            </w:pPr>
            <w:r w:rsidRPr="004E6CFC">
              <w:rPr>
                <w:rFonts w:cs="Arial"/>
                <w:color w:val="000000"/>
                <w:sz w:val="16"/>
                <w:szCs w:val="16"/>
                <w:lang w:val="es-CO" w:eastAsia="es-CO"/>
              </w:rPr>
              <w:t>10.525.000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35.930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N2CR2</w:t>
            </w:r>
          </w:p>
        </w:tc>
        <w:tc>
          <w:tcPr>
            <w:tcW w:w="62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 xml:space="preserve">Compensación reactiva - </w:t>
            </w:r>
            <w:r w:rsidR="00A95F4F" w:rsidRPr="004E6CFC">
              <w:rPr>
                <w:rFonts w:cs="Arial"/>
                <w:color w:val="000000"/>
                <w:sz w:val="16"/>
                <w:szCs w:val="16"/>
                <w:lang w:val="es-CO" w:eastAsia="es-CO"/>
              </w:rPr>
              <w:t>capacidad</w:t>
            </w:r>
            <w:r w:rsidRPr="004E6CFC">
              <w:rPr>
                <w:rFonts w:cs="Arial"/>
                <w:color w:val="000000"/>
                <w:sz w:val="16"/>
                <w:szCs w:val="16"/>
                <w:lang w:val="es-CO" w:eastAsia="es-CO"/>
              </w:rPr>
              <w:t xml:space="preserve"> final mayor de 180 a 360 </w:t>
            </w:r>
            <w:r>
              <w:rPr>
                <w:rFonts w:cs="Arial"/>
                <w:color w:val="000000"/>
                <w:sz w:val="16"/>
                <w:szCs w:val="16"/>
                <w:lang w:val="es-CO" w:eastAsia="es-CO"/>
              </w:rPr>
              <w:t>kVAr</w:t>
            </w:r>
            <w:r w:rsidRPr="004E6CFC">
              <w:rPr>
                <w:rFonts w:cs="Arial"/>
                <w:color w:val="000000"/>
                <w:sz w:val="16"/>
                <w:szCs w:val="16"/>
                <w:lang w:val="es-CO" w:eastAsia="es-CO"/>
              </w:rPr>
              <w:t xml:space="preserve"> - nivel 2</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color w:val="000000"/>
                <w:sz w:val="16"/>
                <w:szCs w:val="16"/>
                <w:lang w:val="es-CO" w:eastAsia="es-CO"/>
              </w:rPr>
            </w:pPr>
            <w:r w:rsidRPr="004E6CFC">
              <w:rPr>
                <w:rFonts w:cs="Arial"/>
                <w:color w:val="000000"/>
                <w:sz w:val="16"/>
                <w:szCs w:val="16"/>
                <w:lang w:val="es-CO" w:eastAsia="es-CO"/>
              </w:rPr>
              <w:t>10.608.000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31.810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N2CR3</w:t>
            </w:r>
          </w:p>
        </w:tc>
        <w:tc>
          <w:tcPr>
            <w:tcW w:w="62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 xml:space="preserve">Compensación reactiva - </w:t>
            </w:r>
            <w:r w:rsidR="00A95F4F" w:rsidRPr="004E6CFC">
              <w:rPr>
                <w:rFonts w:cs="Arial"/>
                <w:color w:val="000000"/>
                <w:sz w:val="16"/>
                <w:szCs w:val="16"/>
                <w:lang w:val="es-CO" w:eastAsia="es-CO"/>
              </w:rPr>
              <w:t>capacidad</w:t>
            </w:r>
            <w:r w:rsidRPr="004E6CFC">
              <w:rPr>
                <w:rFonts w:cs="Arial"/>
                <w:color w:val="000000"/>
                <w:sz w:val="16"/>
                <w:szCs w:val="16"/>
                <w:lang w:val="es-CO" w:eastAsia="es-CO"/>
              </w:rPr>
              <w:t xml:space="preserve"> final mayor de 360 a 600 </w:t>
            </w:r>
            <w:r>
              <w:rPr>
                <w:rFonts w:cs="Arial"/>
                <w:color w:val="000000"/>
                <w:sz w:val="16"/>
                <w:szCs w:val="16"/>
                <w:lang w:val="es-CO" w:eastAsia="es-CO"/>
              </w:rPr>
              <w:t>kVAr</w:t>
            </w:r>
            <w:r w:rsidRPr="004E6CFC">
              <w:rPr>
                <w:rFonts w:cs="Arial"/>
                <w:color w:val="000000"/>
                <w:sz w:val="16"/>
                <w:szCs w:val="16"/>
                <w:lang w:val="es-CO" w:eastAsia="es-CO"/>
              </w:rPr>
              <w:t xml:space="preserve"> - nivel 2</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color w:val="000000"/>
                <w:sz w:val="16"/>
                <w:szCs w:val="16"/>
                <w:lang w:val="es-CO" w:eastAsia="es-CO"/>
              </w:rPr>
            </w:pPr>
            <w:r w:rsidRPr="004E6CFC">
              <w:rPr>
                <w:rFonts w:cs="Arial"/>
                <w:color w:val="000000"/>
                <w:sz w:val="16"/>
                <w:szCs w:val="16"/>
                <w:lang w:val="es-CO" w:eastAsia="es-CO"/>
              </w:rPr>
              <w:t>11.641.000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28.490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N2CR4</w:t>
            </w:r>
          </w:p>
        </w:tc>
        <w:tc>
          <w:tcPr>
            <w:tcW w:w="62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 xml:space="preserve">Compensación reactiva - </w:t>
            </w:r>
            <w:r w:rsidR="00A95F4F" w:rsidRPr="004E6CFC">
              <w:rPr>
                <w:rFonts w:cs="Arial"/>
                <w:color w:val="000000"/>
                <w:sz w:val="16"/>
                <w:szCs w:val="16"/>
                <w:lang w:val="es-CO" w:eastAsia="es-CO"/>
              </w:rPr>
              <w:t>capacidad</w:t>
            </w:r>
            <w:r w:rsidRPr="004E6CFC">
              <w:rPr>
                <w:rFonts w:cs="Arial"/>
                <w:color w:val="000000"/>
                <w:sz w:val="16"/>
                <w:szCs w:val="16"/>
                <w:lang w:val="es-CO" w:eastAsia="es-CO"/>
              </w:rPr>
              <w:t xml:space="preserve"> final mayor de 600 a 1200 </w:t>
            </w:r>
            <w:r>
              <w:rPr>
                <w:rFonts w:cs="Arial"/>
                <w:color w:val="000000"/>
                <w:sz w:val="16"/>
                <w:szCs w:val="16"/>
                <w:lang w:val="es-CO" w:eastAsia="es-CO"/>
              </w:rPr>
              <w:t>kVAr</w:t>
            </w:r>
            <w:r w:rsidRPr="004E6CFC">
              <w:rPr>
                <w:rFonts w:cs="Arial"/>
                <w:color w:val="000000"/>
                <w:sz w:val="16"/>
                <w:szCs w:val="16"/>
                <w:lang w:val="es-CO" w:eastAsia="es-CO"/>
              </w:rPr>
              <w:t xml:space="preserve"> - nivel 2</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color w:val="000000"/>
                <w:sz w:val="16"/>
                <w:szCs w:val="16"/>
                <w:lang w:val="es-CO" w:eastAsia="es-CO"/>
              </w:rPr>
            </w:pPr>
            <w:r w:rsidRPr="004E6CFC">
              <w:rPr>
                <w:rFonts w:cs="Arial"/>
                <w:color w:val="000000"/>
                <w:sz w:val="16"/>
                <w:szCs w:val="16"/>
                <w:lang w:val="es-CO" w:eastAsia="es-CO"/>
              </w:rPr>
              <w:t>12.304.000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25.230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N2CR5</w:t>
            </w:r>
          </w:p>
        </w:tc>
        <w:tc>
          <w:tcPr>
            <w:tcW w:w="62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 xml:space="preserve">Compensación reactiva - </w:t>
            </w:r>
            <w:r w:rsidR="00A95F4F" w:rsidRPr="004E6CFC">
              <w:rPr>
                <w:rFonts w:cs="Arial"/>
                <w:color w:val="000000"/>
                <w:sz w:val="16"/>
                <w:szCs w:val="16"/>
                <w:lang w:val="es-CO" w:eastAsia="es-CO"/>
              </w:rPr>
              <w:t>capacidad</w:t>
            </w:r>
            <w:r w:rsidRPr="004E6CFC">
              <w:rPr>
                <w:rFonts w:cs="Arial"/>
                <w:color w:val="000000"/>
                <w:sz w:val="16"/>
                <w:szCs w:val="16"/>
                <w:lang w:val="es-CO" w:eastAsia="es-CO"/>
              </w:rPr>
              <w:t xml:space="preserve"> final mayor de 1200 a 2400 </w:t>
            </w:r>
            <w:r>
              <w:rPr>
                <w:rFonts w:cs="Arial"/>
                <w:color w:val="000000"/>
                <w:sz w:val="16"/>
                <w:szCs w:val="16"/>
                <w:lang w:val="es-CO" w:eastAsia="es-CO"/>
              </w:rPr>
              <w:t>kVAr</w:t>
            </w:r>
            <w:r w:rsidRPr="004E6CFC">
              <w:rPr>
                <w:rFonts w:cs="Arial"/>
                <w:color w:val="000000"/>
                <w:sz w:val="16"/>
                <w:szCs w:val="16"/>
                <w:lang w:val="es-CO" w:eastAsia="es-CO"/>
              </w:rPr>
              <w:t xml:space="preserve"> -nivel 2</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color w:val="000000"/>
                <w:sz w:val="16"/>
                <w:szCs w:val="16"/>
                <w:lang w:val="es-CO" w:eastAsia="es-CO"/>
              </w:rPr>
            </w:pPr>
            <w:r w:rsidRPr="004E6CFC">
              <w:rPr>
                <w:rFonts w:cs="Arial"/>
                <w:color w:val="000000"/>
                <w:sz w:val="16"/>
                <w:szCs w:val="16"/>
                <w:lang w:val="es-CO" w:eastAsia="es-CO"/>
              </w:rPr>
              <w:t>13.243.000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22.340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N2CR6</w:t>
            </w:r>
          </w:p>
        </w:tc>
        <w:tc>
          <w:tcPr>
            <w:tcW w:w="6236"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color w:val="000000"/>
                <w:sz w:val="16"/>
                <w:szCs w:val="16"/>
                <w:lang w:val="es-CO" w:eastAsia="es-CO"/>
              </w:rPr>
            </w:pPr>
            <w:r w:rsidRPr="004E6CFC">
              <w:rPr>
                <w:rFonts w:cs="Arial"/>
                <w:color w:val="000000"/>
                <w:sz w:val="16"/>
                <w:szCs w:val="16"/>
                <w:lang w:val="es-CO" w:eastAsia="es-CO"/>
              </w:rPr>
              <w:t xml:space="preserve">Compensación reactiva - </w:t>
            </w:r>
            <w:r w:rsidR="00A95F4F" w:rsidRPr="004E6CFC">
              <w:rPr>
                <w:rFonts w:cs="Arial"/>
                <w:color w:val="000000"/>
                <w:sz w:val="16"/>
                <w:szCs w:val="16"/>
                <w:lang w:val="es-CO" w:eastAsia="es-CO"/>
              </w:rPr>
              <w:t>capacidad</w:t>
            </w:r>
            <w:r w:rsidRPr="004E6CFC">
              <w:rPr>
                <w:rFonts w:cs="Arial"/>
                <w:color w:val="000000"/>
                <w:sz w:val="16"/>
                <w:szCs w:val="16"/>
                <w:lang w:val="es-CO" w:eastAsia="es-CO"/>
              </w:rPr>
              <w:t xml:space="preserve"> final mayor de  2400 a 3600 </w:t>
            </w:r>
            <w:r>
              <w:rPr>
                <w:rFonts w:cs="Arial"/>
                <w:color w:val="000000"/>
                <w:sz w:val="16"/>
                <w:szCs w:val="16"/>
                <w:lang w:val="es-CO" w:eastAsia="es-CO"/>
              </w:rPr>
              <w:t>kVAr</w:t>
            </w:r>
            <w:r w:rsidRPr="004E6CFC">
              <w:rPr>
                <w:rFonts w:cs="Arial"/>
                <w:color w:val="000000"/>
                <w:sz w:val="16"/>
                <w:szCs w:val="16"/>
                <w:lang w:val="es-CO" w:eastAsia="es-CO"/>
              </w:rPr>
              <w:t xml:space="preserve"> -nivel 2</w:t>
            </w:r>
          </w:p>
        </w:tc>
        <w:tc>
          <w:tcPr>
            <w:tcW w:w="1417"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color w:val="000000"/>
                <w:sz w:val="16"/>
                <w:szCs w:val="16"/>
                <w:lang w:val="es-CO" w:eastAsia="es-CO"/>
              </w:rPr>
            </w:pPr>
            <w:r w:rsidRPr="004E6CFC">
              <w:rPr>
                <w:rFonts w:cs="Arial"/>
                <w:color w:val="000000"/>
                <w:sz w:val="16"/>
                <w:szCs w:val="16"/>
                <w:lang w:val="es-CO" w:eastAsia="es-CO"/>
              </w:rPr>
              <w:t>14.655.000</w:t>
            </w:r>
          </w:p>
        </w:tc>
        <w:tc>
          <w:tcPr>
            <w:tcW w:w="1134"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6"/>
                <w:lang w:val="es-CO" w:eastAsia="es-CO"/>
              </w:rPr>
            </w:pPr>
            <w:r w:rsidRPr="004E6CFC">
              <w:rPr>
                <w:rFonts w:cs="Arial"/>
                <w:color w:val="000000"/>
                <w:sz w:val="16"/>
                <w:szCs w:val="16"/>
                <w:lang w:val="es-CO" w:eastAsia="es-CO"/>
              </w:rPr>
              <w:t>20.420</w:t>
            </w:r>
          </w:p>
        </w:tc>
      </w:tr>
    </w:tbl>
    <w:p w:rsidR="00697252" w:rsidRPr="004E6CFC" w:rsidRDefault="00697252" w:rsidP="00697252">
      <w:pPr>
        <w:pStyle w:val="Descripcin"/>
        <w:rPr>
          <w:sz w:val="18"/>
          <w:szCs w:val="18"/>
        </w:rPr>
      </w:pPr>
      <w:r w:rsidRPr="004E6CFC">
        <w:t xml:space="preserve">Tabla </w:t>
      </w:r>
      <w:r w:rsidRPr="004E6CFC">
        <w:fldChar w:fldCharType="begin"/>
      </w:r>
      <w:r w:rsidRPr="004E6CFC">
        <w:instrText xml:space="preserve"> SEQ Tabla \* ARABIC </w:instrText>
      </w:r>
      <w:r w:rsidRPr="004E6CFC">
        <w:fldChar w:fldCharType="separate"/>
      </w:r>
      <w:r w:rsidR="00737178">
        <w:rPr>
          <w:noProof/>
        </w:rPr>
        <w:t>54</w:t>
      </w:r>
      <w:r w:rsidRPr="004E6CFC">
        <w:fldChar w:fldCharType="end"/>
      </w:r>
      <w:r w:rsidRPr="004E6CFC">
        <w:t xml:space="preserve"> UC de centros de control y calidad</w:t>
      </w:r>
    </w:p>
    <w:tbl>
      <w:tblPr>
        <w:tblW w:w="0" w:type="auto"/>
        <w:tblInd w:w="-72" w:type="dxa"/>
        <w:tblCellMar>
          <w:left w:w="70" w:type="dxa"/>
          <w:right w:w="70" w:type="dxa"/>
        </w:tblCellMar>
        <w:tblLook w:val="04A0" w:firstRow="1" w:lastRow="0" w:firstColumn="1" w:lastColumn="0" w:noHBand="0" w:noVBand="1"/>
      </w:tblPr>
      <w:tblGrid>
        <w:gridCol w:w="736"/>
        <w:gridCol w:w="7297"/>
        <w:gridCol w:w="1385"/>
      </w:tblGrid>
      <w:tr w:rsidR="00697252" w:rsidRPr="004E6CFC" w:rsidTr="00045289">
        <w:trPr>
          <w:trHeight w:val="567"/>
          <w:tblHeader/>
        </w:trPr>
        <w:tc>
          <w:tcPr>
            <w:tcW w:w="73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UC</w:t>
            </w:r>
          </w:p>
        </w:tc>
        <w:tc>
          <w:tcPr>
            <w:tcW w:w="7370"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DESCRIPCIÓN UNIDAD CONSTRUCTIVA</w:t>
            </w:r>
          </w:p>
        </w:tc>
        <w:tc>
          <w:tcPr>
            <w:tcW w:w="1361"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VALOR INSTALADO [$Dic 2007]</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CCS1</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Scada tipo 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10.230.886.000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CCS2</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Sistema de manejo de energía: </w:t>
            </w:r>
            <w:r>
              <w:rPr>
                <w:rFonts w:cs="Arial"/>
                <w:sz w:val="16"/>
                <w:szCs w:val="16"/>
                <w:lang w:val="es-CO" w:eastAsia="es-CO"/>
              </w:rPr>
              <w:t>EMS</w:t>
            </w:r>
            <w:r w:rsidRPr="004E6CFC">
              <w:rPr>
                <w:rFonts w:cs="Arial"/>
                <w:sz w:val="16"/>
                <w:szCs w:val="16"/>
                <w:lang w:val="es-CO" w:eastAsia="es-CO"/>
              </w:rPr>
              <w:t xml:space="preserve"> tipo 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3.111.908.000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CCS3</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Sistema de gestión de distribución: </w:t>
            </w:r>
            <w:r>
              <w:rPr>
                <w:rFonts w:cs="Arial"/>
                <w:sz w:val="16"/>
                <w:szCs w:val="16"/>
                <w:lang w:val="es-CO" w:eastAsia="es-CO"/>
              </w:rPr>
              <w:t>DMS</w:t>
            </w:r>
            <w:r w:rsidRPr="004E6CFC">
              <w:rPr>
                <w:rFonts w:cs="Arial"/>
                <w:sz w:val="16"/>
                <w:szCs w:val="16"/>
                <w:lang w:val="es-CO" w:eastAsia="es-CO"/>
              </w:rPr>
              <w:t xml:space="preserve"> tipo 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1.346.228.000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CCS4</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Sistema de información geográfico: </w:t>
            </w:r>
            <w:r>
              <w:rPr>
                <w:rFonts w:cs="Arial"/>
                <w:sz w:val="16"/>
                <w:szCs w:val="16"/>
                <w:lang w:val="es-CO" w:eastAsia="es-CO"/>
              </w:rPr>
              <w:t>GIS</w:t>
            </w:r>
            <w:r w:rsidRPr="004E6CFC">
              <w:rPr>
                <w:rFonts w:cs="Arial"/>
                <w:sz w:val="16"/>
                <w:szCs w:val="16"/>
                <w:lang w:val="es-CO" w:eastAsia="es-CO"/>
              </w:rPr>
              <w:t xml:space="preserve"> tipo 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1.874.446.000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CCS5</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Enlace </w:t>
            </w:r>
            <w:r>
              <w:rPr>
                <w:rFonts w:cs="Arial"/>
                <w:sz w:val="16"/>
                <w:szCs w:val="16"/>
                <w:lang w:val="es-CO" w:eastAsia="es-CO"/>
              </w:rPr>
              <w:t>ICCP</w:t>
            </w:r>
            <w:r w:rsidRPr="004E6CFC">
              <w:rPr>
                <w:rFonts w:cs="Arial"/>
                <w:sz w:val="16"/>
                <w:szCs w:val="16"/>
                <w:lang w:val="es-CO" w:eastAsia="es-CO"/>
              </w:rPr>
              <w:t xml:space="preserve"> tipo 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169.820.000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CCS6</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Sistemas de medida calidad  y </w:t>
            </w:r>
            <w:r>
              <w:rPr>
                <w:rFonts w:cs="Arial"/>
                <w:sz w:val="16"/>
                <w:szCs w:val="16"/>
                <w:lang w:val="es-CO" w:eastAsia="es-CO"/>
              </w:rPr>
              <w:t>registro</w:t>
            </w:r>
            <w:r w:rsidRPr="004E6CFC">
              <w:rPr>
                <w:rFonts w:cs="Arial"/>
                <w:sz w:val="16"/>
                <w:szCs w:val="16"/>
                <w:lang w:val="es-CO" w:eastAsia="es-CO"/>
              </w:rPr>
              <w:t xml:space="preserve"> (des-fes, pq, k</w:t>
            </w:r>
            <w:r>
              <w:rPr>
                <w:rFonts w:cs="Arial"/>
                <w:sz w:val="16"/>
                <w:szCs w:val="16"/>
                <w:lang w:val="es-CO" w:eastAsia="es-CO"/>
              </w:rPr>
              <w:t>W</w:t>
            </w:r>
            <w:r w:rsidRPr="004E6CFC">
              <w:rPr>
                <w:rFonts w:cs="Arial"/>
                <w:sz w:val="16"/>
                <w:szCs w:val="16"/>
                <w:lang w:val="es-CO" w:eastAsia="es-CO"/>
              </w:rPr>
              <w:t>h) tipo 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1.357.097.000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CCS7</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Sistema de comunicaciones tipo 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1.044.178.000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CCS8</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Edificio de control tipo 1</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1.030.524.000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CCS9</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Scada tipo 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5.341.312.000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CCS10</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Sistema de manejo de energía: </w:t>
            </w:r>
            <w:r>
              <w:rPr>
                <w:rFonts w:cs="Arial"/>
                <w:sz w:val="16"/>
                <w:szCs w:val="16"/>
                <w:lang w:val="es-CO" w:eastAsia="es-CO"/>
              </w:rPr>
              <w:t>EMS</w:t>
            </w:r>
            <w:r w:rsidRPr="004E6CFC">
              <w:rPr>
                <w:rFonts w:cs="Arial"/>
                <w:sz w:val="16"/>
                <w:szCs w:val="16"/>
                <w:lang w:val="es-CO" w:eastAsia="es-CO"/>
              </w:rPr>
              <w:t xml:space="preserve"> tipo 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1.624.656.000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CCS11</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Sistema de gestión de distribución: </w:t>
            </w:r>
            <w:r>
              <w:rPr>
                <w:rFonts w:cs="Arial"/>
                <w:sz w:val="16"/>
                <w:szCs w:val="16"/>
                <w:lang w:val="es-CO" w:eastAsia="es-CO"/>
              </w:rPr>
              <w:t>DMS</w:t>
            </w:r>
            <w:r w:rsidRPr="004E6CFC">
              <w:rPr>
                <w:rFonts w:cs="Arial"/>
                <w:sz w:val="16"/>
                <w:szCs w:val="16"/>
                <w:lang w:val="es-CO" w:eastAsia="es-CO"/>
              </w:rPr>
              <w:t xml:space="preserve"> tipo 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704.306.000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CCS12</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Sistema de información geográfico: </w:t>
            </w:r>
            <w:r>
              <w:rPr>
                <w:rFonts w:cs="Arial"/>
                <w:sz w:val="16"/>
                <w:szCs w:val="16"/>
                <w:lang w:val="es-CO" w:eastAsia="es-CO"/>
              </w:rPr>
              <w:t>GIS</w:t>
            </w:r>
            <w:r w:rsidRPr="004E6CFC">
              <w:rPr>
                <w:rFonts w:cs="Arial"/>
                <w:sz w:val="16"/>
                <w:szCs w:val="16"/>
                <w:lang w:val="es-CO" w:eastAsia="es-CO"/>
              </w:rPr>
              <w:t xml:space="preserve"> tipo 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1.073.394.000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CCS13</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Enlace </w:t>
            </w:r>
            <w:r>
              <w:rPr>
                <w:rFonts w:cs="Arial"/>
                <w:sz w:val="16"/>
                <w:szCs w:val="16"/>
                <w:lang w:val="es-CO" w:eastAsia="es-CO"/>
              </w:rPr>
              <w:t>ICCP</w:t>
            </w:r>
            <w:r w:rsidRPr="004E6CFC">
              <w:rPr>
                <w:rFonts w:cs="Arial"/>
                <w:sz w:val="16"/>
                <w:szCs w:val="16"/>
                <w:lang w:val="es-CO" w:eastAsia="es-CO"/>
              </w:rPr>
              <w:t xml:space="preserve"> tipo 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88.659.000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CCS14</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Sistemas de medida calidad  y </w:t>
            </w:r>
            <w:r>
              <w:rPr>
                <w:rFonts w:cs="Arial"/>
                <w:sz w:val="16"/>
                <w:szCs w:val="16"/>
                <w:lang w:val="es-CO" w:eastAsia="es-CO"/>
              </w:rPr>
              <w:t>registro</w:t>
            </w:r>
            <w:r w:rsidRPr="004E6CFC">
              <w:rPr>
                <w:rFonts w:cs="Arial"/>
                <w:sz w:val="16"/>
                <w:szCs w:val="16"/>
                <w:lang w:val="es-CO" w:eastAsia="es-CO"/>
              </w:rPr>
              <w:t xml:space="preserve"> (des-fes, pq, k</w:t>
            </w:r>
            <w:r>
              <w:rPr>
                <w:rFonts w:cs="Arial"/>
                <w:sz w:val="16"/>
                <w:szCs w:val="16"/>
                <w:lang w:val="es-CO" w:eastAsia="es-CO"/>
              </w:rPr>
              <w:t>W</w:t>
            </w:r>
            <w:r w:rsidRPr="004E6CFC">
              <w:rPr>
                <w:rFonts w:cs="Arial"/>
                <w:sz w:val="16"/>
                <w:szCs w:val="16"/>
                <w:lang w:val="es-CO" w:eastAsia="es-CO"/>
              </w:rPr>
              <w:t>h) tipo 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704.772.000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CCS15</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Sistema de comunicaciones tipo 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846.723.000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CCS16</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Edificio de control tipo 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1.059.999.000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CCS17</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Scada tipo 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865.217.000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CCS18</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Sistema de manejo de energía: </w:t>
            </w:r>
            <w:r>
              <w:rPr>
                <w:rFonts w:cs="Arial"/>
                <w:sz w:val="16"/>
                <w:szCs w:val="16"/>
                <w:lang w:val="es-CO" w:eastAsia="es-CO"/>
              </w:rPr>
              <w:t>EMS</w:t>
            </w:r>
            <w:r w:rsidRPr="004E6CFC">
              <w:rPr>
                <w:rFonts w:cs="Arial"/>
                <w:sz w:val="16"/>
                <w:szCs w:val="16"/>
                <w:lang w:val="es-CO" w:eastAsia="es-CO"/>
              </w:rPr>
              <w:t xml:space="preserve"> tipo 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559.995.000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CCS19</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Sistema de gestión de distribución: </w:t>
            </w:r>
            <w:r>
              <w:rPr>
                <w:rFonts w:cs="Arial"/>
                <w:sz w:val="16"/>
                <w:szCs w:val="16"/>
                <w:lang w:val="es-CO" w:eastAsia="es-CO"/>
              </w:rPr>
              <w:t>DMS</w:t>
            </w:r>
            <w:r w:rsidRPr="004E6CFC">
              <w:rPr>
                <w:rFonts w:cs="Arial"/>
                <w:sz w:val="16"/>
                <w:szCs w:val="16"/>
                <w:lang w:val="es-CO" w:eastAsia="es-CO"/>
              </w:rPr>
              <w:t xml:space="preserve"> tipo 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242.257.000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CCS20</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Sistema de información geográfico: </w:t>
            </w:r>
            <w:r>
              <w:rPr>
                <w:rFonts w:cs="Arial"/>
                <w:sz w:val="16"/>
                <w:szCs w:val="16"/>
                <w:lang w:val="es-CO" w:eastAsia="es-CO"/>
              </w:rPr>
              <w:t>GIS</w:t>
            </w:r>
            <w:r w:rsidRPr="004E6CFC">
              <w:rPr>
                <w:rFonts w:cs="Arial"/>
                <w:sz w:val="16"/>
                <w:szCs w:val="16"/>
                <w:lang w:val="es-CO" w:eastAsia="es-CO"/>
              </w:rPr>
              <w:t xml:space="preserve"> tipo 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256.793.000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CCS21</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Enlace </w:t>
            </w:r>
            <w:r>
              <w:rPr>
                <w:rFonts w:cs="Arial"/>
                <w:sz w:val="16"/>
                <w:szCs w:val="16"/>
                <w:lang w:val="es-CO" w:eastAsia="es-CO"/>
              </w:rPr>
              <w:t>ICCP</w:t>
            </w:r>
            <w:r w:rsidRPr="004E6CFC">
              <w:rPr>
                <w:rFonts w:cs="Arial"/>
                <w:sz w:val="16"/>
                <w:szCs w:val="16"/>
                <w:lang w:val="es-CO" w:eastAsia="es-CO"/>
              </w:rPr>
              <w:t xml:space="preserve"> tipo 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30.560.000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CCS22</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Sistemas de medida calidad  y </w:t>
            </w:r>
            <w:r>
              <w:rPr>
                <w:rFonts w:cs="Arial"/>
                <w:sz w:val="16"/>
                <w:szCs w:val="16"/>
                <w:lang w:val="es-CO" w:eastAsia="es-CO"/>
              </w:rPr>
              <w:t>registro</w:t>
            </w:r>
            <w:r w:rsidRPr="004E6CFC">
              <w:rPr>
                <w:rFonts w:cs="Arial"/>
                <w:sz w:val="16"/>
                <w:szCs w:val="16"/>
                <w:lang w:val="es-CO" w:eastAsia="es-CO"/>
              </w:rPr>
              <w:t xml:space="preserve"> (des-fes, pq, k</w:t>
            </w:r>
            <w:r>
              <w:rPr>
                <w:rFonts w:cs="Arial"/>
                <w:sz w:val="16"/>
                <w:szCs w:val="16"/>
                <w:lang w:val="es-CO" w:eastAsia="es-CO"/>
              </w:rPr>
              <w:t>W</w:t>
            </w:r>
            <w:r w:rsidRPr="004E6CFC">
              <w:rPr>
                <w:rFonts w:cs="Arial"/>
                <w:sz w:val="16"/>
                <w:szCs w:val="16"/>
                <w:lang w:val="es-CO" w:eastAsia="es-CO"/>
              </w:rPr>
              <w:t>h) tipo 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242.924.000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CCS23</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Sistema de comunicaciones tipo 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291.853.000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CCS24</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Edificio de control tipo 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785.177.000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CCS25</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Scada tipo 4</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477.554.000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CCS26</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Sistema de manejo de energía: </w:t>
            </w:r>
            <w:r>
              <w:rPr>
                <w:rFonts w:cs="Arial"/>
                <w:sz w:val="16"/>
                <w:szCs w:val="16"/>
                <w:lang w:val="es-CO" w:eastAsia="es-CO"/>
              </w:rPr>
              <w:t>EMS</w:t>
            </w:r>
            <w:r w:rsidRPr="004E6CFC">
              <w:rPr>
                <w:rFonts w:cs="Arial"/>
                <w:sz w:val="16"/>
                <w:szCs w:val="16"/>
                <w:lang w:val="es-CO" w:eastAsia="es-CO"/>
              </w:rPr>
              <w:t xml:space="preserve"> tipo 4</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145.257.000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CCS27</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Sistema de gestión de distribución: </w:t>
            </w:r>
            <w:r>
              <w:rPr>
                <w:rFonts w:cs="Arial"/>
                <w:sz w:val="16"/>
                <w:szCs w:val="16"/>
                <w:lang w:val="es-CO" w:eastAsia="es-CO"/>
              </w:rPr>
              <w:t>DMS</w:t>
            </w:r>
            <w:r w:rsidRPr="004E6CFC">
              <w:rPr>
                <w:rFonts w:cs="Arial"/>
                <w:sz w:val="16"/>
                <w:szCs w:val="16"/>
                <w:lang w:val="es-CO" w:eastAsia="es-CO"/>
              </w:rPr>
              <w:t xml:space="preserve"> tipo 4</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62.839.000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CCS28</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Sistema de información geográfico: </w:t>
            </w:r>
            <w:r>
              <w:rPr>
                <w:rFonts w:cs="Arial"/>
                <w:sz w:val="16"/>
                <w:szCs w:val="16"/>
                <w:lang w:val="es-CO" w:eastAsia="es-CO"/>
              </w:rPr>
              <w:t>GIS</w:t>
            </w:r>
            <w:r w:rsidRPr="004E6CFC">
              <w:rPr>
                <w:rFonts w:cs="Arial"/>
                <w:sz w:val="16"/>
                <w:szCs w:val="16"/>
                <w:lang w:val="es-CO" w:eastAsia="es-CO"/>
              </w:rPr>
              <w:t xml:space="preserve"> tipo 4</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50.672.000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CCS29</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Enlace </w:t>
            </w:r>
            <w:r>
              <w:rPr>
                <w:rFonts w:cs="Arial"/>
                <w:sz w:val="16"/>
                <w:szCs w:val="16"/>
                <w:lang w:val="es-CO" w:eastAsia="es-CO"/>
              </w:rPr>
              <w:t>ICCP</w:t>
            </w:r>
            <w:r w:rsidRPr="004E6CFC">
              <w:rPr>
                <w:rFonts w:cs="Arial"/>
                <w:sz w:val="16"/>
                <w:szCs w:val="16"/>
                <w:lang w:val="es-CO" w:eastAsia="es-CO"/>
              </w:rPr>
              <w:t xml:space="preserve"> tipo 4</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7.927.000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CCS30</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Sistemas de medida calidad  y </w:t>
            </w:r>
            <w:r>
              <w:rPr>
                <w:rFonts w:cs="Arial"/>
                <w:sz w:val="16"/>
                <w:szCs w:val="16"/>
                <w:lang w:val="es-CO" w:eastAsia="es-CO"/>
              </w:rPr>
              <w:t>registro</w:t>
            </w:r>
            <w:r w:rsidRPr="004E6CFC">
              <w:rPr>
                <w:rFonts w:cs="Arial"/>
                <w:sz w:val="16"/>
                <w:szCs w:val="16"/>
                <w:lang w:val="es-CO" w:eastAsia="es-CO"/>
              </w:rPr>
              <w:t xml:space="preserve"> (des-fes, pq, k</w:t>
            </w:r>
            <w:r>
              <w:rPr>
                <w:rFonts w:cs="Arial"/>
                <w:sz w:val="16"/>
                <w:szCs w:val="16"/>
                <w:lang w:val="es-CO" w:eastAsia="es-CO"/>
              </w:rPr>
              <w:t>W</w:t>
            </w:r>
            <w:r w:rsidRPr="004E6CFC">
              <w:rPr>
                <w:rFonts w:cs="Arial"/>
                <w:sz w:val="16"/>
                <w:szCs w:val="16"/>
                <w:lang w:val="es-CO" w:eastAsia="es-CO"/>
              </w:rPr>
              <w:t>h) tipo 4</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63.012.000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CCS31</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Sistema de comunicaciones tipo 4</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75.704.000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CCS32</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Edificio de control tipo 4</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666.607.000</w:t>
            </w:r>
          </w:p>
        </w:tc>
      </w:tr>
    </w:tbl>
    <w:p w:rsidR="00697252" w:rsidRPr="004E6CFC" w:rsidRDefault="00697252" w:rsidP="00697252">
      <w:pPr>
        <w:rPr>
          <w:lang w:val="es-MX"/>
        </w:rPr>
      </w:pPr>
      <w:r w:rsidRPr="004E6CFC">
        <w:rPr>
          <w:lang w:val="es-MX"/>
        </w:rPr>
        <w:t xml:space="preserve">El tipo de centro de control se define de acuerdo con la siguiente clasificación: </w:t>
      </w:r>
    </w:p>
    <w:p w:rsidR="00697252" w:rsidRPr="004E6CFC" w:rsidRDefault="00697252" w:rsidP="00697252">
      <w:pPr>
        <w:pStyle w:val="Descripcin"/>
        <w:rPr>
          <w:lang w:val="es-MX"/>
        </w:rPr>
      </w:pPr>
      <w:r w:rsidRPr="004E6CFC">
        <w:lastRenderedPageBreak/>
        <w:t xml:space="preserve">Tabla </w:t>
      </w:r>
      <w:r w:rsidRPr="004E6CFC">
        <w:fldChar w:fldCharType="begin"/>
      </w:r>
      <w:r w:rsidRPr="004E6CFC">
        <w:instrText xml:space="preserve"> SEQ Tabla \* ARABIC </w:instrText>
      </w:r>
      <w:r w:rsidRPr="004E6CFC">
        <w:fldChar w:fldCharType="separate"/>
      </w:r>
      <w:r w:rsidR="00737178">
        <w:rPr>
          <w:noProof/>
        </w:rPr>
        <w:t>55</w:t>
      </w:r>
      <w:r w:rsidRPr="004E6CFC">
        <w:fldChar w:fldCharType="end"/>
      </w:r>
      <w:r w:rsidRPr="004E6CFC">
        <w:t xml:space="preserve"> Clasificación centros de control</w:t>
      </w:r>
    </w:p>
    <w:tbl>
      <w:tblPr>
        <w:tblW w:w="0" w:type="auto"/>
        <w:jc w:val="center"/>
        <w:tblCellMar>
          <w:left w:w="70" w:type="dxa"/>
          <w:right w:w="70" w:type="dxa"/>
        </w:tblCellMar>
        <w:tblLook w:val="04A0" w:firstRow="1" w:lastRow="0" w:firstColumn="1" w:lastColumn="0" w:noHBand="0" w:noVBand="1"/>
      </w:tblPr>
      <w:tblGrid>
        <w:gridCol w:w="893"/>
        <w:gridCol w:w="2232"/>
      </w:tblGrid>
      <w:tr w:rsidR="00697252" w:rsidRPr="004E6CFC" w:rsidTr="00045289">
        <w:trPr>
          <w:trHeight w:val="340"/>
          <w:tblHeader/>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8"/>
                <w:szCs w:val="14"/>
                <w:lang w:val="es-CO" w:eastAsia="es-CO"/>
              </w:rPr>
            </w:pPr>
            <w:r w:rsidRPr="004E6CFC">
              <w:rPr>
                <w:rFonts w:cs="Arial"/>
                <w:color w:val="000000"/>
                <w:sz w:val="18"/>
                <w:szCs w:val="14"/>
                <w:lang w:val="es-CO" w:eastAsia="es-CO"/>
              </w:rPr>
              <w:t>TIPO CC</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8"/>
                <w:szCs w:val="14"/>
                <w:lang w:val="es-CO" w:eastAsia="es-CO"/>
              </w:rPr>
            </w:pPr>
            <w:r w:rsidRPr="004E6CFC">
              <w:rPr>
                <w:rFonts w:cs="Arial"/>
                <w:color w:val="000000"/>
                <w:sz w:val="18"/>
                <w:szCs w:val="14"/>
                <w:lang w:val="es-CO" w:eastAsia="es-CO"/>
              </w:rPr>
              <w:t>NÚMERO DE SEÑALES</w:t>
            </w:r>
          </w:p>
        </w:tc>
      </w:tr>
      <w:tr w:rsidR="00697252" w:rsidRPr="004E6CFC" w:rsidTr="00045289">
        <w:trPr>
          <w:trHeight w:val="283"/>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TIPO 1</w:t>
            </w:r>
          </w:p>
        </w:tc>
        <w:tc>
          <w:tcPr>
            <w:tcW w:w="0" w:type="auto"/>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color w:val="000000"/>
                <w:sz w:val="16"/>
                <w:szCs w:val="14"/>
                <w:lang w:val="es-CO" w:eastAsia="es-CO"/>
              </w:rPr>
            </w:pPr>
            <w:r w:rsidRPr="004E6CFC">
              <w:rPr>
                <w:rFonts w:cs="Arial"/>
                <w:color w:val="000000"/>
                <w:sz w:val="16"/>
                <w:szCs w:val="14"/>
                <w:lang w:val="es-CO" w:eastAsia="es-CO"/>
              </w:rPr>
              <w:t>Señales &gt; 50000</w:t>
            </w:r>
          </w:p>
        </w:tc>
      </w:tr>
      <w:tr w:rsidR="00697252" w:rsidRPr="004E6CFC" w:rsidTr="00045289">
        <w:trPr>
          <w:trHeight w:val="283"/>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TIPO 2</w:t>
            </w:r>
          </w:p>
        </w:tc>
        <w:tc>
          <w:tcPr>
            <w:tcW w:w="0" w:type="auto"/>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color w:val="000000"/>
                <w:sz w:val="16"/>
                <w:szCs w:val="14"/>
                <w:lang w:val="es-CO" w:eastAsia="es-CO"/>
              </w:rPr>
            </w:pPr>
            <w:r w:rsidRPr="004E6CFC">
              <w:rPr>
                <w:rFonts w:cs="Arial"/>
                <w:color w:val="000000"/>
                <w:sz w:val="16"/>
                <w:szCs w:val="14"/>
                <w:lang w:val="es-CO" w:eastAsia="es-CO"/>
              </w:rPr>
              <w:t xml:space="preserve">15000 &lt; </w:t>
            </w:r>
            <w:r>
              <w:rPr>
                <w:rFonts w:cs="Arial"/>
                <w:color w:val="000000"/>
                <w:sz w:val="16"/>
                <w:szCs w:val="14"/>
                <w:lang w:val="es-CO" w:eastAsia="es-CO"/>
              </w:rPr>
              <w:t>S</w:t>
            </w:r>
            <w:r w:rsidRPr="004E6CFC">
              <w:rPr>
                <w:rFonts w:cs="Arial"/>
                <w:color w:val="000000"/>
                <w:sz w:val="16"/>
                <w:szCs w:val="14"/>
                <w:lang w:val="es-CO" w:eastAsia="es-CO"/>
              </w:rPr>
              <w:t>eñales &lt;=50000</w:t>
            </w:r>
          </w:p>
        </w:tc>
      </w:tr>
      <w:tr w:rsidR="00697252" w:rsidRPr="004E6CFC" w:rsidTr="00045289">
        <w:trPr>
          <w:trHeight w:val="283"/>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TIPO 3</w:t>
            </w:r>
          </w:p>
        </w:tc>
        <w:tc>
          <w:tcPr>
            <w:tcW w:w="0" w:type="auto"/>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color w:val="000000"/>
                <w:sz w:val="16"/>
                <w:szCs w:val="14"/>
                <w:lang w:val="es-CO" w:eastAsia="es-CO"/>
              </w:rPr>
            </w:pPr>
            <w:r w:rsidRPr="004E6CFC">
              <w:rPr>
                <w:rFonts w:cs="Arial"/>
                <w:color w:val="000000"/>
                <w:sz w:val="16"/>
                <w:szCs w:val="14"/>
                <w:lang w:val="es-CO" w:eastAsia="es-CO"/>
              </w:rPr>
              <w:t xml:space="preserve">5000 &lt; </w:t>
            </w:r>
            <w:r>
              <w:rPr>
                <w:rFonts w:cs="Arial"/>
                <w:color w:val="000000"/>
                <w:sz w:val="16"/>
                <w:szCs w:val="14"/>
                <w:lang w:val="es-CO" w:eastAsia="es-CO"/>
              </w:rPr>
              <w:t>S</w:t>
            </w:r>
            <w:r w:rsidRPr="004E6CFC">
              <w:rPr>
                <w:rFonts w:cs="Arial"/>
                <w:color w:val="000000"/>
                <w:sz w:val="16"/>
                <w:szCs w:val="14"/>
                <w:lang w:val="es-CO" w:eastAsia="es-CO"/>
              </w:rPr>
              <w:t>eñales &lt;=15000</w:t>
            </w:r>
          </w:p>
        </w:tc>
      </w:tr>
      <w:tr w:rsidR="00697252" w:rsidRPr="004E6CFC" w:rsidTr="00045289">
        <w:trPr>
          <w:trHeight w:val="283"/>
          <w:jc w:val="center"/>
        </w:trPr>
        <w:tc>
          <w:tcPr>
            <w:tcW w:w="0" w:type="auto"/>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color w:val="000000"/>
                <w:sz w:val="16"/>
                <w:szCs w:val="14"/>
                <w:lang w:val="es-CO" w:eastAsia="es-CO"/>
              </w:rPr>
            </w:pPr>
            <w:r w:rsidRPr="004E6CFC">
              <w:rPr>
                <w:rFonts w:cs="Arial"/>
                <w:color w:val="000000"/>
                <w:sz w:val="16"/>
                <w:szCs w:val="14"/>
                <w:lang w:val="es-CO" w:eastAsia="es-CO"/>
              </w:rPr>
              <w:t>TIPO 4</w:t>
            </w:r>
          </w:p>
        </w:tc>
        <w:tc>
          <w:tcPr>
            <w:tcW w:w="0" w:type="auto"/>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color w:val="000000"/>
                <w:sz w:val="16"/>
                <w:szCs w:val="14"/>
                <w:lang w:val="es-CO" w:eastAsia="es-CO"/>
              </w:rPr>
            </w:pPr>
            <w:r w:rsidRPr="004E6CFC">
              <w:rPr>
                <w:rFonts w:cs="Arial"/>
                <w:color w:val="000000"/>
                <w:sz w:val="16"/>
                <w:szCs w:val="14"/>
                <w:lang w:val="es-CO" w:eastAsia="es-CO"/>
              </w:rPr>
              <w:t>Señales &lt;=5000</w:t>
            </w:r>
          </w:p>
        </w:tc>
      </w:tr>
    </w:tbl>
    <w:p w:rsidR="00697252" w:rsidRPr="004E6CFC" w:rsidRDefault="00697252" w:rsidP="00697252">
      <w:pPr>
        <w:rPr>
          <w:lang w:val="es-MX"/>
        </w:rPr>
      </w:pPr>
      <w:r w:rsidRPr="004E6CFC">
        <w:rPr>
          <w:lang w:val="es-MX"/>
        </w:rPr>
        <w:t xml:space="preserve">El OR deberá calcular el número de señales a partir de su inventario de activos, asignando a cada una de las UC relacionadas en la </w:t>
      </w:r>
      <w:r w:rsidRPr="004E6CFC">
        <w:fldChar w:fldCharType="begin"/>
      </w:r>
      <w:r w:rsidRPr="004E6CFC">
        <w:rPr>
          <w:lang w:val="es-MX"/>
        </w:rPr>
        <w:instrText xml:space="preserve"> REF _Ref404173141 \h </w:instrText>
      </w:r>
      <w:r w:rsidRPr="004E6CFC">
        <w:instrText xml:space="preserve"> \* MERGEFORMAT </w:instrText>
      </w:r>
      <w:r w:rsidRPr="004E6CFC">
        <w:fldChar w:fldCharType="separate"/>
      </w:r>
      <w:r w:rsidR="00737178" w:rsidRPr="004E6CFC">
        <w:t xml:space="preserve">Tabla </w:t>
      </w:r>
      <w:r w:rsidR="00737178">
        <w:rPr>
          <w:noProof/>
        </w:rPr>
        <w:t>61</w:t>
      </w:r>
      <w:r w:rsidRPr="004E6CFC">
        <w:fldChar w:fldCharType="end"/>
      </w:r>
      <w:r w:rsidRPr="004E6CFC">
        <w:rPr>
          <w:lang w:val="es-MX"/>
        </w:rPr>
        <w:t xml:space="preserve"> con las que cuente el OR el número de señales por UC indicado.  </w:t>
      </w:r>
    </w:p>
    <w:p w:rsidR="00697252" w:rsidRPr="004E6CFC" w:rsidRDefault="00697252" w:rsidP="00697252">
      <w:pPr>
        <w:pStyle w:val="Descripcin"/>
        <w:rPr>
          <w:sz w:val="18"/>
          <w:szCs w:val="18"/>
        </w:rPr>
      </w:pPr>
      <w:r w:rsidRPr="004E6CFC">
        <w:t xml:space="preserve">Tabla </w:t>
      </w:r>
      <w:r w:rsidRPr="004E6CFC">
        <w:fldChar w:fldCharType="begin"/>
      </w:r>
      <w:r w:rsidRPr="004E6CFC">
        <w:instrText xml:space="preserve"> SEQ Tabla \* ARABIC </w:instrText>
      </w:r>
      <w:r w:rsidRPr="004E6CFC">
        <w:fldChar w:fldCharType="separate"/>
      </w:r>
      <w:r w:rsidR="00737178">
        <w:rPr>
          <w:noProof/>
        </w:rPr>
        <w:t>56</w:t>
      </w:r>
      <w:r w:rsidRPr="004E6CFC">
        <w:fldChar w:fldCharType="end"/>
      </w:r>
      <w:r w:rsidRPr="004E6CFC">
        <w:t xml:space="preserve"> UC de equipos de nivel de tensión  4 </w:t>
      </w:r>
    </w:p>
    <w:tbl>
      <w:tblPr>
        <w:tblW w:w="9468" w:type="dxa"/>
        <w:tblInd w:w="65" w:type="dxa"/>
        <w:tblCellMar>
          <w:left w:w="70" w:type="dxa"/>
          <w:right w:w="70" w:type="dxa"/>
        </w:tblCellMar>
        <w:tblLook w:val="04A0" w:firstRow="1" w:lastRow="0" w:firstColumn="1" w:lastColumn="0" w:noHBand="0" w:noVBand="1"/>
      </w:tblPr>
      <w:tblGrid>
        <w:gridCol w:w="800"/>
        <w:gridCol w:w="7307"/>
        <w:gridCol w:w="1361"/>
      </w:tblGrid>
      <w:tr w:rsidR="00697252" w:rsidRPr="004E6CFC" w:rsidTr="00045289">
        <w:trPr>
          <w:trHeight w:val="765"/>
          <w:tblHeader/>
        </w:trPr>
        <w:tc>
          <w:tcPr>
            <w:tcW w:w="73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8"/>
                <w:lang w:val="es-CO" w:eastAsia="es-CO"/>
              </w:rPr>
            </w:pPr>
            <w:r w:rsidRPr="004E6CFC">
              <w:rPr>
                <w:rFonts w:cs="Arial"/>
                <w:sz w:val="18"/>
                <w:szCs w:val="18"/>
                <w:lang w:val="es-CO" w:eastAsia="es-CO"/>
              </w:rPr>
              <w:t>UC</w:t>
            </w:r>
          </w:p>
        </w:tc>
        <w:tc>
          <w:tcPr>
            <w:tcW w:w="7370"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8"/>
                <w:lang w:val="es-CO" w:eastAsia="es-CO"/>
              </w:rPr>
            </w:pPr>
            <w:r w:rsidRPr="004E6CFC">
              <w:rPr>
                <w:rFonts w:cs="Arial"/>
                <w:sz w:val="18"/>
                <w:szCs w:val="18"/>
                <w:lang w:val="es-CO" w:eastAsia="es-CO"/>
              </w:rPr>
              <w:t>DESCRIPCIÓN UNIDAD CONSTRUCTIVA</w:t>
            </w:r>
          </w:p>
        </w:tc>
        <w:tc>
          <w:tcPr>
            <w:tcW w:w="1361"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8"/>
                <w:lang w:val="es-CO" w:eastAsia="es-CO"/>
              </w:rPr>
            </w:pPr>
            <w:r w:rsidRPr="004E6CFC">
              <w:rPr>
                <w:rFonts w:cs="Arial"/>
                <w:sz w:val="18"/>
                <w:szCs w:val="18"/>
                <w:lang w:val="es-CO" w:eastAsia="es-CO"/>
              </w:rPr>
              <w:t>VALOR INSTALADO [$Dic 2007]</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N4EQ1</w:t>
            </w:r>
          </w:p>
        </w:tc>
        <w:tc>
          <w:tcPr>
            <w:tcW w:w="7370" w:type="dxa"/>
            <w:tcBorders>
              <w:top w:val="nil"/>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Unidad de adquisición de datos</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74.373.000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N4EQ2</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de tensión nivel 4</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33.967.000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N4EQ3</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Armario concentrador (marshall in kiosk)</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9.776.000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N4EQ4</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Unidad de calidad de potencia (pq) creg 024 de 2005</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14.907.000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N4EQ5</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Enlace de comunicaciones satelital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11.776.000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N4EQ6</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Enlace de comunicaciones microondas</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61.043.000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N4EQ7</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Enlace de fibra óptica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14.080.000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N4EQ8</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Sistema de comunicaciones por onda portadora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28.446.000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N4EQ9</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Sistema de teleprotección</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18.665.000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N4EQ10</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Interface de usuario (</w:t>
            </w:r>
            <w:r>
              <w:rPr>
                <w:rFonts w:cs="Arial"/>
                <w:sz w:val="16"/>
                <w:szCs w:val="16"/>
                <w:lang w:val="es-CO" w:eastAsia="es-CO"/>
              </w:rPr>
              <w:t>IHM</w:t>
            </w:r>
            <w:r w:rsidRPr="004E6CFC">
              <w:rPr>
                <w:rFonts w:cs="Arial"/>
                <w:sz w:val="16"/>
                <w:szCs w:val="16"/>
                <w:lang w:val="es-CO" w:eastAsia="es-CO"/>
              </w:rPr>
              <w:t>)</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92.069.000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N4EQ11</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Unidad terminal remota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149.672.000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N4EQ12</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Gateway de comunicaciones</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13.848.000</w:t>
            </w:r>
          </w:p>
        </w:tc>
      </w:tr>
    </w:tbl>
    <w:p w:rsidR="00697252" w:rsidRPr="004E6CFC" w:rsidRDefault="00697252" w:rsidP="00697252">
      <w:pPr>
        <w:pStyle w:val="Descripcin"/>
        <w:rPr>
          <w:sz w:val="18"/>
          <w:szCs w:val="18"/>
        </w:rPr>
      </w:pPr>
      <w:r w:rsidRPr="004E6CFC">
        <w:t xml:space="preserve">Tabla </w:t>
      </w:r>
      <w:r w:rsidRPr="004E6CFC">
        <w:fldChar w:fldCharType="begin"/>
      </w:r>
      <w:r w:rsidRPr="004E6CFC">
        <w:instrText xml:space="preserve"> SEQ Tabla \* ARABIC </w:instrText>
      </w:r>
      <w:r w:rsidRPr="004E6CFC">
        <w:fldChar w:fldCharType="separate"/>
      </w:r>
      <w:r w:rsidR="00737178">
        <w:rPr>
          <w:noProof/>
        </w:rPr>
        <w:t>57</w:t>
      </w:r>
      <w:r w:rsidRPr="004E6CFC">
        <w:fldChar w:fldCharType="end"/>
      </w:r>
      <w:r w:rsidRPr="004E6CFC">
        <w:t xml:space="preserve"> UC de equipos de nivel de tensión  3 </w:t>
      </w:r>
    </w:p>
    <w:tbl>
      <w:tblPr>
        <w:tblW w:w="9468" w:type="dxa"/>
        <w:tblInd w:w="65" w:type="dxa"/>
        <w:tblCellMar>
          <w:left w:w="70" w:type="dxa"/>
          <w:right w:w="70" w:type="dxa"/>
        </w:tblCellMar>
        <w:tblLook w:val="04A0" w:firstRow="1" w:lastRow="0" w:firstColumn="1" w:lastColumn="0" w:noHBand="0" w:noVBand="1"/>
      </w:tblPr>
      <w:tblGrid>
        <w:gridCol w:w="800"/>
        <w:gridCol w:w="7307"/>
        <w:gridCol w:w="1361"/>
      </w:tblGrid>
      <w:tr w:rsidR="00697252" w:rsidRPr="004E6CFC" w:rsidTr="00045289">
        <w:trPr>
          <w:trHeight w:val="629"/>
          <w:tblHeader/>
        </w:trPr>
        <w:tc>
          <w:tcPr>
            <w:tcW w:w="73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UC</w:t>
            </w:r>
          </w:p>
        </w:tc>
        <w:tc>
          <w:tcPr>
            <w:tcW w:w="7370"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DESCRIPCIÓN UNIDAD CONSTRUCTIVA</w:t>
            </w:r>
          </w:p>
        </w:tc>
        <w:tc>
          <w:tcPr>
            <w:tcW w:w="1361"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VALOR INSTALADO [$Dic 2007]</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N3EQ1</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Equipo de medida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568.000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N3EQ2</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Juego de cuchillas para operación sin carga nivel 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788.000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N3EQ3</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Juego de pararrayos nivel 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546.000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N3EQ4</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Juego de seccionadores tripolar bajo carga nivel 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29.773.000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N3EQ5</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Reconectador </w:t>
            </w:r>
            <w:r>
              <w:rPr>
                <w:rFonts w:cs="Arial"/>
                <w:sz w:val="16"/>
                <w:szCs w:val="16"/>
                <w:lang w:val="es-CO" w:eastAsia="es-CO"/>
              </w:rPr>
              <w:t>N</w:t>
            </w:r>
            <w:r w:rsidRPr="004E6CFC">
              <w:rPr>
                <w:rFonts w:cs="Arial"/>
                <w:sz w:val="16"/>
                <w:szCs w:val="16"/>
                <w:lang w:val="es-CO" w:eastAsia="es-CO"/>
              </w:rPr>
              <w:t>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73.482.000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N3EQ6</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Regulador 36 </w:t>
            </w:r>
            <w:r w:rsidR="00A95F4F" w:rsidRPr="004E6CFC">
              <w:rPr>
                <w:rFonts w:cs="Arial"/>
                <w:sz w:val="16"/>
                <w:szCs w:val="16"/>
                <w:lang w:val="es-CO" w:eastAsia="es-CO"/>
              </w:rPr>
              <w:t>kV</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162.349.000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N3EQ7</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Seccionalizador manual bajo carga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20.246.000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N3EQ8</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Seccionalizador eléctrico (motorizado) </w:t>
            </w:r>
            <w:r>
              <w:rPr>
                <w:rFonts w:cs="Arial"/>
                <w:sz w:val="16"/>
                <w:szCs w:val="16"/>
                <w:lang w:val="es-CO" w:eastAsia="es-CO"/>
              </w:rPr>
              <w:t>N</w:t>
            </w:r>
            <w:r w:rsidRPr="004E6CFC">
              <w:rPr>
                <w:rFonts w:cs="Arial"/>
                <w:sz w:val="16"/>
                <w:szCs w:val="16"/>
                <w:lang w:val="es-CO" w:eastAsia="es-CO"/>
              </w:rPr>
              <w:t>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20.246.000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N3EQ9</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Transición aérea - subterránea </w:t>
            </w:r>
            <w:r>
              <w:rPr>
                <w:rFonts w:cs="Arial"/>
                <w:sz w:val="16"/>
                <w:szCs w:val="16"/>
                <w:lang w:val="es-CO" w:eastAsia="es-CO"/>
              </w:rPr>
              <w:t>N</w:t>
            </w:r>
            <w:r w:rsidRPr="004E6CFC">
              <w:rPr>
                <w:rFonts w:cs="Arial"/>
                <w:sz w:val="16"/>
                <w:szCs w:val="16"/>
                <w:lang w:val="es-CO" w:eastAsia="es-CO"/>
              </w:rPr>
              <w:t>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6.298.000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N3EQ10</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de puesta a tierra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108.471.000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N3EQ11</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de tensión nivel 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11.346.000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N3EQ12</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Unidad de adquisición de datos nivel 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58.512.000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N3EQ13</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Armario concentrador (marshall in kiosk)</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9.776.000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N3EQ14</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Unidad de calidad de potencia (pq) creg 024 de 2005</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14.907.000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N3EQ15</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Interface de usuario (</w:t>
            </w:r>
            <w:r>
              <w:rPr>
                <w:rFonts w:cs="Arial"/>
                <w:sz w:val="16"/>
                <w:szCs w:val="16"/>
                <w:lang w:val="es-CO" w:eastAsia="es-CO"/>
              </w:rPr>
              <w:t>IHM</w:t>
            </w:r>
            <w:r w:rsidRPr="004E6CFC">
              <w:rPr>
                <w:rFonts w:cs="Arial"/>
                <w:sz w:val="16"/>
                <w:szCs w:val="16"/>
                <w:lang w:val="es-CO" w:eastAsia="es-CO"/>
              </w:rPr>
              <w:t>)</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84.254.000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N3EQ16</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Gateway de comunicaciones</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13.848.000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N3EQ17</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Enlace de comunicaciones satelital</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11.776.000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N3EQ18</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Enlace de comunicaciones microondas</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61.043.000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N3EQ19</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Enlace de fibra óptica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14.080.000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N3EQ20</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Unidad terminal remota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141.857.000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N3EQ21</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Sistema de teleprotección</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18.665.000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lastRenderedPageBreak/>
              <w:t>N3EQ22</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Juego de cortacircuitos nivel 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533.000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N3EQ23</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Juego de pararrayos nivel 3 (44 k</w:t>
            </w:r>
            <w:r>
              <w:rPr>
                <w:rFonts w:cs="Arial"/>
                <w:sz w:val="16"/>
                <w:szCs w:val="16"/>
                <w:lang w:val="es-CO" w:eastAsia="es-CO"/>
              </w:rPr>
              <w:t>V</w:t>
            </w:r>
            <w:r w:rsidRPr="004E6CFC">
              <w:rPr>
                <w:rFonts w:cs="Arial"/>
                <w:sz w:val="16"/>
                <w:szCs w:val="16"/>
                <w:lang w:val="es-CO" w:eastAsia="es-CO"/>
              </w:rPr>
              <w:t>)</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1.580.000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N3EQ24</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Transición aérea - subterránea n3 (44 k</w:t>
            </w:r>
            <w:r>
              <w:rPr>
                <w:rFonts w:cs="Arial"/>
                <w:sz w:val="16"/>
                <w:szCs w:val="16"/>
                <w:lang w:val="es-CO" w:eastAsia="es-CO"/>
              </w:rPr>
              <w:t>V</w:t>
            </w:r>
            <w:r w:rsidRPr="004E6CFC">
              <w:rPr>
                <w:rFonts w:cs="Arial"/>
                <w:sz w:val="16"/>
                <w:szCs w:val="16"/>
                <w:lang w:val="es-CO" w:eastAsia="es-CO"/>
              </w:rPr>
              <w:t>)</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6.775.000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N3EQ25</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Indicador falla </w:t>
            </w:r>
            <w:r w:rsidR="00A95F4F" w:rsidRPr="004E6CFC">
              <w:rPr>
                <w:rFonts w:cs="Arial"/>
                <w:sz w:val="16"/>
                <w:szCs w:val="16"/>
                <w:lang w:val="es-CO" w:eastAsia="es-CO"/>
              </w:rPr>
              <w:t>subterráneo</w:t>
            </w:r>
            <w:r w:rsidRPr="004E6CFC">
              <w:rPr>
                <w:rFonts w:cs="Arial"/>
                <w:sz w:val="16"/>
                <w:szCs w:val="16"/>
                <w:lang w:val="es-CO" w:eastAsia="es-CO"/>
              </w:rPr>
              <w:t xml:space="preserve"> nivel 3</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2.118.000</w:t>
            </w:r>
          </w:p>
        </w:tc>
      </w:tr>
    </w:tbl>
    <w:p w:rsidR="00697252" w:rsidRPr="004E6CFC" w:rsidRDefault="00697252" w:rsidP="00697252">
      <w:pPr>
        <w:pStyle w:val="Descripcin"/>
        <w:rPr>
          <w:sz w:val="18"/>
          <w:szCs w:val="18"/>
        </w:rPr>
      </w:pPr>
      <w:r w:rsidRPr="004E6CFC">
        <w:t xml:space="preserve">Tabla </w:t>
      </w:r>
      <w:r w:rsidRPr="004E6CFC">
        <w:fldChar w:fldCharType="begin"/>
      </w:r>
      <w:r w:rsidRPr="004E6CFC">
        <w:instrText xml:space="preserve"> SEQ Tabla \* ARABIC </w:instrText>
      </w:r>
      <w:r w:rsidRPr="004E6CFC">
        <w:fldChar w:fldCharType="separate"/>
      </w:r>
      <w:r w:rsidR="00737178">
        <w:rPr>
          <w:noProof/>
        </w:rPr>
        <w:t>58</w:t>
      </w:r>
      <w:r w:rsidRPr="004E6CFC">
        <w:fldChar w:fldCharType="end"/>
      </w:r>
      <w:r w:rsidRPr="004E6CFC">
        <w:t xml:space="preserve"> UC de equipos de nivel de tensión  2.</w:t>
      </w:r>
    </w:p>
    <w:tbl>
      <w:tblPr>
        <w:tblW w:w="9468" w:type="dxa"/>
        <w:tblInd w:w="65" w:type="dxa"/>
        <w:tblCellMar>
          <w:left w:w="70" w:type="dxa"/>
          <w:right w:w="70" w:type="dxa"/>
        </w:tblCellMar>
        <w:tblLook w:val="04A0" w:firstRow="1" w:lastRow="0" w:firstColumn="1" w:lastColumn="0" w:noHBand="0" w:noVBand="1"/>
      </w:tblPr>
      <w:tblGrid>
        <w:gridCol w:w="800"/>
        <w:gridCol w:w="7307"/>
        <w:gridCol w:w="1361"/>
      </w:tblGrid>
      <w:tr w:rsidR="00697252" w:rsidRPr="004E6CFC" w:rsidTr="00045289">
        <w:trPr>
          <w:trHeight w:val="765"/>
          <w:tblHeader/>
        </w:trPr>
        <w:tc>
          <w:tcPr>
            <w:tcW w:w="73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8"/>
                <w:lang w:val="es-CO" w:eastAsia="es-CO"/>
              </w:rPr>
            </w:pPr>
            <w:r w:rsidRPr="004E6CFC">
              <w:rPr>
                <w:rFonts w:cs="Arial"/>
                <w:sz w:val="18"/>
                <w:szCs w:val="18"/>
                <w:lang w:val="es-CO" w:eastAsia="es-CO"/>
              </w:rPr>
              <w:t>UC</w:t>
            </w:r>
          </w:p>
        </w:tc>
        <w:tc>
          <w:tcPr>
            <w:tcW w:w="7370"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8"/>
                <w:lang w:val="es-CO" w:eastAsia="es-CO"/>
              </w:rPr>
            </w:pPr>
            <w:r w:rsidRPr="004E6CFC">
              <w:rPr>
                <w:rFonts w:cs="Arial"/>
                <w:sz w:val="18"/>
                <w:szCs w:val="18"/>
                <w:lang w:val="es-CO" w:eastAsia="es-CO"/>
              </w:rPr>
              <w:t>DESCRIPCIÓN UNIDAD CONSTRUCTIVA</w:t>
            </w:r>
          </w:p>
        </w:tc>
        <w:tc>
          <w:tcPr>
            <w:tcW w:w="1361" w:type="dxa"/>
            <w:tcBorders>
              <w:top w:val="single" w:sz="4" w:space="0" w:color="auto"/>
              <w:left w:val="nil"/>
              <w:bottom w:val="single" w:sz="4" w:space="0" w:color="auto"/>
              <w:right w:val="single" w:sz="4" w:space="0" w:color="auto"/>
            </w:tcBorders>
            <w:shd w:val="clear" w:color="000000" w:fill="FFFFFF"/>
            <w:vAlign w:val="center"/>
            <w:hideMark/>
          </w:tcPr>
          <w:p w:rsidR="00697252" w:rsidRPr="004E6CFC" w:rsidRDefault="00697252" w:rsidP="00045289">
            <w:pPr>
              <w:spacing w:before="0" w:after="0"/>
              <w:jc w:val="center"/>
              <w:rPr>
                <w:rFonts w:cs="Arial"/>
                <w:sz w:val="18"/>
                <w:szCs w:val="18"/>
                <w:lang w:val="es-CO" w:eastAsia="es-CO"/>
              </w:rPr>
            </w:pPr>
            <w:r w:rsidRPr="004E6CFC">
              <w:rPr>
                <w:rFonts w:cs="Arial"/>
                <w:sz w:val="18"/>
                <w:szCs w:val="18"/>
                <w:lang w:val="es-CO" w:eastAsia="es-CO"/>
              </w:rPr>
              <w:t>VALOR INSTALADO [$Dic 2007]</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N2EQ1</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Barraje de derivación subterráneo </w:t>
            </w:r>
            <w:r>
              <w:rPr>
                <w:rFonts w:cs="Arial"/>
                <w:sz w:val="16"/>
                <w:szCs w:val="16"/>
                <w:lang w:val="es-CO" w:eastAsia="es-CO"/>
              </w:rPr>
              <w:t>N</w:t>
            </w:r>
            <w:r w:rsidRPr="004E6CFC">
              <w:rPr>
                <w:rFonts w:cs="Arial"/>
                <w:sz w:val="16"/>
                <w:szCs w:val="16"/>
                <w:lang w:val="es-CO" w:eastAsia="es-CO"/>
              </w:rPr>
              <w:t>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1.603.000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N2EQ2</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Caja de maniobra </w:t>
            </w:r>
            <w:r>
              <w:rPr>
                <w:rFonts w:cs="Arial"/>
                <w:sz w:val="16"/>
                <w:szCs w:val="16"/>
                <w:lang w:val="es-CO" w:eastAsia="es-CO"/>
              </w:rPr>
              <w:t>N</w:t>
            </w:r>
            <w:r w:rsidRPr="004E6CFC">
              <w:rPr>
                <w:rFonts w:cs="Arial"/>
                <w:sz w:val="16"/>
                <w:szCs w:val="16"/>
                <w:lang w:val="es-CO" w:eastAsia="es-CO"/>
              </w:rPr>
              <w:t>2, sumergible con codos</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20.940.000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N2EQ3</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Control de bancos de capacitores</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3.074.000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N2EQ4</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Banco de condensadores montaje en poste 150</w:t>
            </w:r>
            <w:r>
              <w:rPr>
                <w:rFonts w:cs="Arial"/>
                <w:sz w:val="16"/>
                <w:szCs w:val="16"/>
                <w:lang w:val="es-CO" w:eastAsia="es-CO"/>
              </w:rPr>
              <w:t xml:space="preserve"> </w:t>
            </w:r>
            <w:r w:rsidRPr="004E6CFC">
              <w:rPr>
                <w:rFonts w:cs="Arial"/>
                <w:sz w:val="16"/>
                <w:szCs w:val="16"/>
                <w:lang w:val="es-CO" w:eastAsia="es-CO"/>
              </w:rPr>
              <w:t>k</w:t>
            </w:r>
            <w:r>
              <w:rPr>
                <w:rFonts w:cs="Arial"/>
                <w:sz w:val="16"/>
                <w:szCs w:val="16"/>
                <w:lang w:val="es-CO" w:eastAsia="es-CO"/>
              </w:rPr>
              <w:t>VA</w:t>
            </w:r>
            <w:r w:rsidRPr="004E6CFC">
              <w:rPr>
                <w:rFonts w:cs="Arial"/>
                <w:sz w:val="16"/>
                <w:szCs w:val="16"/>
                <w:lang w:val="es-CO" w:eastAsia="es-CO"/>
              </w:rPr>
              <w:t>r</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7.882.000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N2EQ5</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Banco de condensadores montaje en poste 300 k</w:t>
            </w:r>
            <w:r>
              <w:rPr>
                <w:rFonts w:cs="Arial"/>
                <w:sz w:val="16"/>
                <w:szCs w:val="16"/>
                <w:lang w:val="es-CO" w:eastAsia="es-CO"/>
              </w:rPr>
              <w:t>VA</w:t>
            </w:r>
            <w:r w:rsidRPr="004E6CFC">
              <w:rPr>
                <w:rFonts w:cs="Arial"/>
                <w:sz w:val="16"/>
                <w:szCs w:val="16"/>
                <w:lang w:val="es-CO" w:eastAsia="es-CO"/>
              </w:rPr>
              <w:t>r</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13.834.000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N2EQ6</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Banco de condensadores montaje en poste 450</w:t>
            </w:r>
            <w:r>
              <w:rPr>
                <w:rFonts w:cs="Arial"/>
                <w:sz w:val="16"/>
                <w:szCs w:val="16"/>
                <w:lang w:val="es-CO" w:eastAsia="es-CO"/>
              </w:rPr>
              <w:t xml:space="preserve"> </w:t>
            </w:r>
            <w:r w:rsidRPr="004E6CFC">
              <w:rPr>
                <w:rFonts w:cs="Arial"/>
                <w:sz w:val="16"/>
                <w:szCs w:val="16"/>
                <w:lang w:val="es-CO" w:eastAsia="es-CO"/>
              </w:rPr>
              <w:t>k</w:t>
            </w:r>
            <w:r>
              <w:rPr>
                <w:rFonts w:cs="Arial"/>
                <w:sz w:val="16"/>
                <w:szCs w:val="16"/>
                <w:lang w:val="es-CO" w:eastAsia="es-CO"/>
              </w:rPr>
              <w:t>VA</w:t>
            </w:r>
            <w:r w:rsidRPr="004E6CFC">
              <w:rPr>
                <w:rFonts w:cs="Arial"/>
                <w:sz w:val="16"/>
                <w:szCs w:val="16"/>
                <w:lang w:val="es-CO" w:eastAsia="es-CO"/>
              </w:rPr>
              <w:t>r</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19.786.000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N2EQ7</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Banco de condensadores montaje en poste 600 k</w:t>
            </w:r>
            <w:r>
              <w:rPr>
                <w:rFonts w:cs="Arial"/>
                <w:sz w:val="16"/>
                <w:szCs w:val="16"/>
                <w:lang w:val="es-CO" w:eastAsia="es-CO"/>
              </w:rPr>
              <w:t>VA</w:t>
            </w:r>
            <w:r w:rsidRPr="004E6CFC">
              <w:rPr>
                <w:rFonts w:cs="Arial"/>
                <w:sz w:val="16"/>
                <w:szCs w:val="16"/>
                <w:lang w:val="es-CO" w:eastAsia="es-CO"/>
              </w:rPr>
              <w:t>r</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25.737.000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N2EQ8</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Banco de condensadores montaje en poste 900 k</w:t>
            </w:r>
            <w:r>
              <w:rPr>
                <w:rFonts w:cs="Arial"/>
                <w:sz w:val="16"/>
                <w:szCs w:val="16"/>
                <w:lang w:val="es-CO" w:eastAsia="es-CO"/>
              </w:rPr>
              <w:t>VA</w:t>
            </w:r>
            <w:r w:rsidRPr="004E6CFC">
              <w:rPr>
                <w:rFonts w:cs="Arial"/>
                <w:sz w:val="16"/>
                <w:szCs w:val="16"/>
                <w:lang w:val="es-CO" w:eastAsia="es-CO"/>
              </w:rPr>
              <w:t>r</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37.641.000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N2EQ9</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Cortacircuitos 15 </w:t>
            </w:r>
            <w:r w:rsidR="00A95F4F" w:rsidRPr="004E6CFC">
              <w:rPr>
                <w:rFonts w:cs="Arial"/>
                <w:sz w:val="16"/>
                <w:szCs w:val="16"/>
                <w:lang w:val="es-CO" w:eastAsia="es-CO"/>
              </w:rPr>
              <w:t>kV</w:t>
            </w:r>
            <w:r w:rsidRPr="004E6CFC">
              <w:rPr>
                <w:rFonts w:cs="Arial"/>
                <w:sz w:val="16"/>
                <w:szCs w:val="16"/>
                <w:lang w:val="es-CO" w:eastAsia="es-CO"/>
              </w:rPr>
              <w:t xml:space="preserve"> monofásico</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183.000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N2EQ10</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Equipo de medida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568.000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N2EQ11</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Indicador falla monofásico</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610.000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N2EQ12</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Juego de cortacircuitos monofásicos </w:t>
            </w:r>
            <w:r>
              <w:rPr>
                <w:rFonts w:cs="Arial"/>
                <w:sz w:val="16"/>
                <w:szCs w:val="16"/>
                <w:lang w:val="es-CO" w:eastAsia="es-CO"/>
              </w:rPr>
              <w:t>N</w:t>
            </w:r>
            <w:r w:rsidRPr="004E6CFC">
              <w:rPr>
                <w:rFonts w:cs="Arial"/>
                <w:sz w:val="16"/>
                <w:szCs w:val="16"/>
                <w:lang w:val="es-CO" w:eastAsia="es-CO"/>
              </w:rPr>
              <w:t>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443.000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N2EQ13</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Juego de cuchillas para operación sin carga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399.000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N2EQ14</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Pararrayos monofásicos</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266.000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N2EQ15</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Juego de pararrayos monofásicos </w:t>
            </w:r>
            <w:r>
              <w:rPr>
                <w:rFonts w:cs="Arial"/>
                <w:sz w:val="16"/>
                <w:szCs w:val="16"/>
                <w:lang w:val="es-CO" w:eastAsia="es-CO"/>
              </w:rPr>
              <w:t>N</w:t>
            </w:r>
            <w:r w:rsidRPr="004E6CFC">
              <w:rPr>
                <w:rFonts w:cs="Arial"/>
                <w:sz w:val="16"/>
                <w:szCs w:val="16"/>
                <w:lang w:val="es-CO" w:eastAsia="es-CO"/>
              </w:rPr>
              <w:t>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371.000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N2EQ16</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Juego de seccionadores trifásico bajo carga líneas</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22.812.000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N2EQ17</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Juego de seccionadores trifásico bajo carga </w:t>
            </w:r>
            <w:r>
              <w:rPr>
                <w:rFonts w:cs="Arial"/>
                <w:sz w:val="16"/>
                <w:szCs w:val="16"/>
                <w:lang w:val="es-CO" w:eastAsia="es-CO"/>
              </w:rPr>
              <w:t>S/E</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22.657.000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N2EQ18</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Regulador de voltaje trifásicos de distribución</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157.305.000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N2EQ19</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Regulador de voltaje monofásico hasta 50 </w:t>
            </w:r>
            <w:r w:rsidR="00A95F4F" w:rsidRPr="004E6CFC">
              <w:rPr>
                <w:rFonts w:cs="Arial"/>
                <w:sz w:val="16"/>
                <w:szCs w:val="16"/>
                <w:lang w:val="es-CO" w:eastAsia="es-CO"/>
              </w:rPr>
              <w:t>k</w:t>
            </w:r>
            <w:r w:rsidR="00A95F4F">
              <w:rPr>
                <w:rFonts w:cs="Arial"/>
                <w:sz w:val="16"/>
                <w:szCs w:val="16"/>
                <w:lang w:val="es-CO" w:eastAsia="es-CO"/>
              </w:rPr>
              <w:t>V</w:t>
            </w:r>
            <w:r w:rsidR="00A95F4F" w:rsidRPr="004E6CFC">
              <w:rPr>
                <w:rFonts w:cs="Arial"/>
                <w:sz w:val="16"/>
                <w:szCs w:val="16"/>
                <w:lang w:val="es-CO" w:eastAsia="es-CO"/>
              </w:rPr>
              <w:t>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35.520.000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N2EQ20</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Regulador de voltaje monofásico hasta 150 k</w:t>
            </w:r>
            <w:r>
              <w:rPr>
                <w:rFonts w:cs="Arial"/>
                <w:sz w:val="16"/>
                <w:szCs w:val="16"/>
                <w:lang w:val="es-CO" w:eastAsia="es-CO"/>
              </w:rPr>
              <w:t>VA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43.834.000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N2EQ21</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Regulador de voltaje monofásico hasta 276 k</w:t>
            </w:r>
            <w:r>
              <w:rPr>
                <w:rFonts w:cs="Arial"/>
                <w:sz w:val="16"/>
                <w:szCs w:val="16"/>
                <w:lang w:val="es-CO" w:eastAsia="es-CO"/>
              </w:rPr>
              <w:t>VA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52.684.000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N2EQ22</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Regulador de voltaje monofásico hasta 500 k</w:t>
            </w:r>
            <w:r>
              <w:rPr>
                <w:rFonts w:cs="Arial"/>
                <w:sz w:val="16"/>
                <w:szCs w:val="16"/>
                <w:lang w:val="es-CO" w:eastAsia="es-CO"/>
              </w:rPr>
              <w:t>VA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82.698.000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N2EQ23</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Regulador de voltaje monofásico hasta 1000 k</w:t>
            </w:r>
            <w:r>
              <w:rPr>
                <w:rFonts w:cs="Arial"/>
                <w:sz w:val="16"/>
                <w:szCs w:val="16"/>
                <w:lang w:val="es-CO" w:eastAsia="es-CO"/>
              </w:rPr>
              <w:t>VA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128.988.000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N2EQ24</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Seccionador monopolar 14.4 </w:t>
            </w:r>
            <w:r>
              <w:rPr>
                <w:rFonts w:cs="Arial"/>
                <w:sz w:val="16"/>
                <w:szCs w:val="16"/>
                <w:lang w:val="es-CO" w:eastAsia="es-CO"/>
              </w:rPr>
              <w:t>Kv</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2.955.000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N2EQ25</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Seccionador trifásico vacío</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17.323.000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N2EQ26</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Seccionalizador con control inteligente, 400ª</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20.246.000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N2EQ27</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Seccionalizador eléctrico, 400 a - en </w:t>
            </w:r>
            <w:r>
              <w:rPr>
                <w:rFonts w:cs="Arial"/>
                <w:sz w:val="16"/>
                <w:szCs w:val="16"/>
                <w:lang w:val="es-CO" w:eastAsia="es-CO"/>
              </w:rPr>
              <w:t>SF</w:t>
            </w:r>
            <w:r w:rsidRPr="004E6CFC">
              <w:rPr>
                <w:rFonts w:cs="Arial"/>
                <w:sz w:val="16"/>
                <w:szCs w:val="16"/>
                <w:lang w:val="es-CO" w:eastAsia="es-CO"/>
              </w:rPr>
              <w:t>6</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17.323.000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N2EQ28</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Seccionalizador motorizado </w:t>
            </w:r>
            <w:r>
              <w:rPr>
                <w:rFonts w:cs="Arial"/>
                <w:sz w:val="16"/>
                <w:szCs w:val="16"/>
                <w:lang w:val="es-CO" w:eastAsia="es-CO"/>
              </w:rPr>
              <w:t>N</w:t>
            </w:r>
            <w:r w:rsidRPr="004E6CFC">
              <w:rPr>
                <w:rFonts w:cs="Arial"/>
                <w:sz w:val="16"/>
                <w:szCs w:val="16"/>
                <w:lang w:val="es-CO" w:eastAsia="es-CO"/>
              </w:rPr>
              <w:t>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20.246.000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N2EQ29</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Seccionalizador manual (bajo carga), 400 </w:t>
            </w:r>
            <w:r>
              <w:rPr>
                <w:rFonts w:cs="Arial"/>
                <w:sz w:val="16"/>
                <w:szCs w:val="16"/>
                <w:lang w:val="es-CO" w:eastAsia="es-CO"/>
              </w:rPr>
              <w:t>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17.323.000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N2EQ30</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Interruptor en aire bajo carga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11.363.000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N2EQ31</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Transición aérea - subterránea </w:t>
            </w:r>
            <w:r>
              <w:rPr>
                <w:rFonts w:cs="Arial"/>
                <w:sz w:val="16"/>
                <w:szCs w:val="16"/>
                <w:lang w:val="es-CO" w:eastAsia="es-CO"/>
              </w:rPr>
              <w:t>N</w:t>
            </w:r>
            <w:r w:rsidRPr="004E6CFC">
              <w:rPr>
                <w:rFonts w:cs="Arial"/>
                <w:sz w:val="16"/>
                <w:szCs w:val="16"/>
                <w:lang w:val="es-CO" w:eastAsia="es-CO"/>
              </w:rPr>
              <w:t>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5.327.000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N2EQ32</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Unidad de adquisición de datos nivel 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58.512.000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N2EQ33</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Armario concentrador (marshall in kiosk)</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9.776.000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N2EQ34</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Unidad de calidad de potencia (pq) creg 024 de 2005</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14.907.000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N2EQ35</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Reconectador </w:t>
            </w:r>
            <w:r>
              <w:rPr>
                <w:rFonts w:cs="Arial"/>
                <w:sz w:val="16"/>
                <w:szCs w:val="16"/>
                <w:lang w:val="es-CO" w:eastAsia="es-CO"/>
              </w:rPr>
              <w:t>N</w:t>
            </w:r>
            <w:r w:rsidRPr="004E6CFC">
              <w:rPr>
                <w:rFonts w:cs="Arial"/>
                <w:sz w:val="16"/>
                <w:szCs w:val="16"/>
                <w:lang w:val="es-CO" w:eastAsia="es-CO"/>
              </w:rPr>
              <w:t>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42.362.000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N2EQ36</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Interruptor de transferencia en </w:t>
            </w:r>
            <w:r>
              <w:rPr>
                <w:rFonts w:cs="Arial"/>
                <w:sz w:val="16"/>
                <w:szCs w:val="16"/>
                <w:lang w:val="es-CO" w:eastAsia="es-CO"/>
              </w:rPr>
              <w:t>SF</w:t>
            </w:r>
            <w:r w:rsidRPr="004E6CFC">
              <w:rPr>
                <w:rFonts w:cs="Arial"/>
                <w:sz w:val="16"/>
                <w:szCs w:val="16"/>
                <w:lang w:val="es-CO" w:eastAsia="es-CO"/>
              </w:rPr>
              <w:t xml:space="preserve">6 </w:t>
            </w:r>
            <w:r>
              <w:rPr>
                <w:rFonts w:cs="Arial"/>
                <w:sz w:val="16"/>
                <w:szCs w:val="16"/>
                <w:lang w:val="es-CO" w:eastAsia="es-CO"/>
              </w:rPr>
              <w:t>N</w:t>
            </w:r>
            <w:r w:rsidRPr="004E6CFC">
              <w:rPr>
                <w:rFonts w:cs="Arial"/>
                <w:sz w:val="16"/>
                <w:szCs w:val="16"/>
                <w:lang w:val="es-CO" w:eastAsia="es-CO"/>
              </w:rPr>
              <w:t>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69.422.000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N2EQ37</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de puesta a tierra</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108.471.000</w:t>
            </w:r>
          </w:p>
        </w:tc>
      </w:tr>
      <w:tr w:rsidR="00697252" w:rsidRPr="004E6CFC" w:rsidTr="00045289">
        <w:trPr>
          <w:trHeight w:val="255"/>
        </w:trPr>
        <w:tc>
          <w:tcPr>
            <w:tcW w:w="737" w:type="dxa"/>
            <w:tcBorders>
              <w:top w:val="nil"/>
              <w:left w:val="single" w:sz="4" w:space="0" w:color="auto"/>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N2EQ38</w:t>
            </w:r>
          </w:p>
        </w:tc>
        <w:tc>
          <w:tcPr>
            <w:tcW w:w="7370" w:type="dxa"/>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Transformador de tensión nivel 2</w:t>
            </w:r>
          </w:p>
        </w:tc>
        <w:tc>
          <w:tcPr>
            <w:tcW w:w="1361"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6"/>
                <w:lang w:val="es-CO" w:eastAsia="es-CO"/>
              </w:rPr>
            </w:pPr>
            <w:r w:rsidRPr="004E6CFC">
              <w:rPr>
                <w:rFonts w:cs="Arial"/>
                <w:sz w:val="16"/>
                <w:szCs w:val="16"/>
                <w:lang w:val="es-CO" w:eastAsia="es-CO"/>
              </w:rPr>
              <w:t>5.699.000</w:t>
            </w:r>
          </w:p>
        </w:tc>
      </w:tr>
    </w:tbl>
    <w:p w:rsidR="00697252" w:rsidRPr="004E6CFC" w:rsidRDefault="00697252" w:rsidP="00697252">
      <w:pPr>
        <w:pStyle w:val="Descripcin"/>
        <w:rPr>
          <w:sz w:val="18"/>
          <w:szCs w:val="18"/>
        </w:rPr>
      </w:pPr>
      <w:r w:rsidRPr="004E6CFC">
        <w:lastRenderedPageBreak/>
        <w:t xml:space="preserve">Tabla </w:t>
      </w:r>
      <w:r w:rsidRPr="004E6CFC">
        <w:fldChar w:fldCharType="begin"/>
      </w:r>
      <w:r w:rsidRPr="004E6CFC">
        <w:instrText xml:space="preserve"> SEQ Tabla \* ARABIC </w:instrText>
      </w:r>
      <w:r w:rsidRPr="004E6CFC">
        <w:fldChar w:fldCharType="separate"/>
      </w:r>
      <w:r w:rsidR="00737178">
        <w:rPr>
          <w:noProof/>
        </w:rPr>
        <w:t>59</w:t>
      </w:r>
      <w:r w:rsidRPr="004E6CFC">
        <w:fldChar w:fldCharType="end"/>
      </w:r>
      <w:r w:rsidRPr="004E6CFC">
        <w:t xml:space="preserve"> Áreas típicas reconocidas para terrenos de las UC</w:t>
      </w:r>
    </w:p>
    <w:p w:rsidR="00697252" w:rsidRPr="004E6CFC" w:rsidRDefault="00697252" w:rsidP="00697252">
      <w:pPr>
        <w:numPr>
          <w:ilvl w:val="12"/>
          <w:numId w:val="0"/>
        </w:numPr>
        <w:suppressAutoHyphens/>
        <w:rPr>
          <w:lang w:val="es-MX"/>
        </w:rPr>
      </w:pPr>
      <w:r w:rsidRPr="004E6CFC">
        <w:rPr>
          <w:noProof/>
          <w:lang w:val="es-CO" w:eastAsia="es-CO"/>
        </w:rPr>
        <w:drawing>
          <wp:inline distT="0" distB="0" distL="0" distR="0" wp14:anchorId="18707733" wp14:editId="2D99945A">
            <wp:extent cx="5962650" cy="5581650"/>
            <wp:effectExtent l="0" t="0" r="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9"/>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962650" cy="5581650"/>
                    </a:xfrm>
                    <a:prstGeom prst="rect">
                      <a:avLst/>
                    </a:prstGeom>
                    <a:noFill/>
                    <a:ln>
                      <a:noFill/>
                    </a:ln>
                  </pic:spPr>
                </pic:pic>
              </a:graphicData>
            </a:graphic>
          </wp:inline>
        </w:drawing>
      </w:r>
    </w:p>
    <w:p w:rsidR="00697252" w:rsidRPr="004E6CFC" w:rsidRDefault="00697252" w:rsidP="00697252">
      <w:pPr>
        <w:pStyle w:val="Descripcin"/>
        <w:rPr>
          <w:sz w:val="18"/>
          <w:szCs w:val="18"/>
        </w:rPr>
      </w:pPr>
      <w:r w:rsidRPr="004E6CFC">
        <w:t xml:space="preserve">Tabla </w:t>
      </w:r>
      <w:r w:rsidRPr="004E6CFC">
        <w:fldChar w:fldCharType="begin"/>
      </w:r>
      <w:r w:rsidRPr="004E6CFC">
        <w:instrText xml:space="preserve"> SEQ Tabla \* ARABIC </w:instrText>
      </w:r>
      <w:r w:rsidRPr="004E6CFC">
        <w:fldChar w:fldCharType="separate"/>
      </w:r>
      <w:r w:rsidR="00737178">
        <w:rPr>
          <w:noProof/>
        </w:rPr>
        <w:t>60</w:t>
      </w:r>
      <w:r w:rsidRPr="004E6CFC">
        <w:fldChar w:fldCharType="end"/>
      </w:r>
      <w:r w:rsidRPr="004E6CFC">
        <w:t xml:space="preserve"> Área reconocida por componente para el edificio de control de subestaciones</w:t>
      </w:r>
    </w:p>
    <w:tbl>
      <w:tblPr>
        <w:tblW w:w="5612" w:type="dxa"/>
        <w:jc w:val="center"/>
        <w:tblCellMar>
          <w:left w:w="70" w:type="dxa"/>
          <w:right w:w="70" w:type="dxa"/>
        </w:tblCellMar>
        <w:tblLook w:val="04A0" w:firstRow="1" w:lastRow="0" w:firstColumn="1" w:lastColumn="0" w:noHBand="0" w:noVBand="1"/>
      </w:tblPr>
      <w:tblGrid>
        <w:gridCol w:w="3640"/>
        <w:gridCol w:w="1972"/>
      </w:tblGrid>
      <w:tr w:rsidR="00697252" w:rsidRPr="004E6CFC" w:rsidTr="00045289">
        <w:trPr>
          <w:trHeight w:val="322"/>
          <w:jc w:val="center"/>
        </w:trPr>
        <w:tc>
          <w:tcPr>
            <w:tcW w:w="36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ITEM</w:t>
            </w:r>
          </w:p>
        </w:tc>
        <w:tc>
          <w:tcPr>
            <w:tcW w:w="1972" w:type="dxa"/>
            <w:tcBorders>
              <w:top w:val="single" w:sz="4" w:space="0" w:color="auto"/>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AREA RECONOCIDA [m</w:t>
            </w:r>
            <w:r w:rsidRPr="004E6CFC">
              <w:rPr>
                <w:rFonts w:cs="Arial"/>
                <w:sz w:val="18"/>
                <w:szCs w:val="14"/>
                <w:vertAlign w:val="superscript"/>
                <w:lang w:val="es-CO" w:eastAsia="es-CO"/>
              </w:rPr>
              <w:t>2</w:t>
            </w:r>
            <w:r w:rsidRPr="004E6CFC">
              <w:rPr>
                <w:rFonts w:cs="Arial"/>
                <w:sz w:val="18"/>
                <w:szCs w:val="14"/>
                <w:lang w:val="es-CO" w:eastAsia="es-CO"/>
              </w:rPr>
              <w:t>]</w:t>
            </w:r>
          </w:p>
        </w:tc>
      </w:tr>
      <w:tr w:rsidR="00697252" w:rsidRPr="004E6CFC" w:rsidTr="00045289">
        <w:trPr>
          <w:trHeight w:val="270"/>
          <w:jc w:val="center"/>
        </w:trPr>
        <w:tc>
          <w:tcPr>
            <w:tcW w:w="3640"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ÁREAS GENERALES S/E NIVEL 4 - AG</w:t>
            </w:r>
            <w:r w:rsidRPr="004E6CFC">
              <w:rPr>
                <w:rFonts w:cs="Arial"/>
                <w:sz w:val="16"/>
                <w:szCs w:val="14"/>
                <w:vertAlign w:val="subscript"/>
                <w:lang w:val="es-CO" w:eastAsia="es-CO"/>
              </w:rPr>
              <w:t>4,s</w:t>
            </w:r>
          </w:p>
        </w:tc>
        <w:tc>
          <w:tcPr>
            <w:tcW w:w="1972"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75</w:t>
            </w:r>
          </w:p>
        </w:tc>
      </w:tr>
      <w:tr w:rsidR="00697252" w:rsidRPr="004E6CFC" w:rsidTr="00045289">
        <w:trPr>
          <w:trHeight w:val="270"/>
          <w:jc w:val="center"/>
        </w:trPr>
        <w:tc>
          <w:tcPr>
            <w:tcW w:w="3640"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ÁREAS GENERALES S/E NIVEL 3 - AG</w:t>
            </w:r>
            <w:r w:rsidRPr="004E6CFC">
              <w:rPr>
                <w:rFonts w:cs="Arial"/>
                <w:sz w:val="16"/>
                <w:szCs w:val="14"/>
                <w:vertAlign w:val="subscript"/>
                <w:lang w:val="es-CO" w:eastAsia="es-CO"/>
              </w:rPr>
              <w:t>3,s</w:t>
            </w:r>
          </w:p>
        </w:tc>
        <w:tc>
          <w:tcPr>
            <w:tcW w:w="1972"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56,25</w:t>
            </w:r>
          </w:p>
        </w:tc>
      </w:tr>
      <w:tr w:rsidR="00697252" w:rsidRPr="004E6CFC" w:rsidTr="00045289">
        <w:trPr>
          <w:trHeight w:val="255"/>
          <w:jc w:val="center"/>
        </w:trPr>
        <w:tc>
          <w:tcPr>
            <w:tcW w:w="3640"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BAHÍA -  ABh</w:t>
            </w:r>
          </w:p>
        </w:tc>
        <w:tc>
          <w:tcPr>
            <w:tcW w:w="1972"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11,25</w:t>
            </w:r>
          </w:p>
        </w:tc>
      </w:tr>
      <w:tr w:rsidR="00697252" w:rsidRPr="004E6CFC" w:rsidTr="00045289">
        <w:trPr>
          <w:trHeight w:val="255"/>
          <w:jc w:val="center"/>
        </w:trPr>
        <w:tc>
          <w:tcPr>
            <w:tcW w:w="3640" w:type="dxa"/>
            <w:tcBorders>
              <w:top w:val="nil"/>
              <w:left w:val="single" w:sz="4" w:space="0" w:color="auto"/>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4"/>
                <w:lang w:val="es-CO" w:eastAsia="es-CO"/>
              </w:rPr>
            </w:pPr>
            <w:r w:rsidRPr="004E6CFC">
              <w:rPr>
                <w:rFonts w:cs="Arial"/>
                <w:sz w:val="16"/>
                <w:szCs w:val="14"/>
                <w:lang w:val="es-CO" w:eastAsia="es-CO"/>
              </w:rPr>
              <w:t>CELDA  - ACe</w:t>
            </w:r>
          </w:p>
        </w:tc>
        <w:tc>
          <w:tcPr>
            <w:tcW w:w="1972"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right"/>
              <w:rPr>
                <w:rFonts w:cs="Arial"/>
                <w:sz w:val="16"/>
                <w:szCs w:val="14"/>
                <w:lang w:val="es-CO" w:eastAsia="es-CO"/>
              </w:rPr>
            </w:pPr>
            <w:r w:rsidRPr="004E6CFC">
              <w:rPr>
                <w:rFonts w:cs="Arial"/>
                <w:sz w:val="16"/>
                <w:szCs w:val="14"/>
                <w:lang w:val="es-CO" w:eastAsia="es-CO"/>
              </w:rPr>
              <w:t>7,5</w:t>
            </w:r>
          </w:p>
        </w:tc>
      </w:tr>
    </w:tbl>
    <w:p w:rsidR="00697252" w:rsidRPr="004E6CFC" w:rsidRDefault="00697252" w:rsidP="00697252">
      <w:pPr>
        <w:pStyle w:val="Descripcin"/>
        <w:rPr>
          <w:sz w:val="18"/>
          <w:szCs w:val="18"/>
        </w:rPr>
      </w:pPr>
      <w:bookmarkStart w:id="1101" w:name="_Ref404173141"/>
      <w:bookmarkStart w:id="1102" w:name="_Ref210399124"/>
      <w:r w:rsidRPr="004E6CFC">
        <w:t xml:space="preserve">Tabla </w:t>
      </w:r>
      <w:r w:rsidRPr="004E6CFC">
        <w:fldChar w:fldCharType="begin"/>
      </w:r>
      <w:r w:rsidRPr="004E6CFC">
        <w:instrText xml:space="preserve"> SEQ Tabla \* ARABIC </w:instrText>
      </w:r>
      <w:r w:rsidRPr="004E6CFC">
        <w:fldChar w:fldCharType="separate"/>
      </w:r>
      <w:r w:rsidR="00737178">
        <w:rPr>
          <w:noProof/>
        </w:rPr>
        <w:t>61</w:t>
      </w:r>
      <w:r w:rsidRPr="004E6CFC">
        <w:fldChar w:fldCharType="end"/>
      </w:r>
      <w:bookmarkEnd w:id="1101"/>
      <w:r w:rsidRPr="004E6CFC">
        <w:t xml:space="preserve"> Señales por unidad constructiva</w:t>
      </w:r>
    </w:p>
    <w:tbl>
      <w:tblPr>
        <w:tblW w:w="9468" w:type="dxa"/>
        <w:jc w:val="center"/>
        <w:tblCellMar>
          <w:left w:w="70" w:type="dxa"/>
          <w:right w:w="70" w:type="dxa"/>
        </w:tblCellMar>
        <w:tblLook w:val="04A0" w:firstRow="1" w:lastRow="0" w:firstColumn="1" w:lastColumn="0" w:noHBand="0" w:noVBand="1"/>
      </w:tblPr>
      <w:tblGrid>
        <w:gridCol w:w="737"/>
        <w:gridCol w:w="7370"/>
        <w:gridCol w:w="1361"/>
      </w:tblGrid>
      <w:tr w:rsidR="00697252" w:rsidRPr="004E6CFC" w:rsidTr="00045289">
        <w:trPr>
          <w:trHeight w:val="480"/>
          <w:tblHeader/>
          <w:jc w:val="center"/>
        </w:trPr>
        <w:tc>
          <w:tcPr>
            <w:tcW w:w="737" w:type="dxa"/>
            <w:tcBorders>
              <w:top w:val="single" w:sz="4" w:space="0" w:color="auto"/>
              <w:left w:val="single" w:sz="4" w:space="0" w:color="auto"/>
              <w:bottom w:val="single" w:sz="4" w:space="0" w:color="auto"/>
              <w:right w:val="single" w:sz="4" w:space="0" w:color="auto"/>
            </w:tcBorders>
            <w:shd w:val="clear" w:color="auto" w:fill="auto"/>
            <w:vAlign w:val="center"/>
            <w:hideMark/>
          </w:tcPr>
          <w:bookmarkEnd w:id="1102"/>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UC</w:t>
            </w:r>
          </w:p>
        </w:tc>
        <w:tc>
          <w:tcPr>
            <w:tcW w:w="7370" w:type="dxa"/>
            <w:tcBorders>
              <w:top w:val="single" w:sz="4" w:space="0" w:color="auto"/>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DESCRIPCIÓN UC</w:t>
            </w:r>
          </w:p>
        </w:tc>
        <w:tc>
          <w:tcPr>
            <w:tcW w:w="1361" w:type="dxa"/>
            <w:tcBorders>
              <w:top w:val="single" w:sz="4" w:space="0" w:color="auto"/>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center"/>
              <w:rPr>
                <w:rFonts w:cs="Arial"/>
                <w:sz w:val="18"/>
                <w:szCs w:val="14"/>
                <w:lang w:val="es-CO" w:eastAsia="es-CO"/>
              </w:rPr>
            </w:pPr>
            <w:r w:rsidRPr="004E6CFC">
              <w:rPr>
                <w:rFonts w:cs="Arial"/>
                <w:sz w:val="18"/>
                <w:szCs w:val="14"/>
                <w:lang w:val="es-CO" w:eastAsia="es-CO"/>
              </w:rPr>
              <w:t>SEÑALES POR UC</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N4S1</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línea - configuración barra sencilla -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108</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N4S2</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transformador - configuración barra sencilla -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160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N4S3</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línea - configuración barra doble -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108</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N4S4</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transformador - configuración barra doble -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160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N4S5</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línea - configuración barra doble con by pass -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108</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N4S6</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transformador - configuración barra doble con by pass -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160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N4S7</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línea - configuración barra principal y transferencia -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108</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lastRenderedPageBreak/>
              <w:t>N4S8</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transformador - configuración barra principal y transferencia -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160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N4S9</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línea - configuración  interruptor y medio -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162</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N4S10</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transformador - configuración  interruptor y medio -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240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N4S11</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línea - configuración  en anillo -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162</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N4S12</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transformador - configuración en anillo -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240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N4S13</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línea - configuración barra sencilla - tipo encapsulada (</w:t>
            </w:r>
            <w:r>
              <w:rPr>
                <w:rFonts w:cs="Arial"/>
                <w:sz w:val="16"/>
                <w:szCs w:val="16"/>
                <w:lang w:val="es-CO" w:eastAsia="es-CO"/>
              </w:rPr>
              <w:t>SF6</w:t>
            </w:r>
            <w:r w:rsidRPr="004E6CFC">
              <w:rPr>
                <w:rFonts w:cs="Arial"/>
                <w:sz w:val="16"/>
                <w:szCs w:val="16"/>
                <w:lang w:val="es-CO" w:eastAsia="es-CO"/>
              </w:rPr>
              <w:t>)</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108</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N4S14</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transformador - configuración barra sencilla - tipo encapsulada(</w:t>
            </w:r>
            <w:r>
              <w:rPr>
                <w:rFonts w:cs="Arial"/>
                <w:sz w:val="16"/>
                <w:szCs w:val="16"/>
                <w:lang w:val="es-CO" w:eastAsia="es-CO"/>
              </w:rPr>
              <w:t>SF6</w:t>
            </w:r>
            <w:r w:rsidRPr="004E6CFC">
              <w:rPr>
                <w:rFonts w:cs="Arial"/>
                <w:sz w:val="16"/>
                <w:szCs w:val="16"/>
                <w:lang w:val="es-CO" w:eastAsia="es-CO"/>
              </w:rPr>
              <w:t>)</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160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N4S15</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línea - configuración barra doble - tipo encapsulada (</w:t>
            </w:r>
            <w:r>
              <w:rPr>
                <w:rFonts w:cs="Arial"/>
                <w:sz w:val="16"/>
                <w:szCs w:val="16"/>
                <w:lang w:val="es-CO" w:eastAsia="es-CO"/>
              </w:rPr>
              <w:t>SF6</w:t>
            </w:r>
            <w:r w:rsidRPr="004E6CFC">
              <w:rPr>
                <w:rFonts w:cs="Arial"/>
                <w:sz w:val="16"/>
                <w:szCs w:val="16"/>
                <w:lang w:val="es-CO" w:eastAsia="es-CO"/>
              </w:rPr>
              <w:t>)</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108</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N4S16</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transformador - configuración barra doble - tipo encapsulada(</w:t>
            </w:r>
            <w:r>
              <w:rPr>
                <w:rFonts w:cs="Arial"/>
                <w:sz w:val="16"/>
                <w:szCs w:val="16"/>
                <w:lang w:val="es-CO" w:eastAsia="es-CO"/>
              </w:rPr>
              <w:t>SF6</w:t>
            </w:r>
            <w:r w:rsidRPr="004E6CFC">
              <w:rPr>
                <w:rFonts w:cs="Arial"/>
                <w:sz w:val="16"/>
                <w:szCs w:val="16"/>
                <w:lang w:val="es-CO" w:eastAsia="es-CO"/>
              </w:rPr>
              <w:t>)</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160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N4S17</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maniobra - (acople - transferencia o seccionamiento) -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108</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N4S18</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maniobra - tipo encapsulada (</w:t>
            </w:r>
            <w:r>
              <w:rPr>
                <w:rFonts w:cs="Arial"/>
                <w:sz w:val="16"/>
                <w:szCs w:val="16"/>
                <w:lang w:val="es-CO" w:eastAsia="es-CO"/>
              </w:rPr>
              <w:t>SF6</w:t>
            </w:r>
            <w:r w:rsidRPr="004E6CFC">
              <w:rPr>
                <w:rFonts w:cs="Arial"/>
                <w:sz w:val="16"/>
                <w:szCs w:val="16"/>
                <w:lang w:val="es-CO" w:eastAsia="es-CO"/>
              </w:rPr>
              <w:t>)</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108</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N3S1</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línea - configuración barra sencilla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N3S2</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transformador - configuración barra sencilla -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90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N3S3</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línea - configuración barra doble -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N3S4</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transformador - configuración barra doble -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90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N3S5</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línea - configuración barra principal y transferencia -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N3S6</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transformador - configuración barra principal y transferencia -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90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N3S7</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línea - configuración barra sencilla - tipo encapsulada (</w:t>
            </w:r>
            <w:r>
              <w:rPr>
                <w:rFonts w:cs="Arial"/>
                <w:sz w:val="16"/>
                <w:szCs w:val="16"/>
                <w:lang w:val="es-CO" w:eastAsia="es-CO"/>
              </w:rPr>
              <w:t>SF6</w:t>
            </w:r>
            <w:r w:rsidRPr="004E6CFC">
              <w:rPr>
                <w:rFonts w:cs="Arial"/>
                <w:sz w:val="16"/>
                <w:szCs w:val="16"/>
                <w:lang w:val="es-CO" w:eastAsia="es-CO"/>
              </w:rPr>
              <w:t>)</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N3S8</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transformador - configuración barra sencilla - tipo encapsulada (</w:t>
            </w:r>
            <w:r>
              <w:rPr>
                <w:rFonts w:cs="Arial"/>
                <w:sz w:val="16"/>
                <w:szCs w:val="16"/>
                <w:lang w:val="es-CO" w:eastAsia="es-CO"/>
              </w:rPr>
              <w:t>SF6</w:t>
            </w:r>
            <w:r w:rsidRPr="004E6CFC">
              <w:rPr>
                <w:rFonts w:cs="Arial"/>
                <w:sz w:val="16"/>
                <w:szCs w:val="16"/>
                <w:lang w:val="es-CO" w:eastAsia="es-CO"/>
              </w:rPr>
              <w:t>)</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90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N3S9</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línea - configuración barra doble - tipo encapsulada (</w:t>
            </w:r>
            <w:r>
              <w:rPr>
                <w:rFonts w:cs="Arial"/>
                <w:sz w:val="16"/>
                <w:szCs w:val="16"/>
                <w:lang w:val="es-CO" w:eastAsia="es-CO"/>
              </w:rPr>
              <w:t>SF6</w:t>
            </w:r>
            <w:r w:rsidRPr="004E6CFC">
              <w:rPr>
                <w:rFonts w:cs="Arial"/>
                <w:sz w:val="16"/>
                <w:szCs w:val="16"/>
                <w:lang w:val="es-CO" w:eastAsia="es-CO"/>
              </w:rPr>
              <w:t>)</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N3S10</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transformador - configuración barra doble - tipo encapsulada (</w:t>
            </w:r>
            <w:r>
              <w:rPr>
                <w:rFonts w:cs="Arial"/>
                <w:sz w:val="16"/>
                <w:szCs w:val="16"/>
                <w:lang w:val="es-CO" w:eastAsia="es-CO"/>
              </w:rPr>
              <w:t>SF6</w:t>
            </w:r>
            <w:r w:rsidRPr="004E6CFC">
              <w:rPr>
                <w:rFonts w:cs="Arial"/>
                <w:sz w:val="16"/>
                <w:szCs w:val="16"/>
                <w:lang w:val="es-CO" w:eastAsia="es-CO"/>
              </w:rPr>
              <w:t>)</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90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N3S11</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Celda de línea - subestación tipo metalclad</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N3S12</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Celda de transformador o acople - subestación tipo metalclad</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N3S13</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línea - subestación convencional reducida - tipo 1</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N3S14</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transformador - subestación convencional reducida - tipo 1</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90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N3S15</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línea - subestación convencional reducida - tipo 2</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N3S16</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transformador - subestación convencional reducida - tipo 2</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90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N3S17</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línea - subestación reducida</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N3S18</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transformador - subestación reducida</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90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N3S19</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acople -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N3S20</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acople - tipo encapsulada (</w:t>
            </w:r>
            <w:r>
              <w:rPr>
                <w:rFonts w:cs="Arial"/>
                <w:sz w:val="16"/>
                <w:szCs w:val="16"/>
                <w:lang w:val="es-CO" w:eastAsia="es-CO"/>
              </w:rPr>
              <w:t>SF6</w:t>
            </w:r>
            <w:r w:rsidRPr="004E6CFC">
              <w:rPr>
                <w:rFonts w:cs="Arial"/>
                <w:sz w:val="16"/>
                <w:szCs w:val="16"/>
                <w:lang w:val="es-CO" w:eastAsia="es-CO"/>
              </w:rPr>
              <w:t>)</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N2S1</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línea - configuración barra sencilla -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N2S2</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transformador - configuración barra sencilla -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90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N2S3</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línea - configuración barra doble -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N2S4</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transformador - configuración barra doble -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90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N2S5</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línea - configuración barra principal y transferencia -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N2S6</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transformador - configuración barra principal y transferencia -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90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N2S7</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línea - subestación reducida</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N2S8</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Bahía de acople o seccionamiento (configuraciones  en que aplica) - tipo convencional</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N2S9</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Celda de salida de circuito - barra sencilla - subestación metalclad</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N2S10</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Celda de llegada </w:t>
            </w:r>
            <w:r w:rsidR="00A95F4F" w:rsidRPr="004E6CFC">
              <w:rPr>
                <w:rFonts w:cs="Arial"/>
                <w:sz w:val="16"/>
                <w:szCs w:val="16"/>
                <w:lang w:val="es-CO" w:eastAsia="es-CO"/>
              </w:rPr>
              <w:t>de transformador</w:t>
            </w:r>
            <w:r w:rsidRPr="004E6CFC">
              <w:rPr>
                <w:rFonts w:cs="Arial"/>
                <w:sz w:val="16"/>
                <w:szCs w:val="16"/>
                <w:lang w:val="es-CO" w:eastAsia="es-CO"/>
              </w:rPr>
              <w:t xml:space="preserve"> - barra sencilla - subestación metalclad</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N2S11</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Celda de interconexión o de acople - barra sencilla - subestación metalclad</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N2S12</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Celda de medida o auxiliares - barra sencilla - subestación metalclad</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30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N2S13</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Gabinete protección de barras - subestación metalclad</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30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N2S14</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Ducto de barras o cables llegada  transformador - barra sencilla - subestación metalclad</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30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N2S15</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Celda de salida de circuito - doble barra - subestación metalclad</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N2S16</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 xml:space="preserve">Celda de llegada </w:t>
            </w:r>
            <w:r w:rsidR="00A95F4F" w:rsidRPr="004E6CFC">
              <w:rPr>
                <w:rFonts w:cs="Arial"/>
                <w:sz w:val="16"/>
                <w:szCs w:val="16"/>
                <w:lang w:val="es-CO" w:eastAsia="es-CO"/>
              </w:rPr>
              <w:t>de transformador</w:t>
            </w:r>
            <w:r w:rsidRPr="004E6CFC">
              <w:rPr>
                <w:rFonts w:cs="Arial"/>
                <w:sz w:val="16"/>
                <w:szCs w:val="16"/>
                <w:lang w:val="es-CO" w:eastAsia="es-CO"/>
              </w:rPr>
              <w:t xml:space="preserve"> - doble barra - subestación metalclad</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90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N2S17</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Celda de interconexión o de acople - doble barra - subestación metalclad</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60</w:t>
            </w:r>
          </w:p>
        </w:tc>
      </w:tr>
      <w:tr w:rsidR="00697252" w:rsidRPr="004E6CFC" w:rsidTr="00045289">
        <w:trPr>
          <w:trHeight w:val="255"/>
          <w:jc w:val="center"/>
        </w:trPr>
        <w:tc>
          <w:tcPr>
            <w:tcW w:w="737"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N2S18</w:t>
            </w:r>
          </w:p>
        </w:tc>
        <w:tc>
          <w:tcPr>
            <w:tcW w:w="7370"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left"/>
              <w:rPr>
                <w:rFonts w:cs="Arial"/>
                <w:sz w:val="16"/>
                <w:szCs w:val="16"/>
                <w:lang w:val="es-CO" w:eastAsia="es-CO"/>
              </w:rPr>
            </w:pPr>
            <w:r w:rsidRPr="004E6CFC">
              <w:rPr>
                <w:rFonts w:cs="Arial"/>
                <w:sz w:val="16"/>
                <w:szCs w:val="16"/>
                <w:lang w:val="es-CO" w:eastAsia="es-CO"/>
              </w:rPr>
              <w:t>Celda de medida o auxiliares - doble barra - subestación metalclad</w:t>
            </w:r>
          </w:p>
        </w:tc>
        <w:tc>
          <w:tcPr>
            <w:tcW w:w="1361" w:type="dxa"/>
            <w:tcBorders>
              <w:top w:val="nil"/>
              <w:left w:val="nil"/>
              <w:bottom w:val="single" w:sz="4" w:space="0" w:color="auto"/>
              <w:right w:val="single" w:sz="4" w:space="0" w:color="auto"/>
            </w:tcBorders>
            <w:shd w:val="clear" w:color="000000" w:fill="FFFFFF"/>
            <w:noWrap/>
            <w:vAlign w:val="center"/>
            <w:hideMark/>
          </w:tcPr>
          <w:p w:rsidR="00697252" w:rsidRPr="004E6CFC" w:rsidRDefault="00697252" w:rsidP="00045289">
            <w:pPr>
              <w:spacing w:before="0" w:after="0"/>
              <w:jc w:val="center"/>
              <w:rPr>
                <w:rFonts w:cs="Arial"/>
                <w:sz w:val="16"/>
                <w:szCs w:val="16"/>
                <w:lang w:val="es-CO" w:eastAsia="es-CO"/>
              </w:rPr>
            </w:pPr>
            <w:r w:rsidRPr="004E6CFC">
              <w:rPr>
                <w:rFonts w:cs="Arial"/>
                <w:sz w:val="16"/>
                <w:szCs w:val="16"/>
                <w:lang w:val="es-CO" w:eastAsia="es-CO"/>
              </w:rPr>
              <w:t>30</w:t>
            </w:r>
          </w:p>
        </w:tc>
      </w:tr>
    </w:tbl>
    <w:p w:rsidR="00697252" w:rsidRPr="004E6CFC" w:rsidRDefault="00697252" w:rsidP="00697252">
      <w:pPr>
        <w:pStyle w:val="Ttulo2"/>
      </w:pPr>
      <w:bookmarkStart w:id="1103" w:name="_Ref210529042"/>
      <w:bookmarkStart w:id="1104" w:name="_Toc210616060"/>
      <w:bookmarkStart w:id="1105" w:name="_Toc408493233"/>
      <w:bookmarkStart w:id="1106" w:name="_Toc440029180"/>
      <w:r w:rsidRPr="004E6CFC">
        <w:lastRenderedPageBreak/>
        <w:t xml:space="preserve"> </w:t>
      </w:r>
      <w:bookmarkStart w:id="1107" w:name="_Ref450291254"/>
      <w:bookmarkStart w:id="1108" w:name="_Toc476824977"/>
      <w:bookmarkStart w:id="1109" w:name="_Toc505336029"/>
      <w:r w:rsidRPr="004E6CFC">
        <w:t>CATEGORIAS DE UNIDADES CONSTRUCTIVAS</w:t>
      </w:r>
      <w:bookmarkEnd w:id="1100"/>
      <w:bookmarkEnd w:id="1103"/>
      <w:bookmarkEnd w:id="1104"/>
      <w:bookmarkEnd w:id="1105"/>
      <w:bookmarkEnd w:id="1106"/>
      <w:bookmarkEnd w:id="1107"/>
      <w:bookmarkEnd w:id="1108"/>
      <w:bookmarkEnd w:id="1109"/>
      <w:r w:rsidRPr="004E6CFC">
        <w:t xml:space="preserve"> </w:t>
      </w:r>
    </w:p>
    <w:p w:rsidR="00697252" w:rsidRPr="004E6CFC" w:rsidRDefault="00697252" w:rsidP="00697252">
      <w:pPr>
        <w:rPr>
          <w:lang w:val="es-CO"/>
        </w:rPr>
      </w:pPr>
      <w:r w:rsidRPr="004E6CFC">
        <w:rPr>
          <w:lang w:val="es-CO"/>
        </w:rPr>
        <w:t xml:space="preserve">Para la clasificación de las UC de los niveles de tensión 4, 3 y 2, establecidas en este capítulo, se deben utilizar las siguientes categorías: </w:t>
      </w:r>
    </w:p>
    <w:p w:rsidR="00697252" w:rsidRPr="004E6CFC" w:rsidRDefault="00697252" w:rsidP="00697252">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62</w:t>
      </w:r>
      <w:r w:rsidRPr="004E6CFC">
        <w:fldChar w:fldCharType="end"/>
      </w:r>
      <w:r w:rsidRPr="004E6CFC">
        <w:t xml:space="preserve"> Unidades constructivas de la categoría de transformadores de potencia</w:t>
      </w:r>
    </w:p>
    <w:tbl>
      <w:tblPr>
        <w:tblW w:w="5000" w:type="pct"/>
        <w:jc w:val="center"/>
        <w:tblCellMar>
          <w:left w:w="70" w:type="dxa"/>
          <w:right w:w="70" w:type="dxa"/>
        </w:tblCellMar>
        <w:tblLook w:val="04A0" w:firstRow="1" w:lastRow="0" w:firstColumn="1" w:lastColumn="0" w:noHBand="0" w:noVBand="1"/>
      </w:tblPr>
      <w:tblGrid>
        <w:gridCol w:w="1239"/>
        <w:gridCol w:w="2629"/>
        <w:gridCol w:w="1919"/>
        <w:gridCol w:w="1372"/>
        <w:gridCol w:w="2187"/>
      </w:tblGrid>
      <w:tr w:rsidR="00697252" w:rsidRPr="004E6CFC" w:rsidTr="00045289">
        <w:trPr>
          <w:trHeight w:val="340"/>
          <w:jc w:val="center"/>
        </w:trPr>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8"/>
                <w:szCs w:val="20"/>
                <w:lang w:eastAsia="es-CO"/>
              </w:rPr>
            </w:pPr>
            <w:r w:rsidRPr="004E6CFC">
              <w:rPr>
                <w:rFonts w:cs="Arial"/>
                <w:color w:val="000000"/>
                <w:sz w:val="18"/>
                <w:szCs w:val="20"/>
                <w:lang w:eastAsia="es-CO"/>
              </w:rPr>
              <w:t>CATEGORÍA</w:t>
            </w:r>
          </w:p>
        </w:tc>
        <w:tc>
          <w:tcPr>
            <w:tcW w:w="1513"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8"/>
                <w:szCs w:val="20"/>
                <w:lang w:eastAsia="es-CO"/>
              </w:rPr>
            </w:pPr>
            <w:r w:rsidRPr="004E6CFC">
              <w:rPr>
                <w:rFonts w:cs="Arial"/>
                <w:color w:val="000000"/>
                <w:sz w:val="18"/>
                <w:szCs w:val="20"/>
                <w:lang w:eastAsia="es-CO"/>
              </w:rPr>
              <w:t>DESCRIPCIÓN</w:t>
            </w:r>
          </w:p>
        </w:tc>
        <w:tc>
          <w:tcPr>
            <w:tcW w:w="72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8"/>
                <w:szCs w:val="20"/>
                <w:lang w:eastAsia="es-CO"/>
              </w:rPr>
            </w:pPr>
            <w:r w:rsidRPr="004E6CFC">
              <w:rPr>
                <w:rFonts w:cs="Arial"/>
                <w:color w:val="000000"/>
                <w:sz w:val="18"/>
                <w:szCs w:val="20"/>
                <w:lang w:eastAsia="es-CO"/>
              </w:rPr>
              <w:t>NIVEL DE TENSIÓN</w:t>
            </w:r>
          </w:p>
        </w:tc>
        <w:tc>
          <w:tcPr>
            <w:tcW w:w="810"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8"/>
                <w:szCs w:val="20"/>
                <w:lang w:eastAsia="es-CO"/>
              </w:rPr>
            </w:pPr>
            <w:r w:rsidRPr="004E6CFC">
              <w:rPr>
                <w:rFonts w:cs="Arial"/>
                <w:color w:val="000000"/>
                <w:sz w:val="18"/>
                <w:szCs w:val="20"/>
                <w:lang w:eastAsia="es-CO"/>
              </w:rPr>
              <w:t xml:space="preserve">VIDA ÚTIL </w:t>
            </w:r>
          </w:p>
        </w:tc>
        <w:tc>
          <w:tcPr>
            <w:tcW w:w="1246"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8"/>
                <w:szCs w:val="20"/>
                <w:lang w:eastAsia="es-CO"/>
              </w:rPr>
            </w:pPr>
            <w:r w:rsidRPr="004E6CFC">
              <w:rPr>
                <w:rFonts w:cs="Arial"/>
                <w:color w:val="000000"/>
                <w:sz w:val="18"/>
                <w:szCs w:val="20"/>
                <w:lang w:eastAsia="es-CO"/>
              </w:rPr>
              <w:t>UC ASOCIADAS</w:t>
            </w:r>
          </w:p>
        </w:tc>
      </w:tr>
      <w:tr w:rsidR="00697252" w:rsidRPr="004E6CFC" w:rsidTr="00045289">
        <w:trPr>
          <w:trHeight w:val="397"/>
          <w:jc w:val="center"/>
        </w:trPr>
        <w:tc>
          <w:tcPr>
            <w:tcW w:w="709"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6"/>
                <w:szCs w:val="20"/>
                <w:lang w:eastAsia="es-CO"/>
              </w:rPr>
            </w:pPr>
            <w:r w:rsidRPr="004E6CFC">
              <w:rPr>
                <w:rFonts w:cs="Arial"/>
                <w:color w:val="000000"/>
                <w:sz w:val="16"/>
                <w:szCs w:val="20"/>
                <w:lang w:eastAsia="es-CO"/>
              </w:rPr>
              <w:t>1</w:t>
            </w:r>
          </w:p>
        </w:tc>
        <w:tc>
          <w:tcPr>
            <w:tcW w:w="1513"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left"/>
              <w:rPr>
                <w:rFonts w:cs="Arial"/>
                <w:color w:val="000000"/>
                <w:sz w:val="16"/>
                <w:szCs w:val="20"/>
                <w:lang w:eastAsia="es-CO"/>
              </w:rPr>
            </w:pPr>
            <w:r w:rsidRPr="004E6CFC">
              <w:rPr>
                <w:rFonts w:cs="Arial"/>
                <w:color w:val="000000"/>
                <w:sz w:val="16"/>
                <w:szCs w:val="20"/>
                <w:lang w:eastAsia="es-CO"/>
              </w:rPr>
              <w:t>Transformadores  de potencia</w:t>
            </w:r>
          </w:p>
        </w:tc>
        <w:tc>
          <w:tcPr>
            <w:tcW w:w="722"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20"/>
                <w:lang w:eastAsia="es-CO"/>
              </w:rPr>
            </w:pPr>
            <w:r w:rsidRPr="004E6CFC">
              <w:rPr>
                <w:rFonts w:cs="Arial"/>
                <w:sz w:val="16"/>
                <w:szCs w:val="20"/>
                <w:lang w:eastAsia="es-CO"/>
              </w:rPr>
              <w:t>4</w:t>
            </w:r>
          </w:p>
        </w:tc>
        <w:tc>
          <w:tcPr>
            <w:tcW w:w="810"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20"/>
                <w:lang w:eastAsia="es-CO"/>
              </w:rPr>
            </w:pPr>
            <w:r w:rsidRPr="004E6CFC">
              <w:rPr>
                <w:rFonts w:cs="Arial"/>
                <w:sz w:val="16"/>
                <w:szCs w:val="20"/>
                <w:lang w:eastAsia="es-CO"/>
              </w:rPr>
              <w:t>30</w:t>
            </w:r>
          </w:p>
        </w:tc>
        <w:tc>
          <w:tcPr>
            <w:tcW w:w="1246"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sz w:val="16"/>
                <w:szCs w:val="20"/>
                <w:lang w:eastAsia="es-CO"/>
              </w:rPr>
            </w:pPr>
            <w:r w:rsidRPr="004E6CFC">
              <w:rPr>
                <w:rFonts w:cs="Arial"/>
                <w:sz w:val="16"/>
                <w:szCs w:val="20"/>
                <w:lang w:eastAsia="es-CO"/>
              </w:rPr>
              <w:t>N5T1 a N5T25 y N4T1 a N4T19</w:t>
            </w:r>
          </w:p>
        </w:tc>
      </w:tr>
      <w:tr w:rsidR="00697252" w:rsidRPr="004E6CFC" w:rsidTr="00045289">
        <w:trPr>
          <w:trHeight w:val="397"/>
          <w:jc w:val="center"/>
        </w:trPr>
        <w:tc>
          <w:tcPr>
            <w:tcW w:w="709"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20"/>
                <w:lang w:eastAsia="es-CO"/>
              </w:rPr>
            </w:pPr>
            <w:r w:rsidRPr="004E6CFC">
              <w:rPr>
                <w:rFonts w:cs="Arial"/>
                <w:color w:val="000000"/>
                <w:sz w:val="16"/>
                <w:szCs w:val="20"/>
                <w:lang w:eastAsia="es-CO"/>
              </w:rPr>
              <w:t>1</w:t>
            </w:r>
          </w:p>
        </w:tc>
        <w:tc>
          <w:tcPr>
            <w:tcW w:w="1513"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color w:val="000000"/>
                <w:sz w:val="16"/>
                <w:szCs w:val="20"/>
                <w:lang w:eastAsia="es-CO"/>
              </w:rPr>
            </w:pPr>
            <w:r w:rsidRPr="004E6CFC">
              <w:rPr>
                <w:rFonts w:cs="Arial"/>
                <w:color w:val="000000"/>
                <w:sz w:val="16"/>
                <w:szCs w:val="20"/>
                <w:lang w:eastAsia="es-CO"/>
              </w:rPr>
              <w:t>Transformadores  de potencia</w:t>
            </w:r>
          </w:p>
        </w:tc>
        <w:tc>
          <w:tcPr>
            <w:tcW w:w="722"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20"/>
                <w:lang w:eastAsia="es-CO"/>
              </w:rPr>
            </w:pPr>
            <w:r w:rsidRPr="004E6CFC">
              <w:rPr>
                <w:rFonts w:cs="Arial"/>
                <w:sz w:val="16"/>
                <w:szCs w:val="20"/>
                <w:lang w:eastAsia="es-CO"/>
              </w:rPr>
              <w:t>3</w:t>
            </w:r>
          </w:p>
        </w:tc>
        <w:tc>
          <w:tcPr>
            <w:tcW w:w="810"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20"/>
                <w:lang w:eastAsia="es-CO"/>
              </w:rPr>
            </w:pPr>
            <w:r w:rsidRPr="004E6CFC">
              <w:rPr>
                <w:rFonts w:cs="Arial"/>
                <w:sz w:val="16"/>
                <w:szCs w:val="20"/>
                <w:lang w:eastAsia="es-CO"/>
              </w:rPr>
              <w:t>30</w:t>
            </w:r>
          </w:p>
        </w:tc>
        <w:tc>
          <w:tcPr>
            <w:tcW w:w="1246"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left"/>
              <w:rPr>
                <w:rFonts w:cs="Arial"/>
                <w:sz w:val="16"/>
                <w:szCs w:val="20"/>
                <w:lang w:eastAsia="es-CO"/>
              </w:rPr>
            </w:pPr>
            <w:r w:rsidRPr="004E6CFC">
              <w:rPr>
                <w:rFonts w:cs="Arial"/>
                <w:sz w:val="16"/>
                <w:szCs w:val="20"/>
                <w:lang w:eastAsia="es-CO"/>
              </w:rPr>
              <w:t>N3T1 a N3T8</w:t>
            </w:r>
          </w:p>
        </w:tc>
      </w:tr>
    </w:tbl>
    <w:p w:rsidR="00697252" w:rsidRPr="004E6CFC" w:rsidRDefault="00697252" w:rsidP="00697252">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63</w:t>
      </w:r>
      <w:r w:rsidRPr="004E6CFC">
        <w:fldChar w:fldCharType="end"/>
      </w:r>
      <w:r w:rsidRPr="004E6CFC">
        <w:t xml:space="preserve"> Unidades constructivas de la categoría de compensaciones</w:t>
      </w:r>
    </w:p>
    <w:tbl>
      <w:tblPr>
        <w:tblW w:w="5000" w:type="pct"/>
        <w:jc w:val="center"/>
        <w:tblCellMar>
          <w:left w:w="70" w:type="dxa"/>
          <w:right w:w="70" w:type="dxa"/>
        </w:tblCellMar>
        <w:tblLook w:val="04A0" w:firstRow="1" w:lastRow="0" w:firstColumn="1" w:lastColumn="0" w:noHBand="0" w:noVBand="1"/>
      </w:tblPr>
      <w:tblGrid>
        <w:gridCol w:w="1239"/>
        <w:gridCol w:w="2636"/>
        <w:gridCol w:w="1919"/>
        <w:gridCol w:w="1302"/>
        <w:gridCol w:w="2250"/>
      </w:tblGrid>
      <w:tr w:rsidR="00697252" w:rsidRPr="004E6CFC" w:rsidTr="00045289">
        <w:trPr>
          <w:trHeight w:val="340"/>
          <w:jc w:val="center"/>
        </w:trPr>
        <w:tc>
          <w:tcPr>
            <w:tcW w:w="7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8"/>
                <w:szCs w:val="14"/>
                <w:lang w:eastAsia="es-CO"/>
              </w:rPr>
            </w:pPr>
            <w:r w:rsidRPr="004E6CFC">
              <w:rPr>
                <w:rFonts w:cs="Arial"/>
                <w:color w:val="000000"/>
                <w:sz w:val="18"/>
                <w:szCs w:val="14"/>
                <w:lang w:eastAsia="es-CO"/>
              </w:rPr>
              <w:t>CATEGORÍA</w:t>
            </w:r>
          </w:p>
        </w:tc>
        <w:tc>
          <w:tcPr>
            <w:tcW w:w="1515"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8"/>
                <w:szCs w:val="14"/>
                <w:lang w:eastAsia="es-CO"/>
              </w:rPr>
            </w:pPr>
            <w:r w:rsidRPr="004E6CFC">
              <w:rPr>
                <w:rFonts w:cs="Arial"/>
                <w:color w:val="000000"/>
                <w:sz w:val="18"/>
                <w:szCs w:val="14"/>
                <w:lang w:eastAsia="es-CO"/>
              </w:rPr>
              <w:t>DESCRIPCIÓN</w:t>
            </w:r>
          </w:p>
        </w:tc>
        <w:tc>
          <w:tcPr>
            <w:tcW w:w="728"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8"/>
                <w:szCs w:val="14"/>
                <w:lang w:eastAsia="es-CO"/>
              </w:rPr>
            </w:pPr>
            <w:r w:rsidRPr="004E6CFC">
              <w:rPr>
                <w:rFonts w:cs="Arial"/>
                <w:color w:val="000000"/>
                <w:sz w:val="18"/>
                <w:szCs w:val="14"/>
                <w:lang w:eastAsia="es-CO"/>
              </w:rPr>
              <w:t>NIVEL DE TENSIÓN</w:t>
            </w:r>
          </w:p>
        </w:tc>
        <w:tc>
          <w:tcPr>
            <w:tcW w:w="771"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8"/>
                <w:szCs w:val="14"/>
                <w:lang w:eastAsia="es-CO"/>
              </w:rPr>
            </w:pPr>
            <w:r w:rsidRPr="004E6CFC">
              <w:rPr>
                <w:rFonts w:cs="Arial"/>
                <w:color w:val="000000"/>
                <w:sz w:val="18"/>
                <w:szCs w:val="14"/>
                <w:lang w:eastAsia="es-CO"/>
              </w:rPr>
              <w:t xml:space="preserve">VIDA ÚTIL </w:t>
            </w:r>
          </w:p>
        </w:tc>
        <w:tc>
          <w:tcPr>
            <w:tcW w:w="1278"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8"/>
                <w:szCs w:val="14"/>
                <w:lang w:eastAsia="es-CO"/>
              </w:rPr>
            </w:pPr>
            <w:r w:rsidRPr="004E6CFC">
              <w:rPr>
                <w:rFonts w:cs="Arial"/>
                <w:color w:val="000000"/>
                <w:sz w:val="18"/>
                <w:szCs w:val="14"/>
                <w:lang w:eastAsia="es-CO"/>
              </w:rPr>
              <w:t>UC ASOCIADAS</w:t>
            </w:r>
          </w:p>
        </w:tc>
      </w:tr>
      <w:tr w:rsidR="00697252" w:rsidRPr="004E6CFC" w:rsidTr="00045289">
        <w:trPr>
          <w:trHeight w:val="397"/>
          <w:jc w:val="center"/>
        </w:trPr>
        <w:tc>
          <w:tcPr>
            <w:tcW w:w="708"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6"/>
                <w:szCs w:val="14"/>
                <w:lang w:eastAsia="es-CO"/>
              </w:rPr>
            </w:pPr>
            <w:r w:rsidRPr="004E6CFC">
              <w:rPr>
                <w:rFonts w:cs="Arial"/>
                <w:color w:val="000000"/>
                <w:sz w:val="16"/>
                <w:szCs w:val="14"/>
                <w:lang w:eastAsia="es-CO"/>
              </w:rPr>
              <w:t>2</w:t>
            </w:r>
          </w:p>
        </w:tc>
        <w:tc>
          <w:tcPr>
            <w:tcW w:w="1515"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color w:val="000000"/>
                <w:sz w:val="16"/>
                <w:szCs w:val="14"/>
                <w:lang w:eastAsia="es-CO"/>
              </w:rPr>
            </w:pPr>
            <w:r w:rsidRPr="004E6CFC">
              <w:rPr>
                <w:rFonts w:cs="Arial"/>
                <w:color w:val="000000"/>
                <w:sz w:val="16"/>
                <w:szCs w:val="14"/>
                <w:lang w:eastAsia="es-CO"/>
              </w:rPr>
              <w:t>Compensaciones</w:t>
            </w:r>
          </w:p>
        </w:tc>
        <w:tc>
          <w:tcPr>
            <w:tcW w:w="728"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4</w:t>
            </w:r>
          </w:p>
        </w:tc>
        <w:tc>
          <w:tcPr>
            <w:tcW w:w="771"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30</w:t>
            </w:r>
          </w:p>
        </w:tc>
        <w:tc>
          <w:tcPr>
            <w:tcW w:w="1278"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sz w:val="16"/>
                <w:szCs w:val="14"/>
                <w:lang w:eastAsia="es-CO"/>
              </w:rPr>
            </w:pPr>
            <w:r w:rsidRPr="004E6CFC">
              <w:rPr>
                <w:rFonts w:cs="Arial"/>
                <w:sz w:val="16"/>
                <w:szCs w:val="14"/>
                <w:lang w:eastAsia="es-CO"/>
              </w:rPr>
              <w:t>N4CR1 a N4CR5</w:t>
            </w:r>
          </w:p>
        </w:tc>
      </w:tr>
      <w:tr w:rsidR="00697252" w:rsidRPr="004E6CFC" w:rsidTr="00045289">
        <w:trPr>
          <w:trHeight w:val="397"/>
          <w:jc w:val="center"/>
        </w:trPr>
        <w:tc>
          <w:tcPr>
            <w:tcW w:w="708"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6"/>
                <w:szCs w:val="14"/>
                <w:lang w:eastAsia="es-CO"/>
              </w:rPr>
            </w:pPr>
            <w:r w:rsidRPr="004E6CFC">
              <w:rPr>
                <w:rFonts w:cs="Arial"/>
                <w:color w:val="000000"/>
                <w:sz w:val="16"/>
                <w:szCs w:val="14"/>
                <w:lang w:eastAsia="es-CO"/>
              </w:rPr>
              <w:t>2</w:t>
            </w:r>
          </w:p>
        </w:tc>
        <w:tc>
          <w:tcPr>
            <w:tcW w:w="1515"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color w:val="000000"/>
                <w:sz w:val="16"/>
                <w:szCs w:val="14"/>
                <w:lang w:eastAsia="es-CO"/>
              </w:rPr>
            </w:pPr>
            <w:r w:rsidRPr="004E6CFC">
              <w:rPr>
                <w:rFonts w:cs="Arial"/>
                <w:color w:val="000000"/>
                <w:sz w:val="16"/>
                <w:szCs w:val="14"/>
                <w:lang w:eastAsia="es-CO"/>
              </w:rPr>
              <w:t>Compensaciones</w:t>
            </w:r>
          </w:p>
        </w:tc>
        <w:tc>
          <w:tcPr>
            <w:tcW w:w="728"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3</w:t>
            </w:r>
          </w:p>
        </w:tc>
        <w:tc>
          <w:tcPr>
            <w:tcW w:w="771"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30</w:t>
            </w:r>
          </w:p>
        </w:tc>
        <w:tc>
          <w:tcPr>
            <w:tcW w:w="1278"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sz w:val="16"/>
                <w:szCs w:val="14"/>
                <w:lang w:eastAsia="es-CO"/>
              </w:rPr>
            </w:pPr>
            <w:r w:rsidRPr="004E6CFC">
              <w:rPr>
                <w:rFonts w:cs="Arial"/>
                <w:sz w:val="16"/>
                <w:szCs w:val="14"/>
                <w:lang w:eastAsia="es-CO"/>
              </w:rPr>
              <w:t>N3CR1 a N3CR5</w:t>
            </w:r>
          </w:p>
        </w:tc>
      </w:tr>
      <w:tr w:rsidR="00697252" w:rsidRPr="004E6CFC" w:rsidTr="00045289">
        <w:trPr>
          <w:trHeight w:val="397"/>
          <w:jc w:val="center"/>
        </w:trPr>
        <w:tc>
          <w:tcPr>
            <w:tcW w:w="708"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4"/>
                <w:lang w:eastAsia="es-CO"/>
              </w:rPr>
            </w:pPr>
            <w:r w:rsidRPr="004E6CFC">
              <w:rPr>
                <w:rFonts w:cs="Arial"/>
                <w:color w:val="000000"/>
                <w:sz w:val="16"/>
                <w:szCs w:val="14"/>
                <w:lang w:eastAsia="es-CO"/>
              </w:rPr>
              <w:t>2</w:t>
            </w:r>
          </w:p>
        </w:tc>
        <w:tc>
          <w:tcPr>
            <w:tcW w:w="1515"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eastAsia="es-CO"/>
              </w:rPr>
            </w:pPr>
            <w:r w:rsidRPr="004E6CFC">
              <w:rPr>
                <w:rFonts w:cs="Arial"/>
                <w:color w:val="000000"/>
                <w:sz w:val="16"/>
                <w:szCs w:val="14"/>
                <w:lang w:eastAsia="es-CO"/>
              </w:rPr>
              <w:t>Compensaciones</w:t>
            </w:r>
          </w:p>
        </w:tc>
        <w:tc>
          <w:tcPr>
            <w:tcW w:w="728"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eastAsia="es-CO"/>
              </w:rPr>
            </w:pPr>
            <w:r w:rsidRPr="004E6CFC">
              <w:rPr>
                <w:rFonts w:cs="Arial"/>
                <w:sz w:val="16"/>
                <w:szCs w:val="14"/>
                <w:lang w:eastAsia="es-CO"/>
              </w:rPr>
              <w:t>2</w:t>
            </w:r>
          </w:p>
        </w:tc>
        <w:tc>
          <w:tcPr>
            <w:tcW w:w="771"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eastAsia="es-CO"/>
              </w:rPr>
            </w:pPr>
            <w:r w:rsidRPr="004E6CFC">
              <w:rPr>
                <w:rFonts w:cs="Arial"/>
                <w:sz w:val="16"/>
                <w:szCs w:val="14"/>
                <w:lang w:eastAsia="es-CO"/>
              </w:rPr>
              <w:t>30</w:t>
            </w:r>
          </w:p>
        </w:tc>
        <w:tc>
          <w:tcPr>
            <w:tcW w:w="1278"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4"/>
                <w:lang w:eastAsia="es-CO"/>
              </w:rPr>
            </w:pPr>
            <w:r w:rsidRPr="004E6CFC">
              <w:rPr>
                <w:rFonts w:cs="Arial"/>
                <w:sz w:val="16"/>
                <w:szCs w:val="14"/>
                <w:lang w:eastAsia="es-CO"/>
              </w:rPr>
              <w:t>N2CR1 a N2CR6</w:t>
            </w:r>
          </w:p>
        </w:tc>
      </w:tr>
    </w:tbl>
    <w:p w:rsidR="00697252" w:rsidRPr="004E6CFC" w:rsidRDefault="00697252" w:rsidP="00697252">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64</w:t>
      </w:r>
      <w:r w:rsidRPr="004E6CFC">
        <w:fldChar w:fldCharType="end"/>
      </w:r>
      <w:r w:rsidRPr="004E6CFC">
        <w:t xml:space="preserve"> Unidades constructivas de la categoría de bahías y celdas</w:t>
      </w:r>
    </w:p>
    <w:tbl>
      <w:tblPr>
        <w:tblW w:w="5000" w:type="pct"/>
        <w:jc w:val="center"/>
        <w:tblCellMar>
          <w:left w:w="70" w:type="dxa"/>
          <w:right w:w="70" w:type="dxa"/>
        </w:tblCellMar>
        <w:tblLook w:val="04A0" w:firstRow="1" w:lastRow="0" w:firstColumn="1" w:lastColumn="0" w:noHBand="0" w:noVBand="1"/>
      </w:tblPr>
      <w:tblGrid>
        <w:gridCol w:w="1239"/>
        <w:gridCol w:w="2634"/>
        <w:gridCol w:w="1919"/>
        <w:gridCol w:w="1300"/>
        <w:gridCol w:w="2254"/>
      </w:tblGrid>
      <w:tr w:rsidR="00697252" w:rsidRPr="004E6CFC" w:rsidTr="00045289">
        <w:trPr>
          <w:trHeight w:val="340"/>
          <w:jc w:val="center"/>
        </w:trPr>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8"/>
                <w:szCs w:val="14"/>
                <w:lang w:eastAsia="es-CO"/>
              </w:rPr>
            </w:pPr>
            <w:r w:rsidRPr="004E6CFC">
              <w:rPr>
                <w:rFonts w:cs="Arial"/>
                <w:color w:val="000000"/>
                <w:sz w:val="18"/>
                <w:szCs w:val="14"/>
                <w:lang w:eastAsia="es-CO"/>
              </w:rPr>
              <w:t>CATEGORÍA</w:t>
            </w:r>
          </w:p>
        </w:tc>
        <w:tc>
          <w:tcPr>
            <w:tcW w:w="1514"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8"/>
                <w:szCs w:val="14"/>
                <w:lang w:eastAsia="es-CO"/>
              </w:rPr>
            </w:pPr>
            <w:r w:rsidRPr="004E6CFC">
              <w:rPr>
                <w:rFonts w:cs="Arial"/>
                <w:color w:val="000000"/>
                <w:sz w:val="18"/>
                <w:szCs w:val="14"/>
                <w:lang w:eastAsia="es-CO"/>
              </w:rPr>
              <w:t>DESCRIPCIÓN</w:t>
            </w:r>
          </w:p>
        </w:tc>
        <w:tc>
          <w:tcPr>
            <w:tcW w:w="725"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8"/>
                <w:szCs w:val="14"/>
                <w:lang w:eastAsia="es-CO"/>
              </w:rPr>
            </w:pPr>
            <w:r w:rsidRPr="004E6CFC">
              <w:rPr>
                <w:rFonts w:cs="Arial"/>
                <w:color w:val="000000"/>
                <w:sz w:val="18"/>
                <w:szCs w:val="14"/>
                <w:lang w:eastAsia="es-CO"/>
              </w:rPr>
              <w:t>NIVEL DE TENSIÓN</w:t>
            </w:r>
          </w:p>
        </w:tc>
        <w:tc>
          <w:tcPr>
            <w:tcW w:w="771"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8"/>
                <w:szCs w:val="14"/>
                <w:lang w:eastAsia="es-CO"/>
              </w:rPr>
            </w:pPr>
            <w:r w:rsidRPr="004E6CFC">
              <w:rPr>
                <w:rFonts w:cs="Arial"/>
                <w:color w:val="000000"/>
                <w:sz w:val="18"/>
                <w:szCs w:val="14"/>
                <w:lang w:eastAsia="es-CO"/>
              </w:rPr>
              <w:t xml:space="preserve">VIDA ÚTIL </w:t>
            </w:r>
          </w:p>
        </w:tc>
        <w:tc>
          <w:tcPr>
            <w:tcW w:w="1281"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8"/>
                <w:szCs w:val="14"/>
                <w:lang w:eastAsia="es-CO"/>
              </w:rPr>
            </w:pPr>
            <w:r w:rsidRPr="004E6CFC">
              <w:rPr>
                <w:rFonts w:cs="Arial"/>
                <w:color w:val="000000"/>
                <w:sz w:val="18"/>
                <w:szCs w:val="14"/>
                <w:lang w:eastAsia="es-CO"/>
              </w:rPr>
              <w:t>UC ASOCIADAS</w:t>
            </w:r>
          </w:p>
        </w:tc>
      </w:tr>
      <w:tr w:rsidR="00697252" w:rsidRPr="00607A12" w:rsidTr="00045289">
        <w:trPr>
          <w:trHeight w:val="397"/>
          <w:jc w:val="center"/>
        </w:trPr>
        <w:tc>
          <w:tcPr>
            <w:tcW w:w="709"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6"/>
                <w:szCs w:val="14"/>
                <w:lang w:eastAsia="es-CO"/>
              </w:rPr>
            </w:pPr>
            <w:r w:rsidRPr="004E6CFC">
              <w:rPr>
                <w:rFonts w:cs="Arial"/>
                <w:color w:val="000000"/>
                <w:sz w:val="16"/>
                <w:szCs w:val="14"/>
                <w:lang w:eastAsia="es-CO"/>
              </w:rPr>
              <w:t>3</w:t>
            </w:r>
          </w:p>
        </w:tc>
        <w:tc>
          <w:tcPr>
            <w:tcW w:w="1514"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color w:val="000000"/>
                <w:sz w:val="16"/>
                <w:szCs w:val="14"/>
                <w:lang w:eastAsia="es-CO"/>
              </w:rPr>
            </w:pPr>
            <w:r w:rsidRPr="004E6CFC">
              <w:rPr>
                <w:rFonts w:cs="Arial"/>
                <w:color w:val="000000"/>
                <w:sz w:val="16"/>
                <w:szCs w:val="14"/>
                <w:lang w:eastAsia="es-CO"/>
              </w:rPr>
              <w:t>Bahías y celdas</w:t>
            </w:r>
          </w:p>
        </w:tc>
        <w:tc>
          <w:tcPr>
            <w:tcW w:w="725"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4</w:t>
            </w:r>
          </w:p>
        </w:tc>
        <w:tc>
          <w:tcPr>
            <w:tcW w:w="771"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30</w:t>
            </w:r>
          </w:p>
        </w:tc>
        <w:tc>
          <w:tcPr>
            <w:tcW w:w="1281"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sz w:val="16"/>
                <w:szCs w:val="14"/>
                <w:lang w:val="en-US" w:eastAsia="es-CO"/>
              </w:rPr>
            </w:pPr>
            <w:r w:rsidRPr="004E6CFC">
              <w:rPr>
                <w:rFonts w:cs="Arial"/>
                <w:sz w:val="16"/>
                <w:szCs w:val="14"/>
                <w:lang w:val="en-US" w:eastAsia="es-CO"/>
              </w:rPr>
              <w:t>N5S1 a N5S6, N5S9, N4S1E, N4S1 a N4S18, N4S46 y N4S47</w:t>
            </w:r>
          </w:p>
        </w:tc>
      </w:tr>
      <w:tr w:rsidR="00697252" w:rsidRPr="00607A12" w:rsidTr="00045289">
        <w:trPr>
          <w:trHeight w:val="397"/>
          <w:jc w:val="center"/>
        </w:trPr>
        <w:tc>
          <w:tcPr>
            <w:tcW w:w="709"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6"/>
                <w:szCs w:val="14"/>
                <w:lang w:eastAsia="es-CO"/>
              </w:rPr>
            </w:pPr>
            <w:r w:rsidRPr="004E6CFC">
              <w:rPr>
                <w:rFonts w:cs="Arial"/>
                <w:color w:val="000000"/>
                <w:sz w:val="16"/>
                <w:szCs w:val="14"/>
                <w:lang w:eastAsia="es-CO"/>
              </w:rPr>
              <w:t>3</w:t>
            </w:r>
          </w:p>
        </w:tc>
        <w:tc>
          <w:tcPr>
            <w:tcW w:w="1514"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color w:val="000000"/>
                <w:sz w:val="16"/>
                <w:szCs w:val="14"/>
                <w:lang w:eastAsia="es-CO"/>
              </w:rPr>
            </w:pPr>
            <w:r w:rsidRPr="004E6CFC">
              <w:rPr>
                <w:rFonts w:cs="Arial"/>
                <w:color w:val="000000"/>
                <w:sz w:val="16"/>
                <w:szCs w:val="14"/>
                <w:lang w:eastAsia="es-CO"/>
              </w:rPr>
              <w:t>Bahías y celdas</w:t>
            </w:r>
          </w:p>
        </w:tc>
        <w:tc>
          <w:tcPr>
            <w:tcW w:w="725"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3</w:t>
            </w:r>
          </w:p>
        </w:tc>
        <w:tc>
          <w:tcPr>
            <w:tcW w:w="771"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30</w:t>
            </w:r>
          </w:p>
        </w:tc>
        <w:tc>
          <w:tcPr>
            <w:tcW w:w="1281"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sz w:val="16"/>
                <w:szCs w:val="14"/>
                <w:lang w:val="en-US" w:eastAsia="es-CO"/>
              </w:rPr>
            </w:pPr>
            <w:r w:rsidRPr="004E6CFC">
              <w:rPr>
                <w:rFonts w:cs="Arial"/>
                <w:sz w:val="16"/>
                <w:szCs w:val="14"/>
                <w:lang w:val="en-US" w:eastAsia="es-CO"/>
              </w:rPr>
              <w:t>N3S1 a N3S20 y N3S39 a N3S43</w:t>
            </w:r>
          </w:p>
        </w:tc>
      </w:tr>
      <w:tr w:rsidR="00697252" w:rsidRPr="00607A12" w:rsidTr="00045289">
        <w:trPr>
          <w:trHeight w:val="397"/>
          <w:jc w:val="center"/>
        </w:trPr>
        <w:tc>
          <w:tcPr>
            <w:tcW w:w="709"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4"/>
                <w:lang w:eastAsia="es-CO"/>
              </w:rPr>
            </w:pPr>
            <w:r w:rsidRPr="004E6CFC">
              <w:rPr>
                <w:rFonts w:cs="Arial"/>
                <w:color w:val="000000"/>
                <w:sz w:val="16"/>
                <w:szCs w:val="14"/>
                <w:lang w:eastAsia="es-CO"/>
              </w:rPr>
              <w:t>3</w:t>
            </w:r>
          </w:p>
        </w:tc>
        <w:tc>
          <w:tcPr>
            <w:tcW w:w="1514"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eastAsia="es-CO"/>
              </w:rPr>
            </w:pPr>
            <w:r w:rsidRPr="004E6CFC">
              <w:rPr>
                <w:rFonts w:cs="Arial"/>
                <w:color w:val="000000"/>
                <w:sz w:val="16"/>
                <w:szCs w:val="14"/>
                <w:lang w:eastAsia="es-CO"/>
              </w:rPr>
              <w:t>Bahías y celdas</w:t>
            </w:r>
          </w:p>
        </w:tc>
        <w:tc>
          <w:tcPr>
            <w:tcW w:w="725"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eastAsia="es-CO"/>
              </w:rPr>
            </w:pPr>
            <w:r w:rsidRPr="004E6CFC">
              <w:rPr>
                <w:rFonts w:cs="Arial"/>
                <w:sz w:val="16"/>
                <w:szCs w:val="14"/>
                <w:lang w:eastAsia="es-CO"/>
              </w:rPr>
              <w:t>2</w:t>
            </w:r>
          </w:p>
        </w:tc>
        <w:tc>
          <w:tcPr>
            <w:tcW w:w="771"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eastAsia="es-CO"/>
              </w:rPr>
            </w:pPr>
            <w:r w:rsidRPr="004E6CFC">
              <w:rPr>
                <w:rFonts w:cs="Arial"/>
                <w:sz w:val="16"/>
                <w:szCs w:val="14"/>
                <w:lang w:eastAsia="es-CO"/>
              </w:rPr>
              <w:t>30</w:t>
            </w:r>
          </w:p>
        </w:tc>
        <w:tc>
          <w:tcPr>
            <w:tcW w:w="1281"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4"/>
                <w:lang w:val="en-US" w:eastAsia="es-CO"/>
              </w:rPr>
            </w:pPr>
            <w:r w:rsidRPr="004E6CFC">
              <w:rPr>
                <w:rFonts w:cs="Arial"/>
                <w:sz w:val="16"/>
                <w:szCs w:val="14"/>
                <w:lang w:val="en-US" w:eastAsia="es-CO"/>
              </w:rPr>
              <w:t>N2S1 a N2S11 y N2S15 a N2S17</w:t>
            </w:r>
          </w:p>
        </w:tc>
      </w:tr>
    </w:tbl>
    <w:p w:rsidR="00697252" w:rsidRPr="004E6CFC" w:rsidRDefault="00697252" w:rsidP="00697252">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65</w:t>
      </w:r>
      <w:r w:rsidRPr="004E6CFC">
        <w:fldChar w:fldCharType="end"/>
      </w:r>
      <w:r w:rsidRPr="004E6CFC">
        <w:t xml:space="preserve"> Unidades constructivas de la categoría de equipos de control y comunicaciones</w:t>
      </w:r>
    </w:p>
    <w:tbl>
      <w:tblPr>
        <w:tblW w:w="5000" w:type="pct"/>
        <w:jc w:val="center"/>
        <w:tblCellMar>
          <w:left w:w="70" w:type="dxa"/>
          <w:right w:w="70" w:type="dxa"/>
        </w:tblCellMar>
        <w:tblLook w:val="04A0" w:firstRow="1" w:lastRow="0" w:firstColumn="1" w:lastColumn="0" w:noHBand="0" w:noVBand="1"/>
      </w:tblPr>
      <w:tblGrid>
        <w:gridCol w:w="1239"/>
        <w:gridCol w:w="2633"/>
        <w:gridCol w:w="1919"/>
        <w:gridCol w:w="1312"/>
        <w:gridCol w:w="2243"/>
      </w:tblGrid>
      <w:tr w:rsidR="00697252" w:rsidRPr="004E6CFC" w:rsidTr="00045289">
        <w:trPr>
          <w:trHeight w:val="340"/>
          <w:jc w:val="center"/>
        </w:trPr>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CATEGORÍA</w:t>
            </w:r>
          </w:p>
        </w:tc>
        <w:tc>
          <w:tcPr>
            <w:tcW w:w="1515"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DESCRIPCIÓN</w:t>
            </w:r>
          </w:p>
        </w:tc>
        <w:tc>
          <w:tcPr>
            <w:tcW w:w="721"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NIVEL DE TENSIÓN</w:t>
            </w:r>
          </w:p>
        </w:tc>
        <w:tc>
          <w:tcPr>
            <w:tcW w:w="778"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color w:val="000000"/>
                <w:sz w:val="18"/>
                <w:szCs w:val="14"/>
                <w:lang w:eastAsia="es-CO"/>
              </w:rPr>
              <w:t xml:space="preserve">VIDA ÚTIL </w:t>
            </w:r>
          </w:p>
        </w:tc>
        <w:tc>
          <w:tcPr>
            <w:tcW w:w="1276"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UC ASOCIADAS</w:t>
            </w:r>
          </w:p>
        </w:tc>
      </w:tr>
      <w:tr w:rsidR="00697252" w:rsidRPr="00607A12" w:rsidTr="00045289">
        <w:trPr>
          <w:trHeight w:val="397"/>
          <w:jc w:val="center"/>
        </w:trPr>
        <w:tc>
          <w:tcPr>
            <w:tcW w:w="709"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6"/>
                <w:szCs w:val="14"/>
                <w:lang w:eastAsia="es-CO"/>
              </w:rPr>
            </w:pPr>
            <w:r w:rsidRPr="004E6CFC">
              <w:rPr>
                <w:rFonts w:cs="Arial"/>
                <w:color w:val="000000"/>
                <w:sz w:val="16"/>
                <w:szCs w:val="14"/>
                <w:lang w:eastAsia="es-CO"/>
              </w:rPr>
              <w:t>4</w:t>
            </w:r>
          </w:p>
        </w:tc>
        <w:tc>
          <w:tcPr>
            <w:tcW w:w="1515"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color w:val="000000"/>
                <w:sz w:val="16"/>
                <w:szCs w:val="14"/>
                <w:lang w:eastAsia="es-CO"/>
              </w:rPr>
            </w:pPr>
            <w:r w:rsidRPr="004E6CFC">
              <w:rPr>
                <w:rFonts w:cs="Arial"/>
                <w:color w:val="000000"/>
                <w:sz w:val="16"/>
                <w:szCs w:val="14"/>
                <w:lang w:eastAsia="es-CO"/>
              </w:rPr>
              <w:t>Equipos de control y comunicaciones</w:t>
            </w:r>
          </w:p>
        </w:tc>
        <w:tc>
          <w:tcPr>
            <w:tcW w:w="721"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4</w:t>
            </w:r>
          </w:p>
        </w:tc>
        <w:tc>
          <w:tcPr>
            <w:tcW w:w="778"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10</w:t>
            </w:r>
          </w:p>
        </w:tc>
        <w:tc>
          <w:tcPr>
            <w:tcW w:w="1276"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sz w:val="16"/>
                <w:szCs w:val="14"/>
                <w:lang w:val="en-US" w:eastAsia="es-CO"/>
              </w:rPr>
            </w:pPr>
            <w:r w:rsidRPr="004E6CFC">
              <w:rPr>
                <w:rFonts w:cs="Arial"/>
                <w:sz w:val="16"/>
                <w:szCs w:val="14"/>
                <w:lang w:val="en-US" w:eastAsia="es-CO"/>
              </w:rPr>
              <w:t>N5S8, N4S19, N4S45, N4EQ1 y N4EQ4 a N4EQ12</w:t>
            </w:r>
          </w:p>
        </w:tc>
      </w:tr>
      <w:tr w:rsidR="00697252" w:rsidRPr="004E6CFC" w:rsidTr="00045289">
        <w:trPr>
          <w:trHeight w:val="397"/>
          <w:jc w:val="center"/>
        </w:trPr>
        <w:tc>
          <w:tcPr>
            <w:tcW w:w="709"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6"/>
                <w:szCs w:val="14"/>
                <w:lang w:eastAsia="es-CO"/>
              </w:rPr>
            </w:pPr>
            <w:r w:rsidRPr="004E6CFC">
              <w:rPr>
                <w:rFonts w:cs="Arial"/>
                <w:color w:val="000000"/>
                <w:sz w:val="16"/>
                <w:szCs w:val="14"/>
                <w:lang w:eastAsia="es-CO"/>
              </w:rPr>
              <w:t>4</w:t>
            </w:r>
          </w:p>
        </w:tc>
        <w:tc>
          <w:tcPr>
            <w:tcW w:w="1515"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color w:val="000000"/>
                <w:sz w:val="16"/>
                <w:szCs w:val="14"/>
                <w:lang w:eastAsia="es-CO"/>
              </w:rPr>
            </w:pPr>
            <w:r w:rsidRPr="004E6CFC">
              <w:rPr>
                <w:rFonts w:cs="Arial"/>
                <w:color w:val="000000"/>
                <w:sz w:val="16"/>
                <w:szCs w:val="14"/>
                <w:lang w:eastAsia="es-CO"/>
              </w:rPr>
              <w:t>Equipos de control y comunicaciones</w:t>
            </w:r>
          </w:p>
        </w:tc>
        <w:tc>
          <w:tcPr>
            <w:tcW w:w="721"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3</w:t>
            </w:r>
          </w:p>
        </w:tc>
        <w:tc>
          <w:tcPr>
            <w:tcW w:w="778"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10</w:t>
            </w:r>
          </w:p>
        </w:tc>
        <w:tc>
          <w:tcPr>
            <w:tcW w:w="1276"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sz w:val="16"/>
                <w:szCs w:val="14"/>
                <w:lang w:eastAsia="es-CO"/>
              </w:rPr>
            </w:pPr>
            <w:r w:rsidRPr="004E6CFC">
              <w:rPr>
                <w:rFonts w:cs="Arial"/>
                <w:sz w:val="16"/>
                <w:szCs w:val="14"/>
                <w:lang w:eastAsia="es-CO"/>
              </w:rPr>
              <w:t>N3S21 a N3S23, N3S38, N3EQ1, N3EQ12 y N3EQ14 a N3EQ21</w:t>
            </w:r>
          </w:p>
        </w:tc>
      </w:tr>
      <w:tr w:rsidR="00697252" w:rsidRPr="004E6CFC" w:rsidTr="00045289">
        <w:trPr>
          <w:trHeight w:val="397"/>
          <w:jc w:val="center"/>
        </w:trPr>
        <w:tc>
          <w:tcPr>
            <w:tcW w:w="709"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4"/>
                <w:lang w:eastAsia="es-CO"/>
              </w:rPr>
            </w:pPr>
            <w:r w:rsidRPr="004E6CFC">
              <w:rPr>
                <w:rFonts w:cs="Arial"/>
                <w:color w:val="000000"/>
                <w:sz w:val="16"/>
                <w:szCs w:val="14"/>
                <w:lang w:eastAsia="es-CO"/>
              </w:rPr>
              <w:t>4</w:t>
            </w:r>
          </w:p>
        </w:tc>
        <w:tc>
          <w:tcPr>
            <w:tcW w:w="1515"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eastAsia="es-CO"/>
              </w:rPr>
            </w:pPr>
            <w:r w:rsidRPr="004E6CFC">
              <w:rPr>
                <w:rFonts w:cs="Arial"/>
                <w:color w:val="000000"/>
                <w:sz w:val="16"/>
                <w:szCs w:val="14"/>
                <w:lang w:eastAsia="es-CO"/>
              </w:rPr>
              <w:t>Equipos de control y comunicaciones</w:t>
            </w:r>
          </w:p>
        </w:tc>
        <w:tc>
          <w:tcPr>
            <w:tcW w:w="721"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eastAsia="es-CO"/>
              </w:rPr>
            </w:pPr>
            <w:r w:rsidRPr="004E6CFC">
              <w:rPr>
                <w:rFonts w:cs="Arial"/>
                <w:sz w:val="16"/>
                <w:szCs w:val="14"/>
                <w:lang w:eastAsia="es-CO"/>
              </w:rPr>
              <w:t>2</w:t>
            </w:r>
          </w:p>
        </w:tc>
        <w:tc>
          <w:tcPr>
            <w:tcW w:w="778"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eastAsia="es-CO"/>
              </w:rPr>
            </w:pPr>
            <w:r w:rsidRPr="004E6CFC">
              <w:rPr>
                <w:rFonts w:cs="Arial"/>
                <w:sz w:val="16"/>
                <w:szCs w:val="14"/>
                <w:lang w:eastAsia="es-CO"/>
              </w:rPr>
              <w:t>10</w:t>
            </w:r>
          </w:p>
        </w:tc>
        <w:tc>
          <w:tcPr>
            <w:tcW w:w="1276"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4"/>
                <w:lang w:eastAsia="es-CO"/>
              </w:rPr>
            </w:pPr>
            <w:r w:rsidRPr="004E6CFC">
              <w:rPr>
                <w:rFonts w:cs="Arial"/>
                <w:sz w:val="16"/>
                <w:szCs w:val="14"/>
                <w:lang w:eastAsia="es-CO"/>
              </w:rPr>
              <w:t>N2EQ3, N2EQ10, N2EQ32 y N2EQ34</w:t>
            </w:r>
          </w:p>
        </w:tc>
      </w:tr>
    </w:tbl>
    <w:p w:rsidR="00697252" w:rsidRPr="004E6CFC" w:rsidRDefault="00697252" w:rsidP="00697252">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66</w:t>
      </w:r>
      <w:r w:rsidRPr="004E6CFC">
        <w:fldChar w:fldCharType="end"/>
      </w:r>
      <w:r w:rsidRPr="004E6CFC">
        <w:t xml:space="preserve"> Unidades constructivas de la categoría de equipos de subestación </w:t>
      </w:r>
    </w:p>
    <w:tbl>
      <w:tblPr>
        <w:tblW w:w="5000" w:type="pct"/>
        <w:jc w:val="center"/>
        <w:tblLayout w:type="fixed"/>
        <w:tblCellMar>
          <w:left w:w="70" w:type="dxa"/>
          <w:right w:w="70" w:type="dxa"/>
        </w:tblCellMar>
        <w:tblLook w:val="04A0" w:firstRow="1" w:lastRow="0" w:firstColumn="1" w:lastColumn="0" w:noHBand="0" w:noVBand="1"/>
      </w:tblPr>
      <w:tblGrid>
        <w:gridCol w:w="984"/>
        <w:gridCol w:w="2840"/>
        <w:gridCol w:w="1983"/>
        <w:gridCol w:w="1275"/>
        <w:gridCol w:w="2264"/>
      </w:tblGrid>
      <w:tr w:rsidR="00697252" w:rsidRPr="004E6CFC" w:rsidTr="00045289">
        <w:trPr>
          <w:trHeight w:val="340"/>
          <w:jc w:val="center"/>
        </w:trPr>
        <w:tc>
          <w:tcPr>
            <w:tcW w:w="52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CATEGORÍA</w:t>
            </w:r>
          </w:p>
        </w:tc>
        <w:tc>
          <w:tcPr>
            <w:tcW w:w="1519"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DESCRIPCIÓN</w:t>
            </w:r>
          </w:p>
        </w:tc>
        <w:tc>
          <w:tcPr>
            <w:tcW w:w="1061"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NIVEL DE TENSIÓN</w:t>
            </w:r>
          </w:p>
        </w:tc>
        <w:tc>
          <w:tcPr>
            <w:tcW w:w="682"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color w:val="000000"/>
                <w:sz w:val="18"/>
                <w:szCs w:val="14"/>
                <w:lang w:eastAsia="es-CO"/>
              </w:rPr>
              <w:t xml:space="preserve">VIDA ÚTIL </w:t>
            </w:r>
          </w:p>
        </w:tc>
        <w:tc>
          <w:tcPr>
            <w:tcW w:w="1211"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UC ASOCIADAS</w:t>
            </w:r>
          </w:p>
        </w:tc>
      </w:tr>
      <w:tr w:rsidR="00697252" w:rsidRPr="004E6CFC" w:rsidTr="00045289">
        <w:trPr>
          <w:trHeight w:val="397"/>
          <w:jc w:val="center"/>
        </w:trPr>
        <w:tc>
          <w:tcPr>
            <w:tcW w:w="526"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6"/>
                <w:szCs w:val="14"/>
                <w:lang w:eastAsia="es-CO"/>
              </w:rPr>
            </w:pPr>
            <w:r w:rsidRPr="004E6CFC">
              <w:rPr>
                <w:rFonts w:cs="Arial"/>
                <w:color w:val="000000"/>
                <w:sz w:val="16"/>
                <w:szCs w:val="14"/>
                <w:lang w:eastAsia="es-CO"/>
              </w:rPr>
              <w:t>5</w:t>
            </w:r>
          </w:p>
        </w:tc>
        <w:tc>
          <w:tcPr>
            <w:tcW w:w="1519"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color w:val="000000"/>
                <w:sz w:val="16"/>
                <w:szCs w:val="14"/>
                <w:lang w:eastAsia="es-CO"/>
              </w:rPr>
            </w:pPr>
            <w:r w:rsidRPr="004E6CFC">
              <w:rPr>
                <w:rFonts w:cs="Arial"/>
                <w:color w:val="000000"/>
                <w:sz w:val="16"/>
                <w:szCs w:val="14"/>
                <w:lang w:eastAsia="es-CO"/>
              </w:rPr>
              <w:t>Equipos de subestación</w:t>
            </w:r>
          </w:p>
        </w:tc>
        <w:tc>
          <w:tcPr>
            <w:tcW w:w="1061"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4</w:t>
            </w:r>
          </w:p>
        </w:tc>
        <w:tc>
          <w:tcPr>
            <w:tcW w:w="682"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40</w:t>
            </w:r>
          </w:p>
        </w:tc>
        <w:tc>
          <w:tcPr>
            <w:tcW w:w="1211"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left"/>
              <w:rPr>
                <w:rFonts w:cs="Arial"/>
                <w:sz w:val="16"/>
                <w:szCs w:val="14"/>
                <w:lang w:eastAsia="es-CO"/>
              </w:rPr>
            </w:pPr>
            <w:r w:rsidRPr="004E6CFC">
              <w:rPr>
                <w:rFonts w:cs="Arial"/>
                <w:sz w:val="16"/>
                <w:szCs w:val="14"/>
                <w:lang w:eastAsia="es-CO"/>
              </w:rPr>
              <w:t xml:space="preserve">N4EQ2, N4EQ2E, N4EQ3, N4EQ4E, N4EQ13, N4EQ13E, N4EQ14 y N4EQ14E      </w:t>
            </w:r>
          </w:p>
        </w:tc>
      </w:tr>
      <w:tr w:rsidR="00697252" w:rsidRPr="004E6CFC" w:rsidTr="00045289">
        <w:trPr>
          <w:trHeight w:val="397"/>
          <w:jc w:val="center"/>
        </w:trPr>
        <w:tc>
          <w:tcPr>
            <w:tcW w:w="526"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6"/>
                <w:szCs w:val="14"/>
                <w:lang w:eastAsia="es-CO"/>
              </w:rPr>
            </w:pPr>
            <w:r w:rsidRPr="004E6CFC">
              <w:rPr>
                <w:rFonts w:cs="Arial"/>
                <w:color w:val="000000"/>
                <w:sz w:val="16"/>
                <w:szCs w:val="14"/>
                <w:lang w:eastAsia="es-CO"/>
              </w:rPr>
              <w:t>5</w:t>
            </w:r>
          </w:p>
        </w:tc>
        <w:tc>
          <w:tcPr>
            <w:tcW w:w="1519"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color w:val="000000"/>
                <w:sz w:val="16"/>
                <w:szCs w:val="14"/>
                <w:lang w:eastAsia="es-CO"/>
              </w:rPr>
            </w:pPr>
            <w:r w:rsidRPr="004E6CFC">
              <w:rPr>
                <w:rFonts w:cs="Arial"/>
                <w:color w:val="000000"/>
                <w:sz w:val="16"/>
                <w:szCs w:val="14"/>
                <w:lang w:eastAsia="es-CO"/>
              </w:rPr>
              <w:t>Equipos de subestación</w:t>
            </w:r>
          </w:p>
        </w:tc>
        <w:tc>
          <w:tcPr>
            <w:tcW w:w="1061"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3</w:t>
            </w:r>
          </w:p>
        </w:tc>
        <w:tc>
          <w:tcPr>
            <w:tcW w:w="682"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30</w:t>
            </w:r>
          </w:p>
        </w:tc>
        <w:tc>
          <w:tcPr>
            <w:tcW w:w="1211"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sz w:val="16"/>
                <w:szCs w:val="14"/>
                <w:lang w:eastAsia="es-CO"/>
              </w:rPr>
            </w:pPr>
            <w:r w:rsidRPr="004E6CFC">
              <w:rPr>
                <w:rFonts w:cs="Arial"/>
                <w:sz w:val="16"/>
                <w:szCs w:val="14"/>
                <w:lang w:eastAsia="es-CO"/>
              </w:rPr>
              <w:t>N3EQ10, N3EQ11 y N3EQ13</w:t>
            </w:r>
          </w:p>
        </w:tc>
      </w:tr>
      <w:tr w:rsidR="00697252" w:rsidRPr="004E6CFC" w:rsidTr="00045289">
        <w:trPr>
          <w:trHeight w:val="397"/>
          <w:jc w:val="center"/>
        </w:trPr>
        <w:tc>
          <w:tcPr>
            <w:tcW w:w="526"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4"/>
                <w:lang w:eastAsia="es-CO"/>
              </w:rPr>
            </w:pPr>
            <w:r w:rsidRPr="004E6CFC">
              <w:rPr>
                <w:rFonts w:cs="Arial"/>
                <w:color w:val="000000"/>
                <w:sz w:val="16"/>
                <w:szCs w:val="14"/>
                <w:lang w:eastAsia="es-CO"/>
              </w:rPr>
              <w:t>5</w:t>
            </w:r>
          </w:p>
        </w:tc>
        <w:tc>
          <w:tcPr>
            <w:tcW w:w="1519"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eastAsia="es-CO"/>
              </w:rPr>
            </w:pPr>
            <w:r w:rsidRPr="004E6CFC">
              <w:rPr>
                <w:rFonts w:cs="Arial"/>
                <w:color w:val="000000"/>
                <w:sz w:val="16"/>
                <w:szCs w:val="14"/>
                <w:lang w:eastAsia="es-CO"/>
              </w:rPr>
              <w:t>Equipos de subestación</w:t>
            </w:r>
          </w:p>
        </w:tc>
        <w:tc>
          <w:tcPr>
            <w:tcW w:w="1061"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eastAsia="es-CO"/>
              </w:rPr>
            </w:pPr>
            <w:r w:rsidRPr="004E6CFC">
              <w:rPr>
                <w:rFonts w:cs="Arial"/>
                <w:sz w:val="16"/>
                <w:szCs w:val="14"/>
                <w:lang w:eastAsia="es-CO"/>
              </w:rPr>
              <w:t>2</w:t>
            </w:r>
          </w:p>
        </w:tc>
        <w:tc>
          <w:tcPr>
            <w:tcW w:w="682"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eastAsia="es-CO"/>
              </w:rPr>
            </w:pPr>
            <w:r w:rsidRPr="004E6CFC">
              <w:rPr>
                <w:rFonts w:cs="Arial"/>
                <w:sz w:val="16"/>
                <w:szCs w:val="14"/>
                <w:lang w:eastAsia="es-CO"/>
              </w:rPr>
              <w:t>30</w:t>
            </w:r>
          </w:p>
        </w:tc>
        <w:tc>
          <w:tcPr>
            <w:tcW w:w="1211"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4"/>
                <w:lang w:eastAsia="es-CO"/>
              </w:rPr>
            </w:pPr>
            <w:r w:rsidRPr="004E6CFC">
              <w:rPr>
                <w:rFonts w:cs="Arial"/>
                <w:sz w:val="16"/>
                <w:szCs w:val="14"/>
                <w:lang w:eastAsia="es-CO"/>
              </w:rPr>
              <w:t>N2EQ33, N2EQ37, N2EQ38 y N2EQ40</w:t>
            </w:r>
          </w:p>
        </w:tc>
      </w:tr>
    </w:tbl>
    <w:p w:rsidR="00697252" w:rsidRPr="004E6CFC" w:rsidRDefault="00697252" w:rsidP="00697252">
      <w:pPr>
        <w:pStyle w:val="Descripcin"/>
      </w:pPr>
      <w:r w:rsidRPr="004E6CFC">
        <w:lastRenderedPageBreak/>
        <w:t xml:space="preserve">Tabla </w:t>
      </w:r>
      <w:r w:rsidRPr="004E6CFC">
        <w:fldChar w:fldCharType="begin"/>
      </w:r>
      <w:r w:rsidRPr="004E6CFC">
        <w:instrText xml:space="preserve"> SEQ Tabla \* ARABIC </w:instrText>
      </w:r>
      <w:r w:rsidRPr="004E6CFC">
        <w:fldChar w:fldCharType="separate"/>
      </w:r>
      <w:r w:rsidR="00737178">
        <w:rPr>
          <w:noProof/>
        </w:rPr>
        <w:t>67</w:t>
      </w:r>
      <w:r w:rsidRPr="004E6CFC">
        <w:fldChar w:fldCharType="end"/>
      </w:r>
      <w:r w:rsidRPr="004E6CFC">
        <w:t xml:space="preserve"> Unidades constructivas de la categoría de otros activos de subestación </w:t>
      </w:r>
    </w:p>
    <w:tbl>
      <w:tblPr>
        <w:tblW w:w="5000" w:type="pct"/>
        <w:jc w:val="center"/>
        <w:tblCellMar>
          <w:left w:w="70" w:type="dxa"/>
          <w:right w:w="70" w:type="dxa"/>
        </w:tblCellMar>
        <w:tblLook w:val="04A0" w:firstRow="1" w:lastRow="0" w:firstColumn="1" w:lastColumn="0" w:noHBand="0" w:noVBand="1"/>
      </w:tblPr>
      <w:tblGrid>
        <w:gridCol w:w="1239"/>
        <w:gridCol w:w="2634"/>
        <w:gridCol w:w="1919"/>
        <w:gridCol w:w="1295"/>
        <w:gridCol w:w="2259"/>
      </w:tblGrid>
      <w:tr w:rsidR="00697252" w:rsidRPr="004E6CFC" w:rsidTr="00045289">
        <w:trPr>
          <w:trHeight w:val="340"/>
          <w:jc w:val="center"/>
        </w:trPr>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CATEGORÍA</w:t>
            </w:r>
          </w:p>
        </w:tc>
        <w:tc>
          <w:tcPr>
            <w:tcW w:w="1515"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DESCRIPCIÓN</w:t>
            </w:r>
          </w:p>
        </w:tc>
        <w:tc>
          <w:tcPr>
            <w:tcW w:w="724"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NIVEL DE TENSIÓN</w:t>
            </w:r>
          </w:p>
        </w:tc>
        <w:tc>
          <w:tcPr>
            <w:tcW w:w="768"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color w:val="000000"/>
                <w:sz w:val="18"/>
                <w:szCs w:val="14"/>
                <w:lang w:eastAsia="es-CO"/>
              </w:rPr>
              <w:t xml:space="preserve">VIDA ÚTIL </w:t>
            </w:r>
          </w:p>
        </w:tc>
        <w:tc>
          <w:tcPr>
            <w:tcW w:w="1284"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UC ASOCIADAS</w:t>
            </w:r>
          </w:p>
        </w:tc>
      </w:tr>
      <w:tr w:rsidR="00697252" w:rsidRPr="00607A12" w:rsidTr="00045289">
        <w:trPr>
          <w:trHeight w:val="397"/>
          <w:jc w:val="center"/>
        </w:trPr>
        <w:tc>
          <w:tcPr>
            <w:tcW w:w="709"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6"/>
                <w:szCs w:val="14"/>
                <w:lang w:eastAsia="es-CO"/>
              </w:rPr>
            </w:pPr>
            <w:r w:rsidRPr="004E6CFC">
              <w:rPr>
                <w:rFonts w:cs="Arial"/>
                <w:color w:val="000000"/>
                <w:sz w:val="16"/>
                <w:szCs w:val="14"/>
                <w:lang w:eastAsia="es-CO"/>
              </w:rPr>
              <w:t>6</w:t>
            </w:r>
          </w:p>
        </w:tc>
        <w:tc>
          <w:tcPr>
            <w:tcW w:w="1515"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color w:val="000000"/>
                <w:sz w:val="16"/>
                <w:szCs w:val="14"/>
                <w:lang w:eastAsia="es-CO"/>
              </w:rPr>
            </w:pPr>
            <w:r w:rsidRPr="004E6CFC">
              <w:rPr>
                <w:rFonts w:cs="Arial"/>
                <w:color w:val="000000"/>
                <w:sz w:val="16"/>
                <w:szCs w:val="14"/>
                <w:lang w:eastAsia="es-CO"/>
              </w:rPr>
              <w:t>Otros activos subestación</w:t>
            </w:r>
          </w:p>
        </w:tc>
        <w:tc>
          <w:tcPr>
            <w:tcW w:w="724"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4</w:t>
            </w:r>
          </w:p>
        </w:tc>
        <w:tc>
          <w:tcPr>
            <w:tcW w:w="768"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30</w:t>
            </w:r>
          </w:p>
        </w:tc>
        <w:tc>
          <w:tcPr>
            <w:tcW w:w="1284"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sz w:val="16"/>
                <w:szCs w:val="14"/>
                <w:lang w:val="en-US" w:eastAsia="es-CO"/>
              </w:rPr>
            </w:pPr>
            <w:r w:rsidRPr="004E6CFC">
              <w:rPr>
                <w:rFonts w:cs="Arial"/>
                <w:sz w:val="16"/>
                <w:szCs w:val="14"/>
                <w:lang w:val="en-US" w:eastAsia="es-CO"/>
              </w:rPr>
              <w:t xml:space="preserve">N5S7, N5S10, N4S20 a N4S44 y N4S48 </w:t>
            </w:r>
          </w:p>
        </w:tc>
      </w:tr>
      <w:tr w:rsidR="00697252" w:rsidRPr="004E6CFC" w:rsidTr="00045289">
        <w:trPr>
          <w:trHeight w:val="397"/>
          <w:jc w:val="center"/>
        </w:trPr>
        <w:tc>
          <w:tcPr>
            <w:tcW w:w="709"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6"/>
                <w:szCs w:val="14"/>
                <w:lang w:eastAsia="es-CO"/>
              </w:rPr>
            </w:pPr>
            <w:r w:rsidRPr="004E6CFC">
              <w:rPr>
                <w:rFonts w:cs="Arial"/>
                <w:color w:val="000000"/>
                <w:sz w:val="16"/>
                <w:szCs w:val="14"/>
                <w:lang w:eastAsia="es-CO"/>
              </w:rPr>
              <w:t>6</w:t>
            </w:r>
          </w:p>
        </w:tc>
        <w:tc>
          <w:tcPr>
            <w:tcW w:w="1515"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color w:val="000000"/>
                <w:sz w:val="16"/>
                <w:szCs w:val="14"/>
                <w:lang w:eastAsia="es-CO"/>
              </w:rPr>
            </w:pPr>
            <w:r w:rsidRPr="004E6CFC">
              <w:rPr>
                <w:rFonts w:cs="Arial"/>
                <w:color w:val="000000"/>
                <w:sz w:val="16"/>
                <w:szCs w:val="14"/>
                <w:lang w:eastAsia="es-CO"/>
              </w:rPr>
              <w:t>Otros activos subestación</w:t>
            </w:r>
          </w:p>
        </w:tc>
        <w:tc>
          <w:tcPr>
            <w:tcW w:w="724"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3</w:t>
            </w:r>
          </w:p>
        </w:tc>
        <w:tc>
          <w:tcPr>
            <w:tcW w:w="768"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30</w:t>
            </w:r>
          </w:p>
        </w:tc>
        <w:tc>
          <w:tcPr>
            <w:tcW w:w="1284"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sz w:val="16"/>
                <w:szCs w:val="14"/>
                <w:lang w:eastAsia="es-CO"/>
              </w:rPr>
            </w:pPr>
            <w:r w:rsidRPr="004E6CFC">
              <w:rPr>
                <w:rFonts w:cs="Arial"/>
                <w:sz w:val="16"/>
                <w:szCs w:val="14"/>
                <w:lang w:eastAsia="es-CO"/>
              </w:rPr>
              <w:t>N3S24 a N3S37 y N3S44</w:t>
            </w:r>
          </w:p>
        </w:tc>
      </w:tr>
      <w:tr w:rsidR="00697252" w:rsidRPr="00607A12" w:rsidTr="00045289">
        <w:trPr>
          <w:trHeight w:val="397"/>
          <w:jc w:val="center"/>
        </w:trPr>
        <w:tc>
          <w:tcPr>
            <w:tcW w:w="709"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4"/>
                <w:lang w:eastAsia="es-CO"/>
              </w:rPr>
            </w:pPr>
            <w:r w:rsidRPr="004E6CFC">
              <w:rPr>
                <w:rFonts w:cs="Arial"/>
                <w:color w:val="000000"/>
                <w:sz w:val="16"/>
                <w:szCs w:val="14"/>
                <w:lang w:eastAsia="es-CO"/>
              </w:rPr>
              <w:t>6</w:t>
            </w:r>
          </w:p>
        </w:tc>
        <w:tc>
          <w:tcPr>
            <w:tcW w:w="1515"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eastAsia="es-CO"/>
              </w:rPr>
            </w:pPr>
            <w:r w:rsidRPr="004E6CFC">
              <w:rPr>
                <w:rFonts w:cs="Arial"/>
                <w:color w:val="000000"/>
                <w:sz w:val="16"/>
                <w:szCs w:val="14"/>
                <w:lang w:eastAsia="es-CO"/>
              </w:rPr>
              <w:t>Otros activos subestación</w:t>
            </w:r>
          </w:p>
        </w:tc>
        <w:tc>
          <w:tcPr>
            <w:tcW w:w="724"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eastAsia="es-CO"/>
              </w:rPr>
            </w:pPr>
            <w:r w:rsidRPr="004E6CFC">
              <w:rPr>
                <w:rFonts w:cs="Arial"/>
                <w:sz w:val="16"/>
                <w:szCs w:val="14"/>
                <w:lang w:eastAsia="es-CO"/>
              </w:rPr>
              <w:t>2</w:t>
            </w:r>
          </w:p>
        </w:tc>
        <w:tc>
          <w:tcPr>
            <w:tcW w:w="768"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eastAsia="es-CO"/>
              </w:rPr>
            </w:pPr>
            <w:r w:rsidRPr="004E6CFC">
              <w:rPr>
                <w:rFonts w:cs="Arial"/>
                <w:sz w:val="16"/>
                <w:szCs w:val="14"/>
                <w:lang w:eastAsia="es-CO"/>
              </w:rPr>
              <w:t>30</w:t>
            </w:r>
          </w:p>
        </w:tc>
        <w:tc>
          <w:tcPr>
            <w:tcW w:w="1284"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4"/>
                <w:lang w:val="en-US" w:eastAsia="es-CO"/>
              </w:rPr>
            </w:pPr>
            <w:r w:rsidRPr="004E6CFC">
              <w:rPr>
                <w:rFonts w:cs="Arial"/>
                <w:sz w:val="16"/>
                <w:szCs w:val="14"/>
                <w:lang w:val="en-US" w:eastAsia="es-CO"/>
              </w:rPr>
              <w:t>N2S12 a N2S14 y N2S18 a N2S29</w:t>
            </w:r>
          </w:p>
        </w:tc>
      </w:tr>
    </w:tbl>
    <w:p w:rsidR="00697252" w:rsidRPr="004E6CFC" w:rsidRDefault="00697252" w:rsidP="00697252">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68</w:t>
      </w:r>
      <w:r w:rsidRPr="004E6CFC">
        <w:fldChar w:fldCharType="end"/>
      </w:r>
      <w:r w:rsidRPr="004E6CFC">
        <w:t xml:space="preserve"> Unidades constructivas de la categoría de centros de control </w:t>
      </w:r>
    </w:p>
    <w:tbl>
      <w:tblPr>
        <w:tblW w:w="5000" w:type="pct"/>
        <w:jc w:val="center"/>
        <w:tblCellMar>
          <w:left w:w="70" w:type="dxa"/>
          <w:right w:w="70" w:type="dxa"/>
        </w:tblCellMar>
        <w:tblLook w:val="04A0" w:firstRow="1" w:lastRow="0" w:firstColumn="1" w:lastColumn="0" w:noHBand="0" w:noVBand="1"/>
      </w:tblPr>
      <w:tblGrid>
        <w:gridCol w:w="1239"/>
        <w:gridCol w:w="2634"/>
        <w:gridCol w:w="1919"/>
        <w:gridCol w:w="1295"/>
        <w:gridCol w:w="2259"/>
      </w:tblGrid>
      <w:tr w:rsidR="00697252" w:rsidRPr="004E6CFC" w:rsidTr="00045289">
        <w:trPr>
          <w:trHeight w:val="340"/>
          <w:jc w:val="center"/>
        </w:trPr>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CATEGORÍA</w:t>
            </w:r>
          </w:p>
        </w:tc>
        <w:tc>
          <w:tcPr>
            <w:tcW w:w="1515"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DESCRIPCIÓN</w:t>
            </w:r>
          </w:p>
        </w:tc>
        <w:tc>
          <w:tcPr>
            <w:tcW w:w="724"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NIVEL DE TENSIÓN</w:t>
            </w:r>
          </w:p>
        </w:tc>
        <w:tc>
          <w:tcPr>
            <w:tcW w:w="768"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color w:val="000000"/>
                <w:sz w:val="18"/>
                <w:szCs w:val="14"/>
                <w:lang w:eastAsia="es-CO"/>
              </w:rPr>
              <w:t xml:space="preserve">VIDA ÚTIL </w:t>
            </w:r>
          </w:p>
        </w:tc>
        <w:tc>
          <w:tcPr>
            <w:tcW w:w="1284"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UC ASOCIADAS</w:t>
            </w:r>
          </w:p>
        </w:tc>
      </w:tr>
      <w:tr w:rsidR="00697252" w:rsidRPr="004E6CFC" w:rsidTr="00045289">
        <w:trPr>
          <w:trHeight w:val="397"/>
          <w:jc w:val="center"/>
        </w:trPr>
        <w:tc>
          <w:tcPr>
            <w:tcW w:w="709"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4"/>
                <w:lang w:eastAsia="es-CO"/>
              </w:rPr>
            </w:pPr>
            <w:r w:rsidRPr="004E6CFC">
              <w:rPr>
                <w:rFonts w:cs="Arial"/>
                <w:color w:val="000000"/>
                <w:sz w:val="16"/>
                <w:szCs w:val="14"/>
                <w:lang w:eastAsia="es-CO"/>
              </w:rPr>
              <w:t>7</w:t>
            </w:r>
          </w:p>
        </w:tc>
        <w:tc>
          <w:tcPr>
            <w:tcW w:w="1515"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eastAsia="es-CO"/>
              </w:rPr>
            </w:pPr>
            <w:r w:rsidRPr="004E6CFC">
              <w:rPr>
                <w:rFonts w:cs="Arial"/>
                <w:color w:val="000000"/>
                <w:sz w:val="16"/>
                <w:szCs w:val="14"/>
                <w:lang w:eastAsia="es-CO"/>
              </w:rPr>
              <w:t>Centro de control</w:t>
            </w:r>
          </w:p>
        </w:tc>
        <w:tc>
          <w:tcPr>
            <w:tcW w:w="724"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eastAsia="es-CO"/>
              </w:rPr>
            </w:pPr>
            <w:r w:rsidRPr="004E6CFC">
              <w:rPr>
                <w:rFonts w:cs="Arial"/>
                <w:sz w:val="16"/>
                <w:szCs w:val="14"/>
                <w:lang w:eastAsia="es-CO"/>
              </w:rPr>
              <w:t>-</w:t>
            </w:r>
          </w:p>
        </w:tc>
        <w:tc>
          <w:tcPr>
            <w:tcW w:w="768"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eastAsia="es-CO"/>
              </w:rPr>
            </w:pPr>
            <w:r w:rsidRPr="004E6CFC">
              <w:rPr>
                <w:rFonts w:cs="Arial"/>
                <w:sz w:val="16"/>
                <w:szCs w:val="14"/>
                <w:lang w:eastAsia="es-CO"/>
              </w:rPr>
              <w:t>10</w:t>
            </w:r>
          </w:p>
        </w:tc>
        <w:tc>
          <w:tcPr>
            <w:tcW w:w="1284"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4"/>
                <w:lang w:val="en-US" w:eastAsia="es-CO"/>
              </w:rPr>
            </w:pPr>
            <w:r w:rsidRPr="004E6CFC">
              <w:rPr>
                <w:rFonts w:cs="Arial"/>
                <w:sz w:val="16"/>
                <w:szCs w:val="14"/>
                <w:lang w:val="en-US" w:eastAsia="es-CO"/>
              </w:rPr>
              <w:t xml:space="preserve">CCS1 a CCS32 </w:t>
            </w:r>
          </w:p>
        </w:tc>
      </w:tr>
    </w:tbl>
    <w:p w:rsidR="00697252" w:rsidRPr="004E6CFC" w:rsidRDefault="00697252" w:rsidP="00697252">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69</w:t>
      </w:r>
      <w:r w:rsidRPr="004E6CFC">
        <w:fldChar w:fldCharType="end"/>
      </w:r>
      <w:r w:rsidRPr="004E6CFC">
        <w:t xml:space="preserve"> Unidades constructivas de la categoría de líneas aéreas </w:t>
      </w:r>
    </w:p>
    <w:tbl>
      <w:tblPr>
        <w:tblW w:w="5000" w:type="pct"/>
        <w:jc w:val="center"/>
        <w:tblCellMar>
          <w:left w:w="70" w:type="dxa"/>
          <w:right w:w="70" w:type="dxa"/>
        </w:tblCellMar>
        <w:tblLook w:val="04A0" w:firstRow="1" w:lastRow="0" w:firstColumn="1" w:lastColumn="0" w:noHBand="0" w:noVBand="1"/>
      </w:tblPr>
      <w:tblGrid>
        <w:gridCol w:w="1239"/>
        <w:gridCol w:w="2638"/>
        <w:gridCol w:w="1919"/>
        <w:gridCol w:w="1289"/>
        <w:gridCol w:w="2261"/>
      </w:tblGrid>
      <w:tr w:rsidR="00697252" w:rsidRPr="004E6CFC" w:rsidTr="00045289">
        <w:trPr>
          <w:trHeight w:val="340"/>
          <w:jc w:val="center"/>
        </w:trPr>
        <w:tc>
          <w:tcPr>
            <w:tcW w:w="7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CATEGORÍA</w:t>
            </w:r>
          </w:p>
        </w:tc>
        <w:tc>
          <w:tcPr>
            <w:tcW w:w="1515"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DESCRIPCIÓN</w:t>
            </w:r>
          </w:p>
        </w:tc>
        <w:tc>
          <w:tcPr>
            <w:tcW w:w="725"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NIVEL DE TENSIÓN</w:t>
            </w:r>
          </w:p>
        </w:tc>
        <w:tc>
          <w:tcPr>
            <w:tcW w:w="765"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color w:val="000000"/>
                <w:sz w:val="18"/>
                <w:szCs w:val="14"/>
                <w:lang w:eastAsia="es-CO"/>
              </w:rPr>
              <w:t xml:space="preserve">VIDA ÚTIL </w:t>
            </w:r>
          </w:p>
        </w:tc>
        <w:tc>
          <w:tcPr>
            <w:tcW w:w="1285"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UC ASOCIADAS</w:t>
            </w:r>
          </w:p>
        </w:tc>
      </w:tr>
      <w:tr w:rsidR="00697252" w:rsidRPr="004E6CFC" w:rsidTr="00045289">
        <w:trPr>
          <w:trHeight w:val="397"/>
          <w:jc w:val="center"/>
        </w:trPr>
        <w:tc>
          <w:tcPr>
            <w:tcW w:w="710"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6"/>
                <w:szCs w:val="14"/>
                <w:lang w:eastAsia="es-CO"/>
              </w:rPr>
            </w:pPr>
            <w:r w:rsidRPr="004E6CFC">
              <w:rPr>
                <w:rFonts w:cs="Arial"/>
                <w:color w:val="000000"/>
                <w:sz w:val="16"/>
                <w:szCs w:val="14"/>
                <w:lang w:eastAsia="es-CO"/>
              </w:rPr>
              <w:t>8</w:t>
            </w:r>
          </w:p>
        </w:tc>
        <w:tc>
          <w:tcPr>
            <w:tcW w:w="1515"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color w:val="000000"/>
                <w:sz w:val="16"/>
                <w:szCs w:val="14"/>
                <w:lang w:eastAsia="es-CO"/>
              </w:rPr>
            </w:pPr>
            <w:r w:rsidRPr="004E6CFC">
              <w:rPr>
                <w:rFonts w:cs="Arial"/>
                <w:color w:val="000000"/>
                <w:sz w:val="16"/>
                <w:szCs w:val="14"/>
                <w:lang w:eastAsia="es-CO"/>
              </w:rPr>
              <w:t>Líneas aéreas</w:t>
            </w:r>
          </w:p>
        </w:tc>
        <w:tc>
          <w:tcPr>
            <w:tcW w:w="725"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4</w:t>
            </w:r>
          </w:p>
        </w:tc>
        <w:tc>
          <w:tcPr>
            <w:tcW w:w="765"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40</w:t>
            </w:r>
          </w:p>
        </w:tc>
        <w:tc>
          <w:tcPr>
            <w:tcW w:w="1285"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sz w:val="16"/>
                <w:szCs w:val="14"/>
                <w:lang w:eastAsia="es-CO"/>
              </w:rPr>
            </w:pPr>
            <w:r w:rsidRPr="004E6CFC">
              <w:rPr>
                <w:rFonts w:cs="Arial"/>
                <w:sz w:val="16"/>
                <w:szCs w:val="14"/>
                <w:lang w:eastAsia="es-CO"/>
              </w:rPr>
              <w:t>N4L1 a N4L48 y N4L51 a  N4L54</w:t>
            </w:r>
          </w:p>
        </w:tc>
      </w:tr>
      <w:tr w:rsidR="00697252" w:rsidRPr="004E6CFC" w:rsidTr="00045289">
        <w:trPr>
          <w:trHeight w:val="397"/>
          <w:jc w:val="center"/>
        </w:trPr>
        <w:tc>
          <w:tcPr>
            <w:tcW w:w="710"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6"/>
                <w:szCs w:val="14"/>
                <w:lang w:eastAsia="es-CO"/>
              </w:rPr>
            </w:pPr>
            <w:r w:rsidRPr="004E6CFC">
              <w:rPr>
                <w:rFonts w:cs="Arial"/>
                <w:color w:val="000000"/>
                <w:sz w:val="16"/>
                <w:szCs w:val="14"/>
                <w:lang w:eastAsia="es-CO"/>
              </w:rPr>
              <w:t>8</w:t>
            </w:r>
          </w:p>
        </w:tc>
        <w:tc>
          <w:tcPr>
            <w:tcW w:w="1515"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color w:val="000000"/>
                <w:sz w:val="16"/>
                <w:szCs w:val="14"/>
                <w:lang w:eastAsia="es-CO"/>
              </w:rPr>
            </w:pPr>
            <w:r w:rsidRPr="004E6CFC">
              <w:rPr>
                <w:rFonts w:cs="Arial"/>
                <w:color w:val="000000"/>
                <w:sz w:val="16"/>
                <w:szCs w:val="14"/>
                <w:lang w:eastAsia="es-CO"/>
              </w:rPr>
              <w:t>Líneas aéreas</w:t>
            </w:r>
          </w:p>
        </w:tc>
        <w:tc>
          <w:tcPr>
            <w:tcW w:w="725"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3</w:t>
            </w:r>
          </w:p>
        </w:tc>
        <w:tc>
          <w:tcPr>
            <w:tcW w:w="765"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40</w:t>
            </w:r>
          </w:p>
        </w:tc>
        <w:tc>
          <w:tcPr>
            <w:tcW w:w="1285"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sz w:val="16"/>
                <w:szCs w:val="14"/>
                <w:lang w:eastAsia="es-CO"/>
              </w:rPr>
            </w:pPr>
            <w:r w:rsidRPr="004E6CFC">
              <w:rPr>
                <w:rFonts w:cs="Arial"/>
                <w:sz w:val="16"/>
                <w:szCs w:val="14"/>
                <w:lang w:eastAsia="es-CO"/>
              </w:rPr>
              <w:t>N3L1 a N3L26</w:t>
            </w:r>
          </w:p>
        </w:tc>
      </w:tr>
      <w:tr w:rsidR="00697252" w:rsidRPr="004E6CFC" w:rsidTr="00045289">
        <w:trPr>
          <w:trHeight w:val="397"/>
          <w:jc w:val="center"/>
        </w:trPr>
        <w:tc>
          <w:tcPr>
            <w:tcW w:w="710"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4"/>
                <w:lang w:eastAsia="es-CO"/>
              </w:rPr>
            </w:pPr>
            <w:r w:rsidRPr="004E6CFC">
              <w:rPr>
                <w:rFonts w:cs="Arial"/>
                <w:color w:val="000000"/>
                <w:sz w:val="16"/>
                <w:szCs w:val="14"/>
                <w:lang w:eastAsia="es-CO"/>
              </w:rPr>
              <w:t>8</w:t>
            </w:r>
          </w:p>
        </w:tc>
        <w:tc>
          <w:tcPr>
            <w:tcW w:w="1515"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eastAsia="es-CO"/>
              </w:rPr>
            </w:pPr>
            <w:r w:rsidRPr="004E6CFC">
              <w:rPr>
                <w:rFonts w:cs="Arial"/>
                <w:color w:val="000000"/>
                <w:sz w:val="16"/>
                <w:szCs w:val="14"/>
                <w:lang w:eastAsia="es-CO"/>
              </w:rPr>
              <w:t>Líneas aéreas</w:t>
            </w:r>
          </w:p>
        </w:tc>
        <w:tc>
          <w:tcPr>
            <w:tcW w:w="725"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eastAsia="es-CO"/>
              </w:rPr>
            </w:pPr>
            <w:r w:rsidRPr="004E6CFC">
              <w:rPr>
                <w:rFonts w:cs="Arial"/>
                <w:sz w:val="16"/>
                <w:szCs w:val="14"/>
                <w:lang w:eastAsia="es-CO"/>
              </w:rPr>
              <w:t>2</w:t>
            </w:r>
          </w:p>
        </w:tc>
        <w:tc>
          <w:tcPr>
            <w:tcW w:w="765"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eastAsia="es-CO"/>
              </w:rPr>
            </w:pPr>
            <w:r w:rsidRPr="004E6CFC">
              <w:rPr>
                <w:rFonts w:cs="Arial"/>
                <w:sz w:val="16"/>
                <w:szCs w:val="14"/>
                <w:lang w:eastAsia="es-CO"/>
              </w:rPr>
              <w:t>30</w:t>
            </w:r>
          </w:p>
        </w:tc>
        <w:tc>
          <w:tcPr>
            <w:tcW w:w="1285"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4"/>
                <w:lang w:eastAsia="es-CO"/>
              </w:rPr>
            </w:pPr>
            <w:r w:rsidRPr="004E6CFC">
              <w:rPr>
                <w:rFonts w:cs="Arial"/>
                <w:sz w:val="16"/>
                <w:szCs w:val="14"/>
                <w:lang w:eastAsia="es-CO"/>
              </w:rPr>
              <w:t>N2L1 a N2L53</w:t>
            </w:r>
          </w:p>
        </w:tc>
      </w:tr>
    </w:tbl>
    <w:p w:rsidR="00697252" w:rsidRPr="004E6CFC" w:rsidRDefault="00697252" w:rsidP="00697252">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70</w:t>
      </w:r>
      <w:r w:rsidRPr="004E6CFC">
        <w:fldChar w:fldCharType="end"/>
      </w:r>
      <w:r w:rsidRPr="004E6CFC">
        <w:t xml:space="preserve"> Unidades constructivas de la categoría de líneas subterráneas </w:t>
      </w:r>
    </w:p>
    <w:tbl>
      <w:tblPr>
        <w:tblW w:w="5000" w:type="pct"/>
        <w:jc w:val="center"/>
        <w:tblCellMar>
          <w:left w:w="70" w:type="dxa"/>
          <w:right w:w="70" w:type="dxa"/>
        </w:tblCellMar>
        <w:tblLook w:val="04A0" w:firstRow="1" w:lastRow="0" w:firstColumn="1" w:lastColumn="0" w:noHBand="0" w:noVBand="1"/>
      </w:tblPr>
      <w:tblGrid>
        <w:gridCol w:w="1239"/>
        <w:gridCol w:w="2642"/>
        <w:gridCol w:w="1919"/>
        <w:gridCol w:w="1275"/>
        <w:gridCol w:w="2271"/>
      </w:tblGrid>
      <w:tr w:rsidR="00697252" w:rsidRPr="004E6CFC" w:rsidTr="00045289">
        <w:trPr>
          <w:trHeight w:val="340"/>
          <w:jc w:val="center"/>
        </w:trPr>
        <w:tc>
          <w:tcPr>
            <w:tcW w:w="7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CATEGORÍA</w:t>
            </w:r>
          </w:p>
        </w:tc>
        <w:tc>
          <w:tcPr>
            <w:tcW w:w="1517"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DESCRIPCIÓN</w:t>
            </w:r>
          </w:p>
        </w:tc>
        <w:tc>
          <w:tcPr>
            <w:tcW w:w="726"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NIVEL DE TENSIÓN</w:t>
            </w:r>
          </w:p>
        </w:tc>
        <w:tc>
          <w:tcPr>
            <w:tcW w:w="757"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color w:val="000000"/>
                <w:sz w:val="18"/>
                <w:szCs w:val="14"/>
                <w:lang w:eastAsia="es-CO"/>
              </w:rPr>
              <w:t xml:space="preserve">VIDA ÚTIL </w:t>
            </w:r>
          </w:p>
        </w:tc>
        <w:tc>
          <w:tcPr>
            <w:tcW w:w="1290"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UC ASOCIADAS</w:t>
            </w:r>
          </w:p>
        </w:tc>
      </w:tr>
      <w:tr w:rsidR="00697252" w:rsidRPr="004E6CFC" w:rsidTr="00045289">
        <w:trPr>
          <w:trHeight w:val="397"/>
          <w:jc w:val="center"/>
        </w:trPr>
        <w:tc>
          <w:tcPr>
            <w:tcW w:w="710"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6"/>
                <w:szCs w:val="14"/>
                <w:lang w:eastAsia="es-CO"/>
              </w:rPr>
            </w:pPr>
            <w:r w:rsidRPr="004E6CFC">
              <w:rPr>
                <w:rFonts w:cs="Arial"/>
                <w:color w:val="000000"/>
                <w:sz w:val="16"/>
                <w:szCs w:val="14"/>
                <w:lang w:eastAsia="es-CO"/>
              </w:rPr>
              <w:t>9</w:t>
            </w:r>
          </w:p>
        </w:tc>
        <w:tc>
          <w:tcPr>
            <w:tcW w:w="1517"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color w:val="000000"/>
                <w:sz w:val="16"/>
                <w:szCs w:val="14"/>
                <w:lang w:eastAsia="es-CO"/>
              </w:rPr>
            </w:pPr>
            <w:r w:rsidRPr="004E6CFC">
              <w:rPr>
                <w:rFonts w:cs="Arial"/>
                <w:color w:val="000000"/>
                <w:sz w:val="16"/>
                <w:szCs w:val="14"/>
                <w:lang w:eastAsia="es-CO"/>
              </w:rPr>
              <w:t>Líneas subterráneas</w:t>
            </w:r>
          </w:p>
        </w:tc>
        <w:tc>
          <w:tcPr>
            <w:tcW w:w="726"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4</w:t>
            </w:r>
          </w:p>
        </w:tc>
        <w:tc>
          <w:tcPr>
            <w:tcW w:w="757"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40</w:t>
            </w:r>
          </w:p>
        </w:tc>
        <w:tc>
          <w:tcPr>
            <w:tcW w:w="1290"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sz w:val="16"/>
                <w:szCs w:val="14"/>
                <w:lang w:eastAsia="es-CO"/>
              </w:rPr>
            </w:pPr>
            <w:r w:rsidRPr="004E6CFC">
              <w:rPr>
                <w:rFonts w:cs="Arial"/>
                <w:sz w:val="16"/>
                <w:szCs w:val="14"/>
                <w:lang w:eastAsia="es-CO"/>
              </w:rPr>
              <w:t xml:space="preserve">N4L49 y N4L50 </w:t>
            </w:r>
          </w:p>
        </w:tc>
      </w:tr>
      <w:tr w:rsidR="00697252" w:rsidRPr="004E6CFC" w:rsidTr="00045289">
        <w:trPr>
          <w:trHeight w:val="397"/>
          <w:jc w:val="center"/>
        </w:trPr>
        <w:tc>
          <w:tcPr>
            <w:tcW w:w="710"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6"/>
                <w:szCs w:val="14"/>
                <w:lang w:eastAsia="es-CO"/>
              </w:rPr>
            </w:pPr>
            <w:r w:rsidRPr="004E6CFC">
              <w:rPr>
                <w:rFonts w:cs="Arial"/>
                <w:color w:val="000000"/>
                <w:sz w:val="16"/>
                <w:szCs w:val="14"/>
                <w:lang w:eastAsia="es-CO"/>
              </w:rPr>
              <w:t>9</w:t>
            </w:r>
          </w:p>
        </w:tc>
        <w:tc>
          <w:tcPr>
            <w:tcW w:w="1517"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color w:val="000000"/>
                <w:sz w:val="16"/>
                <w:szCs w:val="14"/>
                <w:lang w:eastAsia="es-CO"/>
              </w:rPr>
            </w:pPr>
            <w:r w:rsidRPr="004E6CFC">
              <w:rPr>
                <w:rFonts w:cs="Arial"/>
                <w:color w:val="000000"/>
                <w:sz w:val="16"/>
                <w:szCs w:val="14"/>
                <w:lang w:eastAsia="es-CO"/>
              </w:rPr>
              <w:t>Líneas subterráneas</w:t>
            </w:r>
          </w:p>
        </w:tc>
        <w:tc>
          <w:tcPr>
            <w:tcW w:w="726"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3</w:t>
            </w:r>
          </w:p>
        </w:tc>
        <w:tc>
          <w:tcPr>
            <w:tcW w:w="757"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40</w:t>
            </w:r>
          </w:p>
        </w:tc>
        <w:tc>
          <w:tcPr>
            <w:tcW w:w="1290"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sz w:val="16"/>
                <w:szCs w:val="14"/>
                <w:lang w:eastAsia="es-CO"/>
              </w:rPr>
            </w:pPr>
            <w:r w:rsidRPr="004E6CFC">
              <w:rPr>
                <w:rFonts w:cs="Arial"/>
                <w:sz w:val="16"/>
                <w:szCs w:val="14"/>
                <w:lang w:eastAsia="es-CO"/>
              </w:rPr>
              <w:t>N3L27 a N3L33</w:t>
            </w:r>
          </w:p>
        </w:tc>
      </w:tr>
      <w:tr w:rsidR="00697252" w:rsidRPr="004E6CFC" w:rsidTr="00045289">
        <w:trPr>
          <w:trHeight w:val="397"/>
          <w:jc w:val="center"/>
        </w:trPr>
        <w:tc>
          <w:tcPr>
            <w:tcW w:w="710"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4"/>
                <w:lang w:eastAsia="es-CO"/>
              </w:rPr>
            </w:pPr>
            <w:r w:rsidRPr="004E6CFC">
              <w:rPr>
                <w:rFonts w:cs="Arial"/>
                <w:color w:val="000000"/>
                <w:sz w:val="16"/>
                <w:szCs w:val="14"/>
                <w:lang w:eastAsia="es-CO"/>
              </w:rPr>
              <w:t>9</w:t>
            </w:r>
          </w:p>
        </w:tc>
        <w:tc>
          <w:tcPr>
            <w:tcW w:w="1517"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eastAsia="es-CO"/>
              </w:rPr>
            </w:pPr>
            <w:r w:rsidRPr="004E6CFC">
              <w:rPr>
                <w:rFonts w:cs="Arial"/>
                <w:color w:val="000000"/>
                <w:sz w:val="16"/>
                <w:szCs w:val="14"/>
                <w:lang w:eastAsia="es-CO"/>
              </w:rPr>
              <w:t>Líneas subterráneas</w:t>
            </w:r>
          </w:p>
        </w:tc>
        <w:tc>
          <w:tcPr>
            <w:tcW w:w="726"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eastAsia="es-CO"/>
              </w:rPr>
            </w:pPr>
            <w:r w:rsidRPr="004E6CFC">
              <w:rPr>
                <w:rFonts w:cs="Arial"/>
                <w:sz w:val="16"/>
                <w:szCs w:val="14"/>
                <w:lang w:eastAsia="es-CO"/>
              </w:rPr>
              <w:t>2</w:t>
            </w:r>
          </w:p>
        </w:tc>
        <w:tc>
          <w:tcPr>
            <w:tcW w:w="757"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eastAsia="es-CO"/>
              </w:rPr>
            </w:pPr>
            <w:r w:rsidRPr="004E6CFC">
              <w:rPr>
                <w:rFonts w:cs="Arial"/>
                <w:sz w:val="16"/>
                <w:szCs w:val="14"/>
                <w:lang w:eastAsia="es-CO"/>
              </w:rPr>
              <w:t>30</w:t>
            </w:r>
          </w:p>
        </w:tc>
        <w:tc>
          <w:tcPr>
            <w:tcW w:w="1290"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4"/>
                <w:lang w:eastAsia="es-CO"/>
              </w:rPr>
            </w:pPr>
            <w:r w:rsidRPr="004E6CFC">
              <w:rPr>
                <w:rFonts w:cs="Arial"/>
                <w:sz w:val="16"/>
                <w:szCs w:val="14"/>
                <w:lang w:eastAsia="es-CO"/>
              </w:rPr>
              <w:t>N2L54 a  N2L70</w:t>
            </w:r>
          </w:p>
        </w:tc>
      </w:tr>
    </w:tbl>
    <w:p w:rsidR="00697252" w:rsidRPr="004E6CFC" w:rsidRDefault="00697252" w:rsidP="00697252">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71</w:t>
      </w:r>
      <w:r w:rsidRPr="004E6CFC">
        <w:fldChar w:fldCharType="end"/>
      </w:r>
      <w:r w:rsidRPr="004E6CFC">
        <w:t xml:space="preserve"> Unidades constructivas de la categoría de equipos de línea </w:t>
      </w:r>
    </w:p>
    <w:tbl>
      <w:tblPr>
        <w:tblW w:w="5000" w:type="pct"/>
        <w:jc w:val="center"/>
        <w:tblCellMar>
          <w:left w:w="70" w:type="dxa"/>
          <w:right w:w="70" w:type="dxa"/>
        </w:tblCellMar>
        <w:tblLook w:val="04A0" w:firstRow="1" w:lastRow="0" w:firstColumn="1" w:lastColumn="0" w:noHBand="0" w:noVBand="1"/>
      </w:tblPr>
      <w:tblGrid>
        <w:gridCol w:w="1239"/>
        <w:gridCol w:w="2642"/>
        <w:gridCol w:w="1919"/>
        <w:gridCol w:w="1362"/>
        <w:gridCol w:w="2184"/>
      </w:tblGrid>
      <w:tr w:rsidR="00697252" w:rsidRPr="004E6CFC" w:rsidTr="00045289">
        <w:trPr>
          <w:trHeight w:val="340"/>
          <w:jc w:val="center"/>
        </w:trPr>
        <w:tc>
          <w:tcPr>
            <w:tcW w:w="71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CATEGORÍA</w:t>
            </w:r>
          </w:p>
        </w:tc>
        <w:tc>
          <w:tcPr>
            <w:tcW w:w="1517"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DESCRIPCIÓN</w:t>
            </w:r>
          </w:p>
        </w:tc>
        <w:tc>
          <w:tcPr>
            <w:tcW w:w="725"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NIVEL DE TENSIÓN</w:t>
            </w:r>
          </w:p>
        </w:tc>
        <w:tc>
          <w:tcPr>
            <w:tcW w:w="804"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color w:val="000000"/>
                <w:sz w:val="18"/>
                <w:szCs w:val="14"/>
                <w:lang w:eastAsia="es-CO"/>
              </w:rPr>
              <w:t xml:space="preserve">VIDA ÚTIL </w:t>
            </w:r>
          </w:p>
        </w:tc>
        <w:tc>
          <w:tcPr>
            <w:tcW w:w="1245" w:type="pct"/>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UC ASOCIADAS</w:t>
            </w:r>
          </w:p>
        </w:tc>
      </w:tr>
      <w:tr w:rsidR="00697252" w:rsidRPr="004E6CFC" w:rsidTr="00045289">
        <w:trPr>
          <w:trHeight w:val="397"/>
          <w:jc w:val="center"/>
        </w:trPr>
        <w:tc>
          <w:tcPr>
            <w:tcW w:w="710"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color w:val="000000"/>
                <w:sz w:val="16"/>
                <w:szCs w:val="14"/>
                <w:lang w:eastAsia="es-CO"/>
              </w:rPr>
            </w:pPr>
            <w:r w:rsidRPr="004E6CFC">
              <w:rPr>
                <w:rFonts w:cs="Arial"/>
                <w:color w:val="000000"/>
                <w:sz w:val="16"/>
                <w:szCs w:val="14"/>
                <w:lang w:eastAsia="es-CO"/>
              </w:rPr>
              <w:t>10</w:t>
            </w:r>
          </w:p>
        </w:tc>
        <w:tc>
          <w:tcPr>
            <w:tcW w:w="1517"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color w:val="000000"/>
                <w:sz w:val="16"/>
                <w:szCs w:val="14"/>
                <w:lang w:eastAsia="es-CO"/>
              </w:rPr>
            </w:pPr>
            <w:r w:rsidRPr="004E6CFC">
              <w:rPr>
                <w:rFonts w:cs="Arial"/>
                <w:color w:val="000000"/>
                <w:sz w:val="16"/>
                <w:szCs w:val="14"/>
                <w:lang w:eastAsia="es-CO"/>
              </w:rPr>
              <w:t>Equipos de línea</w:t>
            </w:r>
          </w:p>
        </w:tc>
        <w:tc>
          <w:tcPr>
            <w:tcW w:w="725"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3</w:t>
            </w:r>
          </w:p>
        </w:tc>
        <w:tc>
          <w:tcPr>
            <w:tcW w:w="804"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sz w:val="16"/>
                <w:szCs w:val="14"/>
                <w:lang w:eastAsia="es-CO"/>
              </w:rPr>
            </w:pPr>
            <w:r w:rsidRPr="004E6CFC">
              <w:rPr>
                <w:rFonts w:cs="Arial"/>
                <w:sz w:val="16"/>
                <w:szCs w:val="14"/>
                <w:lang w:eastAsia="es-CO"/>
              </w:rPr>
              <w:t>30</w:t>
            </w:r>
          </w:p>
        </w:tc>
        <w:tc>
          <w:tcPr>
            <w:tcW w:w="1245"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keepNext/>
              <w:spacing w:before="0" w:after="0"/>
              <w:jc w:val="left"/>
              <w:rPr>
                <w:rFonts w:cs="Arial"/>
                <w:sz w:val="16"/>
                <w:szCs w:val="14"/>
                <w:lang w:eastAsia="es-CO"/>
              </w:rPr>
            </w:pPr>
            <w:r w:rsidRPr="004E6CFC">
              <w:rPr>
                <w:rFonts w:cs="Arial"/>
                <w:sz w:val="16"/>
                <w:szCs w:val="14"/>
                <w:lang w:eastAsia="es-CO"/>
              </w:rPr>
              <w:t>N3EQ2 a N3EQ9 y N3EQ22 a N3EQ25</w:t>
            </w:r>
          </w:p>
        </w:tc>
      </w:tr>
      <w:tr w:rsidR="00697252" w:rsidRPr="004E6CFC" w:rsidTr="00045289">
        <w:trPr>
          <w:trHeight w:val="397"/>
          <w:jc w:val="center"/>
        </w:trPr>
        <w:tc>
          <w:tcPr>
            <w:tcW w:w="710" w:type="pct"/>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color w:val="000000"/>
                <w:sz w:val="16"/>
                <w:szCs w:val="14"/>
                <w:lang w:eastAsia="es-CO"/>
              </w:rPr>
            </w:pPr>
            <w:r w:rsidRPr="004E6CFC">
              <w:rPr>
                <w:rFonts w:cs="Arial"/>
                <w:color w:val="000000"/>
                <w:sz w:val="16"/>
                <w:szCs w:val="14"/>
                <w:lang w:eastAsia="es-CO"/>
              </w:rPr>
              <w:t>10</w:t>
            </w:r>
          </w:p>
        </w:tc>
        <w:tc>
          <w:tcPr>
            <w:tcW w:w="1517"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color w:val="000000"/>
                <w:sz w:val="16"/>
                <w:szCs w:val="14"/>
                <w:lang w:eastAsia="es-CO"/>
              </w:rPr>
            </w:pPr>
            <w:r w:rsidRPr="004E6CFC">
              <w:rPr>
                <w:rFonts w:cs="Arial"/>
                <w:color w:val="000000"/>
                <w:sz w:val="16"/>
                <w:szCs w:val="14"/>
                <w:lang w:eastAsia="es-CO"/>
              </w:rPr>
              <w:t>Equipos de línea</w:t>
            </w:r>
          </w:p>
        </w:tc>
        <w:tc>
          <w:tcPr>
            <w:tcW w:w="725"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eastAsia="es-CO"/>
              </w:rPr>
            </w:pPr>
            <w:r w:rsidRPr="004E6CFC">
              <w:rPr>
                <w:rFonts w:cs="Arial"/>
                <w:sz w:val="16"/>
                <w:szCs w:val="14"/>
                <w:lang w:eastAsia="es-CO"/>
              </w:rPr>
              <w:t>2</w:t>
            </w:r>
          </w:p>
        </w:tc>
        <w:tc>
          <w:tcPr>
            <w:tcW w:w="804" w:type="pct"/>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spacing w:before="0" w:after="0"/>
              <w:jc w:val="center"/>
              <w:rPr>
                <w:rFonts w:cs="Arial"/>
                <w:sz w:val="16"/>
                <w:szCs w:val="14"/>
                <w:lang w:eastAsia="es-CO"/>
              </w:rPr>
            </w:pPr>
            <w:r w:rsidRPr="004E6CFC">
              <w:rPr>
                <w:rFonts w:cs="Arial"/>
                <w:sz w:val="16"/>
                <w:szCs w:val="14"/>
                <w:lang w:eastAsia="es-CO"/>
              </w:rPr>
              <w:t>30</w:t>
            </w:r>
          </w:p>
        </w:tc>
        <w:tc>
          <w:tcPr>
            <w:tcW w:w="1245" w:type="pct"/>
            <w:tcBorders>
              <w:top w:val="nil"/>
              <w:left w:val="nil"/>
              <w:bottom w:val="single" w:sz="4" w:space="0" w:color="auto"/>
              <w:right w:val="single" w:sz="4" w:space="0" w:color="auto"/>
            </w:tcBorders>
            <w:shd w:val="clear" w:color="auto" w:fill="auto"/>
            <w:vAlign w:val="center"/>
            <w:hideMark/>
          </w:tcPr>
          <w:p w:rsidR="00697252" w:rsidRPr="004E6CFC" w:rsidRDefault="00697252" w:rsidP="00045289">
            <w:pPr>
              <w:spacing w:before="0" w:after="0"/>
              <w:jc w:val="left"/>
              <w:rPr>
                <w:rFonts w:cs="Arial"/>
                <w:sz w:val="16"/>
                <w:szCs w:val="14"/>
                <w:lang w:eastAsia="es-CO"/>
              </w:rPr>
            </w:pPr>
            <w:r w:rsidRPr="004E6CFC">
              <w:rPr>
                <w:rFonts w:cs="Arial"/>
                <w:sz w:val="16"/>
                <w:szCs w:val="14"/>
                <w:lang w:eastAsia="es-CO"/>
              </w:rPr>
              <w:t>N2EQ1, N2EQ2, N2EQ4 a N2EQ9, N2EQ11 a N2EQ31, N2EQ35 y N2EQ36</w:t>
            </w:r>
          </w:p>
        </w:tc>
      </w:tr>
    </w:tbl>
    <w:p w:rsidR="00697252" w:rsidRPr="004E6CFC" w:rsidRDefault="00697252" w:rsidP="00697252">
      <w:pPr>
        <w:rPr>
          <w:lang w:val="es-CO"/>
        </w:rPr>
      </w:pPr>
      <w:r w:rsidRPr="004E6CFC">
        <w:rPr>
          <w:lang w:val="es-CO"/>
        </w:rPr>
        <w:t>Para la clasificación de los circuitos de nivel de tensión 1 se deben utilizar las siguientes categorías:</w:t>
      </w:r>
    </w:p>
    <w:p w:rsidR="00697252" w:rsidRPr="004E6CFC" w:rsidRDefault="00697252" w:rsidP="00697252">
      <w:pPr>
        <w:pStyle w:val="Descripcin"/>
      </w:pPr>
      <w:r w:rsidRPr="004E6CFC">
        <w:t xml:space="preserve">Tabla </w:t>
      </w:r>
      <w:r w:rsidRPr="004E6CFC">
        <w:fldChar w:fldCharType="begin"/>
      </w:r>
      <w:r w:rsidRPr="004E6CFC">
        <w:instrText xml:space="preserve"> SEQ Tabla \* ARABIC </w:instrText>
      </w:r>
      <w:r w:rsidRPr="004E6CFC">
        <w:fldChar w:fldCharType="separate"/>
      </w:r>
      <w:r w:rsidR="00737178">
        <w:rPr>
          <w:noProof/>
        </w:rPr>
        <w:t>72</w:t>
      </w:r>
      <w:r w:rsidRPr="004E6CFC">
        <w:fldChar w:fldCharType="end"/>
      </w:r>
      <w:r w:rsidRPr="004E6CFC">
        <w:t xml:space="preserve"> Clasificación de activos de nivel de tensión 1</w:t>
      </w:r>
    </w:p>
    <w:tbl>
      <w:tblPr>
        <w:tblW w:w="0" w:type="auto"/>
        <w:jc w:val="center"/>
        <w:tblCellMar>
          <w:left w:w="70" w:type="dxa"/>
          <w:right w:w="70" w:type="dxa"/>
        </w:tblCellMar>
        <w:tblLook w:val="04A0" w:firstRow="1" w:lastRow="0" w:firstColumn="1" w:lastColumn="0" w:noHBand="0" w:noVBand="1"/>
      </w:tblPr>
      <w:tblGrid>
        <w:gridCol w:w="1304"/>
        <w:gridCol w:w="2665"/>
        <w:gridCol w:w="882"/>
        <w:gridCol w:w="1301"/>
      </w:tblGrid>
      <w:tr w:rsidR="00697252" w:rsidRPr="004E6CFC" w:rsidTr="00045289">
        <w:trPr>
          <w:cantSplit/>
          <w:trHeight w:val="425"/>
          <w:tblHeader/>
          <w:jc w:val="center"/>
        </w:trPr>
        <w:tc>
          <w:tcPr>
            <w:tcW w:w="13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CATEGORÍA</w:t>
            </w:r>
          </w:p>
        </w:tc>
        <w:tc>
          <w:tcPr>
            <w:tcW w:w="2665" w:type="dxa"/>
            <w:tcBorders>
              <w:top w:val="single" w:sz="4" w:space="0" w:color="auto"/>
              <w:left w:val="nil"/>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DESCRIPCIÓN</w:t>
            </w:r>
          </w:p>
        </w:tc>
        <w:tc>
          <w:tcPr>
            <w:tcW w:w="882" w:type="dxa"/>
            <w:tcBorders>
              <w:top w:val="single" w:sz="4" w:space="0" w:color="auto"/>
              <w:left w:val="nil"/>
              <w:bottom w:val="single" w:sz="4" w:space="0" w:color="auto"/>
              <w:right w:val="single" w:sz="4" w:space="0" w:color="auto"/>
            </w:tcBorders>
            <w:vAlign w:val="center"/>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NIVEL</w:t>
            </w:r>
          </w:p>
        </w:tc>
        <w:tc>
          <w:tcPr>
            <w:tcW w:w="1301" w:type="dxa"/>
            <w:tcBorders>
              <w:top w:val="single" w:sz="4" w:space="0" w:color="auto"/>
              <w:left w:val="nil"/>
              <w:bottom w:val="single" w:sz="4" w:space="0" w:color="auto"/>
              <w:right w:val="single" w:sz="4" w:space="0" w:color="auto"/>
            </w:tcBorders>
            <w:vAlign w:val="center"/>
          </w:tcPr>
          <w:p w:rsidR="00697252" w:rsidRPr="004E6CFC" w:rsidRDefault="00697252" w:rsidP="00045289">
            <w:pPr>
              <w:keepNext/>
              <w:spacing w:before="0" w:after="0"/>
              <w:jc w:val="center"/>
              <w:rPr>
                <w:rFonts w:cs="Arial"/>
                <w:bCs/>
                <w:color w:val="000000"/>
                <w:sz w:val="18"/>
                <w:szCs w:val="14"/>
                <w:lang w:eastAsia="es-CO"/>
              </w:rPr>
            </w:pPr>
            <w:r w:rsidRPr="004E6CFC">
              <w:rPr>
                <w:rFonts w:cs="Arial"/>
                <w:bCs/>
                <w:color w:val="000000"/>
                <w:sz w:val="18"/>
                <w:szCs w:val="14"/>
                <w:lang w:eastAsia="es-CO"/>
              </w:rPr>
              <w:t xml:space="preserve">VIDA ÚTIL </w:t>
            </w:r>
          </w:p>
        </w:tc>
      </w:tr>
      <w:tr w:rsidR="00697252" w:rsidRPr="004E6CFC" w:rsidTr="00045289">
        <w:trPr>
          <w:trHeight w:val="300"/>
          <w:jc w:val="center"/>
        </w:trPr>
        <w:tc>
          <w:tcPr>
            <w:tcW w:w="1304"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contextualSpacing/>
              <w:jc w:val="center"/>
              <w:rPr>
                <w:rFonts w:cs="Arial"/>
                <w:color w:val="000000"/>
                <w:sz w:val="16"/>
                <w:szCs w:val="14"/>
                <w:lang w:eastAsia="es-CO"/>
              </w:rPr>
            </w:pPr>
            <w:r w:rsidRPr="004E6CFC">
              <w:rPr>
                <w:rFonts w:cs="Arial"/>
                <w:color w:val="000000"/>
                <w:sz w:val="16"/>
                <w:szCs w:val="14"/>
                <w:lang w:eastAsia="es-CO"/>
              </w:rPr>
              <w:t>11</w:t>
            </w:r>
          </w:p>
        </w:tc>
        <w:tc>
          <w:tcPr>
            <w:tcW w:w="2665"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contextualSpacing/>
              <w:jc w:val="left"/>
              <w:rPr>
                <w:rFonts w:cs="Arial"/>
                <w:color w:val="000000"/>
                <w:sz w:val="16"/>
                <w:szCs w:val="14"/>
              </w:rPr>
            </w:pPr>
            <w:r w:rsidRPr="004E6CFC">
              <w:rPr>
                <w:rFonts w:cs="Arial"/>
                <w:color w:val="000000"/>
                <w:sz w:val="16"/>
                <w:szCs w:val="14"/>
              </w:rPr>
              <w:t xml:space="preserve">Transformadores de distribución </w:t>
            </w:r>
          </w:p>
        </w:tc>
        <w:tc>
          <w:tcPr>
            <w:tcW w:w="882" w:type="dxa"/>
            <w:tcBorders>
              <w:top w:val="nil"/>
              <w:left w:val="nil"/>
              <w:bottom w:val="single" w:sz="4" w:space="0" w:color="auto"/>
              <w:right w:val="single" w:sz="4" w:space="0" w:color="auto"/>
            </w:tcBorders>
            <w:vAlign w:val="center"/>
          </w:tcPr>
          <w:p w:rsidR="00697252" w:rsidRPr="004E6CFC" w:rsidRDefault="00697252" w:rsidP="00045289">
            <w:pPr>
              <w:keepNext/>
              <w:contextualSpacing/>
              <w:jc w:val="center"/>
              <w:rPr>
                <w:rFonts w:cs="Arial"/>
                <w:color w:val="000000"/>
                <w:sz w:val="16"/>
                <w:szCs w:val="14"/>
              </w:rPr>
            </w:pPr>
            <w:r w:rsidRPr="004E6CFC">
              <w:rPr>
                <w:rFonts w:cs="Arial"/>
                <w:color w:val="000000"/>
                <w:sz w:val="16"/>
                <w:szCs w:val="14"/>
              </w:rPr>
              <w:t>1</w:t>
            </w:r>
          </w:p>
        </w:tc>
        <w:tc>
          <w:tcPr>
            <w:tcW w:w="1301" w:type="dxa"/>
            <w:tcBorders>
              <w:top w:val="nil"/>
              <w:left w:val="nil"/>
              <w:bottom w:val="single" w:sz="4" w:space="0" w:color="auto"/>
              <w:right w:val="single" w:sz="4" w:space="0" w:color="auto"/>
            </w:tcBorders>
            <w:vAlign w:val="center"/>
          </w:tcPr>
          <w:p w:rsidR="00697252" w:rsidRPr="004E6CFC" w:rsidRDefault="00697252" w:rsidP="00045289">
            <w:pPr>
              <w:keepNext/>
              <w:contextualSpacing/>
              <w:jc w:val="center"/>
              <w:rPr>
                <w:rFonts w:cs="Arial"/>
                <w:color w:val="000000"/>
                <w:sz w:val="16"/>
                <w:szCs w:val="14"/>
              </w:rPr>
            </w:pPr>
            <w:r w:rsidRPr="004E6CFC">
              <w:rPr>
                <w:rFonts w:cs="Arial"/>
                <w:color w:val="000000"/>
                <w:sz w:val="16"/>
                <w:szCs w:val="14"/>
              </w:rPr>
              <w:t>20</w:t>
            </w:r>
          </w:p>
        </w:tc>
      </w:tr>
      <w:tr w:rsidR="00697252" w:rsidRPr="004E6CFC" w:rsidTr="00045289">
        <w:trPr>
          <w:trHeight w:val="300"/>
          <w:jc w:val="center"/>
        </w:trPr>
        <w:tc>
          <w:tcPr>
            <w:tcW w:w="1304" w:type="dxa"/>
            <w:tcBorders>
              <w:top w:val="nil"/>
              <w:left w:val="single" w:sz="4" w:space="0" w:color="auto"/>
              <w:bottom w:val="single" w:sz="4" w:space="0" w:color="auto"/>
              <w:right w:val="single" w:sz="4" w:space="0" w:color="auto"/>
            </w:tcBorders>
            <w:shd w:val="clear" w:color="auto" w:fill="auto"/>
            <w:noWrap/>
            <w:vAlign w:val="center"/>
            <w:hideMark/>
          </w:tcPr>
          <w:p w:rsidR="00697252" w:rsidRPr="004E6CFC" w:rsidRDefault="00697252" w:rsidP="00045289">
            <w:pPr>
              <w:keepNext/>
              <w:spacing w:before="0" w:after="0"/>
              <w:contextualSpacing/>
              <w:jc w:val="center"/>
              <w:rPr>
                <w:rFonts w:cs="Arial"/>
                <w:color w:val="000000"/>
                <w:sz w:val="16"/>
                <w:szCs w:val="14"/>
                <w:lang w:eastAsia="es-CO"/>
              </w:rPr>
            </w:pPr>
            <w:r w:rsidRPr="004E6CFC">
              <w:rPr>
                <w:rFonts w:cs="Arial"/>
                <w:color w:val="000000"/>
                <w:sz w:val="16"/>
                <w:szCs w:val="14"/>
                <w:lang w:eastAsia="es-CO"/>
              </w:rPr>
              <w:t>12</w:t>
            </w:r>
          </w:p>
        </w:tc>
        <w:tc>
          <w:tcPr>
            <w:tcW w:w="2665" w:type="dxa"/>
            <w:tcBorders>
              <w:top w:val="nil"/>
              <w:left w:val="nil"/>
              <w:bottom w:val="single" w:sz="4" w:space="0" w:color="auto"/>
              <w:right w:val="single" w:sz="4" w:space="0" w:color="auto"/>
            </w:tcBorders>
            <w:shd w:val="clear" w:color="auto" w:fill="auto"/>
            <w:noWrap/>
            <w:vAlign w:val="center"/>
            <w:hideMark/>
          </w:tcPr>
          <w:p w:rsidR="00697252" w:rsidRPr="004E6CFC" w:rsidRDefault="00697252" w:rsidP="00045289">
            <w:pPr>
              <w:keepNext/>
              <w:contextualSpacing/>
              <w:jc w:val="left"/>
              <w:rPr>
                <w:rFonts w:cs="Arial"/>
                <w:color w:val="000000"/>
                <w:sz w:val="16"/>
                <w:szCs w:val="14"/>
              </w:rPr>
            </w:pPr>
            <w:r w:rsidRPr="004E6CFC">
              <w:rPr>
                <w:rFonts w:cs="Arial"/>
                <w:color w:val="000000"/>
                <w:sz w:val="16"/>
                <w:szCs w:val="14"/>
              </w:rPr>
              <w:t>Redes aéreas</w:t>
            </w:r>
          </w:p>
        </w:tc>
        <w:tc>
          <w:tcPr>
            <w:tcW w:w="882" w:type="dxa"/>
            <w:tcBorders>
              <w:top w:val="nil"/>
              <w:left w:val="nil"/>
              <w:bottom w:val="single" w:sz="4" w:space="0" w:color="auto"/>
              <w:right w:val="single" w:sz="4" w:space="0" w:color="auto"/>
            </w:tcBorders>
            <w:vAlign w:val="center"/>
          </w:tcPr>
          <w:p w:rsidR="00697252" w:rsidRPr="004E6CFC" w:rsidRDefault="00697252" w:rsidP="00045289">
            <w:pPr>
              <w:keepNext/>
              <w:contextualSpacing/>
              <w:jc w:val="center"/>
              <w:rPr>
                <w:rFonts w:cs="Arial"/>
                <w:color w:val="000000"/>
                <w:sz w:val="16"/>
                <w:szCs w:val="14"/>
              </w:rPr>
            </w:pPr>
            <w:r w:rsidRPr="004E6CFC">
              <w:rPr>
                <w:rFonts w:cs="Arial"/>
                <w:color w:val="000000"/>
                <w:sz w:val="16"/>
                <w:szCs w:val="14"/>
              </w:rPr>
              <w:t>1</w:t>
            </w:r>
          </w:p>
        </w:tc>
        <w:tc>
          <w:tcPr>
            <w:tcW w:w="1301" w:type="dxa"/>
            <w:tcBorders>
              <w:top w:val="nil"/>
              <w:left w:val="nil"/>
              <w:bottom w:val="single" w:sz="4" w:space="0" w:color="auto"/>
              <w:right w:val="single" w:sz="4" w:space="0" w:color="auto"/>
            </w:tcBorders>
            <w:vAlign w:val="center"/>
          </w:tcPr>
          <w:p w:rsidR="00697252" w:rsidRPr="004E6CFC" w:rsidRDefault="00697252" w:rsidP="00045289">
            <w:pPr>
              <w:keepNext/>
              <w:contextualSpacing/>
              <w:jc w:val="center"/>
              <w:rPr>
                <w:rFonts w:cs="Arial"/>
                <w:color w:val="000000"/>
                <w:sz w:val="16"/>
                <w:szCs w:val="14"/>
              </w:rPr>
            </w:pPr>
            <w:r w:rsidRPr="004E6CFC">
              <w:rPr>
                <w:rFonts w:cs="Arial"/>
                <w:color w:val="000000"/>
                <w:sz w:val="16"/>
                <w:szCs w:val="14"/>
              </w:rPr>
              <w:t>30</w:t>
            </w:r>
          </w:p>
        </w:tc>
      </w:tr>
    </w:tbl>
    <w:p w:rsidR="004058C2" w:rsidRPr="004E6CFC" w:rsidRDefault="004058C2" w:rsidP="004058C2">
      <w:pPr>
        <w:spacing w:before="0" w:after="0"/>
        <w:jc w:val="left"/>
        <w:rPr>
          <w:lang w:val="es-CO"/>
        </w:rPr>
      </w:pPr>
      <w:r w:rsidRPr="004E6CFC">
        <w:rPr>
          <w:lang w:val="es-CO"/>
        </w:rPr>
        <w:br w:type="page"/>
      </w:r>
    </w:p>
    <w:p w:rsidR="00506F04" w:rsidRPr="004E77B3" w:rsidRDefault="002063F9" w:rsidP="00E34C6E">
      <w:pPr>
        <w:pStyle w:val="Ttulo1"/>
        <w:ind w:left="567" w:hanging="567"/>
        <w:rPr>
          <w:caps w:val="0"/>
          <w:lang w:val="es-ES"/>
        </w:rPr>
        <w:sectPr w:rsidR="00506F04" w:rsidRPr="004E77B3" w:rsidSect="00596943">
          <w:headerReference w:type="default" r:id="rId30"/>
          <w:headerReference w:type="first" r:id="rId31"/>
          <w:pgSz w:w="12242" w:h="18722" w:code="123"/>
          <w:pgMar w:top="2364" w:right="1185" w:bottom="1276" w:left="1701" w:header="426" w:footer="0" w:gutter="0"/>
          <w:cols w:space="708"/>
          <w:titlePg/>
          <w:docGrid w:linePitch="360"/>
        </w:sectPr>
      </w:pPr>
      <w:bookmarkStart w:id="1110" w:name="_Ref445142070"/>
      <w:bookmarkStart w:id="1111" w:name="_Ref465980052"/>
      <w:bookmarkStart w:id="1112" w:name="_Toc505336030"/>
      <w:r w:rsidRPr="004E77B3">
        <w:rPr>
          <w:caps w:val="0"/>
          <w:lang w:val="es-ES"/>
        </w:rPr>
        <w:lastRenderedPageBreak/>
        <w:t>ÍNDICES DE RIESGO POR MUNICIPIO</w:t>
      </w:r>
      <w:bookmarkEnd w:id="1110"/>
      <w:bookmarkEnd w:id="1111"/>
      <w:bookmarkEnd w:id="1112"/>
    </w:p>
    <w:tbl>
      <w:tblPr>
        <w:tblW w:w="4084" w:type="dxa"/>
        <w:tblInd w:w="55" w:type="dxa"/>
        <w:tblCellMar>
          <w:left w:w="70" w:type="dxa"/>
          <w:right w:w="70" w:type="dxa"/>
        </w:tblCellMar>
        <w:tblLook w:val="04A0" w:firstRow="1" w:lastRow="0" w:firstColumn="1" w:lastColumn="0" w:noHBand="0" w:noVBand="1"/>
      </w:tblPr>
      <w:tblGrid>
        <w:gridCol w:w="656"/>
        <w:gridCol w:w="935"/>
        <w:gridCol w:w="1546"/>
        <w:gridCol w:w="947"/>
      </w:tblGrid>
      <w:tr w:rsidR="00506F04" w:rsidRPr="004E6CFC" w:rsidTr="00713589">
        <w:trPr>
          <w:trHeight w:val="227"/>
          <w:tblHeader/>
        </w:trPr>
        <w:tc>
          <w:tcPr>
            <w:tcW w:w="65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b/>
                <w:bCs/>
                <w:color w:val="000000"/>
                <w:sz w:val="12"/>
                <w:szCs w:val="12"/>
                <w:lang w:val="es-CO" w:eastAsia="es-CO"/>
              </w:rPr>
            </w:pPr>
            <w:r w:rsidRPr="004E6CFC">
              <w:rPr>
                <w:rFonts w:cs="Calibri"/>
                <w:b/>
                <w:bCs/>
                <w:color w:val="000000"/>
                <w:sz w:val="12"/>
                <w:szCs w:val="12"/>
                <w:lang w:val="es-CO" w:eastAsia="es-CO"/>
              </w:rPr>
              <w:lastRenderedPageBreak/>
              <w:t>CODIGO DANE</w:t>
            </w:r>
          </w:p>
        </w:tc>
        <w:tc>
          <w:tcPr>
            <w:tcW w:w="935" w:type="dxa"/>
            <w:tcBorders>
              <w:top w:val="single" w:sz="4" w:space="0" w:color="auto"/>
              <w:left w:val="nil"/>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b/>
                <w:bCs/>
                <w:color w:val="000000"/>
                <w:sz w:val="12"/>
                <w:szCs w:val="12"/>
                <w:lang w:val="es-CO" w:eastAsia="es-CO"/>
              </w:rPr>
            </w:pPr>
            <w:r w:rsidRPr="004E6CFC">
              <w:rPr>
                <w:rFonts w:cs="Calibri"/>
                <w:b/>
                <w:bCs/>
                <w:color w:val="000000"/>
                <w:sz w:val="12"/>
                <w:szCs w:val="12"/>
                <w:lang w:val="es-CO" w:eastAsia="es-CO"/>
              </w:rPr>
              <w:t>DEPTO</w:t>
            </w:r>
          </w:p>
        </w:tc>
        <w:tc>
          <w:tcPr>
            <w:tcW w:w="1546" w:type="dxa"/>
            <w:tcBorders>
              <w:top w:val="single" w:sz="4" w:space="0" w:color="auto"/>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b/>
                <w:bCs/>
                <w:color w:val="000000"/>
                <w:sz w:val="12"/>
                <w:szCs w:val="12"/>
                <w:lang w:val="es-CO" w:eastAsia="es-CO"/>
              </w:rPr>
            </w:pPr>
            <w:r w:rsidRPr="004E6CFC">
              <w:rPr>
                <w:rFonts w:cs="Calibri"/>
                <w:b/>
                <w:bCs/>
                <w:color w:val="000000"/>
                <w:sz w:val="12"/>
                <w:szCs w:val="12"/>
                <w:lang w:val="es-CO" w:eastAsia="es-CO"/>
              </w:rPr>
              <w:t>MUNICIPIO</w:t>
            </w:r>
          </w:p>
        </w:tc>
        <w:tc>
          <w:tcPr>
            <w:tcW w:w="947" w:type="dxa"/>
            <w:tcBorders>
              <w:top w:val="single" w:sz="4" w:space="0" w:color="auto"/>
              <w:left w:val="nil"/>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b/>
                <w:bCs/>
                <w:color w:val="000000"/>
                <w:sz w:val="12"/>
                <w:szCs w:val="12"/>
                <w:lang w:val="es-CO" w:eastAsia="es-CO"/>
              </w:rPr>
            </w:pPr>
            <w:r w:rsidRPr="004E6CFC">
              <w:rPr>
                <w:rFonts w:cs="Calibri"/>
                <w:b/>
                <w:bCs/>
                <w:color w:val="000000"/>
                <w:sz w:val="12"/>
                <w:szCs w:val="12"/>
                <w:lang w:val="es-CO" w:eastAsia="es-CO"/>
              </w:rPr>
              <w:t>IRF</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91263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AMAZONAS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ENCANTO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21,69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91405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AMAZONAS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CHORRERA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23,64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91407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AMAZONAS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PEDRERA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22,41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91430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AMAZONAS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VICTORIA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23,09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91001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AMAZONAS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LETICIA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19,31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91460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AMAZONAS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MIRITI-PARANA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23,15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91530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AMAZONAS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ALEGRIA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24,21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91536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AMAZONAS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ARICA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21,96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91540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AMAZONAS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NARIÑO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18,44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91669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AMAZONAS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SANTANDER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31,10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91798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AMAZONAS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TARAPACA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18,56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5002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ABEJORRAL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24,08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5004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ABRIAQUI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24,02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5021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ALEJANDRIA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50,49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5030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AMAGA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57,64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5031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AMALFI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38,89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5034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ANDES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46,86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5036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ANGELOPOLIS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55,54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5038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ANGOSTURA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36,81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5040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ANORI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51,42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5044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ANZA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33,75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5045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APARTADO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39,34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5051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ARBOLETES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45,36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5055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ARGELIA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56,29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5059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ARMENIA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36,51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5079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BARBOSA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39,93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5088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BELLO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28,47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5086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BELMIRA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22,18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5091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BETANIA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40,00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5093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BETULIA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48,81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5107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BRICEÑO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49,85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5113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BURITICA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22,83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5120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CACERES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70,72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5125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CAICEDO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23,68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5129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52,50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5134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CAMPAMENTO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40,13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5138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CAÑASGORDAS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36,94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5142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CARACOLI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47,45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5145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CARAMANTA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41,08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5147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CAREPA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41,94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5148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CARMEN D VIBORAL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28,75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5150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CAROLINA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46,02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5154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CAUCASIA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55,77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5172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CHIGORODO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48,05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5190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CISNEROS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63,82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47,08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5197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COCORNA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57,71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5206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CONCEPCION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37,11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5209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CONCORDIA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42,28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5212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COPACABANA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27,70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5234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DABEIBA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24,69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5237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DON MATIAS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40,64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5240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EBEJICO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33,97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5250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BAGRE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66,03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5264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ENTRERRIOS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21,81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5266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ENVIGADO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35,94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5282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FREDONIA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57,33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5284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FRONTINO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43,85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lastRenderedPageBreak/>
              <w:t>5306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GIRALDO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25,77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5308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GIRARDOTA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31,56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5310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GOMEZ PLATA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45,94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5313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GRANADA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40,00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5315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GUADALUPE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41,05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5318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GUARNE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24,83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5321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GUATAPE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55,97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5347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HELICONIA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51,45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5353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HISPANIA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42,94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5360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ITAGUI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36,01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5361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ITUANGO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31,06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5364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JARDIN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49,17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5368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JERICO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41,99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5376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CEJA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30,31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5380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ESTRELLA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45,42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5390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PINTADA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33,63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5400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UNION</w:t>
            </w:r>
          </w:p>
        </w:tc>
        <w:tc>
          <w:tcPr>
            <w:tcW w:w="947" w:type="dxa"/>
            <w:tcBorders>
              <w:top w:val="nil"/>
              <w:left w:val="nil"/>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41,43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5411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LIBORINA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22,80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5425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MACEO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53,38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5440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MARINILLA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27,68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MEDELLIN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28,30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5467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MONTEBELLO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29,72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5475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MURINDO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50,68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5480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MUTATA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54,02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5483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62,70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5495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NECHI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67,90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5490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NECOCLI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51,51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5501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OLAYA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21,13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5541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PEÑOL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28,21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5543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PEQUE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26,80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5576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PUEBLORRICO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42,64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5579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BERRIO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73,10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5585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PTO NARE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55,04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5591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TRIUNFO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61,31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5604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REMEDIOS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64,92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5607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RETIRO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30,24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5615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RIONEGRO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27,63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5628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SABANALARGA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19,03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5631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SABANETA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45,68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5642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SALGAR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46,87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5647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ANDRES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26,34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5649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CARLOS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69,73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5652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FRANCISCO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82,26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5656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JERONIMO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27,95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5658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SN JSE D MONTAÑA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22,47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5659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SN JUAN DE URABA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54,15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5660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LUIS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63,65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5664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PEDRO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19,22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5665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SN PEDRO D URABA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35,14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5667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RAFAEL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71,38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5670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ROQUE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53,60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5674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VICENTE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25,28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5679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 BARBARA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31,22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5042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17,92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5686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STA ROSA DE OSOS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24,31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5690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SANTO DOMINGO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54,23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5697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SANTUARIO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32,36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5736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SEGOVIA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65,03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lastRenderedPageBreak/>
              <w:t>5756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SONSON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33,32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5761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SOPETRAN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25,87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5789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TAMESIS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41,01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5790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TARAZA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70,75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5792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TARSO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40,10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5809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TITIRIBI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36,71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5819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TOLEDO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28,19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5837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TURBO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48,00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5842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URAMITA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30,41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5847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URRAO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31,33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5854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VALDIVIA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67,89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5856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VALPARAISO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32,61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5858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VEGACHI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50,52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5861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VENECIA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59,41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5873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VIGIA DEL FUERTE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48,88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5885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YALI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37,75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5887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YARUMAL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32,54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5890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YOLOMBO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41,23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5893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YONDO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52,01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5895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ANTIOQUIA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ZARAGOZA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61,81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81001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ARAUCA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22,85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81065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ARAUQUITA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21,41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81220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CRAVO NORTE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24,85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81300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FORTUL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24,44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81591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RONDON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22,03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81736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SARAVENA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31,99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81794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TAME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24,93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8078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ATLANTICO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BARANOA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33,50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ATLANTICO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BARRANQUILLA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27,25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8137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ATLANTICO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CAMPO DE LA CRUZ</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34,61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8141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ATLANTICO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CANDELARIA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33,39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8296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ATLANTICO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GALAPA</w:t>
            </w:r>
          </w:p>
        </w:tc>
        <w:tc>
          <w:tcPr>
            <w:tcW w:w="947" w:type="dxa"/>
            <w:tcBorders>
              <w:top w:val="nil"/>
              <w:left w:val="nil"/>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38,05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8372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ATLANTICO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JUAN DE ACOSTA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21,97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8421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ATLANTICO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LURUACO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27,65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8433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ATLANTICO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MALAMBO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15,35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8436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ATLANTICO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MANATI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33,40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8520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ATLANTICO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PALMAR DE VARELA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30,45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8549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ATLANTICO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PIOJO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25,51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8558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ATLANTICO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POLONUEVO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31,79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8560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ATLANTICO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PONEDERA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29,40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8573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ATLANTICO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COLOMBIA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31,38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8606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ATLANTICO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REPELON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25,61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8634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ATLANTICO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SABANAGRANDE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21,36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8638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ATLANTICO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SABANALARGA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33,81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8675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ATLANTICO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 LUCIA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38,43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8685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ATLANTICO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SANTO TOMAS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30,42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8758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ATLANTICO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SOLEDAD</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27,24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8770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ATLANTICO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SUAN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37,35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8832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ATLANTICO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TUBARA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22,01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8849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ATLANTICO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USIACURI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33,20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13006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ACHI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66,00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13030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ALTOS DEL ROSARIO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45,44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13042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ARENAL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34,80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13052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ARJONA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48,66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13062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ARROYOHONDO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38,31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13074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BARRANCO DE LOBA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66,17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13140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CALAMAR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26,87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13160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CANTAGALLO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58,62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CARTAGENA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32,81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13188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CICUCO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42,79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13222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CLEMENCIA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39,87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lastRenderedPageBreak/>
              <w:t>13212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25,82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13244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CARMEN D BOLIVAR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36,13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13248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GUAMO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36,94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13268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PEÑON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50,79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13300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HATILLO DE LOBA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67,90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13430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MAGANGUE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37,29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13433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MAHATES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50,77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13440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MARGARITA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47,27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13442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MARIA LA BAJA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55,62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13468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MOMPOS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49,93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13458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MONTECRISTO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88,32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13473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MORALES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36,68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13490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NOROSI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46,95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13549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PINILLOS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53,75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13580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REGIDOR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63,21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13600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RIO VIEJO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59,43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13620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CRISTOBAL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29,76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13647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ESTANISLAO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21,37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13650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FERNANDO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47,71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13654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JACINTO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40,49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13655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JACINTO DEL CAUCA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82,08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13657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JUAN NEPOMUCENO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44,22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13667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MARTIN DE LOBA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67,88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13670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PABLO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56,92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13673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 CATALINA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31,90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13683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 ROSA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41,72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13688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STA ROSA DEL SUR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43,37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13744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SIMITI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41,98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13760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SOPLAVIENTO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21,42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13780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TALAIGUA NUEVO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42,87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13810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TIQUISIO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51,62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13836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TURBACO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26,76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13838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TURBANA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27,17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13873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VILLANUEVA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29,75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13894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ZAMBRANO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28,49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15022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ALMEIDA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15047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AQUITANIA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-4,63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15051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ARCABUCO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18,41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15087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BELEN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8,73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15090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BERBEO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15,58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15092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BETEITIVA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8,89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15097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BOAVITA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8,84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15104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6,31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15106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BRICEÑO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52,86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15109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BUENAVISTA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25,15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15114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BUSBANZA</w:t>
            </w:r>
          </w:p>
        </w:tc>
        <w:tc>
          <w:tcPr>
            <w:tcW w:w="947" w:type="dxa"/>
            <w:tcBorders>
              <w:top w:val="nil"/>
              <w:left w:val="nil"/>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6,17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15131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22,68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15135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CAMPOHERMOSO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24,68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15162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CERINZA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10,53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15172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CHINAVITA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15176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CHIQUINQUIRA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23,03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15232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CHIQUIZA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15,89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15180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CHISCAS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17,75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15183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CHITA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15185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CHITARAQUE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44,63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15187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CHIVATA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11,78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15236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CHIVOR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12,17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15189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CIENEGA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15,26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15204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COMBITA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13,42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15212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COPER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64,13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lastRenderedPageBreak/>
              <w:t>15215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CORRALES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6,48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15218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COVARACHIA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18,43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15223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CUBARA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41,18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15224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CUCAITA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12,26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15226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CUITIVA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1,44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15238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DUITAMA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9,87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15244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COCUY</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8,75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15248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ESPINO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18,24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15272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FIRAVITOBA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8,28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15276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FLORESTA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15293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GACHANTIVA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28,54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15296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GAMEZA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15299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GARAGOA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16,03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15317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GUACAMAYAS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18,07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15322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GUATEQUE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14,05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15325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GUAYATA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14,08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15332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GUICAN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10,48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15362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IZA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15367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JENESANO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13,45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15368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JERICO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-3,67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15380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CAPILLA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14,18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15403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UVITA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8,04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15401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VICTORIA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64,29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15377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LABRANZAGRANDE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17,60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15425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MACANAL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15,42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15442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MARIPI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31,66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15455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MIRAFLORES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16,00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15464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MONGUA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15466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MONGUI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4,95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15469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MONIQUIRA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50,40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15476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MOTAVITA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10,72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15480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MUZO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62,18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15491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NOBSA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9,96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15494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NUEVO COLON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11,95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15500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OICATA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13,65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15507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OTANCHE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72,93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15511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PACHAVITA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15514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PAEZ</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21,69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15516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PAIPA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12,10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15518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PAJARITO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36,01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15522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PANQUEBA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13,11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15531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PAUNA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34,87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15533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PAYA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20,03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15537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PAZ DE RIO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12,29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15542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PESCA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3,79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15550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PISVA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13,18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15572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BOYACA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58,51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15580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QUIPAMA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64,95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15599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RAMIRIQUI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4,89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15600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RAQUIRA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20,00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15621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RONDON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17,78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15632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SABOYA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28,45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15638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SACHICA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17,21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15646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SAMACA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15,32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15660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EDUARDO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14,24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15664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JOSE DE PARE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33,55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15667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SN LUIS D GACENO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39,16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15673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MATEO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7,84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15676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SN MIGUEL D SEMA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26,51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15681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SN PABLO BORBUR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51,29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15690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 MARIA</w:t>
            </w:r>
          </w:p>
        </w:tc>
        <w:tc>
          <w:tcPr>
            <w:tcW w:w="947" w:type="dxa"/>
            <w:tcBorders>
              <w:top w:val="nil"/>
              <w:left w:val="nil"/>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35,50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lastRenderedPageBreak/>
              <w:t>15693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STA ROSA VITERBO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8,00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15696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 SOFIA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24,97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15686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32,92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15720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SATIVANORTE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13,85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15723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SATIVASUR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13,88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15740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SIACHOQUE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15753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SOATA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15757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SOCHA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8,91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15755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SOCOTA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15759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SOGAMOSO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8,30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15761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SOMONDOCO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14,70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15762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SORA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10,60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15764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SORACA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15763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SOTAQUIRA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21,68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15774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SUSACON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12,86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15776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SUTAMARCHAN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23,96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15778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SUTATENZA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13,54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15790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TASCO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9,14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15798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TENZA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14,98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15804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TIBANA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11,59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15806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TIBASOSA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8,12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15808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TINJACA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17,35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15810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TIPACOQUE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16,79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15814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10,04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15816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TOGUI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50,42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15820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TOPAGA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4,51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15822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0,87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TUNJA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9,32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15832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TUNUNGUA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52,72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15835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TURMEQUE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11,86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15837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TUTA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12,84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15839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TUTASA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7,77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15842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UMBITA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3,21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15861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VENTAQUEMADA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14,89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15407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VILLA DE LEYVA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17,24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15879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VIRACACHA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15897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BOYACA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ZETAQUIRA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20,26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17013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AGUADAS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25,31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17042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ANSERMA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38,10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17050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ARANZAZU</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26,86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17088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BELALCAZAR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35,70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17174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CHINCHINA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40,18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17272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FILADELFIA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28,44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17380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DORADA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52,35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17388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MERCED</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26,65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MANIZALES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23,07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17433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MANZANARES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43,10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17442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MARMATO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37,39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17444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MARQUETALIA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47,91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17446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MARULANDA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19,27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17486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NEIRA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26,53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17495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NORCASIA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77,06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17513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PACORA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35,51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17524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PALESTINA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39,25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17541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PENSILVANIA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44,36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17614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RIOSUCIO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45,59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17616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RISARALDA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31,71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17653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SALAMINA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29,82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17662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SAMANA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92,00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17665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JOSE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31,68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17777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SUPIA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35,65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lastRenderedPageBreak/>
              <w:t>17867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VICTORIA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58,90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17873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VILLAMARIA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26,59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17877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CALDAS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VITERBO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32,48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18029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CAQUETA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ALBANIA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38,70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18094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CAQUETA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BELEN ANDAQUIES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28,53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18150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CAQUETA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CARTAGENA DE CHAIRA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24,09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18205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CAQUETA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CURILLO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25,66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18247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CAQUETA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DONCELLO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36,02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18256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CAQUETA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PAUJIL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34,16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CAQUETA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FLORENCIA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39,29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18410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CAQUETA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MONTAÑITA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26,19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18460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CAQUETA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MILAN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25,60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18479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CAQUETA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MORELIA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39,24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18592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CAQUETA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RICO</w:t>
            </w:r>
          </w:p>
        </w:tc>
        <w:tc>
          <w:tcPr>
            <w:tcW w:w="947" w:type="dxa"/>
            <w:tcBorders>
              <w:top w:val="nil"/>
              <w:left w:val="nil"/>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40,01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18610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CAQUETA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JOSE DE FRAGUA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41,55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18753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CAQUETA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VICENTE CAGUAN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21,47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18756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CAQUETA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SOLANO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23,77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18785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CAQUETA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SOLITA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23,11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18860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CAQUETA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VALPARAISO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25,00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85010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CASANARE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AGUAZUL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38,18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85015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CASANARE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CHAMEZA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25,81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85125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CASANARE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HATO COROZAL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20,02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85136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CASANARE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SALINA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10,13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85139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CASANARE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MANI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23,61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85162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CASANARE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MONTERREY</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38,05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85225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CASANARE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NUNCHIA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28,03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85230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CASANARE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OROCUE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30,42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85250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CASANARE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PAZ DE ARIPORO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24,08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85263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CASANARE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PORE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23,81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85279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CASANARE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RECETOR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31,98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85300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CASANARE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SABANALARGA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40,62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85315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CASANARE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SACAMA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22,78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85325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CASANARE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SN LUIS PALENQUE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19,51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85400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CASANARE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TAMARA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21,67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85410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CASANARE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TAURAMENA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43,66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85430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CASANARE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TRINIDAD</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19,39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85440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CASANARE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VILLANUEVA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31,33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CASANARE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YOPAL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33,78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19022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ALMAGUER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3,60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19050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ARGELIA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10,66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19075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BALBOA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12,42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19100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16,15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19110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BUENOS AIRES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39,46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19130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CAJIBIO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32,72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19137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CALDONO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21,10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19142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CALOTO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28,48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19212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CORINTO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21,89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19256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TAMBO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33,21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19290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FLORENCIA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9,55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19300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GUACHENE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23,76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19318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GUAPI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40,45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19355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INZA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5,74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19364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JAMBALO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12,98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19392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SIERRA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25,18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19397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VEGA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6,15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19418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LOPEZ</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52,84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19450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MERCADERES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19,28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19455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MIRANDA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20,90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19473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MORALES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28,09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19513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PADILLA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21,29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lastRenderedPageBreak/>
              <w:t>19517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PAEZ</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6,38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19532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PATIA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23,30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19533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PIAMONTE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23,63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19548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PIENDAMO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24,99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POPAYAN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18,66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19573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TEJADA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20,93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19585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PURACE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7,78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19622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ROSAS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27,05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19693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SEBASTIAN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-0,17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19701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 ROSA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7,44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19698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 DE QUILICHAO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31,54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19743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SILVIA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3,81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19760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SOTARA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6,54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19780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SUAREZ</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42,04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19785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15,12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19807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TIMBIO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19,82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19809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TIMBIQUI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30,01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19821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TORIBIO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14,38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19824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TOTORO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4,08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19845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CAUCA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VILLA RICA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25,08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20011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CESAR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AGUACHICA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36,57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20013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CESAR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AGUSTIN CODAZZI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48,31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20032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CESAR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ASTREA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47,38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20045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CESAR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BECERRIL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36,17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20060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CESAR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BOSCONIA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37,76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20175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CESAR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CHIMICHAGUA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52,31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20178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CESAR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CHIRIGUANA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38,03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20228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CESAR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CURUMANI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35,76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20238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CESAR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COPEY</w:t>
            </w:r>
          </w:p>
        </w:tc>
        <w:tc>
          <w:tcPr>
            <w:tcW w:w="947" w:type="dxa"/>
            <w:tcBorders>
              <w:top w:val="nil"/>
              <w:left w:val="nil"/>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30,94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20250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CESAR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PASO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29,77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20295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CESAR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GAMARRA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46,00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20310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CESAR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GONZALEZ</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16,29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20383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CESAR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GLORIA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63,21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20400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CESAR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JAGUA DE IBIRICO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38,75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20621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CESAR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PAZ</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35,07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20443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CESAR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MANAURE DL CESAR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22,76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20517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CESAR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PAILITAS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47,65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20550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CESAR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PELAYA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53,27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20570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CESAR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PUEBLO BELLO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37,61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20614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CESAR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RIO DE ORO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18,01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20710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CESAR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ALBERTO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41,59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20750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CESAR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DIEGO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43,92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20770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CESAR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MARTIN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47,75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20787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CESAR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TAMALAMEQUE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42,68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CESAR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VALLEDUPAR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31,80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27006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ACANDI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33,58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27025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ALTO BAUDO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47,73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27050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ATRATO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72,50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27073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BAGADO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75,78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27075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BAHIA SOLANO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77,35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27077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BAJO BAUDO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66,79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27099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BOJAYA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48,86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27150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CARMEN DEL DARIEN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45,53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27160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CERTEGUI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87,26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27205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CONDOTO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79,78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27135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CANTON DE SAN PABLO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66,48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27245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CARMEN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41,86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27250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LITORAL SAN JUAN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51,19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27361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ITSMINA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79,76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27372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JURADO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47,46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lastRenderedPageBreak/>
              <w:t>27413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LLORO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88,66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27425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MEDIO ATRATO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54,51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27430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MEDIO BAUDO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43,29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27450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MEDIO SAN JUAN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79,82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27491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NOVITA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73,49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27495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NUQUI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58,60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QUIBDO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72,72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27580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RIO IRO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84,19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27600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RIO QUITO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67,62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27615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RIOSUCIO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37,31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27660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JOSE DEL PALMAR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42,16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27745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SIPI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57,84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27787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TADO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74,65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27800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UNGUIA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30,38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27810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UNION PANAMERICANA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73,46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23068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AYAPEL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55,27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23079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BUENAVISTA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41,64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23090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CANALETE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32,31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23162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CERETE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46,65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23168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CHIMA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35,26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23182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CHINU</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44,56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23189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CIENAGA DE ORO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53,25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23300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COTORRA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31,25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23350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APARTADA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45,92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23417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LORICA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41,42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23419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LOS CORDOBAS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47,29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23464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MOMIL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28,46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23466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MONTELIBANO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49,11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MONTERIA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48,16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23500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MOÑITOS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39,37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23555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PLANETA RICA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36,55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23570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PUEBLO NUEVO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52,54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23574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ESCONDIDO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42,59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23580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PTO LIBERTADOR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40,10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23586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PURISIMA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29,82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23660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SAHAGUN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50,25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23670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SN AND SOTAVENTO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48,15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23672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ANTERO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41,46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23675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SN BERNAR VIENTO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27,95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23678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CARLOS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32,41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23682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JOSE DE URE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51,78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23686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PELAYO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43,43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23807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TIERRALTA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29,81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23815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TUCHIN</w:t>
            </w:r>
          </w:p>
        </w:tc>
        <w:tc>
          <w:tcPr>
            <w:tcW w:w="947" w:type="dxa"/>
            <w:tcBorders>
              <w:top w:val="nil"/>
              <w:left w:val="nil"/>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46,63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23855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VALENCIA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22,56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AGUA DE DIOS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20,62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25019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ALBAN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16,85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25035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ANAPOIMA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19,71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25040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ANOLAIMA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15,49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25599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APULO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20,12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25053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ARBELAEZ</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19,24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25086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BELTRAN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30,85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25095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BITUIMA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20,53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25099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BOJACA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25120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CABRERA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8,86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25123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CACHIPAY</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14,69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25126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CAJICA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13,40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25148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CAPARRAPI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31,00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25151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CAQUEZA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25154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CARMEN DE CARUPA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lastRenderedPageBreak/>
              <w:t>25168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CHAGUANI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26,44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25175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7,86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25178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CHIPAQUE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0,21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25181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CHOACHI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3,59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25183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CHOCONTA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25200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COGUA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17,05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25214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7,85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25224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CUCUNUBA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11,84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25245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COLEGIO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21,42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25258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PEÑON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51,30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25260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ROSAL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9,23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25269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FACATATIVA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13,05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25279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FOMEQUE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4,93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25281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FOSCA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6,19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25286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FUNZA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9,31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25288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FUQUENE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11,30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25290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FUSAGASUGA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17,80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25293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GACHALA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10,34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25295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GACHANCIPA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25297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GACHETA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16,93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25299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GAMA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12,24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25307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GIRARDOT</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31,45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25312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GRANADA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6,91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25317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GUACHETA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17,49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25320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GUADUAS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28,33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25322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GUASCA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25324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GUATAQUI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24,09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25326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GUATAVITA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13,03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25328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GUAY DE SIQUIMA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16,92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25335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GUAYABETAL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23,29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25339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GUTIERREZ</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25368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JERUSALEN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23,93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25372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JUNIN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14,59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25377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CALERA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8,33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25386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MESA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16,72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25394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PALMA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42,05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25398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PEÑA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36,88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25402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VEGA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28,90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25407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LENGUAZAQUE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11,76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25426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MACHETA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3,28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25430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MADRID</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4,30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25436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MANTA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13,78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25438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MEDINA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35,76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25473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MOSQUERA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25483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21,28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25486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NEMOCON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25488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NILO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23,70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25489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NIMAIMA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34,50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25491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NOCAIMA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34,48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25513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PACHO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20,70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25518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PAIME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69,56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25524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PANDI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25,69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25530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PARATEBUENO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34,87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25535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PASCA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12,53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25572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SALGAR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58,95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25580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PULI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17,83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25592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QUEBRADANEGRA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30,12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25594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QUETAME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11,12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25596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QUIPILE</w:t>
            </w:r>
          </w:p>
        </w:tc>
        <w:tc>
          <w:tcPr>
            <w:tcW w:w="947" w:type="dxa"/>
            <w:tcBorders>
              <w:top w:val="nil"/>
              <w:left w:val="nil"/>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16,39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25612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RICAURTE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27,67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25645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 ANTONIO TQDAMA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lastRenderedPageBreak/>
              <w:t>25649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BERNARDO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18,76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25653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CAYETANO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28,52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25658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FRANCISCO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27,41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25662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SN JUAN RIO SECO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20,79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25718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SASAIMA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39,05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25736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SESQUILE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1,17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25740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SIBATE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3,27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25743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SILVANIA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23,90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25745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SIMIJACA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10,76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25754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SOACHA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6,19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25758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SOPO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7,98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25769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SUBACHOQUE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8,12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25772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SUESCA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-1,11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25777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SUPATA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22,18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25779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SUSA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18,38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25781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SUTATAUSA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8,33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25785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TABIO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6,66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25793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TAUSA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12,82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25797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TENA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14,15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25799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TENJO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7,86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25805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TIBACUY</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18,24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25807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TIBIRITA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13,58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25815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TOCAIMA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20,62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25817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TOCANCIPA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12,30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25823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TOPAIPI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51,36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25839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UBALA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9,79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25841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UBAQUE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6,46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25843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UBATE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8,40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25845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UNE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25851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UTICA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29,55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25506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VENECIA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23,74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25862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VERGARA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32,17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25867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VIANI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17,34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25871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VILLAGOMEZ</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48,04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25873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VILLAPINZON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3,80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25875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VILLETA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31,64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25878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VIOTA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24,19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25885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YACOPI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57,96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25898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ZIPACON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25899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C/MARCA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ZIPAQUIRA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15,19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94343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GUAINIA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BARRANCO MINAS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24,61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94886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GUAINIA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CACAHUAL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23,44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94001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GUAINIA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INIRIDA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22,97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94885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GUAINIA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GUADALUPE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23,23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94663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GUAINIA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MAPIRIPANA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24,51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94888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GUAINIA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MORICHAL NUEVO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28,24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94887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GUAINIA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PANA PANA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23,87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94884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GUAINIA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COLOMBIA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22,29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94883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GUAINIA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FELIPE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95015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GUAVIARE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CALAMAR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26,33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95025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GUAVIARE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RETORNO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34,57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95200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GUAVIARE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MIRAFLORES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25,58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95001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GUAVIARE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SN JOSE GUAVIARE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28,55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41006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ACEVEDO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20,58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41013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AGRADO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12,29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41016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AIPE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25,41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41020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ALGECIRAS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17,60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41026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ALTAMIRA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17,97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41078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BARAYA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15,69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41132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CAMPOALEGRE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13,16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41206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COLOMBIA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16,18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lastRenderedPageBreak/>
              <w:t>41244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ELIAS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7,23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41298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GARZON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10,52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41306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GIGANTE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21,67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41319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GUADALUPE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18,82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41349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HOBO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21,36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41357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IQUIRA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24,76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41359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ISNOS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17,23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41378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ARGENTINA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7,73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41396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PLATA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20,40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41483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NATAGA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10,86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NEIVA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15,29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41503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OPORAPA</w:t>
            </w:r>
          </w:p>
        </w:tc>
        <w:tc>
          <w:tcPr>
            <w:tcW w:w="947" w:type="dxa"/>
            <w:tcBorders>
              <w:top w:val="nil"/>
              <w:left w:val="nil"/>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8,29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41518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PAICOL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15,05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41524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PALERMO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19,30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41530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PALESTINA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17,73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41548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PITAL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10,27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41551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PITALITO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16,27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41615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RIVERA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25,30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41660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SALADOBLANCO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5,75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41668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AGUSTIN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17,87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41676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 MARIA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19,90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41770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SUAZA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18,28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41791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TARQUI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16,34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41799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TELLO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15,78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41801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TERUEL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26,08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41797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TESALIA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15,20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41807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TIMANA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8,13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41872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VILLAVIEJA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16,48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41885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HUILA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YAGUARA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19,56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44035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GUAJIRA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ALBANIA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17,89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44078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GUAJIRA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BARRANCAS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16,95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44090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GUAJIRA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DIBULLA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35,41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44098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GUAJIRA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DISTRACCION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27,65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44110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GUAJIRA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MOLINO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33,64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44279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GUAJIRA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FONSECA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19,99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44378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GUAJIRA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HATO NUEVO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17,03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44420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GUAJIRA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JAGUA DEL PILAR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41,75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44430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GUAJIRA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MAICAO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22,47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44560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GUAJIRA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MANAURE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14,53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44001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GUAJIRA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RIOHACHA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22,93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44650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GUAJIRA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JUAN DEL CESAR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20,28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44847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GUAJIRA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URIBIA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8,41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44855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GUAJIRA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URUMITA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31,46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44874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GUAJIRA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VILLANUEVA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43,78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47030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ALGARROBO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31,15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47053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ARACATACA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35,57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47058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ARIGUANI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39,17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47161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CERRO SN ANTONIO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26,87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47170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CHIVOLO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39,70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47189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CIENAGA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26,37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47205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CONCORDIA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37,32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47245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BANCO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67,88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47258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PIÑON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32,78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47268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RETEN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36,17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47288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FUNDACION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36,64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47318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GUAMAL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33,99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47460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NUEVA GRANADA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47,26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47541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PEDRAZA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37,63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47545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PIJIÑO DEL CARMEN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41,81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47551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PIVIJAY</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36,72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47555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PLATO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31,80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lastRenderedPageBreak/>
              <w:t>47570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PUEBLOVIEJO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20,36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47605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REMOLINO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30,46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47660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SABANAS DE SAN ANGEL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40,93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47675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SALAMINA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29,91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47692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S BUENAVISTA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34,32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47703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ZENON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49,93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47707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 ANA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42,85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47720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STA BARBARA DE PINTO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36,18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 MARTA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13,51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47745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SITIONUEVO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21,92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47798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TENERIFE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32,52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47960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ZAPAYAN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40,81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47980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MAGDALENA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ZONA BANANERA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38,32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50006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ACACIAS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37,96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50110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BARRANCA DE UPIA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32,12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50124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CABUYARO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27,07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50150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CASTILLA L NUEVA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34,59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50223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CUBARRAL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34,21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50226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CUMARAL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52,76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50245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CALVARIO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16,02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50251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CASTILLO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33,75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50270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DORADO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34,39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50287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FUENTE DE ORO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32,11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50313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GRANADA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31,39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50318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GUAMAL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36,13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50350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MACARENA</w:t>
            </w:r>
          </w:p>
        </w:tc>
        <w:tc>
          <w:tcPr>
            <w:tcW w:w="947" w:type="dxa"/>
            <w:tcBorders>
              <w:top w:val="nil"/>
              <w:left w:val="nil"/>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28,28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50400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LEJANIAS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32,06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50325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MAPIRIPAN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27,24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50330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MESETAS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33,39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50450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CONCORDIA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28,11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50568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GAITAN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28,99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50577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LLERAS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26,39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50573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LOPEZ</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28,27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50590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RICO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27,98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50606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RESTREPO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52,46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50680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SN CARLOS GUAROA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28,33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50683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SN JUAN DE ARAMA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23,17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50686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JUANITO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16,15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50689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MARTIN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34,98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50370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URIBE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22,72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VILLAVICENCIO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53,23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50711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META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VISTA HERMOSA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33,06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52019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ALBAN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15,91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52022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ALDANA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6,24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52036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ANCUYA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4,60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52051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ARBOLEDA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52079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BARBACOAS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44,39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52083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BELEN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13,57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52110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BUESACO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52240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CHACHAGUI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13,18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52203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COLON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15,73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52207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CONSACA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4,50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52210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CONTADERO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-0,15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52215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52224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CUASPUD</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8,57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52227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CUMBAL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52233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CUMBITARA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4,36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52250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CHARCO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21,32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52254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PEÑOL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52256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ROSARIO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3,01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lastRenderedPageBreak/>
              <w:t>52258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TABLON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6,40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52260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TAMBO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10,52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52520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FRNCISCO PIZARRO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30,06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52287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FUNES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0,42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52317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GUACHUCAL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-3,01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52320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GUAITARILLA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8,48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52323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GUALMATAN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-1,28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52352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ILES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-1,60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52354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IMUES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-0,60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52356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IPIALES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9,08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52378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CRUZ</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12,18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52381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FLORIDA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52385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LLANADA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9,41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52390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TOLA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21,02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52399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UNION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7,46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52405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LEIVA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52411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LINARES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10,29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52418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LOS ANDES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52427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MAGUI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41,78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52435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MALLAMA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7,40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52473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MOSQUERA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19,31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52480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7,58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52490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OLAYA HERRERA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19,91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52506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OSPINA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8,74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PASTO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0,16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52540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POLICARPA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3,86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52560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POTOSI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52565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PROVIDENCIA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0,80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52573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PUERRES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-1,63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52585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PUPIALES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6,49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52612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RICAURTE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30,55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52621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ROBERTO PAYAN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28,26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52678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SAMANIEGO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11,30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52685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BERNARDO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14,99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52687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LORENZO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5,96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52693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PABLO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6,75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52694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SN PEDRO CARTAGO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15,32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52683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SANDONA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4,22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52696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 BARBARA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36,59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52699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SANTACRUZ</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52720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SAPUYES</w:t>
            </w:r>
          </w:p>
        </w:tc>
        <w:tc>
          <w:tcPr>
            <w:tcW w:w="947" w:type="dxa"/>
            <w:tcBorders>
              <w:top w:val="nil"/>
              <w:left w:val="nil"/>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8,21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52786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TAMINANGO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7,77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52788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TANGUA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0,31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52835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TUMACO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10,55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52838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TUQUERRES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52885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NARIÑO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YACUANQUER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-0,90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54003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ABREGO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25,66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54051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ARBOLEDAS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17,54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54099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BOCHALEMA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10,34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54109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BUCARASICA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25,75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54128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CACHIRA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14,62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54125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CACOTA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-2,95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54172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CHINACOTA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9,64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54174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CHITAGA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-0,98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54206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CONVENCION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24,90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CUCUTA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19,01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54223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CUCUTILLA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11,99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54239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DURANIA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12,36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54245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CARMEN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23,25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54250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TARRA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48,31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54261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ZULIA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17,96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lastRenderedPageBreak/>
              <w:t>54313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GRAMALOTE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17,99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54344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HACARI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18,64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54347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HERRAN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3,26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54385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ESPERANZA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31,23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54398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PLAYA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17,81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54377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LABATECA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54405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LOS PATIOS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10,96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54418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LOURDES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14,96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54480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MUTISCUA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7,93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54498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OCAÑA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20,23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54518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PAMPLONA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54520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PAMPLONITA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11,82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54553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SANTANDER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26,42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54599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RAGONVALIA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54660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SALAZAR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27,01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54670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CALIXTO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29,22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54673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CAYETANO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19,14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54680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SANTIAGO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20,81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54720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SARDINATA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28,98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54743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SILOS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3,75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54800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TEORAMA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28,15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54810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TIBU</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50,36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54820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TOLEDO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54871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VILLA CARO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10,47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54874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 STD</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VILLA DL ROSARIO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15,27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86219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PUTUMAYO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COLON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86001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PUTUMAYO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MOCOA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21,70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86320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PUTUMAYO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ORITO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23,41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86568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PUTUMAYO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ASIS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24,19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86569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PUTUMAYO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CAICEDO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23,97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86571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PUTUMAYO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GUZMAN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27,62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86573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PUTUMAYO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LEGUIZAMO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14,76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86755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PUTUMAYO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FRANCISCO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7,28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86757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PUTUMAYO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MIGUEL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23,23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86760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PUTUMAYO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SANTIAGO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3,20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86749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PUTUMAYO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SIBUNDOY</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86865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PUTUMAYO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 GUAMUEZ</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24,81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86885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PUTUMAYO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VILLAGARZON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35,96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63001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QUINDIO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ARMENIA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27,94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63111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QUINDIO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BUENAVISTA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20,04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63130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QUINDIO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CALARCA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19,92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63190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QUINDIO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CIRCASIA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27,64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63212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QUINDIO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CORDOBA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19,91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63272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QUINDIO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FILANDIA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27,02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63302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QUINDIO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GENOVA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29,52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63401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QUINDIO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TEBAIDA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28,05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63470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QUINDIO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MONTENEGRO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28,70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63548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QUINDIO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PIJAO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19,35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63594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QUINDIO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QUIMBAYA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34,51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63690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QUINDIO</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SALENTO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29,14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66045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RISARALDA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APIA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28,93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66075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RISARALDA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BALBOA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38,97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66088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RISARALDA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BELEN DE UMBRIA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41,46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66170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RISARALDA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DOS QUEBRADAS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45,55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66318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RISARALDA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GUATICA</w:t>
            </w:r>
          </w:p>
        </w:tc>
        <w:tc>
          <w:tcPr>
            <w:tcW w:w="947" w:type="dxa"/>
            <w:tcBorders>
              <w:top w:val="nil"/>
              <w:left w:val="nil"/>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39,80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66383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RISARALDA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CELIA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39,32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66400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RISARALDA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VIRGINIA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41,61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66440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RISARALDA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MARSELLA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45,24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66456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RISARALDA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MISTRATO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30,81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66001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RISARALDA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PEREIRA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41,61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66572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RISARALDA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PUEBLO RICO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31,67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lastRenderedPageBreak/>
              <w:t>66594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RISARALDA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QUINCHIA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40,20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66682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RISARALDA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STA ROSA D CABAL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38,93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66687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RISARALDA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SANTUARIO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26,12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68013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AGUADA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34,62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68020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ALBANIA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54,12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68051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ARATOCA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10,15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68077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BARBOSA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44,86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68079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BARICHARA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20,49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68081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BARRANCABERMEJA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48,91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68092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BETULIA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15,80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68101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43,46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BUCARAMANGA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12,18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68121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CABRERA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32,05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68132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CALIFORNIA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68147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CAPITANEJO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15,56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68152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CARCASI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7,51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68160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CEPITA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9,51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68162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CERRITO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10,01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68167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CHARALA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65,47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68169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CHARTA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7,52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68176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CHIMA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58,67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68179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CHIPATA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37,98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68190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CIMITARRA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72,64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68207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CONCEPCION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16,38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68209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CONFINES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41,11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68211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CONTRATACION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56,75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68217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COROMORO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41,14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68229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CURITI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23,75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68235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CARMEN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45,65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68245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GUACAMAYO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55,59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68250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PEÑON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32,86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68255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PLAYON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27,76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68264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ENCINO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43,16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68266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ENCISO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10,38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68271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FLORIAN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46,47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68276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FLORIDABLANCA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12,20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68296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GALAN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18,75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68298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GAMBITA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58,09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68307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GIRON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12,88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68318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10,93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68320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GUADALUPE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59,48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68322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GUAPOTA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50,81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68324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GUAVATA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56,64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68327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GUEPSA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43,32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68344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HATO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24,64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68368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JESUS MARIA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44,83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68370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JORDAN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13,80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68377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BELLEZA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34,71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68397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PAZ</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36,07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68385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LANDAZURI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67,69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68406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LEBRIJA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11,73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68418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LOS SANTOS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7,98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68425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MACARAVITA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16,72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68432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MALAGA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10,30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68444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MATANZA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14,74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68464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MOGOTES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52,21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68468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MOLAGAVITA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11,23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68498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OCAMONTE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52,72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68500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OIBA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50,66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68502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ONZAGA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19,85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68522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PALMAR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34,88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lastRenderedPageBreak/>
              <w:t>68524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PALMAS D SOCORRO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49,51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68533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PARAMO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23,72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68547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PIEDECUESTA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12,88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68549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PINCHOTE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23,95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68572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PUENTE NACIONAL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44,70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68573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PARRA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56,64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68575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WILCHES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59,25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68615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RIONEGRO</w:t>
            </w:r>
          </w:p>
        </w:tc>
        <w:tc>
          <w:tcPr>
            <w:tcW w:w="947" w:type="dxa"/>
            <w:tcBorders>
              <w:top w:val="nil"/>
              <w:left w:val="nil"/>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18,20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68655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SABANA DE TORRES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48,18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68669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ANDRES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13,15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68673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BENITO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36,00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68679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GIL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26,63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68682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JOAQUIN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22,35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68684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SN JSE D MIRANDA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8,75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68686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MIGUEL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18,20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68689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SN VTE D CHUCURI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26,94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68705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 BARBARA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11,63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68720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STA HELENA  OPON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51,94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68745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SIMACOTA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42,32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68755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SOCORRO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34,90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68770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SUAITA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43,90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68773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48,32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68780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SURATA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8,48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68820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TONA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14,07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68855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 DE SN JOSE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30,50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68861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VELEZ</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34,32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68867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VETAS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-4,43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68872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VILLANUEVA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11,35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68895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SANTANDER</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ZAPATOCA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19,07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11001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BOGOTA D.C.</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BOGOTA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11,96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70110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BUENAVISTA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41,77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70124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CAIMITO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47,34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70230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CHALAN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47,14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70204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COLOSO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45,14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70215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COROZAL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47,42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70221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COVEÑAS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41,26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70233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ROBLE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33,38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70235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GALERAS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26,57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70265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GUARANDA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84,30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70400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UNION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40,56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70418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LOS PALMITOS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41,27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70429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MAJAGUAL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66,00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70473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MORROA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47,43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70508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OVEJAS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38,33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70523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PALMITO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40,82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70670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SAMPUES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41,98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70678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BENITO ABAD</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43,62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70702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JUAN BETULIA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45,76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70708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MARCOS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49,74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70713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ONOFRE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42,82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70717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PEDRO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36,29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70742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SINCE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47,00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SINCELEJO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46,48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70771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55,78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70820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TOLU</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38,57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70823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SUCRE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TOLUVIEJO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30,28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73024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ALPUJARRA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15,47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73026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ALVARADO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27,02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73030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AMBALEMA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30,81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73043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ANZOATEGUI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21,16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lastRenderedPageBreak/>
              <w:t>73055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ARMERO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34,86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73067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ATACO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30,35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73124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CAJAMARCA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21,62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73148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CARMEN DE APICALA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27,87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73152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CASABIANCA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35,12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73168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CHAPARRAL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28,26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73200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COELLO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31,54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73217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COYAIMA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26,61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73226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CUNDAY</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29,72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73236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DOLORES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19,62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73268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ESPINAL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24,82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73270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FALAN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42,78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73275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FLANDES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31,44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73283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FRESNO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49,73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73319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GUAMO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23,23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73347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HERVEO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34,24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73349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HONDA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33,84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IBAGUE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32,76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73352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ICONONZO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26,49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73408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LERIDA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29,14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73411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LIBANO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39,17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73443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MARIQUITA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50,72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73449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MELGAR</w:t>
            </w:r>
          </w:p>
        </w:tc>
        <w:tc>
          <w:tcPr>
            <w:tcW w:w="947" w:type="dxa"/>
            <w:tcBorders>
              <w:top w:val="nil"/>
              <w:left w:val="nil"/>
              <w:bottom w:val="single" w:sz="4" w:space="0" w:color="auto"/>
              <w:right w:val="single" w:sz="4" w:space="0" w:color="auto"/>
            </w:tcBorders>
            <w:shd w:val="clear" w:color="auto" w:fill="auto"/>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23,94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73461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MURILLO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13,52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73483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NATAGAIMA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36,35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73504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ORTEGA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26,72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73520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PALOCABILDO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35,99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73547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PIEDRAS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20,72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73555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PLANADAS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30,51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73563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PRADO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39,68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73585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PURIFICACION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37,29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73616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RIOBLANCO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27,04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73622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RONCESVALLES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3,43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73624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ROVIRA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31,74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73671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SALDAÑA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26,38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73675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ANTONIO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27,09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73678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LUIS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26,44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73686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 ISABEL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22,42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73770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SUAREZ</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26,77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73854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 DE SN JUAN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25,76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73861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VENADILLO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29,87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73870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VILLAHERMOSA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32,63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73873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TOLIMA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VILLARRICA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32,71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76020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ALCALA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29,07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76036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ANDALUCIA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21,48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76041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ANSERMANUEVO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26,97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76054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ARGELIA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16,97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76100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BOLIVAR</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17,91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76109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BUENAVENTURA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62,37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76111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BUGA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24,68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76113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BUGALAGRANDE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27,43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76122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CAICEDONIA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23,65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18,12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76126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CALIMA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16,51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76130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CANDELARIA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18,41</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76147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CARTAGO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26,87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76233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DAGUA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13,25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76243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AGUILA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30,10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76246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CAIRO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13,96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76248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CERRITO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22,95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76250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EL DOVIO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17,64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lastRenderedPageBreak/>
              <w:t>76275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FLORIDA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18,48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76306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GINEBRA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22,69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76318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GUACARI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17,05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76364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JAMUNDI</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23,60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76377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CUMBRE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14,70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76400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UNION</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17,83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76403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VICTORIA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19,78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76497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OBANDO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24,57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76520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PALMIRA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18,08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76563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PRADERA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18,29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76606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RESTREPO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23,40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76616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RIOFRIO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27,62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76622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ROLDANILLO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17,73</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76670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 PEDRO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22,40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76736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SEVILLA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31,60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76823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TORO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27,36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76828</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TRUJILLO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30,86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76834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TULUA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21,38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76845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ULLOA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34,27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76863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VERSALLES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14,27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76869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VIJES</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15,87</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lastRenderedPageBreak/>
              <w:t>76890</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YOTOCO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16,00</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76892</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YUMBO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16,22</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76895</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VALLE</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ZARZAL</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27,35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97161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VAUPES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CARURU</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26,64</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97001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VAUPES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MITU</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25,36</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97511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VAUPES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PACOA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24,98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97777</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VAUPES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PAPUNAUA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26,59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97666</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VAUPES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TARAIRA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22,49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97889</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VAUPES</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YAVARATE</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25,69</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99773</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VICHADA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CUMARIBO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27,88</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99524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VICHADA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LA PRIMAVERA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25,65</w:t>
            </w:r>
          </w:p>
        </w:tc>
      </w:tr>
      <w:tr w:rsidR="00506F04" w:rsidRPr="004E6CFC"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99001</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VICHADA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PUERTO CARREÑO</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19,23</w:t>
            </w:r>
          </w:p>
        </w:tc>
      </w:tr>
      <w:tr w:rsidR="00506F04" w:rsidRPr="003116CE" w:rsidTr="00713589">
        <w:trPr>
          <w:trHeight w:val="227"/>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99624</w:t>
            </w:r>
          </w:p>
        </w:tc>
        <w:tc>
          <w:tcPr>
            <w:tcW w:w="935"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VICHADA</w:t>
            </w:r>
          </w:p>
        </w:tc>
        <w:tc>
          <w:tcPr>
            <w:tcW w:w="1546" w:type="dxa"/>
            <w:tcBorders>
              <w:top w:val="nil"/>
              <w:left w:val="nil"/>
              <w:bottom w:val="single" w:sz="4" w:space="0" w:color="auto"/>
              <w:right w:val="single" w:sz="4" w:space="0" w:color="auto"/>
            </w:tcBorders>
            <w:shd w:val="clear" w:color="auto" w:fill="auto"/>
            <w:noWrap/>
            <w:vAlign w:val="center"/>
            <w:hideMark/>
          </w:tcPr>
          <w:p w:rsidR="00506F04" w:rsidRPr="004E6CFC"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SANTA ROSALIA</w:t>
            </w:r>
          </w:p>
        </w:tc>
        <w:tc>
          <w:tcPr>
            <w:tcW w:w="947" w:type="dxa"/>
            <w:tcBorders>
              <w:top w:val="nil"/>
              <w:left w:val="nil"/>
              <w:bottom w:val="single" w:sz="4" w:space="0" w:color="auto"/>
              <w:right w:val="single" w:sz="4" w:space="0" w:color="auto"/>
            </w:tcBorders>
            <w:shd w:val="clear" w:color="auto" w:fill="auto"/>
            <w:noWrap/>
            <w:vAlign w:val="center"/>
            <w:hideMark/>
          </w:tcPr>
          <w:p w:rsidR="00506F04" w:rsidRPr="003116CE" w:rsidRDefault="00506F04" w:rsidP="00713589">
            <w:pPr>
              <w:spacing w:before="0" w:after="0"/>
              <w:contextualSpacing/>
              <w:jc w:val="center"/>
              <w:rPr>
                <w:rFonts w:cs="Calibri"/>
                <w:color w:val="000000"/>
                <w:sz w:val="12"/>
                <w:szCs w:val="12"/>
                <w:lang w:val="es-CO" w:eastAsia="es-CO"/>
              </w:rPr>
            </w:pPr>
            <w:r w:rsidRPr="004E6CFC">
              <w:rPr>
                <w:rFonts w:cs="Calibri"/>
                <w:color w:val="000000"/>
                <w:sz w:val="12"/>
                <w:szCs w:val="12"/>
                <w:lang w:val="es-CO" w:eastAsia="es-CO"/>
              </w:rPr>
              <w:t>23,00</w:t>
            </w:r>
          </w:p>
        </w:tc>
      </w:tr>
    </w:tbl>
    <w:p w:rsidR="00506F04" w:rsidRDefault="00506F04" w:rsidP="00506F04"/>
    <w:p w:rsidR="00506F04" w:rsidRDefault="00506F04" w:rsidP="00506F04"/>
    <w:p w:rsidR="00506F04" w:rsidRDefault="00506F04" w:rsidP="00506F04">
      <w:pPr>
        <w:sectPr w:rsidR="00506F04" w:rsidSect="00506F04">
          <w:type w:val="continuous"/>
          <w:pgSz w:w="12242" w:h="18722" w:code="123"/>
          <w:pgMar w:top="2364" w:right="1185" w:bottom="1276" w:left="1701" w:header="426" w:footer="0" w:gutter="0"/>
          <w:cols w:num="2" w:space="708"/>
          <w:titlePg/>
          <w:docGrid w:linePitch="360"/>
        </w:sectPr>
      </w:pPr>
    </w:p>
    <w:p w:rsidR="00517BBF" w:rsidRDefault="00517BBF" w:rsidP="00517BBF">
      <w:pPr>
        <w:spacing w:before="0" w:after="0"/>
        <w:rPr>
          <w:lang w:val="es-CO"/>
        </w:rPr>
      </w:pPr>
    </w:p>
    <w:sectPr w:rsidR="00517BBF" w:rsidSect="00517BBF">
      <w:headerReference w:type="even" r:id="rId32"/>
      <w:headerReference w:type="default" r:id="rId33"/>
      <w:headerReference w:type="first" r:id="rId34"/>
      <w:type w:val="continuous"/>
      <w:pgSz w:w="12242" w:h="18722" w:code="123"/>
      <w:pgMar w:top="2364" w:right="1185" w:bottom="1276" w:left="1701" w:header="426" w:footer="0" w:gutter="0"/>
      <w:cols w:num="2"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87EDB" w:rsidRDefault="00687EDB">
      <w:r>
        <w:separator/>
      </w:r>
    </w:p>
  </w:endnote>
  <w:endnote w:type="continuationSeparator" w:id="0">
    <w:p w:rsidR="00687EDB" w:rsidRDefault="00687E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charset w:val="00"/>
    <w:family w:val="roman"/>
    <w:pitch w:val="variable"/>
    <w:sig w:usb0="00000007" w:usb1="00000000" w:usb2="00000000" w:usb3="00000000" w:csb0="00000093"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Garamond">
    <w:panose1 w:val="02020404030301010803"/>
    <w:charset w:val="00"/>
    <w:family w:val="roman"/>
    <w:pitch w:val="variable"/>
    <w:sig w:usb0="00000287" w:usb1="00000000" w:usb2="00000000" w:usb3="00000000" w:csb0="0000009F" w:csb1="00000000"/>
  </w:font>
  <w:font w:name="DejaVu Sans">
    <w:altName w:val="Times New Roman"/>
    <w:charset w:val="00"/>
    <w:family w:val="auto"/>
    <w:pitch w:val="variable"/>
  </w:font>
  <w:font w:name="Arial Black">
    <w:panose1 w:val="020B0A040201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ms Rmn">
    <w:panose1 w:val="02020603040505020304"/>
    <w:charset w:val="00"/>
    <w:family w:val="roman"/>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87EDB" w:rsidRDefault="00687EDB">
      <w:r>
        <w:separator/>
      </w:r>
    </w:p>
  </w:footnote>
  <w:footnote w:type="continuationSeparator" w:id="0">
    <w:p w:rsidR="00687EDB" w:rsidRDefault="00687ED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207F" w:rsidRPr="00524BF8" w:rsidRDefault="009C207F" w:rsidP="00490639">
    <w:pPr>
      <w:pStyle w:val="Ttulo1"/>
      <w:numPr>
        <w:ilvl w:val="0"/>
        <w:numId w:val="0"/>
      </w:numPr>
      <w:ind w:left="432" w:right="6"/>
      <w:jc w:val="left"/>
      <w:rPr>
        <w:rFonts w:cs="Arial"/>
        <w:b w:val="0"/>
        <w:sz w:val="20"/>
        <w:szCs w:val="22"/>
      </w:rPr>
    </w:pPr>
    <w:r>
      <w:rPr>
        <w:rFonts w:cs="Arial"/>
        <w:b w:val="0"/>
        <w:sz w:val="20"/>
        <w:szCs w:val="22"/>
      </w:rPr>
      <w:t xml:space="preserve">RESOLUCIÓN No. 015 </w:t>
    </w:r>
    <w:r w:rsidRPr="00524BF8">
      <w:rPr>
        <w:rFonts w:cs="Arial"/>
        <w:b w:val="0"/>
        <w:sz w:val="20"/>
        <w:szCs w:val="22"/>
      </w:rPr>
      <w:tab/>
      <w:t xml:space="preserve">DE </w:t>
    </w:r>
    <w:r>
      <w:rPr>
        <w:rFonts w:cs="Arial"/>
        <w:b w:val="0"/>
        <w:sz w:val="20"/>
        <w:szCs w:val="22"/>
      </w:rPr>
      <w:t>ene.29-2018</w:t>
    </w:r>
    <w:r>
      <w:rPr>
        <w:rFonts w:cs="Arial"/>
        <w:b w:val="0"/>
        <w:sz w:val="20"/>
        <w:szCs w:val="22"/>
      </w:rPr>
      <w:tab/>
    </w:r>
    <w:r>
      <w:rPr>
        <w:rFonts w:cs="Arial"/>
        <w:b w:val="0"/>
        <w:sz w:val="20"/>
        <w:szCs w:val="22"/>
      </w:rPr>
      <w:tab/>
    </w:r>
    <w:r>
      <w:rPr>
        <w:rFonts w:cs="Arial"/>
        <w:b w:val="0"/>
        <w:sz w:val="20"/>
        <w:szCs w:val="22"/>
      </w:rPr>
      <w:tab/>
    </w:r>
    <w:r>
      <w:rPr>
        <w:rFonts w:cs="Arial"/>
        <w:b w:val="0"/>
        <w:sz w:val="20"/>
        <w:szCs w:val="22"/>
      </w:rPr>
      <w:tab/>
    </w:r>
    <w:r>
      <w:rPr>
        <w:rFonts w:cs="Arial"/>
        <w:b w:val="0"/>
        <w:sz w:val="20"/>
        <w:szCs w:val="22"/>
      </w:rPr>
      <w:tab/>
    </w:r>
    <w:r>
      <w:rPr>
        <w:rFonts w:cs="Arial"/>
        <w:b w:val="0"/>
        <w:sz w:val="20"/>
        <w:szCs w:val="22"/>
      </w:rPr>
      <w:tab/>
    </w:r>
    <w:r>
      <w:rPr>
        <w:rFonts w:cs="Arial"/>
        <w:b w:val="0"/>
        <w:sz w:val="20"/>
        <w:szCs w:val="22"/>
      </w:rPr>
      <w:tab/>
    </w:r>
    <w:r>
      <w:rPr>
        <w:rFonts w:cs="Arial"/>
        <w:b w:val="0"/>
        <w:sz w:val="20"/>
        <w:szCs w:val="22"/>
      </w:rPr>
      <w:tab/>
    </w:r>
    <w:r>
      <w:rPr>
        <w:rFonts w:cs="Arial"/>
        <w:b w:val="0"/>
        <w:sz w:val="20"/>
        <w:szCs w:val="22"/>
      </w:rPr>
      <w:tab/>
    </w:r>
    <w:r>
      <w:rPr>
        <w:rFonts w:cs="Arial"/>
        <w:b w:val="0"/>
        <w:sz w:val="20"/>
        <w:szCs w:val="22"/>
      </w:rPr>
      <w:tab/>
    </w:r>
    <w:r>
      <w:rPr>
        <w:rFonts w:cs="Arial"/>
        <w:b w:val="0"/>
        <w:sz w:val="20"/>
        <w:szCs w:val="22"/>
      </w:rPr>
      <w:tab/>
    </w:r>
    <w:r>
      <w:rPr>
        <w:rFonts w:cs="Arial"/>
        <w:b w:val="0"/>
        <w:sz w:val="20"/>
        <w:szCs w:val="22"/>
      </w:rPr>
      <w:tab/>
    </w:r>
    <w:r>
      <w:rPr>
        <w:rFonts w:cs="Arial"/>
        <w:b w:val="0"/>
        <w:sz w:val="20"/>
        <w:szCs w:val="22"/>
      </w:rPr>
      <w:tab/>
    </w:r>
    <w:r>
      <w:rPr>
        <w:rFonts w:cs="Arial"/>
        <w:b w:val="0"/>
        <w:sz w:val="20"/>
        <w:szCs w:val="22"/>
      </w:rPr>
      <w:tab/>
    </w:r>
    <w:r>
      <w:rPr>
        <w:rFonts w:cs="Arial"/>
        <w:b w:val="0"/>
        <w:sz w:val="20"/>
        <w:szCs w:val="22"/>
      </w:rPr>
      <w:tab/>
    </w:r>
    <w:r>
      <w:rPr>
        <w:rFonts w:cs="Arial"/>
        <w:b w:val="0"/>
        <w:sz w:val="20"/>
        <w:szCs w:val="22"/>
      </w:rPr>
      <w:tab/>
    </w:r>
    <w:r w:rsidRPr="00524BF8">
      <w:rPr>
        <w:rFonts w:cs="Arial"/>
        <w:b w:val="0"/>
        <w:sz w:val="20"/>
        <w:szCs w:val="22"/>
      </w:rPr>
      <w:tab/>
    </w:r>
    <w:r>
      <w:rPr>
        <w:rFonts w:cs="Arial"/>
        <w:b w:val="0"/>
        <w:sz w:val="20"/>
        <w:szCs w:val="22"/>
      </w:rPr>
      <w:t xml:space="preserve">               </w:t>
    </w:r>
    <w:r w:rsidRPr="00524BF8">
      <w:rPr>
        <w:rFonts w:cs="Arial"/>
        <w:b w:val="0"/>
        <w:sz w:val="20"/>
        <w:szCs w:val="22"/>
      </w:rPr>
      <w:t xml:space="preserve">HOJA No. </w:t>
    </w:r>
    <w:r w:rsidRPr="00524BF8">
      <w:rPr>
        <w:rFonts w:cs="Arial"/>
        <w:b w:val="0"/>
        <w:sz w:val="20"/>
        <w:szCs w:val="22"/>
      </w:rPr>
      <w:fldChar w:fldCharType="begin"/>
    </w:r>
    <w:r w:rsidRPr="00524BF8">
      <w:rPr>
        <w:rFonts w:cs="Arial"/>
        <w:b w:val="0"/>
        <w:sz w:val="20"/>
        <w:szCs w:val="22"/>
      </w:rPr>
      <w:instrText xml:space="preserve"> PAGE   \* MERGEFORMAT </w:instrText>
    </w:r>
    <w:r w:rsidRPr="00524BF8">
      <w:rPr>
        <w:rFonts w:cs="Arial"/>
        <w:b w:val="0"/>
        <w:sz w:val="20"/>
        <w:szCs w:val="22"/>
      </w:rPr>
      <w:fldChar w:fldCharType="separate"/>
    </w:r>
    <w:r w:rsidR="00C9592F">
      <w:rPr>
        <w:rFonts w:cs="Arial"/>
        <w:b w:val="0"/>
        <w:noProof/>
        <w:sz w:val="20"/>
        <w:szCs w:val="22"/>
      </w:rPr>
      <w:t>73</w:t>
    </w:r>
    <w:r w:rsidRPr="00524BF8">
      <w:rPr>
        <w:rFonts w:cs="Arial"/>
        <w:b w:val="0"/>
        <w:sz w:val="20"/>
        <w:szCs w:val="22"/>
      </w:rPr>
      <w:fldChar w:fldCharType="end"/>
    </w:r>
    <w:r w:rsidRPr="00524BF8">
      <w:rPr>
        <w:rFonts w:cs="Arial"/>
        <w:b w:val="0"/>
        <w:sz w:val="20"/>
        <w:szCs w:val="22"/>
      </w:rPr>
      <w:t>/</w:t>
    </w:r>
    <w:r w:rsidRPr="00524BF8">
      <w:rPr>
        <w:sz w:val="22"/>
      </w:rPr>
      <w:fldChar w:fldCharType="begin"/>
    </w:r>
    <w:r w:rsidRPr="00524BF8">
      <w:rPr>
        <w:sz w:val="22"/>
      </w:rPr>
      <w:instrText xml:space="preserve"> NUMPAGES  \* MERGEFORMAT </w:instrText>
    </w:r>
    <w:r w:rsidRPr="00524BF8">
      <w:rPr>
        <w:sz w:val="22"/>
      </w:rPr>
      <w:fldChar w:fldCharType="separate"/>
    </w:r>
    <w:r w:rsidR="00C9592F" w:rsidRPr="00C9592F">
      <w:rPr>
        <w:rFonts w:cs="Arial"/>
        <w:b w:val="0"/>
        <w:noProof/>
        <w:sz w:val="20"/>
        <w:szCs w:val="22"/>
      </w:rPr>
      <w:t>239</w:t>
    </w:r>
    <w:r w:rsidRPr="00524BF8">
      <w:rPr>
        <w:rFonts w:cs="Arial"/>
        <w:b w:val="0"/>
        <w:noProof/>
        <w:sz w:val="20"/>
        <w:szCs w:val="22"/>
      </w:rPr>
      <w:fldChar w:fldCharType="end"/>
    </w:r>
  </w:p>
  <w:p w:rsidR="009C207F" w:rsidRDefault="009C207F" w:rsidP="00CD665F">
    <w:pPr>
      <w:ind w:left="142" w:right="148"/>
      <w:rPr>
        <w:rFonts w:cs="Arial"/>
        <w:sz w:val="22"/>
        <w:szCs w:val="22"/>
      </w:rPr>
    </w:pPr>
    <w:r>
      <w:rPr>
        <w:noProof/>
        <w:lang w:val="es-CO" w:eastAsia="es-CO"/>
      </w:rPr>
      <mc:AlternateContent>
        <mc:Choice Requires="wps">
          <w:drawing>
            <wp:anchor distT="0" distB="0" distL="114300" distR="114300" simplePos="0" relativeHeight="251659264" behindDoc="0" locked="0" layoutInCell="1" allowOverlap="1" wp14:anchorId="63399C0E" wp14:editId="3424B927">
              <wp:simplePos x="0" y="0"/>
              <wp:positionH relativeFrom="column">
                <wp:posOffset>-176621</wp:posOffset>
              </wp:positionH>
              <wp:positionV relativeFrom="paragraph">
                <wp:posOffset>102779</wp:posOffset>
              </wp:positionV>
              <wp:extent cx="6267450" cy="10363200"/>
              <wp:effectExtent l="0" t="0" r="19050" b="19050"/>
              <wp:wrapNone/>
              <wp:docPr id="5"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1036320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D55287" id="Rectangle 1" o:spid="_x0000_s1026" style="position:absolute;margin-left:-13.9pt;margin-top:8.1pt;width:493.5pt;height:81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" filled="f" strokeweight="1.5pt"/>
          </w:pict>
        </mc:Fallback>
      </mc:AlternateContent>
    </w:r>
  </w:p>
  <w:p w:rsidR="009C207F" w:rsidRDefault="009C207F" w:rsidP="003F468A">
    <w:pPr>
      <w:spacing w:before="0" w:after="0"/>
      <w:ind w:left="142" w:right="148"/>
      <w:rPr>
        <w:sz w:val="22"/>
        <w:szCs w:val="22"/>
      </w:rPr>
    </w:pPr>
    <w:r w:rsidRPr="00864C46">
      <w:rPr>
        <w:sz w:val="22"/>
        <w:szCs w:val="22"/>
      </w:rPr>
      <w:t>Por la cual se establece la metodología para la remuneración de la actividad de distribución de energía eléctrica en el Sistema Interconectado Nacional</w:t>
    </w:r>
  </w:p>
  <w:p w:rsidR="009C207F" w:rsidRDefault="009C207F" w:rsidP="00FB78B8">
    <w:pPr>
      <w:spacing w:before="0" w:after="0"/>
      <w:ind w:left="142" w:right="148"/>
      <w:jc w:val="center"/>
      <w:rPr>
        <w:sz w:val="22"/>
        <w:szCs w:val="22"/>
      </w:rPr>
    </w:pPr>
    <w:r>
      <w:rPr>
        <w:noProof/>
        <w:sz w:val="22"/>
        <w:szCs w:val="22"/>
        <w:lang w:val="es-CO" w:eastAsia="es-CO"/>
      </w:rPr>
      <mc:AlternateContent>
        <mc:Choice Requires="wps">
          <w:drawing>
            <wp:anchor distT="0" distB="0" distL="114300" distR="114300" simplePos="0" relativeHeight="251663360" behindDoc="0" locked="0" layoutInCell="1" allowOverlap="1" wp14:anchorId="7FDFCE80" wp14:editId="480213B0">
              <wp:simplePos x="0" y="0"/>
              <wp:positionH relativeFrom="column">
                <wp:posOffset>129539</wp:posOffset>
              </wp:positionH>
              <wp:positionV relativeFrom="paragraph">
                <wp:posOffset>124460</wp:posOffset>
              </wp:positionV>
              <wp:extent cx="5743575" cy="0"/>
              <wp:effectExtent l="0" t="0" r="28575" b="19050"/>
              <wp:wrapNone/>
              <wp:docPr id="4" name="Conector recto 4"/>
              <wp:cNvGraphicFramePr/>
              <a:graphic xmlns:a="http://schemas.openxmlformats.org/drawingml/2006/main">
                <a:graphicData uri="http://schemas.microsoft.com/office/word/2010/wordprocessingShape">
                  <wps:wsp>
                    <wps:cNvCnPr/>
                    <wps:spPr>
                      <a:xfrm>
                        <a:off x="0" y="0"/>
                        <a:ext cx="574357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D2DA873" id="Conector recto 4"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10.2pt,9.8pt" to="462.45pt,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" strokecolor="black [3213]"/>
          </w:pict>
        </mc:Fallback>
      </mc:AlternateContent>
    </w:r>
  </w:p>
  <w:p w:rsidR="009C207F" w:rsidRPr="00490639" w:rsidRDefault="009C207F" w:rsidP="007C5DE6">
    <w:pPr>
      <w:spacing w:before="0" w:after="0"/>
      <w:ind w:left="142" w:right="148"/>
      <w:rPr>
        <w:rFonts w:cs="Arial"/>
        <w:sz w:val="20"/>
        <w:szCs w:val="22"/>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207F" w:rsidRDefault="009C207F" w:rsidP="00A015EA">
    <w:pPr>
      <w:pStyle w:val="Encabezado"/>
      <w:tabs>
        <w:tab w:val="clear" w:pos="4252"/>
        <w:tab w:val="clear" w:pos="8504"/>
      </w:tabs>
      <w:jc w:val="center"/>
      <w:rPr>
        <w:rFonts w:ascii="Arial" w:hAnsi="Arial" w:cs="Arial"/>
        <w:spacing w:val="20"/>
        <w:sz w:val="20"/>
      </w:rPr>
    </w:pPr>
    <w:r>
      <w:rPr>
        <w:rFonts w:ascii="Arial" w:hAnsi="Arial" w:cs="Arial"/>
        <w:spacing w:val="20"/>
        <w:sz w:val="20"/>
      </w:rPr>
      <w:t>República de Colombia</w:t>
    </w:r>
  </w:p>
  <w:p w:rsidR="009C207F" w:rsidRDefault="00C9592F" w:rsidP="0023406C">
    <w:pPr>
      <w:pStyle w:val="Encabezado"/>
      <w:jc w:val="center"/>
      <w:rPr>
        <w:rFonts w:ascii="Arial" w:hAnsi="Arial" w:cs="Arial"/>
        <w:spacing w:val="20"/>
        <w:sz w:val="20"/>
      </w:rPr>
    </w:pPr>
    <w:r>
      <w:rPr>
        <w:rFonts w:ascii="Arial" w:hAnsi="Arial" w:cs="Arial"/>
        <w:noProof/>
        <w:spacing w:val="20"/>
        <w:sz w:val="20"/>
        <w:lang w:eastAsia="es-CO"/>
      </w:rPr>
      <w:object w:dxaOrig="1440" w:dyaOrig="1440" w14:anchorId="12BA254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215.25pt;margin-top:6.25pt;width:52.5pt;height:48.75pt;z-index:251662336" fillcolor="#0c9">
          <v:imagedata r:id="rId1" o:title=""/>
        </v:shape>
        <o:OLEObject Type="Embed" ProgID="PBrush" ShapeID="_x0000_s2049" DrawAspect="Content" ObjectID="_1579105673" r:id="rId2"/>
      </w:object>
    </w:r>
  </w:p>
  <w:p w:rsidR="009C207F" w:rsidRDefault="009C207F" w:rsidP="0023406C">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61312" behindDoc="0" locked="0" layoutInCell="1" allowOverlap="1" wp14:anchorId="0A34BC35" wp14:editId="24250590">
              <wp:simplePos x="0" y="0"/>
              <wp:positionH relativeFrom="column">
                <wp:posOffset>-213360</wp:posOffset>
              </wp:positionH>
              <wp:positionV relativeFrom="paragraph">
                <wp:posOffset>85090</wp:posOffset>
              </wp:positionV>
              <wp:extent cx="6343650" cy="10048875"/>
              <wp:effectExtent l="0" t="0" r="19050" b="28575"/>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1004887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1950C3" id="Rectangle 2" o:spid="_x0000_s1026" style="position:absolute;margin-left:-16.8pt;margin-top:6.7pt;width:499.5pt;height:791.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" filled="f" strokeweight="1.5pt"/>
          </w:pict>
        </mc:Fallback>
      </mc:AlternateContent>
    </w:r>
  </w:p>
  <w:p w:rsidR="009C207F" w:rsidRDefault="009C207F">
    <w:pPr>
      <w:pStyle w:val="Encabezado"/>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207F" w:rsidRDefault="009C207F">
    <w:pPr>
      <w:pStyle w:val="Encabezado"/>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207F" w:rsidRDefault="009C207F" w:rsidP="00490639">
    <w:pPr>
      <w:pStyle w:val="Ttulo1"/>
      <w:numPr>
        <w:ilvl w:val="0"/>
        <w:numId w:val="0"/>
      </w:numPr>
      <w:ind w:left="432" w:right="6"/>
      <w:jc w:val="left"/>
      <w:rPr>
        <w:rFonts w:cs="Arial"/>
        <w:b w:val="0"/>
        <w:sz w:val="22"/>
        <w:szCs w:val="22"/>
      </w:rPr>
    </w:pPr>
  </w:p>
  <w:p w:rsidR="009C207F" w:rsidRPr="00524BF8" w:rsidRDefault="009C207F" w:rsidP="00490639">
    <w:pPr>
      <w:pStyle w:val="Ttulo1"/>
      <w:numPr>
        <w:ilvl w:val="0"/>
        <w:numId w:val="0"/>
      </w:numPr>
      <w:ind w:left="432" w:right="6"/>
      <w:jc w:val="left"/>
      <w:rPr>
        <w:rFonts w:cs="Arial"/>
        <w:b w:val="0"/>
        <w:sz w:val="20"/>
        <w:szCs w:val="22"/>
      </w:rPr>
    </w:pPr>
    <w:r w:rsidRPr="00524BF8">
      <w:rPr>
        <w:rFonts w:cs="Arial"/>
        <w:b w:val="0"/>
        <w:sz w:val="20"/>
        <w:szCs w:val="22"/>
      </w:rPr>
      <w:t>RESOLUCIÓN No.  ________________</w:t>
    </w:r>
    <w:r w:rsidRPr="00524BF8">
      <w:rPr>
        <w:rFonts w:cs="Arial"/>
        <w:b w:val="0"/>
        <w:sz w:val="20"/>
        <w:szCs w:val="22"/>
      </w:rPr>
      <w:tab/>
      <w:t>DE ________________</w:t>
    </w:r>
    <w:r w:rsidRPr="00524BF8">
      <w:rPr>
        <w:rFonts w:cs="Arial"/>
        <w:b w:val="0"/>
        <w:sz w:val="20"/>
        <w:szCs w:val="22"/>
      </w:rPr>
      <w:tab/>
    </w:r>
    <w:r>
      <w:rPr>
        <w:rFonts w:cs="Arial"/>
        <w:b w:val="0"/>
        <w:sz w:val="20"/>
        <w:szCs w:val="22"/>
      </w:rPr>
      <w:t xml:space="preserve">               </w:t>
    </w:r>
    <w:r w:rsidRPr="00524BF8">
      <w:rPr>
        <w:rFonts w:cs="Arial"/>
        <w:b w:val="0"/>
        <w:sz w:val="20"/>
        <w:szCs w:val="22"/>
      </w:rPr>
      <w:t xml:space="preserve">HOJA No. </w:t>
    </w:r>
    <w:r w:rsidRPr="00524BF8">
      <w:rPr>
        <w:rFonts w:cs="Arial"/>
        <w:b w:val="0"/>
        <w:sz w:val="20"/>
        <w:szCs w:val="22"/>
      </w:rPr>
      <w:fldChar w:fldCharType="begin"/>
    </w:r>
    <w:r w:rsidRPr="00524BF8">
      <w:rPr>
        <w:rFonts w:cs="Arial"/>
        <w:b w:val="0"/>
        <w:sz w:val="20"/>
        <w:szCs w:val="22"/>
      </w:rPr>
      <w:instrText xml:space="preserve"> PAGE   \* MERGEFORMAT </w:instrText>
    </w:r>
    <w:r w:rsidRPr="00524BF8">
      <w:rPr>
        <w:rFonts w:cs="Arial"/>
        <w:b w:val="0"/>
        <w:sz w:val="20"/>
        <w:szCs w:val="22"/>
      </w:rPr>
      <w:fldChar w:fldCharType="separate"/>
    </w:r>
    <w:r>
      <w:rPr>
        <w:rFonts w:cs="Arial"/>
        <w:b w:val="0"/>
        <w:noProof/>
        <w:sz w:val="20"/>
        <w:szCs w:val="22"/>
      </w:rPr>
      <w:t>1</w:t>
    </w:r>
    <w:r w:rsidRPr="00524BF8">
      <w:rPr>
        <w:rFonts w:cs="Arial"/>
        <w:b w:val="0"/>
        <w:sz w:val="20"/>
        <w:szCs w:val="22"/>
      </w:rPr>
      <w:fldChar w:fldCharType="end"/>
    </w:r>
    <w:r w:rsidRPr="00524BF8">
      <w:rPr>
        <w:rFonts w:cs="Arial"/>
        <w:b w:val="0"/>
        <w:sz w:val="20"/>
        <w:szCs w:val="22"/>
      </w:rPr>
      <w:t>/</w:t>
    </w:r>
    <w:r w:rsidRPr="00524BF8">
      <w:rPr>
        <w:sz w:val="22"/>
      </w:rPr>
      <w:fldChar w:fldCharType="begin"/>
    </w:r>
    <w:r w:rsidRPr="00524BF8">
      <w:rPr>
        <w:sz w:val="22"/>
      </w:rPr>
      <w:instrText xml:space="preserve"> NUMPAGES  \* MERGEFORMAT </w:instrText>
    </w:r>
    <w:r w:rsidRPr="00524BF8">
      <w:rPr>
        <w:sz w:val="22"/>
      </w:rPr>
      <w:fldChar w:fldCharType="separate"/>
    </w:r>
    <w:r w:rsidR="00737178" w:rsidRPr="00737178">
      <w:rPr>
        <w:rFonts w:cs="Arial"/>
        <w:b w:val="0"/>
        <w:noProof/>
        <w:sz w:val="20"/>
        <w:szCs w:val="22"/>
      </w:rPr>
      <w:t>239</w:t>
    </w:r>
    <w:r w:rsidRPr="00524BF8">
      <w:rPr>
        <w:rFonts w:cs="Arial"/>
        <w:b w:val="0"/>
        <w:noProof/>
        <w:sz w:val="20"/>
        <w:szCs w:val="22"/>
      </w:rPr>
      <w:fldChar w:fldCharType="end"/>
    </w:r>
  </w:p>
  <w:p w:rsidR="009C207F" w:rsidRDefault="009C207F" w:rsidP="00CD665F">
    <w:pPr>
      <w:ind w:left="142" w:right="148"/>
      <w:rPr>
        <w:rFonts w:cs="Arial"/>
        <w:sz w:val="22"/>
        <w:szCs w:val="22"/>
      </w:rPr>
    </w:pPr>
    <w:r>
      <w:rPr>
        <w:noProof/>
        <w:lang w:val="es-CO" w:eastAsia="es-CO"/>
      </w:rPr>
      <mc:AlternateContent>
        <mc:Choice Requires="wps">
          <w:drawing>
            <wp:anchor distT="0" distB="0" distL="114300" distR="114300" simplePos="0" relativeHeight="251656192" behindDoc="0" locked="0" layoutInCell="1" allowOverlap="1" wp14:anchorId="3B5323A7" wp14:editId="7F8B9C4D">
              <wp:simplePos x="0" y="0"/>
              <wp:positionH relativeFrom="column">
                <wp:posOffset>-175260</wp:posOffset>
              </wp:positionH>
              <wp:positionV relativeFrom="paragraph">
                <wp:posOffset>109220</wp:posOffset>
              </wp:positionV>
              <wp:extent cx="6267450" cy="9977120"/>
              <wp:effectExtent l="0" t="0" r="19050" b="24130"/>
              <wp:wrapNone/>
              <wp:docPr id="9"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771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381770" id="Rectangle 1" o:spid="_x0000_s1026" style="position:absolute;margin-left:-13.8pt;margin-top:8.6pt;width:493.5pt;height:785.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" filled="f" strokeweight="1.5pt"/>
          </w:pict>
        </mc:Fallback>
      </mc:AlternateContent>
    </w:r>
  </w:p>
  <w:p w:rsidR="009C207F" w:rsidRPr="007C5DE6" w:rsidRDefault="009C207F" w:rsidP="007C5DE6">
    <w:pPr>
      <w:spacing w:after="0"/>
      <w:jc w:val="center"/>
      <w:rPr>
        <w:sz w:val="22"/>
        <w:szCs w:val="22"/>
      </w:rPr>
    </w:pPr>
    <w:r w:rsidRPr="007C5DE6">
      <w:rPr>
        <w:sz w:val="22"/>
        <w:szCs w:val="22"/>
      </w:rPr>
      <w:t>Por la cual se ordena hacer público un proyecto de resolución “Por la cual se establece la metodología para la remuneración de la actividad de distribución de energía eléctrica en el sistema interconectado nacional”</w:t>
    </w:r>
  </w:p>
  <w:p w:rsidR="009C207F" w:rsidRPr="00490639" w:rsidRDefault="009C207F" w:rsidP="007C5DE6">
    <w:pPr>
      <w:spacing w:before="0" w:after="0"/>
      <w:ind w:left="142" w:right="148"/>
      <w:rPr>
        <w:rFonts w:cs="Arial"/>
        <w:sz w:val="20"/>
        <w:szCs w:val="22"/>
      </w:rPr>
    </w:pPr>
    <w:r>
      <w:rPr>
        <w:rFonts w:cs="Arial"/>
        <w:sz w:val="20"/>
        <w:szCs w:val="22"/>
      </w:rPr>
      <w:t>_____________________________________________________________________________________</w:t>
    </w: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207F" w:rsidRDefault="009C207F">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32D720B"/>
    <w:multiLevelType w:val="hybridMultilevel"/>
    <w:tmpl w:val="CCC41E90"/>
    <w:lvl w:ilvl="0" w:tplc="F432ADB8">
      <w:start w:val="1"/>
      <w:numFmt w:val="lowerLetter"/>
      <w:lvlText w:val="%1."/>
      <w:lvlJc w:val="left"/>
      <w:pPr>
        <w:ind w:left="36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52A41C5"/>
    <w:multiLevelType w:val="hybridMultilevel"/>
    <w:tmpl w:val="AD82C51E"/>
    <w:lvl w:ilvl="0" w:tplc="240A0019">
      <w:start w:val="1"/>
      <w:numFmt w:val="lowerLetter"/>
      <w:lvlText w:val="%1."/>
      <w:lvlJc w:val="left"/>
      <w:pPr>
        <w:ind w:left="360" w:hanging="360"/>
      </w:pPr>
    </w:lvl>
    <w:lvl w:ilvl="1" w:tplc="240A0019">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 w15:restartNumberingAfterBreak="0">
    <w:nsid w:val="05460727"/>
    <w:multiLevelType w:val="hybridMultilevel"/>
    <w:tmpl w:val="FC3C15FE"/>
    <w:lvl w:ilvl="0" w:tplc="240A0019">
      <w:start w:val="1"/>
      <w:numFmt w:val="lowerLetter"/>
      <w:lvlText w:val="%1."/>
      <w:lvlJc w:val="left"/>
      <w:pPr>
        <w:ind w:left="360" w:hanging="360"/>
      </w:pPr>
    </w:lvl>
    <w:lvl w:ilvl="1" w:tplc="240A0019">
      <w:start w:val="1"/>
      <w:numFmt w:val="lowerLetter"/>
      <w:lvlText w:val="%2."/>
      <w:lvlJc w:val="left"/>
      <w:pPr>
        <w:ind w:left="1080" w:hanging="360"/>
      </w:pPr>
    </w:lvl>
    <w:lvl w:ilvl="2" w:tplc="240A001B">
      <w:start w:val="1"/>
      <w:numFmt w:val="lowerRoman"/>
      <w:lvlText w:val="%3."/>
      <w:lvlJc w:val="right"/>
      <w:pPr>
        <w:ind w:left="1800" w:hanging="180"/>
      </w:pPr>
    </w:lvl>
    <w:lvl w:ilvl="3" w:tplc="240A000F">
      <w:start w:val="1"/>
      <w:numFmt w:val="decimal"/>
      <w:lvlText w:val="%4."/>
      <w:lvlJc w:val="left"/>
      <w:pPr>
        <w:ind w:left="2520" w:hanging="360"/>
      </w:pPr>
    </w:lvl>
    <w:lvl w:ilvl="4" w:tplc="240A0019">
      <w:start w:val="1"/>
      <w:numFmt w:val="lowerLetter"/>
      <w:lvlText w:val="%5."/>
      <w:lvlJc w:val="left"/>
      <w:pPr>
        <w:ind w:left="3240" w:hanging="360"/>
      </w:pPr>
    </w:lvl>
    <w:lvl w:ilvl="5" w:tplc="240A001B">
      <w:start w:val="1"/>
      <w:numFmt w:val="lowerRoman"/>
      <w:lvlText w:val="%6."/>
      <w:lvlJc w:val="right"/>
      <w:pPr>
        <w:ind w:left="3960" w:hanging="180"/>
      </w:pPr>
    </w:lvl>
    <w:lvl w:ilvl="6" w:tplc="240A000F">
      <w:start w:val="1"/>
      <w:numFmt w:val="decimal"/>
      <w:lvlText w:val="%7."/>
      <w:lvlJc w:val="left"/>
      <w:pPr>
        <w:ind w:left="4680" w:hanging="360"/>
      </w:pPr>
    </w:lvl>
    <w:lvl w:ilvl="7" w:tplc="240A0019">
      <w:start w:val="1"/>
      <w:numFmt w:val="lowerLetter"/>
      <w:lvlText w:val="%8."/>
      <w:lvlJc w:val="left"/>
      <w:pPr>
        <w:ind w:left="5400" w:hanging="360"/>
      </w:pPr>
    </w:lvl>
    <w:lvl w:ilvl="8" w:tplc="240A001B">
      <w:start w:val="1"/>
      <w:numFmt w:val="lowerRoman"/>
      <w:lvlText w:val="%9."/>
      <w:lvlJc w:val="right"/>
      <w:pPr>
        <w:ind w:left="6120" w:hanging="180"/>
      </w:pPr>
    </w:lvl>
  </w:abstractNum>
  <w:abstractNum w:abstractNumId="5" w15:restartNumberingAfterBreak="0">
    <w:nsid w:val="074D3982"/>
    <w:multiLevelType w:val="hybridMultilevel"/>
    <w:tmpl w:val="F21A6C18"/>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6" w15:restartNumberingAfterBreak="0">
    <w:nsid w:val="0A230944"/>
    <w:multiLevelType w:val="hybridMultilevel"/>
    <w:tmpl w:val="52305634"/>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0D703423"/>
    <w:multiLevelType w:val="hybridMultilevel"/>
    <w:tmpl w:val="AD82C51E"/>
    <w:lvl w:ilvl="0" w:tplc="240A0019">
      <w:start w:val="1"/>
      <w:numFmt w:val="lowerLetter"/>
      <w:lvlText w:val="%1."/>
      <w:lvlJc w:val="left"/>
      <w:pPr>
        <w:ind w:left="360" w:hanging="360"/>
      </w:pPr>
    </w:lvl>
    <w:lvl w:ilvl="1" w:tplc="240A0019">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10F832DD"/>
    <w:multiLevelType w:val="hybridMultilevel"/>
    <w:tmpl w:val="20747920"/>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9" w15:restartNumberingAfterBreak="0">
    <w:nsid w:val="12A909E6"/>
    <w:multiLevelType w:val="multilevel"/>
    <w:tmpl w:val="CDB88006"/>
    <w:lvl w:ilvl="0">
      <w:start w:val="1"/>
      <w:numFmt w:val="decimal"/>
      <w:pStyle w:val="Ttulo1"/>
      <w:lvlText w:val="CAPITULO %1."/>
      <w:lvlJc w:val="left"/>
      <w:pPr>
        <w:ind w:left="1211" w:hanging="360"/>
      </w:pPr>
      <w:rPr>
        <w:rFonts w:hint="default"/>
      </w:rPr>
    </w:lvl>
    <w:lvl w:ilvl="1">
      <w:start w:val="1"/>
      <w:numFmt w:val="decimal"/>
      <w:pStyle w:val="Ttulo2"/>
      <w:lvlText w:val="%1.%2"/>
      <w:lvlJc w:val="left"/>
      <w:pPr>
        <w:ind w:left="576" w:hanging="576"/>
      </w:pPr>
      <w:rPr>
        <w:rFonts w:hint="default"/>
      </w:rPr>
    </w:lvl>
    <w:lvl w:ilvl="2">
      <w:start w:val="1"/>
      <w:numFmt w:val="decimal"/>
      <w:pStyle w:val="Ttulo3"/>
      <w:lvlText w:val="%1.%2.%3"/>
      <w:lvlJc w:val="left"/>
      <w:pPr>
        <w:ind w:left="720" w:hanging="720"/>
      </w:pPr>
      <w:rPr>
        <w:rFonts w:hint="default"/>
      </w:rPr>
    </w:lvl>
    <w:lvl w:ilvl="3">
      <w:start w:val="1"/>
      <w:numFmt w:val="decimal"/>
      <w:pStyle w:val="Ttulo4"/>
      <w:lvlText w:val="%1.%2.%3.%4"/>
      <w:lvlJc w:val="left"/>
      <w:pPr>
        <w:ind w:left="864" w:hanging="864"/>
      </w:pPr>
      <w:rPr>
        <w:rFonts w:hint="default"/>
      </w:rPr>
    </w:lvl>
    <w:lvl w:ilvl="4">
      <w:start w:val="1"/>
      <w:numFmt w:val="decimal"/>
      <w:pStyle w:val="Ttulo5"/>
      <w:lvlText w:val="%1.%2.%3.%4.%5"/>
      <w:lvlJc w:val="left"/>
      <w:pPr>
        <w:ind w:left="1008" w:hanging="1008"/>
      </w:pPr>
      <w:rPr>
        <w:rFonts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5">
      <w:start w:val="1"/>
      <w:numFmt w:val="decimal"/>
      <w:pStyle w:val="Ttulo6"/>
      <w:lvlText w:val="%1.%2.%3.%4.%5.%6"/>
      <w:lvlJc w:val="left"/>
      <w:pPr>
        <w:ind w:left="1152" w:hanging="1152"/>
      </w:pPr>
      <w:rPr>
        <w:rFonts w:hint="default"/>
      </w:rPr>
    </w:lvl>
    <w:lvl w:ilvl="6">
      <w:start w:val="1"/>
      <w:numFmt w:val="lowerLetter"/>
      <w:pStyle w:val="Ttulo7"/>
      <w:lvlText w:val="%7."/>
      <w:lvlJc w:val="left"/>
      <w:pPr>
        <w:ind w:left="1296" w:hanging="1296"/>
      </w:pPr>
      <w:rPr>
        <w:rFonts w:hint="default"/>
      </w:rPr>
    </w:lvl>
    <w:lvl w:ilvl="7">
      <w:start w:val="1"/>
      <w:numFmt w:val="decimal"/>
      <w:pStyle w:val="Ttulo8"/>
      <w:lvlText w:val="%1.%2.%3.%4.%5.%6.%7.%8"/>
      <w:lvlJc w:val="left"/>
      <w:pPr>
        <w:ind w:left="1440" w:hanging="1440"/>
      </w:pPr>
      <w:rPr>
        <w:rFonts w:hint="default"/>
      </w:rPr>
    </w:lvl>
    <w:lvl w:ilvl="8">
      <w:start w:val="1"/>
      <w:numFmt w:val="decimal"/>
      <w:pStyle w:val="Ttulo9"/>
      <w:lvlText w:val="%1.%2.%3.%4.%5.%6.%7.%8.%9"/>
      <w:lvlJc w:val="left"/>
      <w:pPr>
        <w:ind w:left="1584" w:hanging="1584"/>
      </w:pPr>
      <w:rPr>
        <w:rFonts w:hint="default"/>
      </w:rPr>
    </w:lvl>
  </w:abstractNum>
  <w:abstractNum w:abstractNumId="10" w15:restartNumberingAfterBreak="0">
    <w:nsid w:val="147E5DB0"/>
    <w:multiLevelType w:val="hybridMultilevel"/>
    <w:tmpl w:val="02166B02"/>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1" w15:restartNumberingAfterBreak="0">
    <w:nsid w:val="14E24A2E"/>
    <w:multiLevelType w:val="hybridMultilevel"/>
    <w:tmpl w:val="F0860D02"/>
    <w:lvl w:ilvl="0" w:tplc="240A001B">
      <w:start w:val="1"/>
      <w:numFmt w:val="lowerRoman"/>
      <w:lvlText w:val="%1."/>
      <w:lvlJc w:val="righ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156B4BA6"/>
    <w:multiLevelType w:val="hybridMultilevel"/>
    <w:tmpl w:val="7ABACD60"/>
    <w:name w:val="WW8Num64232"/>
    <w:lvl w:ilvl="0" w:tplc="0C0A0001">
      <w:start w:val="1"/>
      <w:numFmt w:val="lowerLetter"/>
      <w:lvlText w:val="%1)"/>
      <w:lvlJc w:val="left"/>
      <w:pPr>
        <w:ind w:left="720" w:hanging="360"/>
      </w:pPr>
      <w:rPr>
        <w:rFonts w:cs="Arial" w:hint="default"/>
        <w:b/>
        <w:color w:val="auto"/>
      </w:rPr>
    </w:lvl>
    <w:lvl w:ilvl="1" w:tplc="0C0A0003" w:tentative="1">
      <w:start w:val="1"/>
      <w:numFmt w:val="lowerLetter"/>
      <w:lvlText w:val="%2."/>
      <w:lvlJc w:val="left"/>
      <w:pPr>
        <w:ind w:left="1440" w:hanging="360"/>
      </w:pPr>
    </w:lvl>
    <w:lvl w:ilvl="2" w:tplc="0C0A0005" w:tentative="1">
      <w:start w:val="1"/>
      <w:numFmt w:val="lowerRoman"/>
      <w:lvlText w:val="%3."/>
      <w:lvlJc w:val="right"/>
      <w:pPr>
        <w:ind w:left="2160" w:hanging="180"/>
      </w:pPr>
    </w:lvl>
    <w:lvl w:ilvl="3" w:tplc="0C0A0001" w:tentative="1">
      <w:start w:val="1"/>
      <w:numFmt w:val="decimal"/>
      <w:lvlText w:val="%4."/>
      <w:lvlJc w:val="left"/>
      <w:pPr>
        <w:ind w:left="2880" w:hanging="360"/>
      </w:pPr>
    </w:lvl>
    <w:lvl w:ilvl="4" w:tplc="0C0A0003" w:tentative="1">
      <w:start w:val="1"/>
      <w:numFmt w:val="lowerLetter"/>
      <w:lvlText w:val="%5."/>
      <w:lvlJc w:val="left"/>
      <w:pPr>
        <w:ind w:left="3600" w:hanging="360"/>
      </w:pPr>
    </w:lvl>
    <w:lvl w:ilvl="5" w:tplc="0C0A0005" w:tentative="1">
      <w:start w:val="1"/>
      <w:numFmt w:val="lowerRoman"/>
      <w:lvlText w:val="%6."/>
      <w:lvlJc w:val="right"/>
      <w:pPr>
        <w:ind w:left="4320" w:hanging="180"/>
      </w:pPr>
    </w:lvl>
    <w:lvl w:ilvl="6" w:tplc="0C0A0001" w:tentative="1">
      <w:start w:val="1"/>
      <w:numFmt w:val="decimal"/>
      <w:lvlText w:val="%7."/>
      <w:lvlJc w:val="left"/>
      <w:pPr>
        <w:ind w:left="5040" w:hanging="360"/>
      </w:pPr>
    </w:lvl>
    <w:lvl w:ilvl="7" w:tplc="0C0A0003" w:tentative="1">
      <w:start w:val="1"/>
      <w:numFmt w:val="lowerLetter"/>
      <w:lvlText w:val="%8."/>
      <w:lvlJc w:val="left"/>
      <w:pPr>
        <w:ind w:left="5760" w:hanging="360"/>
      </w:pPr>
    </w:lvl>
    <w:lvl w:ilvl="8" w:tplc="0C0A0005" w:tentative="1">
      <w:start w:val="1"/>
      <w:numFmt w:val="lowerRoman"/>
      <w:lvlText w:val="%9."/>
      <w:lvlJc w:val="right"/>
      <w:pPr>
        <w:ind w:left="6480" w:hanging="180"/>
      </w:pPr>
    </w:lvl>
  </w:abstractNum>
  <w:abstractNum w:abstractNumId="13" w15:restartNumberingAfterBreak="0">
    <w:nsid w:val="16033740"/>
    <w:multiLevelType w:val="hybridMultilevel"/>
    <w:tmpl w:val="744C1474"/>
    <w:lvl w:ilvl="0" w:tplc="B76C1F0E">
      <w:start w:val="1"/>
      <w:numFmt w:val="bullet"/>
      <w:pStyle w:val="Sangradetextonormal"/>
      <w:lvlText w:val=""/>
      <w:lvlJc w:val="left"/>
      <w:pPr>
        <w:ind w:left="360" w:hanging="360"/>
      </w:pPr>
      <w:rPr>
        <w:rFonts w:ascii="Symbol" w:hAnsi="Symbol" w:hint="default"/>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4" w15:restartNumberingAfterBreak="0">
    <w:nsid w:val="17781518"/>
    <w:multiLevelType w:val="hybridMultilevel"/>
    <w:tmpl w:val="01C8A63E"/>
    <w:lvl w:ilvl="0" w:tplc="240A0019">
      <w:start w:val="1"/>
      <w:numFmt w:val="low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5" w15:restartNumberingAfterBreak="0">
    <w:nsid w:val="1BB5137A"/>
    <w:multiLevelType w:val="hybridMultilevel"/>
    <w:tmpl w:val="E2821238"/>
    <w:lvl w:ilvl="0" w:tplc="240A0019">
      <w:start w:val="1"/>
      <w:numFmt w:val="lowerLetter"/>
      <w:lvlText w:val="%1."/>
      <w:lvlJc w:val="left"/>
      <w:pPr>
        <w:ind w:left="360" w:hanging="360"/>
      </w:pPr>
      <w:rPr>
        <w:rFont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15:restartNumberingAfterBreak="0">
    <w:nsid w:val="1BD3289B"/>
    <w:multiLevelType w:val="hybridMultilevel"/>
    <w:tmpl w:val="102EFCF4"/>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1BF06BCC"/>
    <w:multiLevelType w:val="hybridMultilevel"/>
    <w:tmpl w:val="97B0B4B8"/>
    <w:lvl w:ilvl="0" w:tplc="240A0019">
      <w:start w:val="1"/>
      <w:numFmt w:val="lowerLetter"/>
      <w:lvlText w:val="%1."/>
      <w:lvlJc w:val="left"/>
      <w:pPr>
        <w:ind w:left="384" w:hanging="384"/>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8" w15:restartNumberingAfterBreak="0">
    <w:nsid w:val="1CC67EB3"/>
    <w:multiLevelType w:val="hybridMultilevel"/>
    <w:tmpl w:val="C008A796"/>
    <w:lvl w:ilvl="0" w:tplc="240A001B">
      <w:start w:val="1"/>
      <w:numFmt w:val="lowerRoman"/>
      <w:lvlText w:val="%1."/>
      <w:lvlJc w:val="righ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1D447029"/>
    <w:multiLevelType w:val="hybridMultilevel"/>
    <w:tmpl w:val="399EB62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15:restartNumberingAfterBreak="0">
    <w:nsid w:val="1F0373D7"/>
    <w:multiLevelType w:val="hybridMultilevel"/>
    <w:tmpl w:val="92EA7EA0"/>
    <w:lvl w:ilvl="0" w:tplc="240A0019">
      <w:start w:val="1"/>
      <w:numFmt w:val="lowerLetter"/>
      <w:lvlText w:val="%1."/>
      <w:lvlJc w:val="left"/>
      <w:pPr>
        <w:ind w:left="360" w:hanging="360"/>
      </w:pPr>
      <w:rPr>
        <w:rFonts w:hint="default"/>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1" w15:restartNumberingAfterBreak="0">
    <w:nsid w:val="1F0C5793"/>
    <w:multiLevelType w:val="hybridMultilevel"/>
    <w:tmpl w:val="CCB8369C"/>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2" w15:restartNumberingAfterBreak="0">
    <w:nsid w:val="21D1030A"/>
    <w:multiLevelType w:val="hybridMultilevel"/>
    <w:tmpl w:val="A9941938"/>
    <w:lvl w:ilvl="0" w:tplc="65EEBC32">
      <w:start w:val="5"/>
      <w:numFmt w:val="lowerLetter"/>
      <w:lvlText w:val="%1."/>
      <w:lvlJc w:val="left"/>
      <w:pPr>
        <w:ind w:left="36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2331548D"/>
    <w:multiLevelType w:val="hybridMultilevel"/>
    <w:tmpl w:val="BF6C2F68"/>
    <w:lvl w:ilvl="0" w:tplc="44805656">
      <w:start w:val="1"/>
      <w:numFmt w:val="bullet"/>
      <w:lvlText w:val="•"/>
      <w:lvlJc w:val="left"/>
      <w:pPr>
        <w:ind w:left="720" w:hanging="360"/>
      </w:pPr>
      <w:rPr>
        <w:rFonts w:ascii="Times New Roman" w:hAnsi="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238909FE"/>
    <w:multiLevelType w:val="hybridMultilevel"/>
    <w:tmpl w:val="2FA42880"/>
    <w:lvl w:ilvl="0" w:tplc="454E4A82">
      <w:start w:val="1"/>
      <w:numFmt w:val="lowerLetter"/>
      <w:lvlText w:val="%1."/>
      <w:lvlJc w:val="left"/>
      <w:pPr>
        <w:ind w:left="360" w:hanging="360"/>
      </w:pPr>
      <w:rPr>
        <w:rFonts w:ascii="Bookman Old Style" w:eastAsia="Times New Roman" w:hAnsi="Bookman Old Style" w:cs="Times New Roman"/>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5" w15:restartNumberingAfterBreak="0">
    <w:nsid w:val="240F798C"/>
    <w:multiLevelType w:val="hybridMultilevel"/>
    <w:tmpl w:val="65DE879A"/>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6" w15:restartNumberingAfterBreak="0">
    <w:nsid w:val="25851020"/>
    <w:multiLevelType w:val="hybridMultilevel"/>
    <w:tmpl w:val="95381EF2"/>
    <w:lvl w:ilvl="0" w:tplc="240A001B">
      <w:start w:val="1"/>
      <w:numFmt w:val="lowerRoman"/>
      <w:lvlText w:val="%1."/>
      <w:lvlJc w:val="righ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27" w15:restartNumberingAfterBreak="0">
    <w:nsid w:val="2A960261"/>
    <w:multiLevelType w:val="hybridMultilevel"/>
    <w:tmpl w:val="A6106332"/>
    <w:lvl w:ilvl="0" w:tplc="1188CB1A">
      <w:start w:val="1"/>
      <w:numFmt w:val="lowerLetter"/>
      <w:lvlText w:val="%1."/>
      <w:lvlJc w:val="left"/>
      <w:pPr>
        <w:ind w:left="360" w:hanging="360"/>
      </w:pPr>
      <w:rPr>
        <w:rFonts w:ascii="Bookman Old Style" w:eastAsia="Times New Roman" w:hAnsi="Bookman Old Style" w:cs="Times New Roman"/>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8" w15:restartNumberingAfterBreak="0">
    <w:nsid w:val="2D294554"/>
    <w:multiLevelType w:val="hybridMultilevel"/>
    <w:tmpl w:val="BF9C7964"/>
    <w:lvl w:ilvl="0" w:tplc="240A001B">
      <w:start w:val="1"/>
      <w:numFmt w:val="lowerRoman"/>
      <w:lvlText w:val="%1."/>
      <w:lvlJc w:val="right"/>
      <w:pPr>
        <w:ind w:left="1080" w:hanging="360"/>
      </w:p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9" w15:restartNumberingAfterBreak="0">
    <w:nsid w:val="2DF3766F"/>
    <w:multiLevelType w:val="hybridMultilevel"/>
    <w:tmpl w:val="A24A5CCE"/>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0" w15:restartNumberingAfterBreak="0">
    <w:nsid w:val="2E390A46"/>
    <w:multiLevelType w:val="hybridMultilevel"/>
    <w:tmpl w:val="E32C9934"/>
    <w:lvl w:ilvl="0" w:tplc="240A0019">
      <w:start w:val="1"/>
      <w:numFmt w:val="lowerLetter"/>
      <w:lvlText w:val="%1."/>
      <w:lvlJc w:val="left"/>
      <w:pPr>
        <w:ind w:left="360" w:hanging="360"/>
      </w:pPr>
      <w:rPr>
        <w:rFonts w:hint="default"/>
      </w:rPr>
    </w:lvl>
    <w:lvl w:ilvl="1" w:tplc="E4C2637E">
      <w:numFmt w:val="bullet"/>
      <w:lvlText w:val="-"/>
      <w:lvlJc w:val="left"/>
      <w:pPr>
        <w:ind w:left="1080" w:hanging="360"/>
      </w:pPr>
      <w:rPr>
        <w:rFonts w:ascii="Bookman Old Style" w:eastAsia="Times New Roman" w:hAnsi="Bookman Old Style" w:cs="Times New Roman"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1" w15:restartNumberingAfterBreak="0">
    <w:nsid w:val="2F410CCE"/>
    <w:multiLevelType w:val="hybridMultilevel"/>
    <w:tmpl w:val="B5282DD4"/>
    <w:lvl w:ilvl="0" w:tplc="6E4CDD0C">
      <w:start w:val="1"/>
      <w:numFmt w:val="lowerRoman"/>
      <w:lvlText w:val="%1)"/>
      <w:lvlJc w:val="left"/>
      <w:pPr>
        <w:ind w:left="707" w:hanging="720"/>
      </w:pPr>
      <w:rPr>
        <w:rFonts w:hint="default"/>
      </w:rPr>
    </w:lvl>
    <w:lvl w:ilvl="1" w:tplc="240A0019" w:tentative="1">
      <w:start w:val="1"/>
      <w:numFmt w:val="lowerLetter"/>
      <w:lvlText w:val="%2."/>
      <w:lvlJc w:val="left"/>
      <w:pPr>
        <w:ind w:left="1067" w:hanging="360"/>
      </w:pPr>
    </w:lvl>
    <w:lvl w:ilvl="2" w:tplc="240A001B" w:tentative="1">
      <w:start w:val="1"/>
      <w:numFmt w:val="lowerRoman"/>
      <w:lvlText w:val="%3."/>
      <w:lvlJc w:val="right"/>
      <w:pPr>
        <w:ind w:left="1787" w:hanging="180"/>
      </w:pPr>
    </w:lvl>
    <w:lvl w:ilvl="3" w:tplc="240A000F" w:tentative="1">
      <w:start w:val="1"/>
      <w:numFmt w:val="decimal"/>
      <w:lvlText w:val="%4."/>
      <w:lvlJc w:val="left"/>
      <w:pPr>
        <w:ind w:left="2507" w:hanging="360"/>
      </w:pPr>
    </w:lvl>
    <w:lvl w:ilvl="4" w:tplc="240A0019" w:tentative="1">
      <w:start w:val="1"/>
      <w:numFmt w:val="lowerLetter"/>
      <w:lvlText w:val="%5."/>
      <w:lvlJc w:val="left"/>
      <w:pPr>
        <w:ind w:left="3227" w:hanging="360"/>
      </w:pPr>
    </w:lvl>
    <w:lvl w:ilvl="5" w:tplc="240A001B" w:tentative="1">
      <w:start w:val="1"/>
      <w:numFmt w:val="lowerRoman"/>
      <w:lvlText w:val="%6."/>
      <w:lvlJc w:val="right"/>
      <w:pPr>
        <w:ind w:left="3947" w:hanging="180"/>
      </w:pPr>
    </w:lvl>
    <w:lvl w:ilvl="6" w:tplc="240A000F" w:tentative="1">
      <w:start w:val="1"/>
      <w:numFmt w:val="decimal"/>
      <w:lvlText w:val="%7."/>
      <w:lvlJc w:val="left"/>
      <w:pPr>
        <w:ind w:left="4667" w:hanging="360"/>
      </w:pPr>
    </w:lvl>
    <w:lvl w:ilvl="7" w:tplc="240A0019" w:tentative="1">
      <w:start w:val="1"/>
      <w:numFmt w:val="lowerLetter"/>
      <w:lvlText w:val="%8."/>
      <w:lvlJc w:val="left"/>
      <w:pPr>
        <w:ind w:left="5387" w:hanging="360"/>
      </w:pPr>
    </w:lvl>
    <w:lvl w:ilvl="8" w:tplc="240A001B" w:tentative="1">
      <w:start w:val="1"/>
      <w:numFmt w:val="lowerRoman"/>
      <w:lvlText w:val="%9."/>
      <w:lvlJc w:val="right"/>
      <w:pPr>
        <w:ind w:left="6107" w:hanging="180"/>
      </w:pPr>
    </w:lvl>
  </w:abstractNum>
  <w:abstractNum w:abstractNumId="32" w15:restartNumberingAfterBreak="0">
    <w:nsid w:val="2FEE05E1"/>
    <w:multiLevelType w:val="hybridMultilevel"/>
    <w:tmpl w:val="94ACFD7C"/>
    <w:lvl w:ilvl="0" w:tplc="778469C6">
      <w:start w:val="1"/>
      <w:numFmt w:val="decimal"/>
      <w:pStyle w:val="Ttulo"/>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301A0A86"/>
    <w:multiLevelType w:val="hybridMultilevel"/>
    <w:tmpl w:val="F59C07A0"/>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4" w15:restartNumberingAfterBreak="0">
    <w:nsid w:val="324D6442"/>
    <w:multiLevelType w:val="hybridMultilevel"/>
    <w:tmpl w:val="67802204"/>
    <w:lvl w:ilvl="0" w:tplc="240A0017">
      <w:start w:val="1"/>
      <w:numFmt w:val="lowerLetter"/>
      <w:lvlText w:val="%1)"/>
      <w:lvlJc w:val="left"/>
      <w:pPr>
        <w:ind w:left="792" w:hanging="360"/>
      </w:pPr>
    </w:lvl>
    <w:lvl w:ilvl="1" w:tplc="240A0019" w:tentative="1">
      <w:start w:val="1"/>
      <w:numFmt w:val="lowerLetter"/>
      <w:lvlText w:val="%2."/>
      <w:lvlJc w:val="left"/>
      <w:pPr>
        <w:ind w:left="1512" w:hanging="360"/>
      </w:pPr>
    </w:lvl>
    <w:lvl w:ilvl="2" w:tplc="240A001B" w:tentative="1">
      <w:start w:val="1"/>
      <w:numFmt w:val="lowerRoman"/>
      <w:lvlText w:val="%3."/>
      <w:lvlJc w:val="right"/>
      <w:pPr>
        <w:ind w:left="2232" w:hanging="180"/>
      </w:pPr>
    </w:lvl>
    <w:lvl w:ilvl="3" w:tplc="240A000F" w:tentative="1">
      <w:start w:val="1"/>
      <w:numFmt w:val="decimal"/>
      <w:lvlText w:val="%4."/>
      <w:lvlJc w:val="left"/>
      <w:pPr>
        <w:ind w:left="2952" w:hanging="360"/>
      </w:pPr>
    </w:lvl>
    <w:lvl w:ilvl="4" w:tplc="240A0019" w:tentative="1">
      <w:start w:val="1"/>
      <w:numFmt w:val="lowerLetter"/>
      <w:lvlText w:val="%5."/>
      <w:lvlJc w:val="left"/>
      <w:pPr>
        <w:ind w:left="3672" w:hanging="360"/>
      </w:pPr>
    </w:lvl>
    <w:lvl w:ilvl="5" w:tplc="240A001B" w:tentative="1">
      <w:start w:val="1"/>
      <w:numFmt w:val="lowerRoman"/>
      <w:lvlText w:val="%6."/>
      <w:lvlJc w:val="right"/>
      <w:pPr>
        <w:ind w:left="4392" w:hanging="180"/>
      </w:pPr>
    </w:lvl>
    <w:lvl w:ilvl="6" w:tplc="240A000F" w:tentative="1">
      <w:start w:val="1"/>
      <w:numFmt w:val="decimal"/>
      <w:lvlText w:val="%7."/>
      <w:lvlJc w:val="left"/>
      <w:pPr>
        <w:ind w:left="5112" w:hanging="360"/>
      </w:pPr>
    </w:lvl>
    <w:lvl w:ilvl="7" w:tplc="240A0019" w:tentative="1">
      <w:start w:val="1"/>
      <w:numFmt w:val="lowerLetter"/>
      <w:lvlText w:val="%8."/>
      <w:lvlJc w:val="left"/>
      <w:pPr>
        <w:ind w:left="5832" w:hanging="360"/>
      </w:pPr>
    </w:lvl>
    <w:lvl w:ilvl="8" w:tplc="240A001B" w:tentative="1">
      <w:start w:val="1"/>
      <w:numFmt w:val="lowerRoman"/>
      <w:lvlText w:val="%9."/>
      <w:lvlJc w:val="right"/>
      <w:pPr>
        <w:ind w:left="6552" w:hanging="180"/>
      </w:pPr>
    </w:lvl>
  </w:abstractNum>
  <w:abstractNum w:abstractNumId="35" w15:restartNumberingAfterBreak="0">
    <w:nsid w:val="34090624"/>
    <w:multiLevelType w:val="hybridMultilevel"/>
    <w:tmpl w:val="EDC0830E"/>
    <w:lvl w:ilvl="0" w:tplc="26808158">
      <w:start w:val="1"/>
      <w:numFmt w:val="lowerLetter"/>
      <w:lvlText w:val="%1."/>
      <w:lvlJc w:val="left"/>
      <w:pPr>
        <w:ind w:left="360" w:hanging="360"/>
      </w:pPr>
      <w:rPr>
        <w:rFonts w:ascii="Bookman Old Style" w:hAnsi="Bookman Old Style"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6" w15:restartNumberingAfterBreak="0">
    <w:nsid w:val="344204F5"/>
    <w:multiLevelType w:val="hybridMultilevel"/>
    <w:tmpl w:val="A6106332"/>
    <w:lvl w:ilvl="0" w:tplc="1188CB1A">
      <w:start w:val="1"/>
      <w:numFmt w:val="lowerLetter"/>
      <w:lvlText w:val="%1."/>
      <w:lvlJc w:val="left"/>
      <w:pPr>
        <w:ind w:left="360" w:hanging="360"/>
      </w:pPr>
      <w:rPr>
        <w:rFonts w:ascii="Bookman Old Style" w:eastAsia="Times New Roman" w:hAnsi="Bookman Old Style" w:cs="Times New Roman"/>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7" w15:restartNumberingAfterBreak="0">
    <w:nsid w:val="34640C9C"/>
    <w:multiLevelType w:val="hybridMultilevel"/>
    <w:tmpl w:val="C6761B00"/>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8" w15:restartNumberingAfterBreak="0">
    <w:nsid w:val="34CA687C"/>
    <w:multiLevelType w:val="hybridMultilevel"/>
    <w:tmpl w:val="EDC0830E"/>
    <w:lvl w:ilvl="0" w:tplc="26808158">
      <w:start w:val="1"/>
      <w:numFmt w:val="lowerLetter"/>
      <w:lvlText w:val="%1."/>
      <w:lvlJc w:val="left"/>
      <w:pPr>
        <w:ind w:left="360" w:hanging="360"/>
      </w:pPr>
      <w:rPr>
        <w:rFonts w:ascii="Bookman Old Style" w:hAnsi="Bookman Old Style"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9" w15:restartNumberingAfterBreak="0">
    <w:nsid w:val="34F263CD"/>
    <w:multiLevelType w:val="hybridMultilevel"/>
    <w:tmpl w:val="FA867BC8"/>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0" w15:restartNumberingAfterBreak="0">
    <w:nsid w:val="35EF4F77"/>
    <w:multiLevelType w:val="hybridMultilevel"/>
    <w:tmpl w:val="7F4CEE6C"/>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1" w15:restartNumberingAfterBreak="0">
    <w:nsid w:val="36CD2111"/>
    <w:multiLevelType w:val="hybridMultilevel"/>
    <w:tmpl w:val="AD82C51E"/>
    <w:lvl w:ilvl="0" w:tplc="240A0019">
      <w:start w:val="1"/>
      <w:numFmt w:val="lowerLetter"/>
      <w:lvlText w:val="%1."/>
      <w:lvlJc w:val="left"/>
      <w:pPr>
        <w:ind w:left="360" w:hanging="360"/>
      </w:pPr>
    </w:lvl>
    <w:lvl w:ilvl="1" w:tplc="240A0019">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2" w15:restartNumberingAfterBreak="0">
    <w:nsid w:val="37B25CAB"/>
    <w:multiLevelType w:val="hybridMultilevel"/>
    <w:tmpl w:val="C10C5A80"/>
    <w:lvl w:ilvl="0" w:tplc="F7B44D04">
      <w:start w:val="1"/>
      <w:numFmt w:val="lowerLetter"/>
      <w:lvlText w:val="%1."/>
      <w:lvlJc w:val="left"/>
      <w:pPr>
        <w:ind w:left="360" w:hanging="360"/>
      </w:pPr>
      <w:rPr>
        <w:rFont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3" w15:restartNumberingAfterBreak="0">
    <w:nsid w:val="37E92693"/>
    <w:multiLevelType w:val="hybridMultilevel"/>
    <w:tmpl w:val="A912C874"/>
    <w:lvl w:ilvl="0" w:tplc="F962B776">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4" w15:restartNumberingAfterBreak="0">
    <w:nsid w:val="37F161E7"/>
    <w:multiLevelType w:val="hybridMultilevel"/>
    <w:tmpl w:val="6BC01F24"/>
    <w:lvl w:ilvl="0" w:tplc="240A0019">
      <w:start w:val="1"/>
      <w:numFmt w:val="lowerLetter"/>
      <w:lvlText w:val="%1."/>
      <w:lvlJc w:val="left"/>
      <w:pPr>
        <w:tabs>
          <w:tab w:val="num" w:pos="360"/>
        </w:tabs>
        <w:ind w:left="360" w:hanging="360"/>
      </w:pPr>
      <w:rPr>
        <w:rFonts w:hint="default"/>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45" w15:restartNumberingAfterBreak="0">
    <w:nsid w:val="3838743C"/>
    <w:multiLevelType w:val="hybridMultilevel"/>
    <w:tmpl w:val="DBD4F41E"/>
    <w:lvl w:ilvl="0" w:tplc="CD361B7A">
      <w:start w:val="2"/>
      <w:numFmt w:val="lowerLetter"/>
      <w:lvlText w:val="%1."/>
      <w:lvlJc w:val="left"/>
      <w:pPr>
        <w:ind w:left="36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6" w15:restartNumberingAfterBreak="0">
    <w:nsid w:val="38D808AF"/>
    <w:multiLevelType w:val="hybridMultilevel"/>
    <w:tmpl w:val="C8644034"/>
    <w:lvl w:ilvl="0" w:tplc="F7B44D04">
      <w:start w:val="1"/>
      <w:numFmt w:val="low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7" w15:restartNumberingAfterBreak="0">
    <w:nsid w:val="38FD1199"/>
    <w:multiLevelType w:val="hybridMultilevel"/>
    <w:tmpl w:val="AD98330E"/>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8" w15:restartNumberingAfterBreak="0">
    <w:nsid w:val="3A38249E"/>
    <w:multiLevelType w:val="hybridMultilevel"/>
    <w:tmpl w:val="7840D0DC"/>
    <w:lvl w:ilvl="0" w:tplc="240A0019">
      <w:start w:val="1"/>
      <w:numFmt w:val="low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9" w15:restartNumberingAfterBreak="0">
    <w:nsid w:val="3DD66C0D"/>
    <w:multiLevelType w:val="multilevel"/>
    <w:tmpl w:val="198A32F2"/>
    <w:lvl w:ilvl="0">
      <w:start w:val="1"/>
      <w:numFmt w:val="lowerLetter"/>
      <w:lvlText w:val="%1."/>
      <w:lvlJc w:val="left"/>
      <w:pPr>
        <w:ind w:left="360" w:hanging="360"/>
      </w:pPr>
      <w:rPr>
        <w:rFonts w:hint="default"/>
      </w:rPr>
    </w:lvl>
    <w:lvl w:ilvl="1">
      <w:start w:val="1"/>
      <w:numFmt w:val="decimal"/>
      <w:lvlText w:val="%1.%2"/>
      <w:lvlJc w:val="left"/>
      <w:pPr>
        <w:ind w:left="-275" w:hanging="576"/>
      </w:pPr>
    </w:lvl>
    <w:lvl w:ilvl="2">
      <w:start w:val="1"/>
      <w:numFmt w:val="decimal"/>
      <w:lvlText w:val="%1.%2.%3"/>
      <w:lvlJc w:val="left"/>
      <w:pPr>
        <w:ind w:left="-131" w:hanging="720"/>
      </w:pPr>
    </w:lvl>
    <w:lvl w:ilvl="3">
      <w:start w:val="1"/>
      <w:numFmt w:val="decimal"/>
      <w:lvlText w:val="%1.%2.%3.%4"/>
      <w:lvlJc w:val="left"/>
      <w:pPr>
        <w:ind w:left="13" w:hanging="864"/>
      </w:pPr>
    </w:lvl>
    <w:lvl w:ilvl="4">
      <w:start w:val="1"/>
      <w:numFmt w:val="decimal"/>
      <w:lvlText w:val="%1.%2.%3.%4.%5"/>
      <w:lvlJc w:val="left"/>
      <w:pPr>
        <w:ind w:left="157" w:hanging="1008"/>
      </w:pPr>
    </w:lvl>
    <w:lvl w:ilvl="5">
      <w:start w:val="1"/>
      <w:numFmt w:val="decimal"/>
      <w:lvlText w:val="%1.%2.%3.%4.%5.%6"/>
      <w:lvlJc w:val="left"/>
      <w:pPr>
        <w:ind w:left="301" w:hanging="1152"/>
      </w:pPr>
    </w:lvl>
    <w:lvl w:ilvl="6">
      <w:start w:val="1"/>
      <w:numFmt w:val="decimal"/>
      <w:lvlText w:val="%1.%2.%3.%4.%5.%6.%7"/>
      <w:lvlJc w:val="left"/>
      <w:pPr>
        <w:ind w:left="445" w:hanging="1296"/>
      </w:pPr>
    </w:lvl>
    <w:lvl w:ilvl="7">
      <w:start w:val="1"/>
      <w:numFmt w:val="decimal"/>
      <w:lvlText w:val="%1.%2.%3.%4.%5.%6.%7.%8"/>
      <w:lvlJc w:val="left"/>
      <w:pPr>
        <w:ind w:left="589" w:hanging="1440"/>
      </w:pPr>
    </w:lvl>
    <w:lvl w:ilvl="8">
      <w:start w:val="1"/>
      <w:numFmt w:val="decimal"/>
      <w:lvlText w:val="%1.%2.%3.%4.%5.%6.%7.%8.%9"/>
      <w:lvlJc w:val="left"/>
      <w:pPr>
        <w:ind w:left="733" w:hanging="1584"/>
      </w:pPr>
    </w:lvl>
  </w:abstractNum>
  <w:abstractNum w:abstractNumId="50" w15:restartNumberingAfterBreak="0">
    <w:nsid w:val="3F6A7D44"/>
    <w:multiLevelType w:val="hybridMultilevel"/>
    <w:tmpl w:val="BEB23418"/>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1" w15:restartNumberingAfterBreak="0">
    <w:nsid w:val="3FA14720"/>
    <w:multiLevelType w:val="hybridMultilevel"/>
    <w:tmpl w:val="C0DE914A"/>
    <w:lvl w:ilvl="0" w:tplc="D6DC4BAE">
      <w:start w:val="1"/>
      <w:numFmt w:val="decimal"/>
      <w:lvlText w:val="%1."/>
      <w:lvlJc w:val="left"/>
      <w:pPr>
        <w:ind w:left="-338" w:hanging="360"/>
      </w:pPr>
      <w:rPr>
        <w:rFonts w:hint="default"/>
      </w:rPr>
    </w:lvl>
    <w:lvl w:ilvl="1" w:tplc="0C0A0019" w:tentative="1">
      <w:start w:val="1"/>
      <w:numFmt w:val="lowerLetter"/>
      <w:lvlText w:val="%2."/>
      <w:lvlJc w:val="left"/>
      <w:pPr>
        <w:ind w:left="382" w:hanging="360"/>
      </w:pPr>
    </w:lvl>
    <w:lvl w:ilvl="2" w:tplc="0C0A001B" w:tentative="1">
      <w:start w:val="1"/>
      <w:numFmt w:val="lowerRoman"/>
      <w:lvlText w:val="%3."/>
      <w:lvlJc w:val="right"/>
      <w:pPr>
        <w:ind w:left="1102" w:hanging="180"/>
      </w:pPr>
    </w:lvl>
    <w:lvl w:ilvl="3" w:tplc="0C0A000F" w:tentative="1">
      <w:start w:val="1"/>
      <w:numFmt w:val="decimal"/>
      <w:lvlText w:val="%4."/>
      <w:lvlJc w:val="left"/>
      <w:pPr>
        <w:ind w:left="1822" w:hanging="360"/>
      </w:pPr>
    </w:lvl>
    <w:lvl w:ilvl="4" w:tplc="0C0A0019" w:tentative="1">
      <w:start w:val="1"/>
      <w:numFmt w:val="lowerLetter"/>
      <w:lvlText w:val="%5."/>
      <w:lvlJc w:val="left"/>
      <w:pPr>
        <w:ind w:left="2542" w:hanging="360"/>
      </w:pPr>
    </w:lvl>
    <w:lvl w:ilvl="5" w:tplc="0C0A001B" w:tentative="1">
      <w:start w:val="1"/>
      <w:numFmt w:val="lowerRoman"/>
      <w:lvlText w:val="%6."/>
      <w:lvlJc w:val="right"/>
      <w:pPr>
        <w:ind w:left="3262" w:hanging="180"/>
      </w:pPr>
    </w:lvl>
    <w:lvl w:ilvl="6" w:tplc="0C0A000F" w:tentative="1">
      <w:start w:val="1"/>
      <w:numFmt w:val="decimal"/>
      <w:lvlText w:val="%7."/>
      <w:lvlJc w:val="left"/>
      <w:pPr>
        <w:ind w:left="3982" w:hanging="360"/>
      </w:pPr>
    </w:lvl>
    <w:lvl w:ilvl="7" w:tplc="0C0A0019" w:tentative="1">
      <w:start w:val="1"/>
      <w:numFmt w:val="lowerLetter"/>
      <w:lvlText w:val="%8."/>
      <w:lvlJc w:val="left"/>
      <w:pPr>
        <w:ind w:left="4702" w:hanging="360"/>
      </w:pPr>
    </w:lvl>
    <w:lvl w:ilvl="8" w:tplc="0C0A001B" w:tentative="1">
      <w:start w:val="1"/>
      <w:numFmt w:val="lowerRoman"/>
      <w:lvlText w:val="%9."/>
      <w:lvlJc w:val="right"/>
      <w:pPr>
        <w:ind w:left="5422" w:hanging="180"/>
      </w:pPr>
    </w:lvl>
  </w:abstractNum>
  <w:abstractNum w:abstractNumId="52" w15:restartNumberingAfterBreak="0">
    <w:nsid w:val="3FAA2CA7"/>
    <w:multiLevelType w:val="hybridMultilevel"/>
    <w:tmpl w:val="5E72AFB4"/>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3" w15:restartNumberingAfterBreak="0">
    <w:nsid w:val="4385089A"/>
    <w:multiLevelType w:val="hybridMultilevel"/>
    <w:tmpl w:val="5AD6280C"/>
    <w:lvl w:ilvl="0" w:tplc="89E811D6">
      <w:start w:val="1"/>
      <w:numFmt w:val="lowerLetter"/>
      <w:lvlText w:val="%1."/>
      <w:lvlJc w:val="left"/>
      <w:pPr>
        <w:ind w:left="36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4" w15:restartNumberingAfterBreak="0">
    <w:nsid w:val="44A94CF7"/>
    <w:multiLevelType w:val="hybridMultilevel"/>
    <w:tmpl w:val="AC2A6AB6"/>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5" w15:restartNumberingAfterBreak="0">
    <w:nsid w:val="46BE2F0F"/>
    <w:multiLevelType w:val="hybridMultilevel"/>
    <w:tmpl w:val="11AA2ECA"/>
    <w:name w:val="Lista4322222"/>
    <w:lvl w:ilvl="0" w:tplc="07E05BCA">
      <w:start w:val="1"/>
      <w:numFmt w:val="decimal"/>
      <w:lvlText w:val="%1."/>
      <w:lvlJc w:val="left"/>
      <w:pPr>
        <w:ind w:left="720" w:hanging="360"/>
      </w:pPr>
      <w:rPr>
        <w:rFonts w:hint="default"/>
      </w:rPr>
    </w:lvl>
    <w:lvl w:ilvl="1" w:tplc="CD9430A6" w:tentative="1">
      <w:start w:val="1"/>
      <w:numFmt w:val="lowerLetter"/>
      <w:lvlText w:val="%2."/>
      <w:lvlJc w:val="left"/>
      <w:pPr>
        <w:ind w:left="1440" w:hanging="360"/>
      </w:pPr>
    </w:lvl>
    <w:lvl w:ilvl="2" w:tplc="A3940E8A" w:tentative="1">
      <w:start w:val="1"/>
      <w:numFmt w:val="lowerRoman"/>
      <w:lvlText w:val="%3."/>
      <w:lvlJc w:val="right"/>
      <w:pPr>
        <w:ind w:left="2160" w:hanging="180"/>
      </w:pPr>
    </w:lvl>
    <w:lvl w:ilvl="3" w:tplc="187A6DB8" w:tentative="1">
      <w:start w:val="1"/>
      <w:numFmt w:val="decimal"/>
      <w:lvlText w:val="%4."/>
      <w:lvlJc w:val="left"/>
      <w:pPr>
        <w:ind w:left="2880" w:hanging="360"/>
      </w:pPr>
    </w:lvl>
    <w:lvl w:ilvl="4" w:tplc="B1CEA2E0" w:tentative="1">
      <w:start w:val="1"/>
      <w:numFmt w:val="lowerLetter"/>
      <w:lvlText w:val="%5."/>
      <w:lvlJc w:val="left"/>
      <w:pPr>
        <w:ind w:left="3600" w:hanging="360"/>
      </w:pPr>
    </w:lvl>
    <w:lvl w:ilvl="5" w:tplc="DD268AD8" w:tentative="1">
      <w:start w:val="1"/>
      <w:numFmt w:val="lowerRoman"/>
      <w:lvlText w:val="%6."/>
      <w:lvlJc w:val="right"/>
      <w:pPr>
        <w:ind w:left="4320" w:hanging="180"/>
      </w:pPr>
    </w:lvl>
    <w:lvl w:ilvl="6" w:tplc="FE7A34A2" w:tentative="1">
      <w:start w:val="1"/>
      <w:numFmt w:val="decimal"/>
      <w:lvlText w:val="%7."/>
      <w:lvlJc w:val="left"/>
      <w:pPr>
        <w:ind w:left="5040" w:hanging="360"/>
      </w:pPr>
    </w:lvl>
    <w:lvl w:ilvl="7" w:tplc="AFCA5AC2" w:tentative="1">
      <w:start w:val="1"/>
      <w:numFmt w:val="lowerLetter"/>
      <w:lvlText w:val="%8."/>
      <w:lvlJc w:val="left"/>
      <w:pPr>
        <w:ind w:left="5760" w:hanging="360"/>
      </w:pPr>
    </w:lvl>
    <w:lvl w:ilvl="8" w:tplc="179AB3D2" w:tentative="1">
      <w:start w:val="1"/>
      <w:numFmt w:val="lowerRoman"/>
      <w:lvlText w:val="%9."/>
      <w:lvlJc w:val="right"/>
      <w:pPr>
        <w:ind w:left="6480" w:hanging="180"/>
      </w:pPr>
    </w:lvl>
  </w:abstractNum>
  <w:abstractNum w:abstractNumId="56" w15:restartNumberingAfterBreak="0">
    <w:nsid w:val="4C8C6E13"/>
    <w:multiLevelType w:val="hybridMultilevel"/>
    <w:tmpl w:val="7840D0DC"/>
    <w:lvl w:ilvl="0" w:tplc="240A0019">
      <w:start w:val="1"/>
      <w:numFmt w:val="low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7" w15:restartNumberingAfterBreak="0">
    <w:nsid w:val="4D8237C3"/>
    <w:multiLevelType w:val="hybridMultilevel"/>
    <w:tmpl w:val="FCB6729C"/>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8" w15:restartNumberingAfterBreak="0">
    <w:nsid w:val="50767F67"/>
    <w:multiLevelType w:val="hybridMultilevel"/>
    <w:tmpl w:val="B70AA054"/>
    <w:lvl w:ilvl="0" w:tplc="240A001B">
      <w:start w:val="1"/>
      <w:numFmt w:val="lowerRoman"/>
      <w:lvlText w:val="%1."/>
      <w:lvlJc w:val="right"/>
      <w:pPr>
        <w:ind w:left="720" w:hanging="36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9" w15:restartNumberingAfterBreak="0">
    <w:nsid w:val="51AA3655"/>
    <w:multiLevelType w:val="hybridMultilevel"/>
    <w:tmpl w:val="44025EDC"/>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0" w15:restartNumberingAfterBreak="0">
    <w:nsid w:val="542A0C9B"/>
    <w:multiLevelType w:val="hybridMultilevel"/>
    <w:tmpl w:val="840C6978"/>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61" w15:restartNumberingAfterBreak="0">
    <w:nsid w:val="556251F3"/>
    <w:multiLevelType w:val="hybridMultilevel"/>
    <w:tmpl w:val="203AB652"/>
    <w:lvl w:ilvl="0" w:tplc="240A001B">
      <w:start w:val="1"/>
      <w:numFmt w:val="lowerRoman"/>
      <w:lvlText w:val="%1."/>
      <w:lvlJc w:val="right"/>
      <w:pPr>
        <w:ind w:left="1068" w:hanging="360"/>
      </w:p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62" w15:restartNumberingAfterBreak="0">
    <w:nsid w:val="58FA36CB"/>
    <w:multiLevelType w:val="hybridMultilevel"/>
    <w:tmpl w:val="70340AFE"/>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3" w15:restartNumberingAfterBreak="0">
    <w:nsid w:val="59DD2C15"/>
    <w:multiLevelType w:val="hybridMultilevel"/>
    <w:tmpl w:val="A0BE13FA"/>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64" w15:restartNumberingAfterBreak="0">
    <w:nsid w:val="5A2C0678"/>
    <w:multiLevelType w:val="hybridMultilevel"/>
    <w:tmpl w:val="C29EC93A"/>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5" w15:restartNumberingAfterBreak="0">
    <w:nsid w:val="5A3569FB"/>
    <w:multiLevelType w:val="hybridMultilevel"/>
    <w:tmpl w:val="0FC2FC0E"/>
    <w:lvl w:ilvl="0" w:tplc="240A0019">
      <w:start w:val="1"/>
      <w:numFmt w:val="lowerLetter"/>
      <w:lvlText w:val="%1."/>
      <w:lvlJc w:val="left"/>
      <w:pPr>
        <w:ind w:left="360" w:hanging="360"/>
      </w:pPr>
    </w:lvl>
    <w:lvl w:ilvl="1" w:tplc="240A0019" w:tentative="1">
      <w:start w:val="1"/>
      <w:numFmt w:val="lowerLetter"/>
      <w:lvlText w:val="%2."/>
      <w:lvlJc w:val="left"/>
      <w:pPr>
        <w:ind w:left="720" w:hanging="360"/>
      </w:pPr>
    </w:lvl>
    <w:lvl w:ilvl="2" w:tplc="240A001B" w:tentative="1">
      <w:start w:val="1"/>
      <w:numFmt w:val="lowerRoman"/>
      <w:lvlText w:val="%3."/>
      <w:lvlJc w:val="right"/>
      <w:pPr>
        <w:ind w:left="1440" w:hanging="180"/>
      </w:pPr>
    </w:lvl>
    <w:lvl w:ilvl="3" w:tplc="240A000F" w:tentative="1">
      <w:start w:val="1"/>
      <w:numFmt w:val="decimal"/>
      <w:lvlText w:val="%4."/>
      <w:lvlJc w:val="left"/>
      <w:pPr>
        <w:ind w:left="2160" w:hanging="360"/>
      </w:pPr>
    </w:lvl>
    <w:lvl w:ilvl="4" w:tplc="240A0019" w:tentative="1">
      <w:start w:val="1"/>
      <w:numFmt w:val="lowerLetter"/>
      <w:lvlText w:val="%5."/>
      <w:lvlJc w:val="left"/>
      <w:pPr>
        <w:ind w:left="2880" w:hanging="360"/>
      </w:pPr>
    </w:lvl>
    <w:lvl w:ilvl="5" w:tplc="240A001B" w:tentative="1">
      <w:start w:val="1"/>
      <w:numFmt w:val="lowerRoman"/>
      <w:lvlText w:val="%6."/>
      <w:lvlJc w:val="right"/>
      <w:pPr>
        <w:ind w:left="3600" w:hanging="180"/>
      </w:pPr>
    </w:lvl>
    <w:lvl w:ilvl="6" w:tplc="240A000F" w:tentative="1">
      <w:start w:val="1"/>
      <w:numFmt w:val="decimal"/>
      <w:lvlText w:val="%7."/>
      <w:lvlJc w:val="left"/>
      <w:pPr>
        <w:ind w:left="4320" w:hanging="360"/>
      </w:pPr>
    </w:lvl>
    <w:lvl w:ilvl="7" w:tplc="240A0019" w:tentative="1">
      <w:start w:val="1"/>
      <w:numFmt w:val="lowerLetter"/>
      <w:lvlText w:val="%8."/>
      <w:lvlJc w:val="left"/>
      <w:pPr>
        <w:ind w:left="5040" w:hanging="360"/>
      </w:pPr>
    </w:lvl>
    <w:lvl w:ilvl="8" w:tplc="240A001B" w:tentative="1">
      <w:start w:val="1"/>
      <w:numFmt w:val="lowerRoman"/>
      <w:lvlText w:val="%9."/>
      <w:lvlJc w:val="right"/>
      <w:pPr>
        <w:ind w:left="5760" w:hanging="180"/>
      </w:pPr>
    </w:lvl>
  </w:abstractNum>
  <w:abstractNum w:abstractNumId="66" w15:restartNumberingAfterBreak="0">
    <w:nsid w:val="5C573649"/>
    <w:multiLevelType w:val="hybridMultilevel"/>
    <w:tmpl w:val="A6106332"/>
    <w:lvl w:ilvl="0" w:tplc="1188CB1A">
      <w:start w:val="1"/>
      <w:numFmt w:val="lowerLetter"/>
      <w:lvlText w:val="%1."/>
      <w:lvlJc w:val="left"/>
      <w:pPr>
        <w:ind w:left="360" w:hanging="360"/>
      </w:pPr>
      <w:rPr>
        <w:rFonts w:ascii="Bookman Old Style" w:eastAsia="Times New Roman" w:hAnsi="Bookman Old Style" w:cs="Times New Roman"/>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7" w15:restartNumberingAfterBreak="0">
    <w:nsid w:val="60BE16AF"/>
    <w:multiLevelType w:val="hybridMultilevel"/>
    <w:tmpl w:val="4C60513C"/>
    <w:lvl w:ilvl="0" w:tplc="4256637E">
      <w:start w:val="1"/>
      <w:numFmt w:val="decimal"/>
      <w:lvlText w:val="%1."/>
      <w:lvlJc w:val="left"/>
      <w:pPr>
        <w:ind w:left="744" w:hanging="384"/>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8" w15:restartNumberingAfterBreak="0">
    <w:nsid w:val="61571E74"/>
    <w:multiLevelType w:val="hybridMultilevel"/>
    <w:tmpl w:val="F21EF45E"/>
    <w:lvl w:ilvl="0" w:tplc="240A001B">
      <w:start w:val="1"/>
      <w:numFmt w:val="lowerRoman"/>
      <w:lvlText w:val="%1."/>
      <w:lvlJc w:val="right"/>
      <w:pPr>
        <w:ind w:left="1068" w:hanging="360"/>
      </w:pPr>
      <w:rPr>
        <w:rFonts w:hint="default"/>
      </w:rPr>
    </w:lvl>
    <w:lvl w:ilvl="1" w:tplc="240A0003" w:tentative="1">
      <w:start w:val="1"/>
      <w:numFmt w:val="bullet"/>
      <w:lvlText w:val="o"/>
      <w:lvlJc w:val="left"/>
      <w:pPr>
        <w:ind w:left="1788" w:hanging="360"/>
      </w:pPr>
      <w:rPr>
        <w:rFonts w:ascii="Courier New" w:hAnsi="Courier New" w:cs="Courier New" w:hint="default"/>
      </w:rPr>
    </w:lvl>
    <w:lvl w:ilvl="2" w:tplc="240A0005" w:tentative="1">
      <w:start w:val="1"/>
      <w:numFmt w:val="bullet"/>
      <w:lvlText w:val=""/>
      <w:lvlJc w:val="left"/>
      <w:pPr>
        <w:ind w:left="2508" w:hanging="360"/>
      </w:pPr>
      <w:rPr>
        <w:rFonts w:ascii="Wingdings" w:hAnsi="Wingdings" w:hint="default"/>
      </w:rPr>
    </w:lvl>
    <w:lvl w:ilvl="3" w:tplc="240A0001" w:tentative="1">
      <w:start w:val="1"/>
      <w:numFmt w:val="bullet"/>
      <w:lvlText w:val=""/>
      <w:lvlJc w:val="left"/>
      <w:pPr>
        <w:ind w:left="3228" w:hanging="360"/>
      </w:pPr>
      <w:rPr>
        <w:rFonts w:ascii="Symbol" w:hAnsi="Symbol" w:hint="default"/>
      </w:rPr>
    </w:lvl>
    <w:lvl w:ilvl="4" w:tplc="240A0003" w:tentative="1">
      <w:start w:val="1"/>
      <w:numFmt w:val="bullet"/>
      <w:lvlText w:val="o"/>
      <w:lvlJc w:val="left"/>
      <w:pPr>
        <w:ind w:left="3948" w:hanging="360"/>
      </w:pPr>
      <w:rPr>
        <w:rFonts w:ascii="Courier New" w:hAnsi="Courier New" w:cs="Courier New" w:hint="default"/>
      </w:rPr>
    </w:lvl>
    <w:lvl w:ilvl="5" w:tplc="240A0005" w:tentative="1">
      <w:start w:val="1"/>
      <w:numFmt w:val="bullet"/>
      <w:lvlText w:val=""/>
      <w:lvlJc w:val="left"/>
      <w:pPr>
        <w:ind w:left="4668" w:hanging="360"/>
      </w:pPr>
      <w:rPr>
        <w:rFonts w:ascii="Wingdings" w:hAnsi="Wingdings" w:hint="default"/>
      </w:rPr>
    </w:lvl>
    <w:lvl w:ilvl="6" w:tplc="240A0001" w:tentative="1">
      <w:start w:val="1"/>
      <w:numFmt w:val="bullet"/>
      <w:lvlText w:val=""/>
      <w:lvlJc w:val="left"/>
      <w:pPr>
        <w:ind w:left="5388" w:hanging="360"/>
      </w:pPr>
      <w:rPr>
        <w:rFonts w:ascii="Symbol" w:hAnsi="Symbol" w:hint="default"/>
      </w:rPr>
    </w:lvl>
    <w:lvl w:ilvl="7" w:tplc="240A0003" w:tentative="1">
      <w:start w:val="1"/>
      <w:numFmt w:val="bullet"/>
      <w:lvlText w:val="o"/>
      <w:lvlJc w:val="left"/>
      <w:pPr>
        <w:ind w:left="6108" w:hanging="360"/>
      </w:pPr>
      <w:rPr>
        <w:rFonts w:ascii="Courier New" w:hAnsi="Courier New" w:cs="Courier New" w:hint="default"/>
      </w:rPr>
    </w:lvl>
    <w:lvl w:ilvl="8" w:tplc="240A0005" w:tentative="1">
      <w:start w:val="1"/>
      <w:numFmt w:val="bullet"/>
      <w:lvlText w:val=""/>
      <w:lvlJc w:val="left"/>
      <w:pPr>
        <w:ind w:left="6828" w:hanging="360"/>
      </w:pPr>
      <w:rPr>
        <w:rFonts w:ascii="Wingdings" w:hAnsi="Wingdings" w:hint="default"/>
      </w:rPr>
    </w:lvl>
  </w:abstractNum>
  <w:abstractNum w:abstractNumId="69" w15:restartNumberingAfterBreak="0">
    <w:nsid w:val="621622C0"/>
    <w:multiLevelType w:val="hybridMultilevel"/>
    <w:tmpl w:val="C038DC86"/>
    <w:lvl w:ilvl="0" w:tplc="240A0019">
      <w:start w:val="1"/>
      <w:numFmt w:val="lowerLetter"/>
      <w:lvlText w:val="%1."/>
      <w:lvlJc w:val="left"/>
      <w:pPr>
        <w:ind w:left="360" w:hanging="360"/>
      </w:pPr>
      <w:rPr>
        <w:rFonts w:hint="default"/>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70" w15:restartNumberingAfterBreak="0">
    <w:nsid w:val="65A541F3"/>
    <w:multiLevelType w:val="hybridMultilevel"/>
    <w:tmpl w:val="A0E62C74"/>
    <w:lvl w:ilvl="0" w:tplc="240A0019">
      <w:start w:val="1"/>
      <w:numFmt w:val="lowerLetter"/>
      <w:lvlText w:val="%1."/>
      <w:lvlJc w:val="left"/>
      <w:pPr>
        <w:ind w:left="360" w:hanging="360"/>
      </w:pPr>
      <w:rPr>
        <w:rFonts w:hint="default"/>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71" w15:restartNumberingAfterBreak="0">
    <w:nsid w:val="660633F1"/>
    <w:multiLevelType w:val="hybridMultilevel"/>
    <w:tmpl w:val="CCB8369C"/>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2" w15:restartNumberingAfterBreak="0">
    <w:nsid w:val="67B60C02"/>
    <w:multiLevelType w:val="hybridMultilevel"/>
    <w:tmpl w:val="CA687444"/>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3" w15:restartNumberingAfterBreak="0">
    <w:nsid w:val="68B53130"/>
    <w:multiLevelType w:val="hybridMultilevel"/>
    <w:tmpl w:val="85D6FB12"/>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4" w15:restartNumberingAfterBreak="0">
    <w:nsid w:val="6BB146A5"/>
    <w:multiLevelType w:val="hybridMultilevel"/>
    <w:tmpl w:val="C0DE914A"/>
    <w:lvl w:ilvl="0" w:tplc="D6DC4BAE">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75" w15:restartNumberingAfterBreak="0">
    <w:nsid w:val="6CE309A0"/>
    <w:multiLevelType w:val="hybridMultilevel"/>
    <w:tmpl w:val="7840D0DC"/>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6" w15:restartNumberingAfterBreak="0">
    <w:nsid w:val="6D1C18BE"/>
    <w:multiLevelType w:val="hybridMultilevel"/>
    <w:tmpl w:val="DB34F446"/>
    <w:lvl w:ilvl="0" w:tplc="F7B44D04">
      <w:start w:val="1"/>
      <w:numFmt w:val="low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7" w15:restartNumberingAfterBreak="0">
    <w:nsid w:val="6F735223"/>
    <w:multiLevelType w:val="hybridMultilevel"/>
    <w:tmpl w:val="C07E225E"/>
    <w:lvl w:ilvl="0" w:tplc="240A0019">
      <w:start w:val="1"/>
      <w:numFmt w:val="low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8" w15:restartNumberingAfterBreak="0">
    <w:nsid w:val="6FF440E2"/>
    <w:multiLevelType w:val="hybridMultilevel"/>
    <w:tmpl w:val="D92ADF7C"/>
    <w:lvl w:ilvl="0" w:tplc="EA72BDBE">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9" w15:restartNumberingAfterBreak="0">
    <w:nsid w:val="715F1B30"/>
    <w:multiLevelType w:val="hybridMultilevel"/>
    <w:tmpl w:val="4C9C4A66"/>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0" w15:restartNumberingAfterBreak="0">
    <w:nsid w:val="717313E3"/>
    <w:multiLevelType w:val="hybridMultilevel"/>
    <w:tmpl w:val="D92ADF7C"/>
    <w:lvl w:ilvl="0" w:tplc="EA72BDBE">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1" w15:restartNumberingAfterBreak="0">
    <w:nsid w:val="73432BD8"/>
    <w:multiLevelType w:val="hybridMultilevel"/>
    <w:tmpl w:val="5614A73C"/>
    <w:lvl w:ilvl="0" w:tplc="4C2498CA">
      <w:start w:val="1"/>
      <w:numFmt w:val="decimal"/>
      <w:pStyle w:val="ARTICULOS"/>
      <w:lvlText w:val="Artículo %1."/>
      <w:lvlJc w:val="left"/>
      <w:pPr>
        <w:ind w:left="360" w:hanging="360"/>
      </w:pPr>
      <w:rPr>
        <w:rFonts w:ascii="Bookman Old Style" w:hAnsi="Bookman Old Style" w:hint="default"/>
        <w:b/>
        <w:i w:val="0"/>
        <w:caps w:val="0"/>
        <w:strike w:val="0"/>
        <w:dstrike w:val="0"/>
        <w:vanish w:val="0"/>
        <w:sz w:val="24"/>
        <w:vertAlign w:val="baseline"/>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DFAE9A9E">
      <w:start w:val="1"/>
      <w:numFmt w:val="decimal"/>
      <w:lvlText w:val="%4."/>
      <w:lvlJc w:val="left"/>
      <w:pPr>
        <w:ind w:left="3285" w:hanging="765"/>
      </w:pPr>
      <w:rPr>
        <w:rFonts w:hint="default"/>
      </w:r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2" w15:restartNumberingAfterBreak="0">
    <w:nsid w:val="735604EA"/>
    <w:multiLevelType w:val="hybridMultilevel"/>
    <w:tmpl w:val="7C9ABCF4"/>
    <w:lvl w:ilvl="0" w:tplc="F7B44D04">
      <w:start w:val="1"/>
      <w:numFmt w:val="lowerLetter"/>
      <w:lvlText w:val="%1."/>
      <w:lvlJc w:val="left"/>
      <w:pPr>
        <w:ind w:left="36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3" w15:restartNumberingAfterBreak="0">
    <w:nsid w:val="73AA1721"/>
    <w:multiLevelType w:val="hybridMultilevel"/>
    <w:tmpl w:val="F54CFF46"/>
    <w:lvl w:ilvl="0" w:tplc="3A3211AA">
      <w:start w:val="5"/>
      <w:numFmt w:val="lowerLetter"/>
      <w:lvlText w:val="%1."/>
      <w:lvlJc w:val="left"/>
      <w:pPr>
        <w:ind w:left="36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4" w15:restartNumberingAfterBreak="0">
    <w:nsid w:val="74F41206"/>
    <w:multiLevelType w:val="hybridMultilevel"/>
    <w:tmpl w:val="4D02AC7C"/>
    <w:lvl w:ilvl="0" w:tplc="240A0019">
      <w:start w:val="1"/>
      <w:numFmt w:val="lowerLetter"/>
      <w:lvlText w:val="%1."/>
      <w:lvlJc w:val="left"/>
      <w:pPr>
        <w:ind w:left="360" w:hanging="360"/>
      </w:pPr>
      <w:rPr>
        <w:rFont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85" w15:restartNumberingAfterBreak="0">
    <w:nsid w:val="75F33AF8"/>
    <w:multiLevelType w:val="hybridMultilevel"/>
    <w:tmpl w:val="FA5AD29E"/>
    <w:lvl w:ilvl="0" w:tplc="FF2E214C">
      <w:start w:val="2"/>
      <w:numFmt w:val="lowerLetter"/>
      <w:lvlText w:val="%1."/>
      <w:lvlJc w:val="left"/>
      <w:pPr>
        <w:ind w:left="36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6" w15:restartNumberingAfterBreak="0">
    <w:nsid w:val="76A26D8B"/>
    <w:multiLevelType w:val="hybridMultilevel"/>
    <w:tmpl w:val="9112FF18"/>
    <w:lvl w:ilvl="0" w:tplc="240A001B">
      <w:start w:val="1"/>
      <w:numFmt w:val="lowerRoman"/>
      <w:lvlText w:val="%1."/>
      <w:lvlJc w:val="righ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7" w15:restartNumberingAfterBreak="0">
    <w:nsid w:val="77182B14"/>
    <w:multiLevelType w:val="hybridMultilevel"/>
    <w:tmpl w:val="C462A07E"/>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8" w15:restartNumberingAfterBreak="0">
    <w:nsid w:val="771F1F1B"/>
    <w:multiLevelType w:val="hybridMultilevel"/>
    <w:tmpl w:val="F260FFE4"/>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9" w15:restartNumberingAfterBreak="0">
    <w:nsid w:val="77636AC8"/>
    <w:multiLevelType w:val="hybridMultilevel"/>
    <w:tmpl w:val="7AA2F9BE"/>
    <w:lvl w:ilvl="0" w:tplc="FA6A5E7E">
      <w:numFmt w:val="bullet"/>
      <w:lvlText w:val="-"/>
      <w:lvlJc w:val="left"/>
      <w:pPr>
        <w:ind w:left="720" w:hanging="360"/>
      </w:pPr>
      <w:rPr>
        <w:rFonts w:ascii="Bookman Old Style" w:eastAsia="Times New Roman" w:hAnsi="Bookman Old Style"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0" w15:restartNumberingAfterBreak="0">
    <w:nsid w:val="77BE1027"/>
    <w:multiLevelType w:val="hybridMultilevel"/>
    <w:tmpl w:val="AD82C51E"/>
    <w:lvl w:ilvl="0" w:tplc="240A0019">
      <w:start w:val="1"/>
      <w:numFmt w:val="lowerLetter"/>
      <w:lvlText w:val="%1."/>
      <w:lvlJc w:val="left"/>
      <w:pPr>
        <w:ind w:left="360" w:hanging="360"/>
      </w:pPr>
    </w:lvl>
    <w:lvl w:ilvl="1" w:tplc="240A0019">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91" w15:restartNumberingAfterBreak="0">
    <w:nsid w:val="780B10EA"/>
    <w:multiLevelType w:val="hybridMultilevel"/>
    <w:tmpl w:val="F11AF128"/>
    <w:lvl w:ilvl="0" w:tplc="3DC0451E">
      <w:start w:val="1"/>
      <w:numFmt w:val="decimal"/>
      <w:pStyle w:val="Artculo"/>
      <w:lvlText w:val="Artículo %1."/>
      <w:lvlJc w:val="left"/>
      <w:pPr>
        <w:ind w:left="1778" w:hanging="360"/>
      </w:pPr>
      <w:rPr>
        <w:rFonts w:hint="default"/>
        <w:b/>
        <w:bCs w:val="0"/>
        <w:i w:val="0"/>
        <w:iCs w:val="0"/>
        <w:caps w:val="0"/>
        <w:smallCaps w:val="0"/>
        <w:strike w:val="0"/>
        <w:dstrike w:val="0"/>
        <w:noProof w:val="0"/>
        <w:vanish w:val="0"/>
        <w:color w:val="000000"/>
        <w:spacing w:val="0"/>
        <w:kern w:val="0"/>
        <w:position w:val="0"/>
        <w:u w:val="none"/>
        <w:effect w:val="none"/>
        <w:vertAlign w:val="baseline"/>
        <w:em w:val="none"/>
        <w:lang w:val="es-CO"/>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92" w15:restartNumberingAfterBreak="0">
    <w:nsid w:val="783B50C6"/>
    <w:multiLevelType w:val="hybridMultilevel"/>
    <w:tmpl w:val="0B504B56"/>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93" w15:restartNumberingAfterBreak="0">
    <w:nsid w:val="78F8158B"/>
    <w:multiLevelType w:val="hybridMultilevel"/>
    <w:tmpl w:val="6840D5F2"/>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94" w15:restartNumberingAfterBreak="0">
    <w:nsid w:val="7A2355FF"/>
    <w:multiLevelType w:val="hybridMultilevel"/>
    <w:tmpl w:val="B666EE18"/>
    <w:lvl w:ilvl="0" w:tplc="240A0019">
      <w:start w:val="1"/>
      <w:numFmt w:val="lowerLetter"/>
      <w:lvlText w:val="%1."/>
      <w:lvlJc w:val="left"/>
      <w:pPr>
        <w:ind w:left="360" w:hanging="360"/>
      </w:pPr>
    </w:lvl>
    <w:lvl w:ilvl="1" w:tplc="240A0019">
      <w:start w:val="1"/>
      <w:numFmt w:val="lowerLetter"/>
      <w:lvlText w:val="%2."/>
      <w:lvlJc w:val="left"/>
      <w:pPr>
        <w:ind w:left="1080" w:hanging="360"/>
      </w:pPr>
    </w:lvl>
    <w:lvl w:ilvl="2" w:tplc="240A001B">
      <w:start w:val="1"/>
      <w:numFmt w:val="lowerRoman"/>
      <w:lvlText w:val="%3."/>
      <w:lvlJc w:val="right"/>
      <w:pPr>
        <w:ind w:left="1800" w:hanging="180"/>
      </w:pPr>
    </w:lvl>
    <w:lvl w:ilvl="3" w:tplc="240A000F">
      <w:start w:val="1"/>
      <w:numFmt w:val="decimal"/>
      <w:lvlText w:val="%4."/>
      <w:lvlJc w:val="left"/>
      <w:pPr>
        <w:ind w:left="2520" w:hanging="360"/>
      </w:pPr>
    </w:lvl>
    <w:lvl w:ilvl="4" w:tplc="240A0019">
      <w:start w:val="1"/>
      <w:numFmt w:val="lowerLetter"/>
      <w:lvlText w:val="%5."/>
      <w:lvlJc w:val="left"/>
      <w:pPr>
        <w:ind w:left="3240" w:hanging="360"/>
      </w:pPr>
    </w:lvl>
    <w:lvl w:ilvl="5" w:tplc="240A001B">
      <w:start w:val="1"/>
      <w:numFmt w:val="lowerRoman"/>
      <w:lvlText w:val="%6."/>
      <w:lvlJc w:val="right"/>
      <w:pPr>
        <w:ind w:left="3960" w:hanging="180"/>
      </w:pPr>
    </w:lvl>
    <w:lvl w:ilvl="6" w:tplc="240A000F">
      <w:start w:val="1"/>
      <w:numFmt w:val="decimal"/>
      <w:lvlText w:val="%7."/>
      <w:lvlJc w:val="left"/>
      <w:pPr>
        <w:ind w:left="4680" w:hanging="360"/>
      </w:pPr>
    </w:lvl>
    <w:lvl w:ilvl="7" w:tplc="240A0019">
      <w:start w:val="1"/>
      <w:numFmt w:val="lowerLetter"/>
      <w:lvlText w:val="%8."/>
      <w:lvlJc w:val="left"/>
      <w:pPr>
        <w:ind w:left="5400" w:hanging="360"/>
      </w:pPr>
    </w:lvl>
    <w:lvl w:ilvl="8" w:tplc="240A001B">
      <w:start w:val="1"/>
      <w:numFmt w:val="lowerRoman"/>
      <w:lvlText w:val="%9."/>
      <w:lvlJc w:val="right"/>
      <w:pPr>
        <w:ind w:left="6120" w:hanging="180"/>
      </w:pPr>
    </w:lvl>
  </w:abstractNum>
  <w:abstractNum w:abstractNumId="95" w15:restartNumberingAfterBreak="0">
    <w:nsid w:val="7A53201C"/>
    <w:multiLevelType w:val="hybridMultilevel"/>
    <w:tmpl w:val="CE7CF2D8"/>
    <w:lvl w:ilvl="0" w:tplc="F884A6C8">
      <w:start w:val="1"/>
      <w:numFmt w:val="lowerLetter"/>
      <w:lvlText w:val="%1."/>
      <w:lvlJc w:val="left"/>
      <w:pPr>
        <w:ind w:left="360" w:hanging="360"/>
      </w:pPr>
      <w:rPr>
        <w:b/>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96" w15:restartNumberingAfterBreak="0">
    <w:nsid w:val="7AE62715"/>
    <w:multiLevelType w:val="hybridMultilevel"/>
    <w:tmpl w:val="37D42C2E"/>
    <w:lvl w:ilvl="0" w:tplc="240A0019">
      <w:start w:val="1"/>
      <w:numFmt w:val="low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97" w15:restartNumberingAfterBreak="0">
    <w:nsid w:val="7BF06BBC"/>
    <w:multiLevelType w:val="hybridMultilevel"/>
    <w:tmpl w:val="A0EE7C78"/>
    <w:lvl w:ilvl="0" w:tplc="240A0019">
      <w:start w:val="1"/>
      <w:numFmt w:val="lowerLetter"/>
      <w:lvlText w:val="%1."/>
      <w:lvlJc w:val="left"/>
      <w:pPr>
        <w:ind w:left="707" w:hanging="720"/>
      </w:pPr>
      <w:rPr>
        <w:rFonts w:hint="default"/>
      </w:rPr>
    </w:lvl>
    <w:lvl w:ilvl="1" w:tplc="240A0019" w:tentative="1">
      <w:start w:val="1"/>
      <w:numFmt w:val="lowerLetter"/>
      <w:lvlText w:val="%2."/>
      <w:lvlJc w:val="left"/>
      <w:pPr>
        <w:ind w:left="1067" w:hanging="360"/>
      </w:pPr>
    </w:lvl>
    <w:lvl w:ilvl="2" w:tplc="240A001B" w:tentative="1">
      <w:start w:val="1"/>
      <w:numFmt w:val="lowerRoman"/>
      <w:lvlText w:val="%3."/>
      <w:lvlJc w:val="right"/>
      <w:pPr>
        <w:ind w:left="1787" w:hanging="180"/>
      </w:pPr>
    </w:lvl>
    <w:lvl w:ilvl="3" w:tplc="240A000F" w:tentative="1">
      <w:start w:val="1"/>
      <w:numFmt w:val="decimal"/>
      <w:lvlText w:val="%4."/>
      <w:lvlJc w:val="left"/>
      <w:pPr>
        <w:ind w:left="2507" w:hanging="360"/>
      </w:pPr>
    </w:lvl>
    <w:lvl w:ilvl="4" w:tplc="240A0019" w:tentative="1">
      <w:start w:val="1"/>
      <w:numFmt w:val="lowerLetter"/>
      <w:lvlText w:val="%5."/>
      <w:lvlJc w:val="left"/>
      <w:pPr>
        <w:ind w:left="3227" w:hanging="360"/>
      </w:pPr>
    </w:lvl>
    <w:lvl w:ilvl="5" w:tplc="240A001B" w:tentative="1">
      <w:start w:val="1"/>
      <w:numFmt w:val="lowerRoman"/>
      <w:lvlText w:val="%6."/>
      <w:lvlJc w:val="right"/>
      <w:pPr>
        <w:ind w:left="3947" w:hanging="180"/>
      </w:pPr>
    </w:lvl>
    <w:lvl w:ilvl="6" w:tplc="240A000F" w:tentative="1">
      <w:start w:val="1"/>
      <w:numFmt w:val="decimal"/>
      <w:lvlText w:val="%7."/>
      <w:lvlJc w:val="left"/>
      <w:pPr>
        <w:ind w:left="4667" w:hanging="360"/>
      </w:pPr>
    </w:lvl>
    <w:lvl w:ilvl="7" w:tplc="240A0019" w:tentative="1">
      <w:start w:val="1"/>
      <w:numFmt w:val="lowerLetter"/>
      <w:lvlText w:val="%8."/>
      <w:lvlJc w:val="left"/>
      <w:pPr>
        <w:ind w:left="5387" w:hanging="360"/>
      </w:pPr>
    </w:lvl>
    <w:lvl w:ilvl="8" w:tplc="240A001B" w:tentative="1">
      <w:start w:val="1"/>
      <w:numFmt w:val="lowerRoman"/>
      <w:lvlText w:val="%9."/>
      <w:lvlJc w:val="right"/>
      <w:pPr>
        <w:ind w:left="6107" w:hanging="180"/>
      </w:pPr>
    </w:lvl>
  </w:abstractNum>
  <w:abstractNum w:abstractNumId="98" w15:restartNumberingAfterBreak="0">
    <w:nsid w:val="7C7F6745"/>
    <w:multiLevelType w:val="hybridMultilevel"/>
    <w:tmpl w:val="3218232C"/>
    <w:lvl w:ilvl="0" w:tplc="973072AE">
      <w:start w:val="1"/>
      <w:numFmt w:val="lowerLetter"/>
      <w:lvlText w:val="%1."/>
      <w:lvlJc w:val="left"/>
      <w:pPr>
        <w:ind w:left="36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9" w15:restartNumberingAfterBreak="0">
    <w:nsid w:val="7D237CBB"/>
    <w:multiLevelType w:val="hybridMultilevel"/>
    <w:tmpl w:val="B2166C40"/>
    <w:lvl w:ilvl="0" w:tplc="AE429CFC">
      <w:start w:val="1"/>
      <w:numFmt w:val="lowerLetter"/>
      <w:lvlText w:val="%1."/>
      <w:lvlJc w:val="left"/>
      <w:pPr>
        <w:ind w:left="36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
  </w:num>
  <w:num w:numId="2">
    <w:abstractNumId w:val="13"/>
  </w:num>
  <w:num w:numId="3">
    <w:abstractNumId w:val="32"/>
  </w:num>
  <w:num w:numId="4">
    <w:abstractNumId w:val="9"/>
  </w:num>
  <w:num w:numId="5">
    <w:abstractNumId w:val="39"/>
  </w:num>
  <w:num w:numId="6">
    <w:abstractNumId w:val="91"/>
  </w:num>
  <w:num w:numId="7">
    <w:abstractNumId w:val="94"/>
  </w:num>
  <w:num w:numId="8">
    <w:abstractNumId w:val="93"/>
  </w:num>
  <w:num w:numId="9">
    <w:abstractNumId w:val="52"/>
  </w:num>
  <w:num w:numId="10">
    <w:abstractNumId w:val="16"/>
  </w:num>
  <w:num w:numId="11">
    <w:abstractNumId w:val="6"/>
  </w:num>
  <w:num w:numId="12">
    <w:abstractNumId w:val="62"/>
  </w:num>
  <w:num w:numId="13">
    <w:abstractNumId w:val="57"/>
  </w:num>
  <w:num w:numId="14">
    <w:abstractNumId w:val="92"/>
  </w:num>
  <w:num w:numId="15">
    <w:abstractNumId w:val="74"/>
  </w:num>
  <w:num w:numId="16">
    <w:abstractNumId w:val="51"/>
  </w:num>
  <w:num w:numId="17">
    <w:abstractNumId w:val="49"/>
  </w:num>
  <w:num w:numId="18">
    <w:abstractNumId w:val="25"/>
  </w:num>
  <w:num w:numId="19">
    <w:abstractNumId w:val="54"/>
  </w:num>
  <w:num w:numId="20">
    <w:abstractNumId w:val="29"/>
  </w:num>
  <w:num w:numId="21">
    <w:abstractNumId w:val="78"/>
  </w:num>
  <w:num w:numId="22">
    <w:abstractNumId w:val="43"/>
  </w:num>
  <w:num w:numId="23">
    <w:abstractNumId w:val="21"/>
  </w:num>
  <w:num w:numId="24">
    <w:abstractNumId w:val="61"/>
  </w:num>
  <w:num w:numId="25">
    <w:abstractNumId w:val="5"/>
  </w:num>
  <w:num w:numId="26">
    <w:abstractNumId w:val="65"/>
  </w:num>
  <w:num w:numId="27">
    <w:abstractNumId w:val="50"/>
  </w:num>
  <w:num w:numId="28">
    <w:abstractNumId w:val="24"/>
  </w:num>
  <w:num w:numId="29">
    <w:abstractNumId w:val="36"/>
  </w:num>
  <w:num w:numId="30">
    <w:abstractNumId w:val="75"/>
  </w:num>
  <w:num w:numId="31">
    <w:abstractNumId w:val="56"/>
  </w:num>
  <w:num w:numId="32">
    <w:abstractNumId w:val="48"/>
  </w:num>
  <w:num w:numId="33">
    <w:abstractNumId w:val="27"/>
  </w:num>
  <w:num w:numId="34">
    <w:abstractNumId w:val="66"/>
  </w:num>
  <w:num w:numId="35">
    <w:abstractNumId w:val="81"/>
  </w:num>
  <w:num w:numId="36">
    <w:abstractNumId w:val="44"/>
  </w:num>
  <w:num w:numId="37">
    <w:abstractNumId w:val="63"/>
  </w:num>
  <w:num w:numId="38">
    <w:abstractNumId w:val="69"/>
  </w:num>
  <w:num w:numId="39">
    <w:abstractNumId w:val="40"/>
  </w:num>
  <w:num w:numId="40">
    <w:abstractNumId w:val="73"/>
  </w:num>
  <w:num w:numId="41">
    <w:abstractNumId w:val="8"/>
  </w:num>
  <w:num w:numId="42">
    <w:abstractNumId w:val="33"/>
  </w:num>
  <w:num w:numId="43">
    <w:abstractNumId w:val="87"/>
  </w:num>
  <w:num w:numId="44">
    <w:abstractNumId w:val="20"/>
  </w:num>
  <w:num w:numId="45">
    <w:abstractNumId w:val="10"/>
  </w:num>
  <w:num w:numId="46">
    <w:abstractNumId w:val="37"/>
  </w:num>
  <w:num w:numId="47">
    <w:abstractNumId w:val="35"/>
  </w:num>
  <w:num w:numId="48">
    <w:abstractNumId w:val="38"/>
  </w:num>
  <w:num w:numId="49">
    <w:abstractNumId w:val="71"/>
  </w:num>
  <w:num w:numId="50">
    <w:abstractNumId w:val="18"/>
  </w:num>
  <w:num w:numId="51">
    <w:abstractNumId w:val="86"/>
  </w:num>
  <w:num w:numId="52">
    <w:abstractNumId w:val="11"/>
  </w:num>
  <w:num w:numId="53">
    <w:abstractNumId w:val="26"/>
  </w:num>
  <w:num w:numId="54">
    <w:abstractNumId w:val="99"/>
  </w:num>
  <w:num w:numId="55">
    <w:abstractNumId w:val="22"/>
  </w:num>
  <w:num w:numId="56">
    <w:abstractNumId w:val="83"/>
  </w:num>
  <w:num w:numId="57">
    <w:abstractNumId w:val="3"/>
  </w:num>
  <w:num w:numId="58">
    <w:abstractNumId w:val="79"/>
  </w:num>
  <w:num w:numId="59">
    <w:abstractNumId w:val="60"/>
  </w:num>
  <w:num w:numId="60">
    <w:abstractNumId w:val="41"/>
  </w:num>
  <w:num w:numId="61">
    <w:abstractNumId w:val="7"/>
  </w:num>
  <w:num w:numId="62">
    <w:abstractNumId w:val="90"/>
  </w:num>
  <w:num w:numId="63">
    <w:abstractNumId w:val="84"/>
  </w:num>
  <w:num w:numId="64">
    <w:abstractNumId w:val="30"/>
  </w:num>
  <w:num w:numId="65">
    <w:abstractNumId w:val="77"/>
  </w:num>
  <w:num w:numId="66">
    <w:abstractNumId w:val="96"/>
  </w:num>
  <w:num w:numId="67">
    <w:abstractNumId w:val="14"/>
  </w:num>
  <w:num w:numId="68">
    <w:abstractNumId w:val="98"/>
  </w:num>
  <w:num w:numId="69">
    <w:abstractNumId w:val="47"/>
  </w:num>
  <w:num w:numId="70">
    <w:abstractNumId w:val="88"/>
  </w:num>
  <w:num w:numId="71">
    <w:abstractNumId w:val="68"/>
  </w:num>
  <w:num w:numId="72">
    <w:abstractNumId w:val="4"/>
  </w:num>
  <w:num w:numId="73">
    <w:abstractNumId w:val="53"/>
  </w:num>
  <w:num w:numId="74">
    <w:abstractNumId w:val="85"/>
  </w:num>
  <w:num w:numId="75">
    <w:abstractNumId w:val="2"/>
  </w:num>
  <w:num w:numId="76">
    <w:abstractNumId w:val="45"/>
  </w:num>
  <w:num w:numId="77">
    <w:abstractNumId w:val="67"/>
  </w:num>
  <w:num w:numId="78">
    <w:abstractNumId w:val="31"/>
  </w:num>
  <w:num w:numId="79">
    <w:abstractNumId w:val="82"/>
  </w:num>
  <w:num w:numId="80">
    <w:abstractNumId w:val="15"/>
  </w:num>
  <w:num w:numId="81">
    <w:abstractNumId w:val="76"/>
  </w:num>
  <w:num w:numId="82">
    <w:abstractNumId w:val="46"/>
  </w:num>
  <w:num w:numId="83">
    <w:abstractNumId w:val="42"/>
  </w:num>
  <w:num w:numId="84">
    <w:abstractNumId w:val="28"/>
  </w:num>
  <w:num w:numId="85">
    <w:abstractNumId w:val="72"/>
  </w:num>
  <w:num w:numId="86">
    <w:abstractNumId w:val="70"/>
  </w:num>
  <w:num w:numId="87">
    <w:abstractNumId w:val="95"/>
  </w:num>
  <w:num w:numId="88">
    <w:abstractNumId w:val="80"/>
  </w:num>
  <w:num w:numId="89">
    <w:abstractNumId w:val="19"/>
  </w:num>
  <w:num w:numId="90">
    <w:abstractNumId w:val="34"/>
  </w:num>
  <w:num w:numId="91">
    <w:abstractNumId w:val="58"/>
  </w:num>
  <w:num w:numId="92">
    <w:abstractNumId w:val="89"/>
  </w:num>
  <w:num w:numId="93">
    <w:abstractNumId w:val="23"/>
  </w:num>
  <w:num w:numId="94">
    <w:abstractNumId w:val="59"/>
  </w:num>
  <w:num w:numId="95">
    <w:abstractNumId w:val="64"/>
  </w:num>
  <w:num w:numId="96">
    <w:abstractNumId w:val="9"/>
  </w:num>
  <w:num w:numId="97">
    <w:abstractNumId w:val="9"/>
  </w:num>
  <w:num w:numId="98">
    <w:abstractNumId w:val="97"/>
  </w:num>
  <w:num w:numId="99">
    <w:abstractNumId w:val="17"/>
  </w:num>
  <w:numIdMacAtCleanup w:val="9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activeWritingStyle w:appName="MSWord" w:lang="pt-BR" w:vendorID="64" w:dllVersion="131078" w:nlCheck="1" w:checkStyle="0"/>
  <w:activeWritingStyle w:appName="MSWord" w:lang="es-CO" w:vendorID="64" w:dllVersion="131078" w:nlCheck="1" w:checkStyle="0"/>
  <w:activeWritingStyle w:appName="MSWord" w:lang="es-ES" w:vendorID="64" w:dllVersion="131078" w:nlCheck="1" w:checkStyle="0"/>
  <w:activeWritingStyle w:appName="MSWord" w:lang="es-ES_tradnl" w:vendorID="64" w:dllVersion="131078" w:nlCheck="1" w:checkStyle="0"/>
  <w:activeWritingStyle w:appName="MSWord" w:lang="en-US" w:vendorID="64" w:dllVersion="131078" w:nlCheck="1" w:checkStyle="0"/>
  <w:activeWritingStyle w:appName="MSWord" w:lang="es-MX" w:vendorID="64" w:dllVersion="131078" w:nlCheck="1" w:checkStyle="0"/>
  <w:attachedTemplate r:id="rId1"/>
  <w:defaultTabStop w:val="113"/>
  <w:hyphenationZone w:val="425"/>
  <w:drawingGridHorizontalSpacing w:val="120"/>
  <w:displayHorizontalDrawingGridEvery w:val="2"/>
  <w:noPunctuationKerning/>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7340"/>
    <w:rsid w:val="00000D76"/>
    <w:rsid w:val="0000438A"/>
    <w:rsid w:val="00004479"/>
    <w:rsid w:val="00004661"/>
    <w:rsid w:val="00005536"/>
    <w:rsid w:val="000055AB"/>
    <w:rsid w:val="0000607C"/>
    <w:rsid w:val="00006958"/>
    <w:rsid w:val="00006AE2"/>
    <w:rsid w:val="000075B9"/>
    <w:rsid w:val="000076A1"/>
    <w:rsid w:val="00007762"/>
    <w:rsid w:val="00007CF4"/>
    <w:rsid w:val="00010373"/>
    <w:rsid w:val="000107DC"/>
    <w:rsid w:val="000115D0"/>
    <w:rsid w:val="00011A35"/>
    <w:rsid w:val="00011A72"/>
    <w:rsid w:val="00011F75"/>
    <w:rsid w:val="00012259"/>
    <w:rsid w:val="000131F0"/>
    <w:rsid w:val="00013824"/>
    <w:rsid w:val="00013A38"/>
    <w:rsid w:val="00015010"/>
    <w:rsid w:val="00015746"/>
    <w:rsid w:val="00015E23"/>
    <w:rsid w:val="000170EC"/>
    <w:rsid w:val="00017164"/>
    <w:rsid w:val="0001744C"/>
    <w:rsid w:val="00017FA6"/>
    <w:rsid w:val="0002012E"/>
    <w:rsid w:val="000202AD"/>
    <w:rsid w:val="00020ACC"/>
    <w:rsid w:val="0002118E"/>
    <w:rsid w:val="00021765"/>
    <w:rsid w:val="00021777"/>
    <w:rsid w:val="00021D02"/>
    <w:rsid w:val="00022A2C"/>
    <w:rsid w:val="0002324D"/>
    <w:rsid w:val="00023835"/>
    <w:rsid w:val="00024F79"/>
    <w:rsid w:val="00025383"/>
    <w:rsid w:val="00025F3B"/>
    <w:rsid w:val="0002686B"/>
    <w:rsid w:val="00026BB5"/>
    <w:rsid w:val="00026BCA"/>
    <w:rsid w:val="00026EC6"/>
    <w:rsid w:val="00027808"/>
    <w:rsid w:val="0003028A"/>
    <w:rsid w:val="0003094A"/>
    <w:rsid w:val="00030B22"/>
    <w:rsid w:val="00030D24"/>
    <w:rsid w:val="000332E0"/>
    <w:rsid w:val="00033E94"/>
    <w:rsid w:val="00033F56"/>
    <w:rsid w:val="00035441"/>
    <w:rsid w:val="000354E0"/>
    <w:rsid w:val="000357BE"/>
    <w:rsid w:val="000360CD"/>
    <w:rsid w:val="000364A9"/>
    <w:rsid w:val="00036985"/>
    <w:rsid w:val="00036E4F"/>
    <w:rsid w:val="000374F3"/>
    <w:rsid w:val="000378D1"/>
    <w:rsid w:val="00037B4F"/>
    <w:rsid w:val="00040403"/>
    <w:rsid w:val="00041735"/>
    <w:rsid w:val="000418CE"/>
    <w:rsid w:val="00041B54"/>
    <w:rsid w:val="000426F4"/>
    <w:rsid w:val="00042C2A"/>
    <w:rsid w:val="00043209"/>
    <w:rsid w:val="00044111"/>
    <w:rsid w:val="000451C2"/>
    <w:rsid w:val="00045289"/>
    <w:rsid w:val="0004541E"/>
    <w:rsid w:val="00045599"/>
    <w:rsid w:val="00045D3D"/>
    <w:rsid w:val="0004621F"/>
    <w:rsid w:val="000464B1"/>
    <w:rsid w:val="000469B8"/>
    <w:rsid w:val="00046E26"/>
    <w:rsid w:val="000474CD"/>
    <w:rsid w:val="000502FA"/>
    <w:rsid w:val="00051790"/>
    <w:rsid w:val="00051D51"/>
    <w:rsid w:val="00051DEA"/>
    <w:rsid w:val="000521F4"/>
    <w:rsid w:val="00052C6B"/>
    <w:rsid w:val="00054C7D"/>
    <w:rsid w:val="00055691"/>
    <w:rsid w:val="000577E1"/>
    <w:rsid w:val="00057A15"/>
    <w:rsid w:val="00060757"/>
    <w:rsid w:val="000607EB"/>
    <w:rsid w:val="00060C7D"/>
    <w:rsid w:val="00060F36"/>
    <w:rsid w:val="00061A9D"/>
    <w:rsid w:val="0006297A"/>
    <w:rsid w:val="0006350C"/>
    <w:rsid w:val="00063657"/>
    <w:rsid w:val="000640CF"/>
    <w:rsid w:val="0006600D"/>
    <w:rsid w:val="0006608D"/>
    <w:rsid w:val="00066500"/>
    <w:rsid w:val="00066878"/>
    <w:rsid w:val="00066E71"/>
    <w:rsid w:val="00067221"/>
    <w:rsid w:val="0006747E"/>
    <w:rsid w:val="000702BD"/>
    <w:rsid w:val="000708C8"/>
    <w:rsid w:val="00070D59"/>
    <w:rsid w:val="00070E80"/>
    <w:rsid w:val="0007145D"/>
    <w:rsid w:val="00071EF3"/>
    <w:rsid w:val="00072067"/>
    <w:rsid w:val="00072C89"/>
    <w:rsid w:val="00073115"/>
    <w:rsid w:val="00073883"/>
    <w:rsid w:val="0007499E"/>
    <w:rsid w:val="00074C28"/>
    <w:rsid w:val="00075019"/>
    <w:rsid w:val="000757B2"/>
    <w:rsid w:val="00075DB9"/>
    <w:rsid w:val="00076680"/>
    <w:rsid w:val="00076A1D"/>
    <w:rsid w:val="00077527"/>
    <w:rsid w:val="000779D4"/>
    <w:rsid w:val="0008073E"/>
    <w:rsid w:val="00081416"/>
    <w:rsid w:val="00081583"/>
    <w:rsid w:val="00081803"/>
    <w:rsid w:val="00081811"/>
    <w:rsid w:val="00081D32"/>
    <w:rsid w:val="000828FE"/>
    <w:rsid w:val="000830E2"/>
    <w:rsid w:val="0008337B"/>
    <w:rsid w:val="00084711"/>
    <w:rsid w:val="00084CA6"/>
    <w:rsid w:val="00084EEF"/>
    <w:rsid w:val="000861C8"/>
    <w:rsid w:val="00086666"/>
    <w:rsid w:val="00086BC3"/>
    <w:rsid w:val="00087918"/>
    <w:rsid w:val="00090640"/>
    <w:rsid w:val="00090902"/>
    <w:rsid w:val="00090917"/>
    <w:rsid w:val="000910EF"/>
    <w:rsid w:val="0009166D"/>
    <w:rsid w:val="00091CDB"/>
    <w:rsid w:val="00092426"/>
    <w:rsid w:val="00092430"/>
    <w:rsid w:val="0009287D"/>
    <w:rsid w:val="000928E5"/>
    <w:rsid w:val="0009294C"/>
    <w:rsid w:val="000930A7"/>
    <w:rsid w:val="000933ED"/>
    <w:rsid w:val="000937FB"/>
    <w:rsid w:val="00093D7C"/>
    <w:rsid w:val="00093E9C"/>
    <w:rsid w:val="0009400E"/>
    <w:rsid w:val="00094219"/>
    <w:rsid w:val="000945E6"/>
    <w:rsid w:val="00094632"/>
    <w:rsid w:val="000946E1"/>
    <w:rsid w:val="000948EB"/>
    <w:rsid w:val="00094FC1"/>
    <w:rsid w:val="00095892"/>
    <w:rsid w:val="000973CA"/>
    <w:rsid w:val="00097420"/>
    <w:rsid w:val="00097E0C"/>
    <w:rsid w:val="000A055F"/>
    <w:rsid w:val="000A1503"/>
    <w:rsid w:val="000A19AC"/>
    <w:rsid w:val="000A2414"/>
    <w:rsid w:val="000A2B86"/>
    <w:rsid w:val="000A3D2F"/>
    <w:rsid w:val="000A450B"/>
    <w:rsid w:val="000A4B57"/>
    <w:rsid w:val="000A6C8D"/>
    <w:rsid w:val="000A71B3"/>
    <w:rsid w:val="000B0071"/>
    <w:rsid w:val="000B008F"/>
    <w:rsid w:val="000B1944"/>
    <w:rsid w:val="000B1E76"/>
    <w:rsid w:val="000B2599"/>
    <w:rsid w:val="000B27AE"/>
    <w:rsid w:val="000B2BD1"/>
    <w:rsid w:val="000B2EC9"/>
    <w:rsid w:val="000B390C"/>
    <w:rsid w:val="000B40CD"/>
    <w:rsid w:val="000B455E"/>
    <w:rsid w:val="000B493F"/>
    <w:rsid w:val="000B49BA"/>
    <w:rsid w:val="000B4E0D"/>
    <w:rsid w:val="000B4E51"/>
    <w:rsid w:val="000B507D"/>
    <w:rsid w:val="000B5148"/>
    <w:rsid w:val="000B562C"/>
    <w:rsid w:val="000B6CB7"/>
    <w:rsid w:val="000B743A"/>
    <w:rsid w:val="000C04B6"/>
    <w:rsid w:val="000C0FD1"/>
    <w:rsid w:val="000C1B79"/>
    <w:rsid w:val="000C1C22"/>
    <w:rsid w:val="000C1E08"/>
    <w:rsid w:val="000C21E3"/>
    <w:rsid w:val="000C311B"/>
    <w:rsid w:val="000C43B5"/>
    <w:rsid w:val="000C51DB"/>
    <w:rsid w:val="000C55DD"/>
    <w:rsid w:val="000C5BF3"/>
    <w:rsid w:val="000C7B41"/>
    <w:rsid w:val="000C7E93"/>
    <w:rsid w:val="000C7FB2"/>
    <w:rsid w:val="000D01CC"/>
    <w:rsid w:val="000D0A05"/>
    <w:rsid w:val="000D17BD"/>
    <w:rsid w:val="000D1879"/>
    <w:rsid w:val="000D2239"/>
    <w:rsid w:val="000D26F8"/>
    <w:rsid w:val="000D26FE"/>
    <w:rsid w:val="000D2938"/>
    <w:rsid w:val="000D2B66"/>
    <w:rsid w:val="000D39CF"/>
    <w:rsid w:val="000D435C"/>
    <w:rsid w:val="000D4524"/>
    <w:rsid w:val="000D4F99"/>
    <w:rsid w:val="000D523E"/>
    <w:rsid w:val="000D5257"/>
    <w:rsid w:val="000D5B0B"/>
    <w:rsid w:val="000D6DED"/>
    <w:rsid w:val="000D7816"/>
    <w:rsid w:val="000E04D4"/>
    <w:rsid w:val="000E05C8"/>
    <w:rsid w:val="000E13B6"/>
    <w:rsid w:val="000E1786"/>
    <w:rsid w:val="000E1857"/>
    <w:rsid w:val="000E1F13"/>
    <w:rsid w:val="000E26E9"/>
    <w:rsid w:val="000E3A57"/>
    <w:rsid w:val="000E3AA5"/>
    <w:rsid w:val="000E3B5F"/>
    <w:rsid w:val="000E4101"/>
    <w:rsid w:val="000E4560"/>
    <w:rsid w:val="000E4AAB"/>
    <w:rsid w:val="000E64AB"/>
    <w:rsid w:val="000E7EE8"/>
    <w:rsid w:val="000F038B"/>
    <w:rsid w:val="000F064C"/>
    <w:rsid w:val="000F072A"/>
    <w:rsid w:val="000F0B42"/>
    <w:rsid w:val="000F14F7"/>
    <w:rsid w:val="000F1A6B"/>
    <w:rsid w:val="000F1EB8"/>
    <w:rsid w:val="000F1F85"/>
    <w:rsid w:val="000F2659"/>
    <w:rsid w:val="000F2B0F"/>
    <w:rsid w:val="000F2FED"/>
    <w:rsid w:val="000F39A1"/>
    <w:rsid w:val="000F4507"/>
    <w:rsid w:val="000F4F2D"/>
    <w:rsid w:val="000F5720"/>
    <w:rsid w:val="000F5A2E"/>
    <w:rsid w:val="000F76DE"/>
    <w:rsid w:val="000F777B"/>
    <w:rsid w:val="001006BB"/>
    <w:rsid w:val="00100739"/>
    <w:rsid w:val="00100815"/>
    <w:rsid w:val="00100853"/>
    <w:rsid w:val="00100AAC"/>
    <w:rsid w:val="0010147B"/>
    <w:rsid w:val="00101914"/>
    <w:rsid w:val="00102142"/>
    <w:rsid w:val="0010293A"/>
    <w:rsid w:val="00102A2F"/>
    <w:rsid w:val="00103920"/>
    <w:rsid w:val="0010408F"/>
    <w:rsid w:val="00104221"/>
    <w:rsid w:val="00104414"/>
    <w:rsid w:val="00104451"/>
    <w:rsid w:val="00104750"/>
    <w:rsid w:val="0010586A"/>
    <w:rsid w:val="00105DDD"/>
    <w:rsid w:val="0010689B"/>
    <w:rsid w:val="001078D1"/>
    <w:rsid w:val="0011007B"/>
    <w:rsid w:val="00110898"/>
    <w:rsid w:val="00110BF4"/>
    <w:rsid w:val="0011178A"/>
    <w:rsid w:val="0011378B"/>
    <w:rsid w:val="00113D49"/>
    <w:rsid w:val="0011473A"/>
    <w:rsid w:val="001147DF"/>
    <w:rsid w:val="00114D4A"/>
    <w:rsid w:val="001159F3"/>
    <w:rsid w:val="00115D44"/>
    <w:rsid w:val="00115FB8"/>
    <w:rsid w:val="00116246"/>
    <w:rsid w:val="00116605"/>
    <w:rsid w:val="001178CA"/>
    <w:rsid w:val="00117A30"/>
    <w:rsid w:val="00120A62"/>
    <w:rsid w:val="00121537"/>
    <w:rsid w:val="001216FB"/>
    <w:rsid w:val="001217E7"/>
    <w:rsid w:val="00121AC3"/>
    <w:rsid w:val="00122DED"/>
    <w:rsid w:val="00123606"/>
    <w:rsid w:val="00123755"/>
    <w:rsid w:val="0012403A"/>
    <w:rsid w:val="00125076"/>
    <w:rsid w:val="001258BA"/>
    <w:rsid w:val="00125C6F"/>
    <w:rsid w:val="00125F33"/>
    <w:rsid w:val="00125F87"/>
    <w:rsid w:val="00126781"/>
    <w:rsid w:val="00126A60"/>
    <w:rsid w:val="00127399"/>
    <w:rsid w:val="00127CE6"/>
    <w:rsid w:val="00127F9B"/>
    <w:rsid w:val="0013127F"/>
    <w:rsid w:val="00131716"/>
    <w:rsid w:val="001321F4"/>
    <w:rsid w:val="001323BA"/>
    <w:rsid w:val="00134192"/>
    <w:rsid w:val="0013442B"/>
    <w:rsid w:val="00134544"/>
    <w:rsid w:val="001347D1"/>
    <w:rsid w:val="00134FE5"/>
    <w:rsid w:val="0013526C"/>
    <w:rsid w:val="001352E7"/>
    <w:rsid w:val="00135AD7"/>
    <w:rsid w:val="00135BDE"/>
    <w:rsid w:val="00136011"/>
    <w:rsid w:val="00136CF5"/>
    <w:rsid w:val="00136FDF"/>
    <w:rsid w:val="0013728F"/>
    <w:rsid w:val="00137331"/>
    <w:rsid w:val="001405C6"/>
    <w:rsid w:val="00140884"/>
    <w:rsid w:val="00141013"/>
    <w:rsid w:val="00141098"/>
    <w:rsid w:val="0014211C"/>
    <w:rsid w:val="00142A34"/>
    <w:rsid w:val="00143C48"/>
    <w:rsid w:val="00143F3C"/>
    <w:rsid w:val="0014418D"/>
    <w:rsid w:val="0014422A"/>
    <w:rsid w:val="00144A7A"/>
    <w:rsid w:val="00145E81"/>
    <w:rsid w:val="0014643A"/>
    <w:rsid w:val="00146A05"/>
    <w:rsid w:val="001473BB"/>
    <w:rsid w:val="00147408"/>
    <w:rsid w:val="00147B85"/>
    <w:rsid w:val="00150339"/>
    <w:rsid w:val="0015044E"/>
    <w:rsid w:val="00150CF1"/>
    <w:rsid w:val="001513E7"/>
    <w:rsid w:val="00151495"/>
    <w:rsid w:val="00154516"/>
    <w:rsid w:val="00154A26"/>
    <w:rsid w:val="00155723"/>
    <w:rsid w:val="00156602"/>
    <w:rsid w:val="00156DB2"/>
    <w:rsid w:val="001575BA"/>
    <w:rsid w:val="00157C86"/>
    <w:rsid w:val="00157FD9"/>
    <w:rsid w:val="001615FC"/>
    <w:rsid w:val="001621B7"/>
    <w:rsid w:val="001631B0"/>
    <w:rsid w:val="0016352A"/>
    <w:rsid w:val="001648BB"/>
    <w:rsid w:val="00164980"/>
    <w:rsid w:val="00164C3F"/>
    <w:rsid w:val="00165C18"/>
    <w:rsid w:val="00165C8F"/>
    <w:rsid w:val="00167A50"/>
    <w:rsid w:val="0017096E"/>
    <w:rsid w:val="0017134E"/>
    <w:rsid w:val="00171C29"/>
    <w:rsid w:val="00172074"/>
    <w:rsid w:val="0017291B"/>
    <w:rsid w:val="00172D6E"/>
    <w:rsid w:val="001742D2"/>
    <w:rsid w:val="00174A4F"/>
    <w:rsid w:val="00174F26"/>
    <w:rsid w:val="00175361"/>
    <w:rsid w:val="00176291"/>
    <w:rsid w:val="0017673B"/>
    <w:rsid w:val="0017680A"/>
    <w:rsid w:val="001769C3"/>
    <w:rsid w:val="001770A7"/>
    <w:rsid w:val="00177408"/>
    <w:rsid w:val="001775ED"/>
    <w:rsid w:val="0017796B"/>
    <w:rsid w:val="00177BD8"/>
    <w:rsid w:val="00181460"/>
    <w:rsid w:val="001815F4"/>
    <w:rsid w:val="00181CE7"/>
    <w:rsid w:val="00182665"/>
    <w:rsid w:val="00182A2B"/>
    <w:rsid w:val="00183CE5"/>
    <w:rsid w:val="00183ECF"/>
    <w:rsid w:val="00183F48"/>
    <w:rsid w:val="00184039"/>
    <w:rsid w:val="001842C5"/>
    <w:rsid w:val="00187374"/>
    <w:rsid w:val="00187A3F"/>
    <w:rsid w:val="00190A01"/>
    <w:rsid w:val="00190FB0"/>
    <w:rsid w:val="00191323"/>
    <w:rsid w:val="00191B3A"/>
    <w:rsid w:val="001921CF"/>
    <w:rsid w:val="00192CBF"/>
    <w:rsid w:val="00192FF1"/>
    <w:rsid w:val="00193054"/>
    <w:rsid w:val="00193062"/>
    <w:rsid w:val="00194042"/>
    <w:rsid w:val="001941A5"/>
    <w:rsid w:val="0019440A"/>
    <w:rsid w:val="001965CE"/>
    <w:rsid w:val="001A0191"/>
    <w:rsid w:val="001A0212"/>
    <w:rsid w:val="001A1853"/>
    <w:rsid w:val="001A1BF9"/>
    <w:rsid w:val="001A4FCE"/>
    <w:rsid w:val="001A5056"/>
    <w:rsid w:val="001A50AC"/>
    <w:rsid w:val="001A50E8"/>
    <w:rsid w:val="001A51B4"/>
    <w:rsid w:val="001A56B6"/>
    <w:rsid w:val="001A58B3"/>
    <w:rsid w:val="001A5F1B"/>
    <w:rsid w:val="001A5F74"/>
    <w:rsid w:val="001A623D"/>
    <w:rsid w:val="001A6F4B"/>
    <w:rsid w:val="001A6FA3"/>
    <w:rsid w:val="001A704F"/>
    <w:rsid w:val="001A7501"/>
    <w:rsid w:val="001A7C13"/>
    <w:rsid w:val="001A7D69"/>
    <w:rsid w:val="001B0EFB"/>
    <w:rsid w:val="001B1C22"/>
    <w:rsid w:val="001B2022"/>
    <w:rsid w:val="001B23C4"/>
    <w:rsid w:val="001B255A"/>
    <w:rsid w:val="001B29C2"/>
    <w:rsid w:val="001B308C"/>
    <w:rsid w:val="001B34C6"/>
    <w:rsid w:val="001B4803"/>
    <w:rsid w:val="001B5CF1"/>
    <w:rsid w:val="001B6D44"/>
    <w:rsid w:val="001B6D7F"/>
    <w:rsid w:val="001C070C"/>
    <w:rsid w:val="001C10FC"/>
    <w:rsid w:val="001C113D"/>
    <w:rsid w:val="001C1C74"/>
    <w:rsid w:val="001C1F1F"/>
    <w:rsid w:val="001C300F"/>
    <w:rsid w:val="001C31CC"/>
    <w:rsid w:val="001C3F2F"/>
    <w:rsid w:val="001C42B2"/>
    <w:rsid w:val="001C4D0D"/>
    <w:rsid w:val="001C4DC0"/>
    <w:rsid w:val="001C516F"/>
    <w:rsid w:val="001C5A92"/>
    <w:rsid w:val="001C5D44"/>
    <w:rsid w:val="001C649B"/>
    <w:rsid w:val="001C65CB"/>
    <w:rsid w:val="001C664D"/>
    <w:rsid w:val="001D0858"/>
    <w:rsid w:val="001D14CF"/>
    <w:rsid w:val="001D16C9"/>
    <w:rsid w:val="001D16EF"/>
    <w:rsid w:val="001D1BD8"/>
    <w:rsid w:val="001D2A7F"/>
    <w:rsid w:val="001D4942"/>
    <w:rsid w:val="001D5295"/>
    <w:rsid w:val="001D5435"/>
    <w:rsid w:val="001D5E03"/>
    <w:rsid w:val="001D609F"/>
    <w:rsid w:val="001D6151"/>
    <w:rsid w:val="001D642A"/>
    <w:rsid w:val="001D732E"/>
    <w:rsid w:val="001D7832"/>
    <w:rsid w:val="001D7EFA"/>
    <w:rsid w:val="001E0237"/>
    <w:rsid w:val="001E0B7B"/>
    <w:rsid w:val="001E20BD"/>
    <w:rsid w:val="001E220F"/>
    <w:rsid w:val="001E35F1"/>
    <w:rsid w:val="001E363B"/>
    <w:rsid w:val="001E392A"/>
    <w:rsid w:val="001E4AD2"/>
    <w:rsid w:val="001E5E65"/>
    <w:rsid w:val="001E7969"/>
    <w:rsid w:val="001E7C8B"/>
    <w:rsid w:val="001F0E3E"/>
    <w:rsid w:val="001F47ED"/>
    <w:rsid w:val="001F4A57"/>
    <w:rsid w:val="001F5718"/>
    <w:rsid w:val="001F5A38"/>
    <w:rsid w:val="001F60F1"/>
    <w:rsid w:val="001F661E"/>
    <w:rsid w:val="001F6949"/>
    <w:rsid w:val="001F6E1B"/>
    <w:rsid w:val="001F6E5B"/>
    <w:rsid w:val="001F7359"/>
    <w:rsid w:val="001F79F6"/>
    <w:rsid w:val="00200148"/>
    <w:rsid w:val="002003CE"/>
    <w:rsid w:val="0020105F"/>
    <w:rsid w:val="0020212A"/>
    <w:rsid w:val="002025B4"/>
    <w:rsid w:val="00202E4D"/>
    <w:rsid w:val="00204D12"/>
    <w:rsid w:val="00204D40"/>
    <w:rsid w:val="00204F21"/>
    <w:rsid w:val="00205121"/>
    <w:rsid w:val="002051B4"/>
    <w:rsid w:val="002063F9"/>
    <w:rsid w:val="002066BA"/>
    <w:rsid w:val="002067EF"/>
    <w:rsid w:val="002102DF"/>
    <w:rsid w:val="00210DC1"/>
    <w:rsid w:val="00211D34"/>
    <w:rsid w:val="00211FA8"/>
    <w:rsid w:val="00212B16"/>
    <w:rsid w:val="0021349A"/>
    <w:rsid w:val="0021480F"/>
    <w:rsid w:val="00214847"/>
    <w:rsid w:val="00214D3F"/>
    <w:rsid w:val="00214F04"/>
    <w:rsid w:val="00217464"/>
    <w:rsid w:val="00217907"/>
    <w:rsid w:val="00217AE4"/>
    <w:rsid w:val="00220639"/>
    <w:rsid w:val="00220730"/>
    <w:rsid w:val="00220D31"/>
    <w:rsid w:val="0022206B"/>
    <w:rsid w:val="002220EE"/>
    <w:rsid w:val="00222B70"/>
    <w:rsid w:val="00222F77"/>
    <w:rsid w:val="00222F95"/>
    <w:rsid w:val="00223B3A"/>
    <w:rsid w:val="00223F4C"/>
    <w:rsid w:val="002244A0"/>
    <w:rsid w:val="00224A3D"/>
    <w:rsid w:val="00224E89"/>
    <w:rsid w:val="0022530A"/>
    <w:rsid w:val="002253A2"/>
    <w:rsid w:val="00225E6D"/>
    <w:rsid w:val="00226376"/>
    <w:rsid w:val="00226E66"/>
    <w:rsid w:val="0022702E"/>
    <w:rsid w:val="0023033C"/>
    <w:rsid w:val="002310E8"/>
    <w:rsid w:val="00231148"/>
    <w:rsid w:val="0023129D"/>
    <w:rsid w:val="00231371"/>
    <w:rsid w:val="00232336"/>
    <w:rsid w:val="002324BF"/>
    <w:rsid w:val="00232C01"/>
    <w:rsid w:val="0023406C"/>
    <w:rsid w:val="00234D8A"/>
    <w:rsid w:val="00234D90"/>
    <w:rsid w:val="0023531B"/>
    <w:rsid w:val="002358E1"/>
    <w:rsid w:val="00235E7C"/>
    <w:rsid w:val="0023603B"/>
    <w:rsid w:val="00236839"/>
    <w:rsid w:val="00236FD5"/>
    <w:rsid w:val="00237749"/>
    <w:rsid w:val="00237E5B"/>
    <w:rsid w:val="00240335"/>
    <w:rsid w:val="002404D2"/>
    <w:rsid w:val="0024068A"/>
    <w:rsid w:val="00241C92"/>
    <w:rsid w:val="00242146"/>
    <w:rsid w:val="00243767"/>
    <w:rsid w:val="00243CDC"/>
    <w:rsid w:val="0024437D"/>
    <w:rsid w:val="00244837"/>
    <w:rsid w:val="0024515A"/>
    <w:rsid w:val="002461B3"/>
    <w:rsid w:val="00247B3C"/>
    <w:rsid w:val="00250611"/>
    <w:rsid w:val="0025074A"/>
    <w:rsid w:val="00250A35"/>
    <w:rsid w:val="00250C72"/>
    <w:rsid w:val="00250E32"/>
    <w:rsid w:val="00251433"/>
    <w:rsid w:val="00251AC0"/>
    <w:rsid w:val="00252374"/>
    <w:rsid w:val="002523E9"/>
    <w:rsid w:val="002525C6"/>
    <w:rsid w:val="00252CD8"/>
    <w:rsid w:val="00253D10"/>
    <w:rsid w:val="00253DA8"/>
    <w:rsid w:val="002540F4"/>
    <w:rsid w:val="00255EE3"/>
    <w:rsid w:val="0025678F"/>
    <w:rsid w:val="0025768D"/>
    <w:rsid w:val="00257BF4"/>
    <w:rsid w:val="00257C81"/>
    <w:rsid w:val="00257E20"/>
    <w:rsid w:val="0026063D"/>
    <w:rsid w:val="002610C3"/>
    <w:rsid w:val="0026111F"/>
    <w:rsid w:val="00261785"/>
    <w:rsid w:val="00261D52"/>
    <w:rsid w:val="00262A29"/>
    <w:rsid w:val="0026340C"/>
    <w:rsid w:val="0026368E"/>
    <w:rsid w:val="0026373E"/>
    <w:rsid w:val="0026403A"/>
    <w:rsid w:val="002646F1"/>
    <w:rsid w:val="002650C4"/>
    <w:rsid w:val="00265E23"/>
    <w:rsid w:val="0026654B"/>
    <w:rsid w:val="00266CD6"/>
    <w:rsid w:val="00267079"/>
    <w:rsid w:val="0026764B"/>
    <w:rsid w:val="00270282"/>
    <w:rsid w:val="0027062A"/>
    <w:rsid w:val="0027185D"/>
    <w:rsid w:val="00271E74"/>
    <w:rsid w:val="00272E8E"/>
    <w:rsid w:val="0027310A"/>
    <w:rsid w:val="00273336"/>
    <w:rsid w:val="00273A1E"/>
    <w:rsid w:val="00274001"/>
    <w:rsid w:val="00274055"/>
    <w:rsid w:val="00274233"/>
    <w:rsid w:val="00274B4B"/>
    <w:rsid w:val="00275DAB"/>
    <w:rsid w:val="00275FF2"/>
    <w:rsid w:val="00276B26"/>
    <w:rsid w:val="00277328"/>
    <w:rsid w:val="002801E5"/>
    <w:rsid w:val="00280D75"/>
    <w:rsid w:val="002818A4"/>
    <w:rsid w:val="00281CD5"/>
    <w:rsid w:val="002821B7"/>
    <w:rsid w:val="002827C9"/>
    <w:rsid w:val="0028299D"/>
    <w:rsid w:val="00282CF2"/>
    <w:rsid w:val="00283553"/>
    <w:rsid w:val="00283958"/>
    <w:rsid w:val="002840CE"/>
    <w:rsid w:val="002850C3"/>
    <w:rsid w:val="00285940"/>
    <w:rsid w:val="00285A2D"/>
    <w:rsid w:val="00285C73"/>
    <w:rsid w:val="00285D9A"/>
    <w:rsid w:val="0028684D"/>
    <w:rsid w:val="00287A81"/>
    <w:rsid w:val="00290F6E"/>
    <w:rsid w:val="0029104E"/>
    <w:rsid w:val="00292249"/>
    <w:rsid w:val="00292360"/>
    <w:rsid w:val="0029253B"/>
    <w:rsid w:val="0029271E"/>
    <w:rsid w:val="002928AE"/>
    <w:rsid w:val="002932A0"/>
    <w:rsid w:val="00293630"/>
    <w:rsid w:val="00294253"/>
    <w:rsid w:val="0029586A"/>
    <w:rsid w:val="00297F09"/>
    <w:rsid w:val="002A0593"/>
    <w:rsid w:val="002A0A79"/>
    <w:rsid w:val="002A0AA3"/>
    <w:rsid w:val="002A0EC3"/>
    <w:rsid w:val="002A13AD"/>
    <w:rsid w:val="002A1678"/>
    <w:rsid w:val="002A17E2"/>
    <w:rsid w:val="002A3645"/>
    <w:rsid w:val="002A4608"/>
    <w:rsid w:val="002A4683"/>
    <w:rsid w:val="002A4D18"/>
    <w:rsid w:val="002A6029"/>
    <w:rsid w:val="002A6694"/>
    <w:rsid w:val="002A6DA8"/>
    <w:rsid w:val="002A7607"/>
    <w:rsid w:val="002A782A"/>
    <w:rsid w:val="002A7A92"/>
    <w:rsid w:val="002A7BF1"/>
    <w:rsid w:val="002A7E28"/>
    <w:rsid w:val="002B05F1"/>
    <w:rsid w:val="002B0AB2"/>
    <w:rsid w:val="002B0C17"/>
    <w:rsid w:val="002B0D11"/>
    <w:rsid w:val="002B11E2"/>
    <w:rsid w:val="002B1697"/>
    <w:rsid w:val="002B1CB4"/>
    <w:rsid w:val="002B1D47"/>
    <w:rsid w:val="002B24B8"/>
    <w:rsid w:val="002B2771"/>
    <w:rsid w:val="002B3288"/>
    <w:rsid w:val="002B3CC9"/>
    <w:rsid w:val="002B3DF7"/>
    <w:rsid w:val="002B4AFD"/>
    <w:rsid w:val="002B4EF9"/>
    <w:rsid w:val="002B514A"/>
    <w:rsid w:val="002B52C0"/>
    <w:rsid w:val="002B5A8A"/>
    <w:rsid w:val="002B5FC7"/>
    <w:rsid w:val="002B6AFD"/>
    <w:rsid w:val="002B72BA"/>
    <w:rsid w:val="002B7442"/>
    <w:rsid w:val="002B7E8C"/>
    <w:rsid w:val="002C0698"/>
    <w:rsid w:val="002C07C6"/>
    <w:rsid w:val="002C0FC5"/>
    <w:rsid w:val="002C164E"/>
    <w:rsid w:val="002C1837"/>
    <w:rsid w:val="002C1BB8"/>
    <w:rsid w:val="002C2D5A"/>
    <w:rsid w:val="002C4B52"/>
    <w:rsid w:val="002C5284"/>
    <w:rsid w:val="002C586D"/>
    <w:rsid w:val="002C6FFB"/>
    <w:rsid w:val="002C6FFF"/>
    <w:rsid w:val="002C7AA4"/>
    <w:rsid w:val="002C7C7A"/>
    <w:rsid w:val="002C7E2B"/>
    <w:rsid w:val="002D0CE3"/>
    <w:rsid w:val="002D0FB8"/>
    <w:rsid w:val="002D1917"/>
    <w:rsid w:val="002D1DBC"/>
    <w:rsid w:val="002D2B8A"/>
    <w:rsid w:val="002D2EC9"/>
    <w:rsid w:val="002D3008"/>
    <w:rsid w:val="002D3AE9"/>
    <w:rsid w:val="002D4510"/>
    <w:rsid w:val="002D527F"/>
    <w:rsid w:val="002D5B3D"/>
    <w:rsid w:val="002D671D"/>
    <w:rsid w:val="002D681D"/>
    <w:rsid w:val="002D6BF7"/>
    <w:rsid w:val="002D6FA1"/>
    <w:rsid w:val="002D74FB"/>
    <w:rsid w:val="002D77EB"/>
    <w:rsid w:val="002E05E7"/>
    <w:rsid w:val="002E08E5"/>
    <w:rsid w:val="002E1A05"/>
    <w:rsid w:val="002E1D7A"/>
    <w:rsid w:val="002E2D23"/>
    <w:rsid w:val="002E32D0"/>
    <w:rsid w:val="002E5292"/>
    <w:rsid w:val="002E5ACC"/>
    <w:rsid w:val="002E5F0C"/>
    <w:rsid w:val="002E6639"/>
    <w:rsid w:val="002E72BD"/>
    <w:rsid w:val="002E7346"/>
    <w:rsid w:val="002E7DFC"/>
    <w:rsid w:val="002E7F45"/>
    <w:rsid w:val="002F0734"/>
    <w:rsid w:val="002F0A79"/>
    <w:rsid w:val="002F0DFE"/>
    <w:rsid w:val="002F11BD"/>
    <w:rsid w:val="002F1753"/>
    <w:rsid w:val="002F1F62"/>
    <w:rsid w:val="002F2BDE"/>
    <w:rsid w:val="002F2F75"/>
    <w:rsid w:val="002F46E7"/>
    <w:rsid w:val="002F4A44"/>
    <w:rsid w:val="002F5B1C"/>
    <w:rsid w:val="002F61D2"/>
    <w:rsid w:val="002F6B95"/>
    <w:rsid w:val="002F760D"/>
    <w:rsid w:val="002F77F1"/>
    <w:rsid w:val="002F7B4D"/>
    <w:rsid w:val="002F7EB4"/>
    <w:rsid w:val="002F7F4A"/>
    <w:rsid w:val="0030084A"/>
    <w:rsid w:val="003011BA"/>
    <w:rsid w:val="003016D1"/>
    <w:rsid w:val="00301B84"/>
    <w:rsid w:val="003023AC"/>
    <w:rsid w:val="0030429F"/>
    <w:rsid w:val="00305615"/>
    <w:rsid w:val="00305842"/>
    <w:rsid w:val="003058C4"/>
    <w:rsid w:val="003064AD"/>
    <w:rsid w:val="00306952"/>
    <w:rsid w:val="003074CD"/>
    <w:rsid w:val="003079AC"/>
    <w:rsid w:val="003101DA"/>
    <w:rsid w:val="00310E35"/>
    <w:rsid w:val="003111CA"/>
    <w:rsid w:val="0031131D"/>
    <w:rsid w:val="00311D9A"/>
    <w:rsid w:val="0031200B"/>
    <w:rsid w:val="003123C5"/>
    <w:rsid w:val="003128ED"/>
    <w:rsid w:val="00313A7B"/>
    <w:rsid w:val="00313EDE"/>
    <w:rsid w:val="00314715"/>
    <w:rsid w:val="00314757"/>
    <w:rsid w:val="003148DE"/>
    <w:rsid w:val="003150AD"/>
    <w:rsid w:val="00315A66"/>
    <w:rsid w:val="00315FFF"/>
    <w:rsid w:val="003161F8"/>
    <w:rsid w:val="003163BC"/>
    <w:rsid w:val="003164F7"/>
    <w:rsid w:val="0031689E"/>
    <w:rsid w:val="003171AF"/>
    <w:rsid w:val="0031725A"/>
    <w:rsid w:val="00321193"/>
    <w:rsid w:val="003211CE"/>
    <w:rsid w:val="00321C4E"/>
    <w:rsid w:val="00321EE7"/>
    <w:rsid w:val="00321FB3"/>
    <w:rsid w:val="00322A44"/>
    <w:rsid w:val="00322B0C"/>
    <w:rsid w:val="00323157"/>
    <w:rsid w:val="00323AA4"/>
    <w:rsid w:val="003244CB"/>
    <w:rsid w:val="003248F9"/>
    <w:rsid w:val="00324A52"/>
    <w:rsid w:val="00325E06"/>
    <w:rsid w:val="003262DA"/>
    <w:rsid w:val="00326F0E"/>
    <w:rsid w:val="003271B2"/>
    <w:rsid w:val="0032792D"/>
    <w:rsid w:val="00330729"/>
    <w:rsid w:val="00331A26"/>
    <w:rsid w:val="0033357A"/>
    <w:rsid w:val="00333827"/>
    <w:rsid w:val="00333A36"/>
    <w:rsid w:val="00333E89"/>
    <w:rsid w:val="00334221"/>
    <w:rsid w:val="00334311"/>
    <w:rsid w:val="0033478A"/>
    <w:rsid w:val="00334A72"/>
    <w:rsid w:val="00334DE8"/>
    <w:rsid w:val="00334F9E"/>
    <w:rsid w:val="0033531B"/>
    <w:rsid w:val="003353D1"/>
    <w:rsid w:val="0033669B"/>
    <w:rsid w:val="003368F3"/>
    <w:rsid w:val="003371C2"/>
    <w:rsid w:val="003378FD"/>
    <w:rsid w:val="00337A20"/>
    <w:rsid w:val="00337AB8"/>
    <w:rsid w:val="00337D24"/>
    <w:rsid w:val="00340223"/>
    <w:rsid w:val="00340272"/>
    <w:rsid w:val="00340F2F"/>
    <w:rsid w:val="003418C9"/>
    <w:rsid w:val="00341C87"/>
    <w:rsid w:val="00342D6D"/>
    <w:rsid w:val="003433DC"/>
    <w:rsid w:val="00343B37"/>
    <w:rsid w:val="00344131"/>
    <w:rsid w:val="003441EE"/>
    <w:rsid w:val="003443B3"/>
    <w:rsid w:val="003451A7"/>
    <w:rsid w:val="00345787"/>
    <w:rsid w:val="0034592D"/>
    <w:rsid w:val="00345DB1"/>
    <w:rsid w:val="00345DB6"/>
    <w:rsid w:val="0034625F"/>
    <w:rsid w:val="00346C6D"/>
    <w:rsid w:val="00346EC0"/>
    <w:rsid w:val="00347D02"/>
    <w:rsid w:val="0035055D"/>
    <w:rsid w:val="00350765"/>
    <w:rsid w:val="00350D58"/>
    <w:rsid w:val="00350D9E"/>
    <w:rsid w:val="00351339"/>
    <w:rsid w:val="0035286E"/>
    <w:rsid w:val="00353232"/>
    <w:rsid w:val="0035403A"/>
    <w:rsid w:val="00354428"/>
    <w:rsid w:val="00355260"/>
    <w:rsid w:val="00355320"/>
    <w:rsid w:val="0035627D"/>
    <w:rsid w:val="003570A4"/>
    <w:rsid w:val="003576AC"/>
    <w:rsid w:val="00360047"/>
    <w:rsid w:val="003602CB"/>
    <w:rsid w:val="00360FA9"/>
    <w:rsid w:val="003618EA"/>
    <w:rsid w:val="0036286F"/>
    <w:rsid w:val="003635CB"/>
    <w:rsid w:val="0036394B"/>
    <w:rsid w:val="00363F3F"/>
    <w:rsid w:val="00363FA5"/>
    <w:rsid w:val="00364D96"/>
    <w:rsid w:val="00364F54"/>
    <w:rsid w:val="00365453"/>
    <w:rsid w:val="00365492"/>
    <w:rsid w:val="00365855"/>
    <w:rsid w:val="00365E50"/>
    <w:rsid w:val="0036691A"/>
    <w:rsid w:val="00366DB6"/>
    <w:rsid w:val="00366F07"/>
    <w:rsid w:val="003709B5"/>
    <w:rsid w:val="00370DAE"/>
    <w:rsid w:val="00370F68"/>
    <w:rsid w:val="003711F4"/>
    <w:rsid w:val="00371598"/>
    <w:rsid w:val="00372334"/>
    <w:rsid w:val="003723E8"/>
    <w:rsid w:val="003727EB"/>
    <w:rsid w:val="00373E83"/>
    <w:rsid w:val="003746E9"/>
    <w:rsid w:val="00375344"/>
    <w:rsid w:val="00375748"/>
    <w:rsid w:val="003759C2"/>
    <w:rsid w:val="00375F44"/>
    <w:rsid w:val="003764CC"/>
    <w:rsid w:val="00376826"/>
    <w:rsid w:val="003804C8"/>
    <w:rsid w:val="00380888"/>
    <w:rsid w:val="00380962"/>
    <w:rsid w:val="00380E53"/>
    <w:rsid w:val="00381611"/>
    <w:rsid w:val="00382335"/>
    <w:rsid w:val="00382EA8"/>
    <w:rsid w:val="00383FF8"/>
    <w:rsid w:val="00384CC6"/>
    <w:rsid w:val="003851E7"/>
    <w:rsid w:val="003857DE"/>
    <w:rsid w:val="003859A4"/>
    <w:rsid w:val="00385D66"/>
    <w:rsid w:val="003864D7"/>
    <w:rsid w:val="003867C2"/>
    <w:rsid w:val="00386A11"/>
    <w:rsid w:val="00386EB9"/>
    <w:rsid w:val="003872F6"/>
    <w:rsid w:val="0038762D"/>
    <w:rsid w:val="00390146"/>
    <w:rsid w:val="003907AC"/>
    <w:rsid w:val="00390C90"/>
    <w:rsid w:val="00391D5C"/>
    <w:rsid w:val="0039288C"/>
    <w:rsid w:val="00392972"/>
    <w:rsid w:val="00392A0B"/>
    <w:rsid w:val="00394287"/>
    <w:rsid w:val="00395570"/>
    <w:rsid w:val="00395F48"/>
    <w:rsid w:val="003965E4"/>
    <w:rsid w:val="00397365"/>
    <w:rsid w:val="00397B9A"/>
    <w:rsid w:val="00397D62"/>
    <w:rsid w:val="003A01BF"/>
    <w:rsid w:val="003A0200"/>
    <w:rsid w:val="003A0A31"/>
    <w:rsid w:val="003A1542"/>
    <w:rsid w:val="003A2A73"/>
    <w:rsid w:val="003A31F6"/>
    <w:rsid w:val="003A3455"/>
    <w:rsid w:val="003A3A73"/>
    <w:rsid w:val="003A40A8"/>
    <w:rsid w:val="003A41DC"/>
    <w:rsid w:val="003A4763"/>
    <w:rsid w:val="003A496E"/>
    <w:rsid w:val="003A4A06"/>
    <w:rsid w:val="003A5A45"/>
    <w:rsid w:val="003A5C56"/>
    <w:rsid w:val="003A5C6B"/>
    <w:rsid w:val="003A6F6E"/>
    <w:rsid w:val="003B01C3"/>
    <w:rsid w:val="003B0E42"/>
    <w:rsid w:val="003B0FAE"/>
    <w:rsid w:val="003B1819"/>
    <w:rsid w:val="003B2E7B"/>
    <w:rsid w:val="003B30CB"/>
    <w:rsid w:val="003B410A"/>
    <w:rsid w:val="003B4FAA"/>
    <w:rsid w:val="003B54EA"/>
    <w:rsid w:val="003B57E8"/>
    <w:rsid w:val="003B5E31"/>
    <w:rsid w:val="003B6EA8"/>
    <w:rsid w:val="003C0416"/>
    <w:rsid w:val="003C0750"/>
    <w:rsid w:val="003C0F95"/>
    <w:rsid w:val="003C1470"/>
    <w:rsid w:val="003C1B03"/>
    <w:rsid w:val="003C1B89"/>
    <w:rsid w:val="003C22F0"/>
    <w:rsid w:val="003C2B93"/>
    <w:rsid w:val="003C2C3B"/>
    <w:rsid w:val="003C319C"/>
    <w:rsid w:val="003C3447"/>
    <w:rsid w:val="003C3606"/>
    <w:rsid w:val="003C47FE"/>
    <w:rsid w:val="003C4965"/>
    <w:rsid w:val="003C5153"/>
    <w:rsid w:val="003C5289"/>
    <w:rsid w:val="003C5727"/>
    <w:rsid w:val="003C5DAC"/>
    <w:rsid w:val="003C5E0F"/>
    <w:rsid w:val="003C5F6A"/>
    <w:rsid w:val="003C635C"/>
    <w:rsid w:val="003C65EA"/>
    <w:rsid w:val="003D032C"/>
    <w:rsid w:val="003D076C"/>
    <w:rsid w:val="003D0FFC"/>
    <w:rsid w:val="003D1375"/>
    <w:rsid w:val="003D2529"/>
    <w:rsid w:val="003D32C7"/>
    <w:rsid w:val="003D371F"/>
    <w:rsid w:val="003D3860"/>
    <w:rsid w:val="003D4138"/>
    <w:rsid w:val="003D453E"/>
    <w:rsid w:val="003D5AB4"/>
    <w:rsid w:val="003D63C7"/>
    <w:rsid w:val="003D6976"/>
    <w:rsid w:val="003D7366"/>
    <w:rsid w:val="003E2CE0"/>
    <w:rsid w:val="003E3CA6"/>
    <w:rsid w:val="003E3F37"/>
    <w:rsid w:val="003E492E"/>
    <w:rsid w:val="003E4DEC"/>
    <w:rsid w:val="003E5BDB"/>
    <w:rsid w:val="003E68E2"/>
    <w:rsid w:val="003E718E"/>
    <w:rsid w:val="003E7434"/>
    <w:rsid w:val="003E78B5"/>
    <w:rsid w:val="003F0088"/>
    <w:rsid w:val="003F0DF9"/>
    <w:rsid w:val="003F10FF"/>
    <w:rsid w:val="003F13F9"/>
    <w:rsid w:val="003F214B"/>
    <w:rsid w:val="003F248D"/>
    <w:rsid w:val="003F24DF"/>
    <w:rsid w:val="003F2829"/>
    <w:rsid w:val="003F2EF0"/>
    <w:rsid w:val="003F3CCB"/>
    <w:rsid w:val="003F4340"/>
    <w:rsid w:val="003F468A"/>
    <w:rsid w:val="003F4816"/>
    <w:rsid w:val="003F52AB"/>
    <w:rsid w:val="003F5A6C"/>
    <w:rsid w:val="003F5D6E"/>
    <w:rsid w:val="003F5D97"/>
    <w:rsid w:val="003F5DCC"/>
    <w:rsid w:val="003F6D76"/>
    <w:rsid w:val="003F74AA"/>
    <w:rsid w:val="004011AE"/>
    <w:rsid w:val="004019DC"/>
    <w:rsid w:val="00401DCE"/>
    <w:rsid w:val="00401E00"/>
    <w:rsid w:val="00401EE5"/>
    <w:rsid w:val="00403246"/>
    <w:rsid w:val="00405264"/>
    <w:rsid w:val="00405466"/>
    <w:rsid w:val="0040573B"/>
    <w:rsid w:val="004058C2"/>
    <w:rsid w:val="0040663B"/>
    <w:rsid w:val="00407449"/>
    <w:rsid w:val="00407652"/>
    <w:rsid w:val="00407989"/>
    <w:rsid w:val="00407BD8"/>
    <w:rsid w:val="00407F1E"/>
    <w:rsid w:val="0041042C"/>
    <w:rsid w:val="00410704"/>
    <w:rsid w:val="004108A2"/>
    <w:rsid w:val="0041100D"/>
    <w:rsid w:val="0041158F"/>
    <w:rsid w:val="00411C51"/>
    <w:rsid w:val="00412370"/>
    <w:rsid w:val="004129EE"/>
    <w:rsid w:val="00414C52"/>
    <w:rsid w:val="0041585A"/>
    <w:rsid w:val="00415BAB"/>
    <w:rsid w:val="00415C6A"/>
    <w:rsid w:val="00415ED2"/>
    <w:rsid w:val="004165DF"/>
    <w:rsid w:val="00417041"/>
    <w:rsid w:val="00417D7B"/>
    <w:rsid w:val="00417F31"/>
    <w:rsid w:val="0042068C"/>
    <w:rsid w:val="004207DF"/>
    <w:rsid w:val="004219A9"/>
    <w:rsid w:val="004222A7"/>
    <w:rsid w:val="00422466"/>
    <w:rsid w:val="004224BE"/>
    <w:rsid w:val="004228CD"/>
    <w:rsid w:val="00422D86"/>
    <w:rsid w:val="004232E6"/>
    <w:rsid w:val="004239AF"/>
    <w:rsid w:val="00423DC0"/>
    <w:rsid w:val="0042441F"/>
    <w:rsid w:val="00424B18"/>
    <w:rsid w:val="00425CE0"/>
    <w:rsid w:val="00425FB3"/>
    <w:rsid w:val="00426186"/>
    <w:rsid w:val="00426340"/>
    <w:rsid w:val="004264BB"/>
    <w:rsid w:val="00426C7D"/>
    <w:rsid w:val="004275EC"/>
    <w:rsid w:val="00427C0B"/>
    <w:rsid w:val="0043033F"/>
    <w:rsid w:val="004306C4"/>
    <w:rsid w:val="00431014"/>
    <w:rsid w:val="00431C56"/>
    <w:rsid w:val="0043347C"/>
    <w:rsid w:val="00433AC9"/>
    <w:rsid w:val="00433F36"/>
    <w:rsid w:val="00434DA7"/>
    <w:rsid w:val="004351C1"/>
    <w:rsid w:val="00436618"/>
    <w:rsid w:val="00436F01"/>
    <w:rsid w:val="00437918"/>
    <w:rsid w:val="00437C60"/>
    <w:rsid w:val="00440C55"/>
    <w:rsid w:val="00441DA4"/>
    <w:rsid w:val="0044208B"/>
    <w:rsid w:val="004421A1"/>
    <w:rsid w:val="0044228D"/>
    <w:rsid w:val="00442860"/>
    <w:rsid w:val="00442E69"/>
    <w:rsid w:val="00442F4C"/>
    <w:rsid w:val="0044318E"/>
    <w:rsid w:val="004434F7"/>
    <w:rsid w:val="00443619"/>
    <w:rsid w:val="00443828"/>
    <w:rsid w:val="00443ADC"/>
    <w:rsid w:val="00443B35"/>
    <w:rsid w:val="00444588"/>
    <w:rsid w:val="00445797"/>
    <w:rsid w:val="00447B18"/>
    <w:rsid w:val="00447E61"/>
    <w:rsid w:val="004500E0"/>
    <w:rsid w:val="004507B1"/>
    <w:rsid w:val="00450EA4"/>
    <w:rsid w:val="00450F92"/>
    <w:rsid w:val="00452705"/>
    <w:rsid w:val="0045383F"/>
    <w:rsid w:val="00453B14"/>
    <w:rsid w:val="0045414E"/>
    <w:rsid w:val="00454E5F"/>
    <w:rsid w:val="00455259"/>
    <w:rsid w:val="00455289"/>
    <w:rsid w:val="00455668"/>
    <w:rsid w:val="00455C30"/>
    <w:rsid w:val="00455E28"/>
    <w:rsid w:val="004564C3"/>
    <w:rsid w:val="00457B11"/>
    <w:rsid w:val="0046060C"/>
    <w:rsid w:val="004606B7"/>
    <w:rsid w:val="00460D2A"/>
    <w:rsid w:val="004614F3"/>
    <w:rsid w:val="0046173C"/>
    <w:rsid w:val="00461930"/>
    <w:rsid w:val="00461949"/>
    <w:rsid w:val="00461BFF"/>
    <w:rsid w:val="00462078"/>
    <w:rsid w:val="0046231C"/>
    <w:rsid w:val="00462AB7"/>
    <w:rsid w:val="00462F7C"/>
    <w:rsid w:val="00463A73"/>
    <w:rsid w:val="00463B90"/>
    <w:rsid w:val="00464524"/>
    <w:rsid w:val="00464CAD"/>
    <w:rsid w:val="00464DB4"/>
    <w:rsid w:val="00464EA2"/>
    <w:rsid w:val="004650A2"/>
    <w:rsid w:val="00465176"/>
    <w:rsid w:val="0046552B"/>
    <w:rsid w:val="00465FBA"/>
    <w:rsid w:val="0046639A"/>
    <w:rsid w:val="00466649"/>
    <w:rsid w:val="00466740"/>
    <w:rsid w:val="00466C5E"/>
    <w:rsid w:val="004706A6"/>
    <w:rsid w:val="004706E5"/>
    <w:rsid w:val="0047122B"/>
    <w:rsid w:val="00471304"/>
    <w:rsid w:val="00471357"/>
    <w:rsid w:val="004721E3"/>
    <w:rsid w:val="0047244E"/>
    <w:rsid w:val="00472B11"/>
    <w:rsid w:val="00472E1D"/>
    <w:rsid w:val="00473038"/>
    <w:rsid w:val="0047304B"/>
    <w:rsid w:val="00473388"/>
    <w:rsid w:val="00473B7A"/>
    <w:rsid w:val="00473BBF"/>
    <w:rsid w:val="00474DC2"/>
    <w:rsid w:val="004750A6"/>
    <w:rsid w:val="00475975"/>
    <w:rsid w:val="00475F38"/>
    <w:rsid w:val="004762CE"/>
    <w:rsid w:val="00480A41"/>
    <w:rsid w:val="00481A27"/>
    <w:rsid w:val="0048280A"/>
    <w:rsid w:val="00482ACA"/>
    <w:rsid w:val="00482E08"/>
    <w:rsid w:val="00482FCF"/>
    <w:rsid w:val="0048358F"/>
    <w:rsid w:val="00483807"/>
    <w:rsid w:val="004842F4"/>
    <w:rsid w:val="00485AD9"/>
    <w:rsid w:val="00485C46"/>
    <w:rsid w:val="00485EA8"/>
    <w:rsid w:val="004861AB"/>
    <w:rsid w:val="00486A76"/>
    <w:rsid w:val="00486D6A"/>
    <w:rsid w:val="00490473"/>
    <w:rsid w:val="004905D8"/>
    <w:rsid w:val="00490639"/>
    <w:rsid w:val="004909A7"/>
    <w:rsid w:val="00490C46"/>
    <w:rsid w:val="0049142D"/>
    <w:rsid w:val="00491BAF"/>
    <w:rsid w:val="00492906"/>
    <w:rsid w:val="00492D55"/>
    <w:rsid w:val="00492EC9"/>
    <w:rsid w:val="00493329"/>
    <w:rsid w:val="00493589"/>
    <w:rsid w:val="00493954"/>
    <w:rsid w:val="004945BF"/>
    <w:rsid w:val="00494BF2"/>
    <w:rsid w:val="004950FE"/>
    <w:rsid w:val="004960E9"/>
    <w:rsid w:val="00496A8C"/>
    <w:rsid w:val="00496F84"/>
    <w:rsid w:val="0049707D"/>
    <w:rsid w:val="004972E5"/>
    <w:rsid w:val="00497670"/>
    <w:rsid w:val="004976AB"/>
    <w:rsid w:val="00497B0C"/>
    <w:rsid w:val="00497F9B"/>
    <w:rsid w:val="004A1A77"/>
    <w:rsid w:val="004A1C10"/>
    <w:rsid w:val="004A209D"/>
    <w:rsid w:val="004A2350"/>
    <w:rsid w:val="004A26A8"/>
    <w:rsid w:val="004A2A57"/>
    <w:rsid w:val="004A2E88"/>
    <w:rsid w:val="004A2F7E"/>
    <w:rsid w:val="004A372F"/>
    <w:rsid w:val="004A3D15"/>
    <w:rsid w:val="004A40CF"/>
    <w:rsid w:val="004A46C3"/>
    <w:rsid w:val="004A4FF1"/>
    <w:rsid w:val="004A5305"/>
    <w:rsid w:val="004A5CAC"/>
    <w:rsid w:val="004A67AD"/>
    <w:rsid w:val="004A73F3"/>
    <w:rsid w:val="004A7445"/>
    <w:rsid w:val="004B06C0"/>
    <w:rsid w:val="004B0D0A"/>
    <w:rsid w:val="004B0D26"/>
    <w:rsid w:val="004B1462"/>
    <w:rsid w:val="004B15DF"/>
    <w:rsid w:val="004B1C18"/>
    <w:rsid w:val="004B2780"/>
    <w:rsid w:val="004B2B9D"/>
    <w:rsid w:val="004B3471"/>
    <w:rsid w:val="004B44BC"/>
    <w:rsid w:val="004B4865"/>
    <w:rsid w:val="004B5BC6"/>
    <w:rsid w:val="004B5F08"/>
    <w:rsid w:val="004B5F5F"/>
    <w:rsid w:val="004B747A"/>
    <w:rsid w:val="004B7742"/>
    <w:rsid w:val="004B7AB9"/>
    <w:rsid w:val="004B7AE9"/>
    <w:rsid w:val="004C0221"/>
    <w:rsid w:val="004C04B4"/>
    <w:rsid w:val="004C0E24"/>
    <w:rsid w:val="004C0F9C"/>
    <w:rsid w:val="004C1AE9"/>
    <w:rsid w:val="004C2565"/>
    <w:rsid w:val="004C304B"/>
    <w:rsid w:val="004C37E4"/>
    <w:rsid w:val="004C3914"/>
    <w:rsid w:val="004C424F"/>
    <w:rsid w:val="004C4550"/>
    <w:rsid w:val="004C460D"/>
    <w:rsid w:val="004C558C"/>
    <w:rsid w:val="004C570A"/>
    <w:rsid w:val="004C5994"/>
    <w:rsid w:val="004C5D62"/>
    <w:rsid w:val="004C621B"/>
    <w:rsid w:val="004C678A"/>
    <w:rsid w:val="004C69AB"/>
    <w:rsid w:val="004C7FF2"/>
    <w:rsid w:val="004D04C5"/>
    <w:rsid w:val="004D0991"/>
    <w:rsid w:val="004D179B"/>
    <w:rsid w:val="004D17ED"/>
    <w:rsid w:val="004D1D01"/>
    <w:rsid w:val="004D2070"/>
    <w:rsid w:val="004D2A39"/>
    <w:rsid w:val="004D39CB"/>
    <w:rsid w:val="004D4AF9"/>
    <w:rsid w:val="004D50C0"/>
    <w:rsid w:val="004D5492"/>
    <w:rsid w:val="004D57BC"/>
    <w:rsid w:val="004D5EAB"/>
    <w:rsid w:val="004D6633"/>
    <w:rsid w:val="004D6A05"/>
    <w:rsid w:val="004D6F61"/>
    <w:rsid w:val="004D7634"/>
    <w:rsid w:val="004D784F"/>
    <w:rsid w:val="004D7DC1"/>
    <w:rsid w:val="004E0F99"/>
    <w:rsid w:val="004E10D7"/>
    <w:rsid w:val="004E12A4"/>
    <w:rsid w:val="004E1747"/>
    <w:rsid w:val="004E198F"/>
    <w:rsid w:val="004E1FFA"/>
    <w:rsid w:val="004E2085"/>
    <w:rsid w:val="004E2131"/>
    <w:rsid w:val="004E2E16"/>
    <w:rsid w:val="004E3255"/>
    <w:rsid w:val="004E3F58"/>
    <w:rsid w:val="004E42A7"/>
    <w:rsid w:val="004E4903"/>
    <w:rsid w:val="004E4DFE"/>
    <w:rsid w:val="004E5B7A"/>
    <w:rsid w:val="004E611A"/>
    <w:rsid w:val="004E63D1"/>
    <w:rsid w:val="004E6649"/>
    <w:rsid w:val="004E6CFC"/>
    <w:rsid w:val="004E76E9"/>
    <w:rsid w:val="004E77B3"/>
    <w:rsid w:val="004E78B0"/>
    <w:rsid w:val="004E7DDC"/>
    <w:rsid w:val="004E7F49"/>
    <w:rsid w:val="004F1623"/>
    <w:rsid w:val="004F1CF7"/>
    <w:rsid w:val="004F3217"/>
    <w:rsid w:val="004F3424"/>
    <w:rsid w:val="004F3A4D"/>
    <w:rsid w:val="004F4FD2"/>
    <w:rsid w:val="004F557E"/>
    <w:rsid w:val="004F65A0"/>
    <w:rsid w:val="00500038"/>
    <w:rsid w:val="005001AD"/>
    <w:rsid w:val="005003EF"/>
    <w:rsid w:val="00501448"/>
    <w:rsid w:val="00501843"/>
    <w:rsid w:val="00501F24"/>
    <w:rsid w:val="00502A20"/>
    <w:rsid w:val="00502B6E"/>
    <w:rsid w:val="00503D30"/>
    <w:rsid w:val="00503E22"/>
    <w:rsid w:val="00504C02"/>
    <w:rsid w:val="00506335"/>
    <w:rsid w:val="00506380"/>
    <w:rsid w:val="00506F04"/>
    <w:rsid w:val="005070D2"/>
    <w:rsid w:val="0050763F"/>
    <w:rsid w:val="0051016E"/>
    <w:rsid w:val="005118A1"/>
    <w:rsid w:val="00511BF3"/>
    <w:rsid w:val="00514620"/>
    <w:rsid w:val="0051488C"/>
    <w:rsid w:val="00514C8C"/>
    <w:rsid w:val="0051570F"/>
    <w:rsid w:val="005168BF"/>
    <w:rsid w:val="005175B6"/>
    <w:rsid w:val="00517A1C"/>
    <w:rsid w:val="00517BBF"/>
    <w:rsid w:val="00520431"/>
    <w:rsid w:val="005206E3"/>
    <w:rsid w:val="00521739"/>
    <w:rsid w:val="00521A4E"/>
    <w:rsid w:val="00521D7E"/>
    <w:rsid w:val="005220D8"/>
    <w:rsid w:val="005228EE"/>
    <w:rsid w:val="00522E2E"/>
    <w:rsid w:val="0052323C"/>
    <w:rsid w:val="00523559"/>
    <w:rsid w:val="00524731"/>
    <w:rsid w:val="00524824"/>
    <w:rsid w:val="00524BF8"/>
    <w:rsid w:val="00525340"/>
    <w:rsid w:val="00525E8D"/>
    <w:rsid w:val="0052690C"/>
    <w:rsid w:val="00526AE5"/>
    <w:rsid w:val="00526C88"/>
    <w:rsid w:val="0052779D"/>
    <w:rsid w:val="0053006E"/>
    <w:rsid w:val="005300D3"/>
    <w:rsid w:val="00530875"/>
    <w:rsid w:val="00530D22"/>
    <w:rsid w:val="005331DF"/>
    <w:rsid w:val="00533488"/>
    <w:rsid w:val="005334BE"/>
    <w:rsid w:val="00533528"/>
    <w:rsid w:val="00533603"/>
    <w:rsid w:val="00534402"/>
    <w:rsid w:val="005347DB"/>
    <w:rsid w:val="00534CE8"/>
    <w:rsid w:val="00535F7A"/>
    <w:rsid w:val="00536B97"/>
    <w:rsid w:val="00537381"/>
    <w:rsid w:val="005402BE"/>
    <w:rsid w:val="0054063F"/>
    <w:rsid w:val="005407AC"/>
    <w:rsid w:val="00540A5F"/>
    <w:rsid w:val="00540B9A"/>
    <w:rsid w:val="00541E5B"/>
    <w:rsid w:val="005421B6"/>
    <w:rsid w:val="00542464"/>
    <w:rsid w:val="00542821"/>
    <w:rsid w:val="005431FF"/>
    <w:rsid w:val="00543761"/>
    <w:rsid w:val="00543B97"/>
    <w:rsid w:val="005443C6"/>
    <w:rsid w:val="00544BA0"/>
    <w:rsid w:val="00544F82"/>
    <w:rsid w:val="0054520C"/>
    <w:rsid w:val="00545E52"/>
    <w:rsid w:val="005461BF"/>
    <w:rsid w:val="005462B1"/>
    <w:rsid w:val="00546591"/>
    <w:rsid w:val="00546F21"/>
    <w:rsid w:val="00547080"/>
    <w:rsid w:val="00547BCF"/>
    <w:rsid w:val="00547E7A"/>
    <w:rsid w:val="005507A3"/>
    <w:rsid w:val="005509D2"/>
    <w:rsid w:val="00550F90"/>
    <w:rsid w:val="005519A7"/>
    <w:rsid w:val="00551A1E"/>
    <w:rsid w:val="0055206E"/>
    <w:rsid w:val="0055247C"/>
    <w:rsid w:val="0055254B"/>
    <w:rsid w:val="00552EB3"/>
    <w:rsid w:val="00553340"/>
    <w:rsid w:val="00554B43"/>
    <w:rsid w:val="00554CCC"/>
    <w:rsid w:val="00554FEC"/>
    <w:rsid w:val="00555713"/>
    <w:rsid w:val="00555932"/>
    <w:rsid w:val="00555A2C"/>
    <w:rsid w:val="00555D94"/>
    <w:rsid w:val="005562EC"/>
    <w:rsid w:val="0055640A"/>
    <w:rsid w:val="00556D66"/>
    <w:rsid w:val="005577EB"/>
    <w:rsid w:val="0056004E"/>
    <w:rsid w:val="00560245"/>
    <w:rsid w:val="005605C9"/>
    <w:rsid w:val="0056135A"/>
    <w:rsid w:val="005622C9"/>
    <w:rsid w:val="00562740"/>
    <w:rsid w:val="00562B49"/>
    <w:rsid w:val="00563198"/>
    <w:rsid w:val="00563BCD"/>
    <w:rsid w:val="00563DA3"/>
    <w:rsid w:val="00564E04"/>
    <w:rsid w:val="0056519A"/>
    <w:rsid w:val="0056533B"/>
    <w:rsid w:val="005658B4"/>
    <w:rsid w:val="00565E02"/>
    <w:rsid w:val="00566499"/>
    <w:rsid w:val="00567325"/>
    <w:rsid w:val="00567BFB"/>
    <w:rsid w:val="0057076D"/>
    <w:rsid w:val="00571108"/>
    <w:rsid w:val="0057187A"/>
    <w:rsid w:val="00571DFD"/>
    <w:rsid w:val="005722E9"/>
    <w:rsid w:val="00572790"/>
    <w:rsid w:val="005729F4"/>
    <w:rsid w:val="0057320F"/>
    <w:rsid w:val="005734BF"/>
    <w:rsid w:val="0057361F"/>
    <w:rsid w:val="00573690"/>
    <w:rsid w:val="00573930"/>
    <w:rsid w:val="00573B8E"/>
    <w:rsid w:val="00573D5E"/>
    <w:rsid w:val="00573E48"/>
    <w:rsid w:val="00573FFF"/>
    <w:rsid w:val="005744BC"/>
    <w:rsid w:val="00574D5C"/>
    <w:rsid w:val="00574EB9"/>
    <w:rsid w:val="00575D57"/>
    <w:rsid w:val="0057636B"/>
    <w:rsid w:val="00577264"/>
    <w:rsid w:val="00580376"/>
    <w:rsid w:val="005808AB"/>
    <w:rsid w:val="00580DEC"/>
    <w:rsid w:val="00580F98"/>
    <w:rsid w:val="00582E01"/>
    <w:rsid w:val="00583A07"/>
    <w:rsid w:val="00584062"/>
    <w:rsid w:val="00584918"/>
    <w:rsid w:val="00587121"/>
    <w:rsid w:val="0058759F"/>
    <w:rsid w:val="005878B5"/>
    <w:rsid w:val="005879D5"/>
    <w:rsid w:val="0059031D"/>
    <w:rsid w:val="005908FE"/>
    <w:rsid w:val="005910C6"/>
    <w:rsid w:val="005911EC"/>
    <w:rsid w:val="00591336"/>
    <w:rsid w:val="005916C9"/>
    <w:rsid w:val="005917A0"/>
    <w:rsid w:val="00591912"/>
    <w:rsid w:val="00591A42"/>
    <w:rsid w:val="005929C0"/>
    <w:rsid w:val="00593076"/>
    <w:rsid w:val="00593C4F"/>
    <w:rsid w:val="00593E35"/>
    <w:rsid w:val="00593EB2"/>
    <w:rsid w:val="005946A8"/>
    <w:rsid w:val="00594DF0"/>
    <w:rsid w:val="00595B60"/>
    <w:rsid w:val="00595D25"/>
    <w:rsid w:val="00595DBE"/>
    <w:rsid w:val="00596461"/>
    <w:rsid w:val="0059670F"/>
    <w:rsid w:val="00596943"/>
    <w:rsid w:val="005971AA"/>
    <w:rsid w:val="00597458"/>
    <w:rsid w:val="00597493"/>
    <w:rsid w:val="005A056A"/>
    <w:rsid w:val="005A19A0"/>
    <w:rsid w:val="005A1B1D"/>
    <w:rsid w:val="005A1FD8"/>
    <w:rsid w:val="005A200A"/>
    <w:rsid w:val="005A27FF"/>
    <w:rsid w:val="005A2E42"/>
    <w:rsid w:val="005A3303"/>
    <w:rsid w:val="005A3E6D"/>
    <w:rsid w:val="005A4407"/>
    <w:rsid w:val="005A4B35"/>
    <w:rsid w:val="005A4BD6"/>
    <w:rsid w:val="005A5611"/>
    <w:rsid w:val="005A59EF"/>
    <w:rsid w:val="005A5B48"/>
    <w:rsid w:val="005A5BFB"/>
    <w:rsid w:val="005A6474"/>
    <w:rsid w:val="005A729B"/>
    <w:rsid w:val="005A7CAD"/>
    <w:rsid w:val="005A7DD3"/>
    <w:rsid w:val="005B07F1"/>
    <w:rsid w:val="005B10B1"/>
    <w:rsid w:val="005B1231"/>
    <w:rsid w:val="005B1C7E"/>
    <w:rsid w:val="005B26E1"/>
    <w:rsid w:val="005B4088"/>
    <w:rsid w:val="005B45D9"/>
    <w:rsid w:val="005B51CC"/>
    <w:rsid w:val="005B573C"/>
    <w:rsid w:val="005B57A0"/>
    <w:rsid w:val="005B6926"/>
    <w:rsid w:val="005B6A99"/>
    <w:rsid w:val="005B75DB"/>
    <w:rsid w:val="005C0016"/>
    <w:rsid w:val="005C095E"/>
    <w:rsid w:val="005C1895"/>
    <w:rsid w:val="005C1FD3"/>
    <w:rsid w:val="005C284B"/>
    <w:rsid w:val="005C2A21"/>
    <w:rsid w:val="005C3EE9"/>
    <w:rsid w:val="005C416C"/>
    <w:rsid w:val="005C4524"/>
    <w:rsid w:val="005C4550"/>
    <w:rsid w:val="005C5388"/>
    <w:rsid w:val="005C58D8"/>
    <w:rsid w:val="005C5B8D"/>
    <w:rsid w:val="005C5DDA"/>
    <w:rsid w:val="005C68B1"/>
    <w:rsid w:val="005C6976"/>
    <w:rsid w:val="005C7680"/>
    <w:rsid w:val="005C79AB"/>
    <w:rsid w:val="005D0606"/>
    <w:rsid w:val="005D08CF"/>
    <w:rsid w:val="005D0A52"/>
    <w:rsid w:val="005D34C8"/>
    <w:rsid w:val="005D4EEB"/>
    <w:rsid w:val="005D521C"/>
    <w:rsid w:val="005D540D"/>
    <w:rsid w:val="005D682B"/>
    <w:rsid w:val="005D6E1B"/>
    <w:rsid w:val="005D6F51"/>
    <w:rsid w:val="005D7AF1"/>
    <w:rsid w:val="005D7DC1"/>
    <w:rsid w:val="005E0CC2"/>
    <w:rsid w:val="005E117C"/>
    <w:rsid w:val="005E1CEB"/>
    <w:rsid w:val="005E2C8D"/>
    <w:rsid w:val="005E2F54"/>
    <w:rsid w:val="005E3186"/>
    <w:rsid w:val="005E31F1"/>
    <w:rsid w:val="005E357B"/>
    <w:rsid w:val="005E402A"/>
    <w:rsid w:val="005E5354"/>
    <w:rsid w:val="005E5A3B"/>
    <w:rsid w:val="005E6E31"/>
    <w:rsid w:val="005E7934"/>
    <w:rsid w:val="005F0F06"/>
    <w:rsid w:val="005F1087"/>
    <w:rsid w:val="005F16B0"/>
    <w:rsid w:val="005F18AD"/>
    <w:rsid w:val="005F19E8"/>
    <w:rsid w:val="005F1A84"/>
    <w:rsid w:val="005F1A8B"/>
    <w:rsid w:val="005F1BA7"/>
    <w:rsid w:val="005F2266"/>
    <w:rsid w:val="005F30E2"/>
    <w:rsid w:val="005F3414"/>
    <w:rsid w:val="005F344C"/>
    <w:rsid w:val="005F3AA4"/>
    <w:rsid w:val="005F3C82"/>
    <w:rsid w:val="005F46C2"/>
    <w:rsid w:val="005F4B35"/>
    <w:rsid w:val="005F4DDE"/>
    <w:rsid w:val="005F518A"/>
    <w:rsid w:val="005F60BD"/>
    <w:rsid w:val="005F6855"/>
    <w:rsid w:val="005F6F41"/>
    <w:rsid w:val="006005B6"/>
    <w:rsid w:val="00600949"/>
    <w:rsid w:val="00601D03"/>
    <w:rsid w:val="00601FAA"/>
    <w:rsid w:val="00603539"/>
    <w:rsid w:val="00603C90"/>
    <w:rsid w:val="00604452"/>
    <w:rsid w:val="00604BC4"/>
    <w:rsid w:val="00604C10"/>
    <w:rsid w:val="0060555B"/>
    <w:rsid w:val="00605722"/>
    <w:rsid w:val="00605E4D"/>
    <w:rsid w:val="00607A12"/>
    <w:rsid w:val="00611295"/>
    <w:rsid w:val="0061213D"/>
    <w:rsid w:val="00613841"/>
    <w:rsid w:val="00613CC4"/>
    <w:rsid w:val="00613D8B"/>
    <w:rsid w:val="006140E4"/>
    <w:rsid w:val="00614356"/>
    <w:rsid w:val="006147F3"/>
    <w:rsid w:val="00614B9B"/>
    <w:rsid w:val="00616D9F"/>
    <w:rsid w:val="00616E5B"/>
    <w:rsid w:val="00617031"/>
    <w:rsid w:val="006171A2"/>
    <w:rsid w:val="006172EA"/>
    <w:rsid w:val="0061758A"/>
    <w:rsid w:val="006178BD"/>
    <w:rsid w:val="0062037A"/>
    <w:rsid w:val="00620498"/>
    <w:rsid w:val="00620775"/>
    <w:rsid w:val="00620FBC"/>
    <w:rsid w:val="00621968"/>
    <w:rsid w:val="006219B6"/>
    <w:rsid w:val="0062238F"/>
    <w:rsid w:val="006224B9"/>
    <w:rsid w:val="0062370D"/>
    <w:rsid w:val="00624FEE"/>
    <w:rsid w:val="006258C5"/>
    <w:rsid w:val="00625C18"/>
    <w:rsid w:val="00625DC6"/>
    <w:rsid w:val="00625F80"/>
    <w:rsid w:val="006262E1"/>
    <w:rsid w:val="00626A26"/>
    <w:rsid w:val="00627CBB"/>
    <w:rsid w:val="006304DF"/>
    <w:rsid w:val="006317E0"/>
    <w:rsid w:val="006325C5"/>
    <w:rsid w:val="00632C56"/>
    <w:rsid w:val="00632E98"/>
    <w:rsid w:val="00633745"/>
    <w:rsid w:val="00634754"/>
    <w:rsid w:val="006347B5"/>
    <w:rsid w:val="0063506E"/>
    <w:rsid w:val="0063558B"/>
    <w:rsid w:val="00635A35"/>
    <w:rsid w:val="0063658B"/>
    <w:rsid w:val="00636686"/>
    <w:rsid w:val="006366EE"/>
    <w:rsid w:val="0063694F"/>
    <w:rsid w:val="00637A07"/>
    <w:rsid w:val="00637A3F"/>
    <w:rsid w:val="00637AA2"/>
    <w:rsid w:val="006402F0"/>
    <w:rsid w:val="0064046C"/>
    <w:rsid w:val="00640802"/>
    <w:rsid w:val="006409BD"/>
    <w:rsid w:val="00640DA9"/>
    <w:rsid w:val="00642491"/>
    <w:rsid w:val="00643376"/>
    <w:rsid w:val="006433AE"/>
    <w:rsid w:val="0064391D"/>
    <w:rsid w:val="006443CE"/>
    <w:rsid w:val="006451E3"/>
    <w:rsid w:val="006453D1"/>
    <w:rsid w:val="006456F9"/>
    <w:rsid w:val="00645C1D"/>
    <w:rsid w:val="00645C6E"/>
    <w:rsid w:val="0064641F"/>
    <w:rsid w:val="00646678"/>
    <w:rsid w:val="006476F1"/>
    <w:rsid w:val="00650CE3"/>
    <w:rsid w:val="00651821"/>
    <w:rsid w:val="00652391"/>
    <w:rsid w:val="00652988"/>
    <w:rsid w:val="006529F2"/>
    <w:rsid w:val="00652B4C"/>
    <w:rsid w:val="006538FB"/>
    <w:rsid w:val="00653BF0"/>
    <w:rsid w:val="00654384"/>
    <w:rsid w:val="00654B01"/>
    <w:rsid w:val="00654B22"/>
    <w:rsid w:val="0065562B"/>
    <w:rsid w:val="00656883"/>
    <w:rsid w:val="00657771"/>
    <w:rsid w:val="00657824"/>
    <w:rsid w:val="00660569"/>
    <w:rsid w:val="00661ACD"/>
    <w:rsid w:val="00662EC0"/>
    <w:rsid w:val="0066311A"/>
    <w:rsid w:val="006651B4"/>
    <w:rsid w:val="0066579B"/>
    <w:rsid w:val="00666233"/>
    <w:rsid w:val="00666416"/>
    <w:rsid w:val="00666B06"/>
    <w:rsid w:val="00666F71"/>
    <w:rsid w:val="00666F8C"/>
    <w:rsid w:val="006675CD"/>
    <w:rsid w:val="00667B72"/>
    <w:rsid w:val="0067013D"/>
    <w:rsid w:val="006701D5"/>
    <w:rsid w:val="00670401"/>
    <w:rsid w:val="006708E8"/>
    <w:rsid w:val="00670B37"/>
    <w:rsid w:val="00670C55"/>
    <w:rsid w:val="00670C8D"/>
    <w:rsid w:val="00670D53"/>
    <w:rsid w:val="00670F25"/>
    <w:rsid w:val="006712CA"/>
    <w:rsid w:val="0067264B"/>
    <w:rsid w:val="00672D6A"/>
    <w:rsid w:val="0067470F"/>
    <w:rsid w:val="00674939"/>
    <w:rsid w:val="00674D22"/>
    <w:rsid w:val="00675938"/>
    <w:rsid w:val="00675FBE"/>
    <w:rsid w:val="00676C0B"/>
    <w:rsid w:val="00677E32"/>
    <w:rsid w:val="0068032F"/>
    <w:rsid w:val="00681370"/>
    <w:rsid w:val="00681603"/>
    <w:rsid w:val="00681973"/>
    <w:rsid w:val="00681B4A"/>
    <w:rsid w:val="00681E8A"/>
    <w:rsid w:val="00682175"/>
    <w:rsid w:val="00683629"/>
    <w:rsid w:val="00684347"/>
    <w:rsid w:val="00684D9B"/>
    <w:rsid w:val="00684EEE"/>
    <w:rsid w:val="00687734"/>
    <w:rsid w:val="00687797"/>
    <w:rsid w:val="00687D1B"/>
    <w:rsid w:val="00687EDB"/>
    <w:rsid w:val="0069073A"/>
    <w:rsid w:val="00690C47"/>
    <w:rsid w:val="0069195C"/>
    <w:rsid w:val="006919D9"/>
    <w:rsid w:val="00692E0B"/>
    <w:rsid w:val="00692FF0"/>
    <w:rsid w:val="006936E5"/>
    <w:rsid w:val="0069414C"/>
    <w:rsid w:val="00694154"/>
    <w:rsid w:val="00694A96"/>
    <w:rsid w:val="0069558D"/>
    <w:rsid w:val="0069565C"/>
    <w:rsid w:val="00697252"/>
    <w:rsid w:val="006974FB"/>
    <w:rsid w:val="00697556"/>
    <w:rsid w:val="00697B96"/>
    <w:rsid w:val="006A14A5"/>
    <w:rsid w:val="006A15CB"/>
    <w:rsid w:val="006A2995"/>
    <w:rsid w:val="006A31ED"/>
    <w:rsid w:val="006A3D1A"/>
    <w:rsid w:val="006A552B"/>
    <w:rsid w:val="006A576F"/>
    <w:rsid w:val="006A597A"/>
    <w:rsid w:val="006A5EDE"/>
    <w:rsid w:val="006A7C84"/>
    <w:rsid w:val="006B00BA"/>
    <w:rsid w:val="006B0313"/>
    <w:rsid w:val="006B03FE"/>
    <w:rsid w:val="006B0B1A"/>
    <w:rsid w:val="006B0FC9"/>
    <w:rsid w:val="006B1CF3"/>
    <w:rsid w:val="006B221B"/>
    <w:rsid w:val="006B4647"/>
    <w:rsid w:val="006B4A88"/>
    <w:rsid w:val="006B4C2B"/>
    <w:rsid w:val="006B539D"/>
    <w:rsid w:val="006B550B"/>
    <w:rsid w:val="006B5E80"/>
    <w:rsid w:val="006B6194"/>
    <w:rsid w:val="006B6D47"/>
    <w:rsid w:val="006C0641"/>
    <w:rsid w:val="006C09D3"/>
    <w:rsid w:val="006C1346"/>
    <w:rsid w:val="006C1D6A"/>
    <w:rsid w:val="006C5473"/>
    <w:rsid w:val="006C57A1"/>
    <w:rsid w:val="006C597E"/>
    <w:rsid w:val="006C59BA"/>
    <w:rsid w:val="006C5AFE"/>
    <w:rsid w:val="006C6564"/>
    <w:rsid w:val="006C6988"/>
    <w:rsid w:val="006C72A6"/>
    <w:rsid w:val="006C74B1"/>
    <w:rsid w:val="006D047A"/>
    <w:rsid w:val="006D0604"/>
    <w:rsid w:val="006D067E"/>
    <w:rsid w:val="006D0ACA"/>
    <w:rsid w:val="006D0EB2"/>
    <w:rsid w:val="006D1125"/>
    <w:rsid w:val="006D1138"/>
    <w:rsid w:val="006D1524"/>
    <w:rsid w:val="006D15EB"/>
    <w:rsid w:val="006D1BE9"/>
    <w:rsid w:val="006D2417"/>
    <w:rsid w:val="006D2F02"/>
    <w:rsid w:val="006D3042"/>
    <w:rsid w:val="006D37A9"/>
    <w:rsid w:val="006D3CA0"/>
    <w:rsid w:val="006D54F5"/>
    <w:rsid w:val="006D66A1"/>
    <w:rsid w:val="006D6AB6"/>
    <w:rsid w:val="006D6B9F"/>
    <w:rsid w:val="006D773E"/>
    <w:rsid w:val="006D7D89"/>
    <w:rsid w:val="006E09CA"/>
    <w:rsid w:val="006E0EA8"/>
    <w:rsid w:val="006E210A"/>
    <w:rsid w:val="006E2951"/>
    <w:rsid w:val="006E3A5B"/>
    <w:rsid w:val="006E3C2E"/>
    <w:rsid w:val="006E3C3E"/>
    <w:rsid w:val="006E403F"/>
    <w:rsid w:val="006E4463"/>
    <w:rsid w:val="006E45F7"/>
    <w:rsid w:val="006E50BB"/>
    <w:rsid w:val="006E5174"/>
    <w:rsid w:val="006E5EB9"/>
    <w:rsid w:val="006E657F"/>
    <w:rsid w:val="006E792E"/>
    <w:rsid w:val="006E7EC4"/>
    <w:rsid w:val="006E7F1D"/>
    <w:rsid w:val="006F0FE7"/>
    <w:rsid w:val="006F144B"/>
    <w:rsid w:val="006F15F6"/>
    <w:rsid w:val="006F168B"/>
    <w:rsid w:val="006F19C0"/>
    <w:rsid w:val="006F1C13"/>
    <w:rsid w:val="006F2AE7"/>
    <w:rsid w:val="006F39F3"/>
    <w:rsid w:val="006F45CD"/>
    <w:rsid w:val="006F4930"/>
    <w:rsid w:val="006F4D33"/>
    <w:rsid w:val="006F5EDC"/>
    <w:rsid w:val="006F6204"/>
    <w:rsid w:val="006F6D95"/>
    <w:rsid w:val="006F75E8"/>
    <w:rsid w:val="006F7DCF"/>
    <w:rsid w:val="007001CE"/>
    <w:rsid w:val="00701556"/>
    <w:rsid w:val="0070233F"/>
    <w:rsid w:val="007028FF"/>
    <w:rsid w:val="00702A20"/>
    <w:rsid w:val="0070472C"/>
    <w:rsid w:val="007054F4"/>
    <w:rsid w:val="00706F13"/>
    <w:rsid w:val="007072A3"/>
    <w:rsid w:val="007072E8"/>
    <w:rsid w:val="00707909"/>
    <w:rsid w:val="00707C5D"/>
    <w:rsid w:val="007106FF"/>
    <w:rsid w:val="007107C8"/>
    <w:rsid w:val="00710A3E"/>
    <w:rsid w:val="00711C0B"/>
    <w:rsid w:val="00713589"/>
    <w:rsid w:val="0071425D"/>
    <w:rsid w:val="007142AE"/>
    <w:rsid w:val="00714B0D"/>
    <w:rsid w:val="00714C78"/>
    <w:rsid w:val="007155AF"/>
    <w:rsid w:val="00715770"/>
    <w:rsid w:val="0071596B"/>
    <w:rsid w:val="00715994"/>
    <w:rsid w:val="00715D46"/>
    <w:rsid w:val="0071618D"/>
    <w:rsid w:val="0071731A"/>
    <w:rsid w:val="00717992"/>
    <w:rsid w:val="007200C7"/>
    <w:rsid w:val="0072028D"/>
    <w:rsid w:val="007202AB"/>
    <w:rsid w:val="00721CD5"/>
    <w:rsid w:val="00721D1B"/>
    <w:rsid w:val="00722035"/>
    <w:rsid w:val="00724B28"/>
    <w:rsid w:val="00724E59"/>
    <w:rsid w:val="00724F48"/>
    <w:rsid w:val="007254DD"/>
    <w:rsid w:val="007256F0"/>
    <w:rsid w:val="0072587D"/>
    <w:rsid w:val="007258DE"/>
    <w:rsid w:val="00725E7A"/>
    <w:rsid w:val="00725FA4"/>
    <w:rsid w:val="0072663B"/>
    <w:rsid w:val="00726944"/>
    <w:rsid w:val="007277B9"/>
    <w:rsid w:val="0072782B"/>
    <w:rsid w:val="00727D85"/>
    <w:rsid w:val="00730567"/>
    <w:rsid w:val="0073078D"/>
    <w:rsid w:val="00732476"/>
    <w:rsid w:val="0073351D"/>
    <w:rsid w:val="00733627"/>
    <w:rsid w:val="0073381D"/>
    <w:rsid w:val="007341F0"/>
    <w:rsid w:val="00734CDA"/>
    <w:rsid w:val="007354FD"/>
    <w:rsid w:val="007363D7"/>
    <w:rsid w:val="00736E61"/>
    <w:rsid w:val="00737178"/>
    <w:rsid w:val="0073770C"/>
    <w:rsid w:val="0073794E"/>
    <w:rsid w:val="00740446"/>
    <w:rsid w:val="00740D6C"/>
    <w:rsid w:val="00741336"/>
    <w:rsid w:val="0074175F"/>
    <w:rsid w:val="00741BCA"/>
    <w:rsid w:val="00741F51"/>
    <w:rsid w:val="00742148"/>
    <w:rsid w:val="00743124"/>
    <w:rsid w:val="00743283"/>
    <w:rsid w:val="007438A9"/>
    <w:rsid w:val="00743F0B"/>
    <w:rsid w:val="0074491E"/>
    <w:rsid w:val="00744BB5"/>
    <w:rsid w:val="00744F56"/>
    <w:rsid w:val="00745F56"/>
    <w:rsid w:val="00746977"/>
    <w:rsid w:val="007469A1"/>
    <w:rsid w:val="00746FEA"/>
    <w:rsid w:val="00747C0B"/>
    <w:rsid w:val="00747FC1"/>
    <w:rsid w:val="007503A0"/>
    <w:rsid w:val="00751B90"/>
    <w:rsid w:val="00751FC5"/>
    <w:rsid w:val="0075321E"/>
    <w:rsid w:val="0075383A"/>
    <w:rsid w:val="00753E64"/>
    <w:rsid w:val="0075406D"/>
    <w:rsid w:val="00754083"/>
    <w:rsid w:val="00754D20"/>
    <w:rsid w:val="00755A00"/>
    <w:rsid w:val="00756BA1"/>
    <w:rsid w:val="00756CB6"/>
    <w:rsid w:val="007571E7"/>
    <w:rsid w:val="0076034A"/>
    <w:rsid w:val="0076088B"/>
    <w:rsid w:val="007609BA"/>
    <w:rsid w:val="00761913"/>
    <w:rsid w:val="00761E02"/>
    <w:rsid w:val="00761E79"/>
    <w:rsid w:val="0076247A"/>
    <w:rsid w:val="00762555"/>
    <w:rsid w:val="007628A5"/>
    <w:rsid w:val="00762941"/>
    <w:rsid w:val="007638C8"/>
    <w:rsid w:val="007643D5"/>
    <w:rsid w:val="00765261"/>
    <w:rsid w:val="00765A78"/>
    <w:rsid w:val="0076634E"/>
    <w:rsid w:val="00770965"/>
    <w:rsid w:val="007717A1"/>
    <w:rsid w:val="00771919"/>
    <w:rsid w:val="00771DB0"/>
    <w:rsid w:val="0077204D"/>
    <w:rsid w:val="007720CC"/>
    <w:rsid w:val="00772B9A"/>
    <w:rsid w:val="00772EA9"/>
    <w:rsid w:val="00772ED9"/>
    <w:rsid w:val="00773167"/>
    <w:rsid w:val="00773B71"/>
    <w:rsid w:val="00774552"/>
    <w:rsid w:val="007753C9"/>
    <w:rsid w:val="00775505"/>
    <w:rsid w:val="0077554F"/>
    <w:rsid w:val="0077559E"/>
    <w:rsid w:val="00775964"/>
    <w:rsid w:val="007765FE"/>
    <w:rsid w:val="0077673A"/>
    <w:rsid w:val="00776A65"/>
    <w:rsid w:val="007770A3"/>
    <w:rsid w:val="00777738"/>
    <w:rsid w:val="00777842"/>
    <w:rsid w:val="00777F93"/>
    <w:rsid w:val="00781CD4"/>
    <w:rsid w:val="00782B03"/>
    <w:rsid w:val="00782F97"/>
    <w:rsid w:val="0078377A"/>
    <w:rsid w:val="00783D05"/>
    <w:rsid w:val="007843AE"/>
    <w:rsid w:val="00784B9D"/>
    <w:rsid w:val="00784F43"/>
    <w:rsid w:val="00785147"/>
    <w:rsid w:val="00785932"/>
    <w:rsid w:val="00785998"/>
    <w:rsid w:val="00786622"/>
    <w:rsid w:val="0078681C"/>
    <w:rsid w:val="007872BC"/>
    <w:rsid w:val="007874EA"/>
    <w:rsid w:val="0079009A"/>
    <w:rsid w:val="007922E2"/>
    <w:rsid w:val="0079240A"/>
    <w:rsid w:val="0079266B"/>
    <w:rsid w:val="00792B0E"/>
    <w:rsid w:val="0079376E"/>
    <w:rsid w:val="007937AD"/>
    <w:rsid w:val="00794B12"/>
    <w:rsid w:val="00794C69"/>
    <w:rsid w:val="00794E2E"/>
    <w:rsid w:val="00794F93"/>
    <w:rsid w:val="00795017"/>
    <w:rsid w:val="0079504E"/>
    <w:rsid w:val="007955D7"/>
    <w:rsid w:val="0079591B"/>
    <w:rsid w:val="00795BFB"/>
    <w:rsid w:val="00795E23"/>
    <w:rsid w:val="00795FC0"/>
    <w:rsid w:val="0079666C"/>
    <w:rsid w:val="0079743F"/>
    <w:rsid w:val="007A07B2"/>
    <w:rsid w:val="007A1ACB"/>
    <w:rsid w:val="007A4115"/>
    <w:rsid w:val="007A45BF"/>
    <w:rsid w:val="007A4BAE"/>
    <w:rsid w:val="007A7FD2"/>
    <w:rsid w:val="007B00CA"/>
    <w:rsid w:val="007B0377"/>
    <w:rsid w:val="007B03B7"/>
    <w:rsid w:val="007B131B"/>
    <w:rsid w:val="007B14E8"/>
    <w:rsid w:val="007B2231"/>
    <w:rsid w:val="007B2760"/>
    <w:rsid w:val="007B2CBB"/>
    <w:rsid w:val="007B2D39"/>
    <w:rsid w:val="007B4843"/>
    <w:rsid w:val="007B4E83"/>
    <w:rsid w:val="007B59C9"/>
    <w:rsid w:val="007B6026"/>
    <w:rsid w:val="007B6717"/>
    <w:rsid w:val="007B6BF9"/>
    <w:rsid w:val="007B6FE6"/>
    <w:rsid w:val="007B7246"/>
    <w:rsid w:val="007C088A"/>
    <w:rsid w:val="007C1879"/>
    <w:rsid w:val="007C277D"/>
    <w:rsid w:val="007C2C87"/>
    <w:rsid w:val="007C3393"/>
    <w:rsid w:val="007C3AC7"/>
    <w:rsid w:val="007C3C4F"/>
    <w:rsid w:val="007C5DE6"/>
    <w:rsid w:val="007C6236"/>
    <w:rsid w:val="007C6409"/>
    <w:rsid w:val="007C7D40"/>
    <w:rsid w:val="007D02D0"/>
    <w:rsid w:val="007D04E4"/>
    <w:rsid w:val="007D065A"/>
    <w:rsid w:val="007D10B1"/>
    <w:rsid w:val="007D230E"/>
    <w:rsid w:val="007D2356"/>
    <w:rsid w:val="007D2A19"/>
    <w:rsid w:val="007D3700"/>
    <w:rsid w:val="007D4B82"/>
    <w:rsid w:val="007D4C4B"/>
    <w:rsid w:val="007D4DF4"/>
    <w:rsid w:val="007D5015"/>
    <w:rsid w:val="007D5368"/>
    <w:rsid w:val="007D5750"/>
    <w:rsid w:val="007D5CF5"/>
    <w:rsid w:val="007D7CCD"/>
    <w:rsid w:val="007E063B"/>
    <w:rsid w:val="007E0DCC"/>
    <w:rsid w:val="007E1843"/>
    <w:rsid w:val="007E1979"/>
    <w:rsid w:val="007E1CB4"/>
    <w:rsid w:val="007E209B"/>
    <w:rsid w:val="007E21BF"/>
    <w:rsid w:val="007E2656"/>
    <w:rsid w:val="007E29D9"/>
    <w:rsid w:val="007E2D7F"/>
    <w:rsid w:val="007E3CA7"/>
    <w:rsid w:val="007E412B"/>
    <w:rsid w:val="007E48A8"/>
    <w:rsid w:val="007E4CE0"/>
    <w:rsid w:val="007E5FAC"/>
    <w:rsid w:val="007E624E"/>
    <w:rsid w:val="007E6327"/>
    <w:rsid w:val="007E6884"/>
    <w:rsid w:val="007E6A60"/>
    <w:rsid w:val="007E6B05"/>
    <w:rsid w:val="007E7400"/>
    <w:rsid w:val="007E797F"/>
    <w:rsid w:val="007E7CE9"/>
    <w:rsid w:val="007F03CA"/>
    <w:rsid w:val="007F1A29"/>
    <w:rsid w:val="007F1AEE"/>
    <w:rsid w:val="007F256A"/>
    <w:rsid w:val="007F2C10"/>
    <w:rsid w:val="007F2CF2"/>
    <w:rsid w:val="007F3463"/>
    <w:rsid w:val="007F41D6"/>
    <w:rsid w:val="007F4EBD"/>
    <w:rsid w:val="007F5318"/>
    <w:rsid w:val="007F5544"/>
    <w:rsid w:val="007F6992"/>
    <w:rsid w:val="007F6EB9"/>
    <w:rsid w:val="007F71CF"/>
    <w:rsid w:val="007F739D"/>
    <w:rsid w:val="007F7A2F"/>
    <w:rsid w:val="007F7DAC"/>
    <w:rsid w:val="0080004F"/>
    <w:rsid w:val="00800404"/>
    <w:rsid w:val="0080213C"/>
    <w:rsid w:val="008023CD"/>
    <w:rsid w:val="0080301D"/>
    <w:rsid w:val="0080423C"/>
    <w:rsid w:val="008048C5"/>
    <w:rsid w:val="00804DB5"/>
    <w:rsid w:val="00805A34"/>
    <w:rsid w:val="00805AD9"/>
    <w:rsid w:val="00805B4E"/>
    <w:rsid w:val="00805C12"/>
    <w:rsid w:val="008061EB"/>
    <w:rsid w:val="00806882"/>
    <w:rsid w:val="008069DB"/>
    <w:rsid w:val="00806C01"/>
    <w:rsid w:val="00807F31"/>
    <w:rsid w:val="00810887"/>
    <w:rsid w:val="008113D2"/>
    <w:rsid w:val="00811AC7"/>
    <w:rsid w:val="0081234E"/>
    <w:rsid w:val="00812657"/>
    <w:rsid w:val="00813AF1"/>
    <w:rsid w:val="00813BEC"/>
    <w:rsid w:val="008148CC"/>
    <w:rsid w:val="00814B3A"/>
    <w:rsid w:val="0081574A"/>
    <w:rsid w:val="008158FB"/>
    <w:rsid w:val="00816139"/>
    <w:rsid w:val="008167E8"/>
    <w:rsid w:val="00816E82"/>
    <w:rsid w:val="008170DF"/>
    <w:rsid w:val="008170FF"/>
    <w:rsid w:val="00817261"/>
    <w:rsid w:val="00817BF5"/>
    <w:rsid w:val="0082075D"/>
    <w:rsid w:val="00820ABF"/>
    <w:rsid w:val="008211A4"/>
    <w:rsid w:val="00821258"/>
    <w:rsid w:val="0082164B"/>
    <w:rsid w:val="00821871"/>
    <w:rsid w:val="00821F6F"/>
    <w:rsid w:val="008221A9"/>
    <w:rsid w:val="0082246B"/>
    <w:rsid w:val="00824B12"/>
    <w:rsid w:val="00824BBE"/>
    <w:rsid w:val="0082537A"/>
    <w:rsid w:val="00825BE8"/>
    <w:rsid w:val="00826106"/>
    <w:rsid w:val="0082778E"/>
    <w:rsid w:val="0083026B"/>
    <w:rsid w:val="008305EB"/>
    <w:rsid w:val="008313EF"/>
    <w:rsid w:val="00831887"/>
    <w:rsid w:val="008320F8"/>
    <w:rsid w:val="00832362"/>
    <w:rsid w:val="0083268D"/>
    <w:rsid w:val="00832DE0"/>
    <w:rsid w:val="00832F92"/>
    <w:rsid w:val="008337F3"/>
    <w:rsid w:val="00833F91"/>
    <w:rsid w:val="00834E30"/>
    <w:rsid w:val="008357CA"/>
    <w:rsid w:val="00837924"/>
    <w:rsid w:val="00837A3E"/>
    <w:rsid w:val="0084072C"/>
    <w:rsid w:val="00841015"/>
    <w:rsid w:val="00841988"/>
    <w:rsid w:val="00841FDE"/>
    <w:rsid w:val="00842D25"/>
    <w:rsid w:val="00843E1F"/>
    <w:rsid w:val="008451B9"/>
    <w:rsid w:val="008454AE"/>
    <w:rsid w:val="00845BFA"/>
    <w:rsid w:val="008506F7"/>
    <w:rsid w:val="00850849"/>
    <w:rsid w:val="00850951"/>
    <w:rsid w:val="008516B4"/>
    <w:rsid w:val="00851B40"/>
    <w:rsid w:val="008520C3"/>
    <w:rsid w:val="0085212B"/>
    <w:rsid w:val="008528FF"/>
    <w:rsid w:val="00854494"/>
    <w:rsid w:val="00854C45"/>
    <w:rsid w:val="00855393"/>
    <w:rsid w:val="00855422"/>
    <w:rsid w:val="00855712"/>
    <w:rsid w:val="00855961"/>
    <w:rsid w:val="008560FC"/>
    <w:rsid w:val="0085623D"/>
    <w:rsid w:val="00856798"/>
    <w:rsid w:val="00856929"/>
    <w:rsid w:val="0085726E"/>
    <w:rsid w:val="008573FC"/>
    <w:rsid w:val="0085755B"/>
    <w:rsid w:val="00857A4A"/>
    <w:rsid w:val="00857E29"/>
    <w:rsid w:val="008604E7"/>
    <w:rsid w:val="0086062F"/>
    <w:rsid w:val="00860630"/>
    <w:rsid w:val="0086066F"/>
    <w:rsid w:val="0086093E"/>
    <w:rsid w:val="00860DBE"/>
    <w:rsid w:val="00860E0A"/>
    <w:rsid w:val="00861561"/>
    <w:rsid w:val="00861EBF"/>
    <w:rsid w:val="00862453"/>
    <w:rsid w:val="008624F4"/>
    <w:rsid w:val="008627C8"/>
    <w:rsid w:val="00862973"/>
    <w:rsid w:val="00862A10"/>
    <w:rsid w:val="00863432"/>
    <w:rsid w:val="00863B1E"/>
    <w:rsid w:val="00863C4D"/>
    <w:rsid w:val="008640F4"/>
    <w:rsid w:val="008649CF"/>
    <w:rsid w:val="00864C08"/>
    <w:rsid w:val="00864C46"/>
    <w:rsid w:val="00865FCA"/>
    <w:rsid w:val="00866F33"/>
    <w:rsid w:val="008702D7"/>
    <w:rsid w:val="00870E8F"/>
    <w:rsid w:val="0087123B"/>
    <w:rsid w:val="0087284A"/>
    <w:rsid w:val="00873150"/>
    <w:rsid w:val="008734D6"/>
    <w:rsid w:val="00873642"/>
    <w:rsid w:val="00873E62"/>
    <w:rsid w:val="008742F4"/>
    <w:rsid w:val="00874331"/>
    <w:rsid w:val="00874A90"/>
    <w:rsid w:val="00874B17"/>
    <w:rsid w:val="00874D75"/>
    <w:rsid w:val="0087529C"/>
    <w:rsid w:val="008758F9"/>
    <w:rsid w:val="00875E75"/>
    <w:rsid w:val="00875EFD"/>
    <w:rsid w:val="0087657D"/>
    <w:rsid w:val="00876624"/>
    <w:rsid w:val="00880422"/>
    <w:rsid w:val="00880550"/>
    <w:rsid w:val="00880647"/>
    <w:rsid w:val="008807D5"/>
    <w:rsid w:val="00880832"/>
    <w:rsid w:val="00881426"/>
    <w:rsid w:val="008815DE"/>
    <w:rsid w:val="00882402"/>
    <w:rsid w:val="00883587"/>
    <w:rsid w:val="00883A44"/>
    <w:rsid w:val="00883C87"/>
    <w:rsid w:val="008846BC"/>
    <w:rsid w:val="008856CC"/>
    <w:rsid w:val="008860A8"/>
    <w:rsid w:val="00886886"/>
    <w:rsid w:val="00886E13"/>
    <w:rsid w:val="00886EE1"/>
    <w:rsid w:val="0088727D"/>
    <w:rsid w:val="008873DF"/>
    <w:rsid w:val="00887827"/>
    <w:rsid w:val="00890719"/>
    <w:rsid w:val="008913C4"/>
    <w:rsid w:val="0089156B"/>
    <w:rsid w:val="00891A5F"/>
    <w:rsid w:val="00891AED"/>
    <w:rsid w:val="00891D9F"/>
    <w:rsid w:val="00892346"/>
    <w:rsid w:val="0089240E"/>
    <w:rsid w:val="00892600"/>
    <w:rsid w:val="00892AF0"/>
    <w:rsid w:val="008930EF"/>
    <w:rsid w:val="008942B5"/>
    <w:rsid w:val="008943A1"/>
    <w:rsid w:val="008944D6"/>
    <w:rsid w:val="00894643"/>
    <w:rsid w:val="0089470C"/>
    <w:rsid w:val="00894E48"/>
    <w:rsid w:val="00895216"/>
    <w:rsid w:val="00895289"/>
    <w:rsid w:val="00895405"/>
    <w:rsid w:val="00895462"/>
    <w:rsid w:val="00895743"/>
    <w:rsid w:val="00895C5A"/>
    <w:rsid w:val="008960BC"/>
    <w:rsid w:val="00896440"/>
    <w:rsid w:val="0089663D"/>
    <w:rsid w:val="00897C75"/>
    <w:rsid w:val="008A06D0"/>
    <w:rsid w:val="008A1750"/>
    <w:rsid w:val="008A2E2D"/>
    <w:rsid w:val="008A379B"/>
    <w:rsid w:val="008A47EC"/>
    <w:rsid w:val="008A4D5E"/>
    <w:rsid w:val="008A4D89"/>
    <w:rsid w:val="008A530F"/>
    <w:rsid w:val="008A609F"/>
    <w:rsid w:val="008A6F54"/>
    <w:rsid w:val="008A71AC"/>
    <w:rsid w:val="008B04A9"/>
    <w:rsid w:val="008B0ED0"/>
    <w:rsid w:val="008B1335"/>
    <w:rsid w:val="008B1C1D"/>
    <w:rsid w:val="008B1E24"/>
    <w:rsid w:val="008B2DD1"/>
    <w:rsid w:val="008B2FC5"/>
    <w:rsid w:val="008B34B8"/>
    <w:rsid w:val="008B34EE"/>
    <w:rsid w:val="008B36C9"/>
    <w:rsid w:val="008B38E0"/>
    <w:rsid w:val="008B4247"/>
    <w:rsid w:val="008B43D8"/>
    <w:rsid w:val="008B5746"/>
    <w:rsid w:val="008B5C74"/>
    <w:rsid w:val="008B5DDB"/>
    <w:rsid w:val="008B6CE9"/>
    <w:rsid w:val="008B70E0"/>
    <w:rsid w:val="008B76B9"/>
    <w:rsid w:val="008C00B8"/>
    <w:rsid w:val="008C00BA"/>
    <w:rsid w:val="008C08C0"/>
    <w:rsid w:val="008C09A0"/>
    <w:rsid w:val="008C0A93"/>
    <w:rsid w:val="008C1130"/>
    <w:rsid w:val="008C172B"/>
    <w:rsid w:val="008C27C7"/>
    <w:rsid w:val="008C283D"/>
    <w:rsid w:val="008C2E66"/>
    <w:rsid w:val="008C3382"/>
    <w:rsid w:val="008C3542"/>
    <w:rsid w:val="008C467F"/>
    <w:rsid w:val="008C5DEB"/>
    <w:rsid w:val="008C5FF3"/>
    <w:rsid w:val="008C6373"/>
    <w:rsid w:val="008C6C3B"/>
    <w:rsid w:val="008D0261"/>
    <w:rsid w:val="008D10AE"/>
    <w:rsid w:val="008D11D6"/>
    <w:rsid w:val="008D15F7"/>
    <w:rsid w:val="008D18E6"/>
    <w:rsid w:val="008D1B73"/>
    <w:rsid w:val="008D2C72"/>
    <w:rsid w:val="008D2E3E"/>
    <w:rsid w:val="008D3041"/>
    <w:rsid w:val="008D33E9"/>
    <w:rsid w:val="008D34C4"/>
    <w:rsid w:val="008D3775"/>
    <w:rsid w:val="008D3B45"/>
    <w:rsid w:val="008D3FBD"/>
    <w:rsid w:val="008D5187"/>
    <w:rsid w:val="008D567E"/>
    <w:rsid w:val="008D57AA"/>
    <w:rsid w:val="008D6422"/>
    <w:rsid w:val="008D7207"/>
    <w:rsid w:val="008D7A9B"/>
    <w:rsid w:val="008D7D2D"/>
    <w:rsid w:val="008E0060"/>
    <w:rsid w:val="008E00D8"/>
    <w:rsid w:val="008E06AD"/>
    <w:rsid w:val="008E139E"/>
    <w:rsid w:val="008E2662"/>
    <w:rsid w:val="008E2AC4"/>
    <w:rsid w:val="008E38FD"/>
    <w:rsid w:val="008E48D1"/>
    <w:rsid w:val="008E55CD"/>
    <w:rsid w:val="008E5A00"/>
    <w:rsid w:val="008E5B78"/>
    <w:rsid w:val="008E5E41"/>
    <w:rsid w:val="008E6072"/>
    <w:rsid w:val="008E65D4"/>
    <w:rsid w:val="008E68D2"/>
    <w:rsid w:val="008E6A56"/>
    <w:rsid w:val="008E70FA"/>
    <w:rsid w:val="008E76AC"/>
    <w:rsid w:val="008F0830"/>
    <w:rsid w:val="008F10F7"/>
    <w:rsid w:val="008F19D1"/>
    <w:rsid w:val="008F1A26"/>
    <w:rsid w:val="008F1FB2"/>
    <w:rsid w:val="008F21F6"/>
    <w:rsid w:val="008F3378"/>
    <w:rsid w:val="008F4E7B"/>
    <w:rsid w:val="008F59D0"/>
    <w:rsid w:val="008F5E67"/>
    <w:rsid w:val="008F6438"/>
    <w:rsid w:val="008F6CC2"/>
    <w:rsid w:val="008F7784"/>
    <w:rsid w:val="008F7905"/>
    <w:rsid w:val="008F7B6F"/>
    <w:rsid w:val="0090033F"/>
    <w:rsid w:val="00900366"/>
    <w:rsid w:val="00900739"/>
    <w:rsid w:val="0090192A"/>
    <w:rsid w:val="00901931"/>
    <w:rsid w:val="00901BCF"/>
    <w:rsid w:val="00902842"/>
    <w:rsid w:val="00902C46"/>
    <w:rsid w:val="00902D12"/>
    <w:rsid w:val="00903480"/>
    <w:rsid w:val="0090351D"/>
    <w:rsid w:val="00903935"/>
    <w:rsid w:val="00903CE1"/>
    <w:rsid w:val="00903EEB"/>
    <w:rsid w:val="00904635"/>
    <w:rsid w:val="009046DF"/>
    <w:rsid w:val="00905871"/>
    <w:rsid w:val="00906E81"/>
    <w:rsid w:val="00906ED0"/>
    <w:rsid w:val="00907B4B"/>
    <w:rsid w:val="00907EAB"/>
    <w:rsid w:val="00910268"/>
    <w:rsid w:val="00911C96"/>
    <w:rsid w:val="0091260B"/>
    <w:rsid w:val="009129A4"/>
    <w:rsid w:val="00912C53"/>
    <w:rsid w:val="00912CB7"/>
    <w:rsid w:val="00913D5A"/>
    <w:rsid w:val="00914768"/>
    <w:rsid w:val="00914C5D"/>
    <w:rsid w:val="00914F5E"/>
    <w:rsid w:val="00915046"/>
    <w:rsid w:val="009150BF"/>
    <w:rsid w:val="009153F3"/>
    <w:rsid w:val="00915529"/>
    <w:rsid w:val="009155D7"/>
    <w:rsid w:val="0091583E"/>
    <w:rsid w:val="0091622D"/>
    <w:rsid w:val="009163CF"/>
    <w:rsid w:val="009169BB"/>
    <w:rsid w:val="00916CD8"/>
    <w:rsid w:val="00917705"/>
    <w:rsid w:val="00920213"/>
    <w:rsid w:val="00921339"/>
    <w:rsid w:val="00921E5C"/>
    <w:rsid w:val="009227DC"/>
    <w:rsid w:val="00923E7A"/>
    <w:rsid w:val="00923F10"/>
    <w:rsid w:val="0092416A"/>
    <w:rsid w:val="009250CE"/>
    <w:rsid w:val="0092553D"/>
    <w:rsid w:val="00927E19"/>
    <w:rsid w:val="00927EC9"/>
    <w:rsid w:val="009301BB"/>
    <w:rsid w:val="00930211"/>
    <w:rsid w:val="0093021E"/>
    <w:rsid w:val="0093049E"/>
    <w:rsid w:val="0093150F"/>
    <w:rsid w:val="00931875"/>
    <w:rsid w:val="009322B8"/>
    <w:rsid w:val="0093275F"/>
    <w:rsid w:val="00932BB4"/>
    <w:rsid w:val="009336DF"/>
    <w:rsid w:val="00933E12"/>
    <w:rsid w:val="009341BA"/>
    <w:rsid w:val="009359A3"/>
    <w:rsid w:val="00936C9F"/>
    <w:rsid w:val="00936D70"/>
    <w:rsid w:val="009372CC"/>
    <w:rsid w:val="00937FEE"/>
    <w:rsid w:val="009404FC"/>
    <w:rsid w:val="009410AA"/>
    <w:rsid w:val="009410AD"/>
    <w:rsid w:val="00942060"/>
    <w:rsid w:val="009425BA"/>
    <w:rsid w:val="0094274C"/>
    <w:rsid w:val="0094295C"/>
    <w:rsid w:val="009429BD"/>
    <w:rsid w:val="00943438"/>
    <w:rsid w:val="00943D96"/>
    <w:rsid w:val="00944106"/>
    <w:rsid w:val="0094445E"/>
    <w:rsid w:val="0094591E"/>
    <w:rsid w:val="009463B4"/>
    <w:rsid w:val="00951B52"/>
    <w:rsid w:val="00951F79"/>
    <w:rsid w:val="009524C8"/>
    <w:rsid w:val="00952F30"/>
    <w:rsid w:val="0095356E"/>
    <w:rsid w:val="00953B0C"/>
    <w:rsid w:val="00954901"/>
    <w:rsid w:val="00954B2C"/>
    <w:rsid w:val="00954DD8"/>
    <w:rsid w:val="00954E55"/>
    <w:rsid w:val="00955950"/>
    <w:rsid w:val="00957048"/>
    <w:rsid w:val="009575BF"/>
    <w:rsid w:val="0095779E"/>
    <w:rsid w:val="00960B13"/>
    <w:rsid w:val="009617B5"/>
    <w:rsid w:val="009617F2"/>
    <w:rsid w:val="00961C3E"/>
    <w:rsid w:val="00961CDF"/>
    <w:rsid w:val="009621FF"/>
    <w:rsid w:val="009624BB"/>
    <w:rsid w:val="0096298D"/>
    <w:rsid w:val="00962DD6"/>
    <w:rsid w:val="009642C6"/>
    <w:rsid w:val="00964618"/>
    <w:rsid w:val="00964A7D"/>
    <w:rsid w:val="00964B48"/>
    <w:rsid w:val="0096547A"/>
    <w:rsid w:val="0096554E"/>
    <w:rsid w:val="00965689"/>
    <w:rsid w:val="009657DB"/>
    <w:rsid w:val="0096588D"/>
    <w:rsid w:val="00966287"/>
    <w:rsid w:val="009663B8"/>
    <w:rsid w:val="00966C78"/>
    <w:rsid w:val="00966EC8"/>
    <w:rsid w:val="009671C5"/>
    <w:rsid w:val="009678C4"/>
    <w:rsid w:val="0096798F"/>
    <w:rsid w:val="00967F69"/>
    <w:rsid w:val="009702C2"/>
    <w:rsid w:val="0097093E"/>
    <w:rsid w:val="00974452"/>
    <w:rsid w:val="009747AB"/>
    <w:rsid w:val="00974AB5"/>
    <w:rsid w:val="00976174"/>
    <w:rsid w:val="00977910"/>
    <w:rsid w:val="00980634"/>
    <w:rsid w:val="00981A7F"/>
    <w:rsid w:val="0098215D"/>
    <w:rsid w:val="009828B9"/>
    <w:rsid w:val="0098309F"/>
    <w:rsid w:val="00983822"/>
    <w:rsid w:val="00984D66"/>
    <w:rsid w:val="00984F04"/>
    <w:rsid w:val="0098574C"/>
    <w:rsid w:val="00985E8D"/>
    <w:rsid w:val="00986FBC"/>
    <w:rsid w:val="0098706D"/>
    <w:rsid w:val="00987563"/>
    <w:rsid w:val="00987A33"/>
    <w:rsid w:val="00987AA2"/>
    <w:rsid w:val="00990595"/>
    <w:rsid w:val="009909E0"/>
    <w:rsid w:val="00990AF0"/>
    <w:rsid w:val="009912B3"/>
    <w:rsid w:val="009919E5"/>
    <w:rsid w:val="00992E73"/>
    <w:rsid w:val="009935FB"/>
    <w:rsid w:val="00993C8C"/>
    <w:rsid w:val="00993D7D"/>
    <w:rsid w:val="0099454E"/>
    <w:rsid w:val="0099455F"/>
    <w:rsid w:val="009945B2"/>
    <w:rsid w:val="0099585F"/>
    <w:rsid w:val="00996864"/>
    <w:rsid w:val="00996CD6"/>
    <w:rsid w:val="0099786F"/>
    <w:rsid w:val="0099795A"/>
    <w:rsid w:val="009979A6"/>
    <w:rsid w:val="00997AF1"/>
    <w:rsid w:val="009A0719"/>
    <w:rsid w:val="009A1898"/>
    <w:rsid w:val="009A1F50"/>
    <w:rsid w:val="009A2F9C"/>
    <w:rsid w:val="009A3101"/>
    <w:rsid w:val="009A3BCE"/>
    <w:rsid w:val="009A3BFC"/>
    <w:rsid w:val="009A3C91"/>
    <w:rsid w:val="009A46F7"/>
    <w:rsid w:val="009A559F"/>
    <w:rsid w:val="009A571D"/>
    <w:rsid w:val="009A5C5B"/>
    <w:rsid w:val="009A5D08"/>
    <w:rsid w:val="009A6C2C"/>
    <w:rsid w:val="009A7045"/>
    <w:rsid w:val="009A714C"/>
    <w:rsid w:val="009B1C74"/>
    <w:rsid w:val="009B211F"/>
    <w:rsid w:val="009B2CD6"/>
    <w:rsid w:val="009B2F1B"/>
    <w:rsid w:val="009B322B"/>
    <w:rsid w:val="009B4F62"/>
    <w:rsid w:val="009B5458"/>
    <w:rsid w:val="009B5A98"/>
    <w:rsid w:val="009B632E"/>
    <w:rsid w:val="009B6784"/>
    <w:rsid w:val="009B6FB2"/>
    <w:rsid w:val="009B78E1"/>
    <w:rsid w:val="009B7CC8"/>
    <w:rsid w:val="009B7D53"/>
    <w:rsid w:val="009C0846"/>
    <w:rsid w:val="009C086B"/>
    <w:rsid w:val="009C11F0"/>
    <w:rsid w:val="009C1741"/>
    <w:rsid w:val="009C2041"/>
    <w:rsid w:val="009C207F"/>
    <w:rsid w:val="009C24AF"/>
    <w:rsid w:val="009C2618"/>
    <w:rsid w:val="009C2BA6"/>
    <w:rsid w:val="009C2F5F"/>
    <w:rsid w:val="009C39A5"/>
    <w:rsid w:val="009C3EE0"/>
    <w:rsid w:val="009C42BF"/>
    <w:rsid w:val="009C445F"/>
    <w:rsid w:val="009C4DB1"/>
    <w:rsid w:val="009C61A3"/>
    <w:rsid w:val="009C664D"/>
    <w:rsid w:val="009C6D1B"/>
    <w:rsid w:val="009C7471"/>
    <w:rsid w:val="009D0AB8"/>
    <w:rsid w:val="009D0DFD"/>
    <w:rsid w:val="009D1A3E"/>
    <w:rsid w:val="009D23A6"/>
    <w:rsid w:val="009D2762"/>
    <w:rsid w:val="009D31AA"/>
    <w:rsid w:val="009D39EA"/>
    <w:rsid w:val="009D45EA"/>
    <w:rsid w:val="009D4635"/>
    <w:rsid w:val="009D5028"/>
    <w:rsid w:val="009D5E4E"/>
    <w:rsid w:val="009D5F5C"/>
    <w:rsid w:val="009D6CD0"/>
    <w:rsid w:val="009D7190"/>
    <w:rsid w:val="009D7385"/>
    <w:rsid w:val="009E1157"/>
    <w:rsid w:val="009E1264"/>
    <w:rsid w:val="009E1566"/>
    <w:rsid w:val="009E20A7"/>
    <w:rsid w:val="009E255B"/>
    <w:rsid w:val="009E366E"/>
    <w:rsid w:val="009E3921"/>
    <w:rsid w:val="009E448A"/>
    <w:rsid w:val="009E4D94"/>
    <w:rsid w:val="009E56E2"/>
    <w:rsid w:val="009E60C0"/>
    <w:rsid w:val="009E6395"/>
    <w:rsid w:val="009E6B08"/>
    <w:rsid w:val="009E6DAE"/>
    <w:rsid w:val="009E788D"/>
    <w:rsid w:val="009F119F"/>
    <w:rsid w:val="009F4A54"/>
    <w:rsid w:val="009F4B93"/>
    <w:rsid w:val="009F4BEC"/>
    <w:rsid w:val="009F51CE"/>
    <w:rsid w:val="009F5874"/>
    <w:rsid w:val="009F5A1C"/>
    <w:rsid w:val="009F5A24"/>
    <w:rsid w:val="009F6869"/>
    <w:rsid w:val="009F7331"/>
    <w:rsid w:val="009F78DC"/>
    <w:rsid w:val="00A001BA"/>
    <w:rsid w:val="00A009C5"/>
    <w:rsid w:val="00A01416"/>
    <w:rsid w:val="00A01525"/>
    <w:rsid w:val="00A015EA"/>
    <w:rsid w:val="00A0164E"/>
    <w:rsid w:val="00A02A92"/>
    <w:rsid w:val="00A02CEA"/>
    <w:rsid w:val="00A03E14"/>
    <w:rsid w:val="00A03EEB"/>
    <w:rsid w:val="00A04957"/>
    <w:rsid w:val="00A04E7D"/>
    <w:rsid w:val="00A0500F"/>
    <w:rsid w:val="00A0559F"/>
    <w:rsid w:val="00A05E25"/>
    <w:rsid w:val="00A0634B"/>
    <w:rsid w:val="00A064C1"/>
    <w:rsid w:val="00A06F12"/>
    <w:rsid w:val="00A06F2F"/>
    <w:rsid w:val="00A07A05"/>
    <w:rsid w:val="00A101E7"/>
    <w:rsid w:val="00A1077F"/>
    <w:rsid w:val="00A10A6A"/>
    <w:rsid w:val="00A11E0C"/>
    <w:rsid w:val="00A11EF6"/>
    <w:rsid w:val="00A12B72"/>
    <w:rsid w:val="00A12D3F"/>
    <w:rsid w:val="00A12F97"/>
    <w:rsid w:val="00A1304E"/>
    <w:rsid w:val="00A13274"/>
    <w:rsid w:val="00A135ED"/>
    <w:rsid w:val="00A13E9D"/>
    <w:rsid w:val="00A143FC"/>
    <w:rsid w:val="00A14A02"/>
    <w:rsid w:val="00A14AF6"/>
    <w:rsid w:val="00A169A2"/>
    <w:rsid w:val="00A17A41"/>
    <w:rsid w:val="00A17AA2"/>
    <w:rsid w:val="00A206BF"/>
    <w:rsid w:val="00A208B5"/>
    <w:rsid w:val="00A20A08"/>
    <w:rsid w:val="00A21883"/>
    <w:rsid w:val="00A21AF8"/>
    <w:rsid w:val="00A21C7C"/>
    <w:rsid w:val="00A22DE4"/>
    <w:rsid w:val="00A22FC8"/>
    <w:rsid w:val="00A22FF0"/>
    <w:rsid w:val="00A2426E"/>
    <w:rsid w:val="00A24635"/>
    <w:rsid w:val="00A2465F"/>
    <w:rsid w:val="00A2561E"/>
    <w:rsid w:val="00A25B51"/>
    <w:rsid w:val="00A25FD7"/>
    <w:rsid w:val="00A26129"/>
    <w:rsid w:val="00A30A79"/>
    <w:rsid w:val="00A30B59"/>
    <w:rsid w:val="00A31074"/>
    <w:rsid w:val="00A31E74"/>
    <w:rsid w:val="00A32CB9"/>
    <w:rsid w:val="00A32CED"/>
    <w:rsid w:val="00A34406"/>
    <w:rsid w:val="00A345DF"/>
    <w:rsid w:val="00A34D80"/>
    <w:rsid w:val="00A3633F"/>
    <w:rsid w:val="00A36C9F"/>
    <w:rsid w:val="00A37904"/>
    <w:rsid w:val="00A37A12"/>
    <w:rsid w:val="00A40156"/>
    <w:rsid w:val="00A402DC"/>
    <w:rsid w:val="00A40710"/>
    <w:rsid w:val="00A40D25"/>
    <w:rsid w:val="00A40D84"/>
    <w:rsid w:val="00A426DC"/>
    <w:rsid w:val="00A43AFF"/>
    <w:rsid w:val="00A43B35"/>
    <w:rsid w:val="00A43B6F"/>
    <w:rsid w:val="00A43BBE"/>
    <w:rsid w:val="00A43F2B"/>
    <w:rsid w:val="00A444B1"/>
    <w:rsid w:val="00A44C0E"/>
    <w:rsid w:val="00A458E7"/>
    <w:rsid w:val="00A4619E"/>
    <w:rsid w:val="00A46C4F"/>
    <w:rsid w:val="00A47EE0"/>
    <w:rsid w:val="00A506C1"/>
    <w:rsid w:val="00A5122E"/>
    <w:rsid w:val="00A5250A"/>
    <w:rsid w:val="00A53A5F"/>
    <w:rsid w:val="00A53D1B"/>
    <w:rsid w:val="00A54BB3"/>
    <w:rsid w:val="00A550C1"/>
    <w:rsid w:val="00A55960"/>
    <w:rsid w:val="00A57779"/>
    <w:rsid w:val="00A577CA"/>
    <w:rsid w:val="00A57C3F"/>
    <w:rsid w:val="00A603CA"/>
    <w:rsid w:val="00A609A4"/>
    <w:rsid w:val="00A60D87"/>
    <w:rsid w:val="00A61512"/>
    <w:rsid w:val="00A61E00"/>
    <w:rsid w:val="00A62888"/>
    <w:rsid w:val="00A62992"/>
    <w:rsid w:val="00A62B1A"/>
    <w:rsid w:val="00A63D01"/>
    <w:rsid w:val="00A63F13"/>
    <w:rsid w:val="00A64A63"/>
    <w:rsid w:val="00A64C50"/>
    <w:rsid w:val="00A65B4B"/>
    <w:rsid w:val="00A66863"/>
    <w:rsid w:val="00A66C7A"/>
    <w:rsid w:val="00A67C07"/>
    <w:rsid w:val="00A71297"/>
    <w:rsid w:val="00A7165F"/>
    <w:rsid w:val="00A71B37"/>
    <w:rsid w:val="00A7301B"/>
    <w:rsid w:val="00A7314A"/>
    <w:rsid w:val="00A732F4"/>
    <w:rsid w:val="00A75635"/>
    <w:rsid w:val="00A7577A"/>
    <w:rsid w:val="00A761B3"/>
    <w:rsid w:val="00A76763"/>
    <w:rsid w:val="00A7702A"/>
    <w:rsid w:val="00A7711E"/>
    <w:rsid w:val="00A7726E"/>
    <w:rsid w:val="00A777C3"/>
    <w:rsid w:val="00A7793A"/>
    <w:rsid w:val="00A807C2"/>
    <w:rsid w:val="00A80EF0"/>
    <w:rsid w:val="00A814EB"/>
    <w:rsid w:val="00A82C40"/>
    <w:rsid w:val="00A84A9B"/>
    <w:rsid w:val="00A85C1D"/>
    <w:rsid w:val="00A86A8F"/>
    <w:rsid w:val="00A87321"/>
    <w:rsid w:val="00A87E02"/>
    <w:rsid w:val="00A87EC6"/>
    <w:rsid w:val="00A901C6"/>
    <w:rsid w:val="00A91538"/>
    <w:rsid w:val="00A91600"/>
    <w:rsid w:val="00A916E3"/>
    <w:rsid w:val="00A92021"/>
    <w:rsid w:val="00A92236"/>
    <w:rsid w:val="00A929FC"/>
    <w:rsid w:val="00A9323E"/>
    <w:rsid w:val="00A93293"/>
    <w:rsid w:val="00A94656"/>
    <w:rsid w:val="00A946C1"/>
    <w:rsid w:val="00A94B1E"/>
    <w:rsid w:val="00A94F77"/>
    <w:rsid w:val="00A95A45"/>
    <w:rsid w:val="00A95C24"/>
    <w:rsid w:val="00A95E1B"/>
    <w:rsid w:val="00A95F4F"/>
    <w:rsid w:val="00A9709D"/>
    <w:rsid w:val="00A97286"/>
    <w:rsid w:val="00A973EC"/>
    <w:rsid w:val="00A97AE3"/>
    <w:rsid w:val="00A97FE4"/>
    <w:rsid w:val="00AA0121"/>
    <w:rsid w:val="00AA07CF"/>
    <w:rsid w:val="00AA0842"/>
    <w:rsid w:val="00AA11BE"/>
    <w:rsid w:val="00AA1997"/>
    <w:rsid w:val="00AA240B"/>
    <w:rsid w:val="00AA2DA0"/>
    <w:rsid w:val="00AA2E52"/>
    <w:rsid w:val="00AA31A5"/>
    <w:rsid w:val="00AA3421"/>
    <w:rsid w:val="00AA39DF"/>
    <w:rsid w:val="00AA47D7"/>
    <w:rsid w:val="00AA4C7C"/>
    <w:rsid w:val="00AA4CC7"/>
    <w:rsid w:val="00AA4CE3"/>
    <w:rsid w:val="00AA5E8E"/>
    <w:rsid w:val="00AA6BFB"/>
    <w:rsid w:val="00AB1106"/>
    <w:rsid w:val="00AB1452"/>
    <w:rsid w:val="00AB14AA"/>
    <w:rsid w:val="00AB19AA"/>
    <w:rsid w:val="00AB21F9"/>
    <w:rsid w:val="00AB25FD"/>
    <w:rsid w:val="00AB2968"/>
    <w:rsid w:val="00AB31DD"/>
    <w:rsid w:val="00AB4122"/>
    <w:rsid w:val="00AB4317"/>
    <w:rsid w:val="00AB467C"/>
    <w:rsid w:val="00AB4706"/>
    <w:rsid w:val="00AB55B6"/>
    <w:rsid w:val="00AB5E46"/>
    <w:rsid w:val="00AB6CA7"/>
    <w:rsid w:val="00AC0345"/>
    <w:rsid w:val="00AC09CB"/>
    <w:rsid w:val="00AC1508"/>
    <w:rsid w:val="00AC1B46"/>
    <w:rsid w:val="00AC2CDA"/>
    <w:rsid w:val="00AC3A56"/>
    <w:rsid w:val="00AC4277"/>
    <w:rsid w:val="00AC44D5"/>
    <w:rsid w:val="00AC46C9"/>
    <w:rsid w:val="00AC6090"/>
    <w:rsid w:val="00AC7143"/>
    <w:rsid w:val="00AC749A"/>
    <w:rsid w:val="00AC76A9"/>
    <w:rsid w:val="00AC79E0"/>
    <w:rsid w:val="00AC7AAC"/>
    <w:rsid w:val="00AD01E4"/>
    <w:rsid w:val="00AD072F"/>
    <w:rsid w:val="00AD0858"/>
    <w:rsid w:val="00AD1FA1"/>
    <w:rsid w:val="00AD2A5D"/>
    <w:rsid w:val="00AD2EDF"/>
    <w:rsid w:val="00AD3725"/>
    <w:rsid w:val="00AD413B"/>
    <w:rsid w:val="00AD53C4"/>
    <w:rsid w:val="00AD548E"/>
    <w:rsid w:val="00AD5662"/>
    <w:rsid w:val="00AD665B"/>
    <w:rsid w:val="00AD6BA3"/>
    <w:rsid w:val="00AD7359"/>
    <w:rsid w:val="00AD777B"/>
    <w:rsid w:val="00AE0374"/>
    <w:rsid w:val="00AE0505"/>
    <w:rsid w:val="00AE12CF"/>
    <w:rsid w:val="00AE14C2"/>
    <w:rsid w:val="00AE15A8"/>
    <w:rsid w:val="00AE170D"/>
    <w:rsid w:val="00AE18B5"/>
    <w:rsid w:val="00AE199A"/>
    <w:rsid w:val="00AE284D"/>
    <w:rsid w:val="00AE2C02"/>
    <w:rsid w:val="00AE2D83"/>
    <w:rsid w:val="00AE34AF"/>
    <w:rsid w:val="00AE3E71"/>
    <w:rsid w:val="00AE407C"/>
    <w:rsid w:val="00AE45D3"/>
    <w:rsid w:val="00AE5341"/>
    <w:rsid w:val="00AE5624"/>
    <w:rsid w:val="00AE58BD"/>
    <w:rsid w:val="00AE5B15"/>
    <w:rsid w:val="00AE70D2"/>
    <w:rsid w:val="00AE72FA"/>
    <w:rsid w:val="00AE7340"/>
    <w:rsid w:val="00AE796B"/>
    <w:rsid w:val="00AE7E88"/>
    <w:rsid w:val="00AE7F2F"/>
    <w:rsid w:val="00AF0174"/>
    <w:rsid w:val="00AF0369"/>
    <w:rsid w:val="00AF0508"/>
    <w:rsid w:val="00AF106D"/>
    <w:rsid w:val="00AF181B"/>
    <w:rsid w:val="00AF1BBD"/>
    <w:rsid w:val="00AF30BE"/>
    <w:rsid w:val="00AF3C6F"/>
    <w:rsid w:val="00AF3C9A"/>
    <w:rsid w:val="00AF3CB1"/>
    <w:rsid w:val="00AF439E"/>
    <w:rsid w:val="00AF45A8"/>
    <w:rsid w:val="00AF4A27"/>
    <w:rsid w:val="00AF4AD5"/>
    <w:rsid w:val="00AF4B12"/>
    <w:rsid w:val="00AF4B70"/>
    <w:rsid w:val="00AF4D3E"/>
    <w:rsid w:val="00AF575F"/>
    <w:rsid w:val="00AF5F8D"/>
    <w:rsid w:val="00AF6024"/>
    <w:rsid w:val="00AF60D1"/>
    <w:rsid w:val="00AF71E0"/>
    <w:rsid w:val="00AF7A84"/>
    <w:rsid w:val="00B00CB6"/>
    <w:rsid w:val="00B00DC5"/>
    <w:rsid w:val="00B00E2A"/>
    <w:rsid w:val="00B0166C"/>
    <w:rsid w:val="00B0299C"/>
    <w:rsid w:val="00B048CB"/>
    <w:rsid w:val="00B05756"/>
    <w:rsid w:val="00B05875"/>
    <w:rsid w:val="00B05EF1"/>
    <w:rsid w:val="00B06CE4"/>
    <w:rsid w:val="00B0704B"/>
    <w:rsid w:val="00B0735B"/>
    <w:rsid w:val="00B074C5"/>
    <w:rsid w:val="00B07929"/>
    <w:rsid w:val="00B07E9B"/>
    <w:rsid w:val="00B10207"/>
    <w:rsid w:val="00B10695"/>
    <w:rsid w:val="00B10B5D"/>
    <w:rsid w:val="00B11B0E"/>
    <w:rsid w:val="00B12038"/>
    <w:rsid w:val="00B13717"/>
    <w:rsid w:val="00B141E7"/>
    <w:rsid w:val="00B142FD"/>
    <w:rsid w:val="00B15B8B"/>
    <w:rsid w:val="00B15C9E"/>
    <w:rsid w:val="00B16E46"/>
    <w:rsid w:val="00B171C5"/>
    <w:rsid w:val="00B17290"/>
    <w:rsid w:val="00B17C73"/>
    <w:rsid w:val="00B20A60"/>
    <w:rsid w:val="00B21408"/>
    <w:rsid w:val="00B216EB"/>
    <w:rsid w:val="00B21D04"/>
    <w:rsid w:val="00B2278F"/>
    <w:rsid w:val="00B2335F"/>
    <w:rsid w:val="00B24029"/>
    <w:rsid w:val="00B2452B"/>
    <w:rsid w:val="00B24E4A"/>
    <w:rsid w:val="00B25BE1"/>
    <w:rsid w:val="00B265B4"/>
    <w:rsid w:val="00B2736A"/>
    <w:rsid w:val="00B27560"/>
    <w:rsid w:val="00B279EE"/>
    <w:rsid w:val="00B3011A"/>
    <w:rsid w:val="00B3027F"/>
    <w:rsid w:val="00B303AF"/>
    <w:rsid w:val="00B30E79"/>
    <w:rsid w:val="00B3289B"/>
    <w:rsid w:val="00B32D01"/>
    <w:rsid w:val="00B33253"/>
    <w:rsid w:val="00B33D60"/>
    <w:rsid w:val="00B33E05"/>
    <w:rsid w:val="00B340B6"/>
    <w:rsid w:val="00B344BF"/>
    <w:rsid w:val="00B34C6D"/>
    <w:rsid w:val="00B351B4"/>
    <w:rsid w:val="00B35939"/>
    <w:rsid w:val="00B3608C"/>
    <w:rsid w:val="00B3619B"/>
    <w:rsid w:val="00B3741A"/>
    <w:rsid w:val="00B37DE1"/>
    <w:rsid w:val="00B405DE"/>
    <w:rsid w:val="00B415F1"/>
    <w:rsid w:val="00B420EA"/>
    <w:rsid w:val="00B425EB"/>
    <w:rsid w:val="00B429B3"/>
    <w:rsid w:val="00B42B7A"/>
    <w:rsid w:val="00B4489A"/>
    <w:rsid w:val="00B4521C"/>
    <w:rsid w:val="00B4592A"/>
    <w:rsid w:val="00B45F93"/>
    <w:rsid w:val="00B467E6"/>
    <w:rsid w:val="00B46887"/>
    <w:rsid w:val="00B46BCA"/>
    <w:rsid w:val="00B476C4"/>
    <w:rsid w:val="00B478AA"/>
    <w:rsid w:val="00B47F9F"/>
    <w:rsid w:val="00B50000"/>
    <w:rsid w:val="00B506B2"/>
    <w:rsid w:val="00B532BF"/>
    <w:rsid w:val="00B53F9E"/>
    <w:rsid w:val="00B54A77"/>
    <w:rsid w:val="00B54D3A"/>
    <w:rsid w:val="00B54F7B"/>
    <w:rsid w:val="00B55041"/>
    <w:rsid w:val="00B554C3"/>
    <w:rsid w:val="00B5679A"/>
    <w:rsid w:val="00B56980"/>
    <w:rsid w:val="00B57765"/>
    <w:rsid w:val="00B60458"/>
    <w:rsid w:val="00B60575"/>
    <w:rsid w:val="00B60A07"/>
    <w:rsid w:val="00B60E55"/>
    <w:rsid w:val="00B61C1B"/>
    <w:rsid w:val="00B62648"/>
    <w:rsid w:val="00B64049"/>
    <w:rsid w:val="00B6467A"/>
    <w:rsid w:val="00B64BF4"/>
    <w:rsid w:val="00B64EF5"/>
    <w:rsid w:val="00B65773"/>
    <w:rsid w:val="00B65A7D"/>
    <w:rsid w:val="00B66032"/>
    <w:rsid w:val="00B6611C"/>
    <w:rsid w:val="00B66152"/>
    <w:rsid w:val="00B66478"/>
    <w:rsid w:val="00B666FD"/>
    <w:rsid w:val="00B66914"/>
    <w:rsid w:val="00B669A1"/>
    <w:rsid w:val="00B6709D"/>
    <w:rsid w:val="00B67538"/>
    <w:rsid w:val="00B701E4"/>
    <w:rsid w:val="00B706D7"/>
    <w:rsid w:val="00B70BA3"/>
    <w:rsid w:val="00B715CB"/>
    <w:rsid w:val="00B71BAA"/>
    <w:rsid w:val="00B72202"/>
    <w:rsid w:val="00B73761"/>
    <w:rsid w:val="00B738DD"/>
    <w:rsid w:val="00B73E38"/>
    <w:rsid w:val="00B750F9"/>
    <w:rsid w:val="00B75356"/>
    <w:rsid w:val="00B76198"/>
    <w:rsid w:val="00B769CB"/>
    <w:rsid w:val="00B7778F"/>
    <w:rsid w:val="00B77BC9"/>
    <w:rsid w:val="00B80423"/>
    <w:rsid w:val="00B80474"/>
    <w:rsid w:val="00B80D36"/>
    <w:rsid w:val="00B818A9"/>
    <w:rsid w:val="00B818F7"/>
    <w:rsid w:val="00B819F0"/>
    <w:rsid w:val="00B826A2"/>
    <w:rsid w:val="00B8289B"/>
    <w:rsid w:val="00B839A0"/>
    <w:rsid w:val="00B85A9B"/>
    <w:rsid w:val="00B85DD5"/>
    <w:rsid w:val="00B85DE4"/>
    <w:rsid w:val="00B85F6C"/>
    <w:rsid w:val="00B86D1C"/>
    <w:rsid w:val="00B8723D"/>
    <w:rsid w:val="00B8724E"/>
    <w:rsid w:val="00B87806"/>
    <w:rsid w:val="00B878C3"/>
    <w:rsid w:val="00B87D44"/>
    <w:rsid w:val="00B87EC9"/>
    <w:rsid w:val="00B902E4"/>
    <w:rsid w:val="00B9045D"/>
    <w:rsid w:val="00B90560"/>
    <w:rsid w:val="00B9068B"/>
    <w:rsid w:val="00B91E1F"/>
    <w:rsid w:val="00B923ED"/>
    <w:rsid w:val="00B928A6"/>
    <w:rsid w:val="00B92FB0"/>
    <w:rsid w:val="00B93259"/>
    <w:rsid w:val="00B93442"/>
    <w:rsid w:val="00B93824"/>
    <w:rsid w:val="00B953B3"/>
    <w:rsid w:val="00B95880"/>
    <w:rsid w:val="00B95C00"/>
    <w:rsid w:val="00B95C6B"/>
    <w:rsid w:val="00B95F4E"/>
    <w:rsid w:val="00B96223"/>
    <w:rsid w:val="00B96B10"/>
    <w:rsid w:val="00B970C6"/>
    <w:rsid w:val="00BA03D4"/>
    <w:rsid w:val="00BA093A"/>
    <w:rsid w:val="00BA09E8"/>
    <w:rsid w:val="00BA0B57"/>
    <w:rsid w:val="00BA1253"/>
    <w:rsid w:val="00BA16B9"/>
    <w:rsid w:val="00BA2294"/>
    <w:rsid w:val="00BA2C10"/>
    <w:rsid w:val="00BA2CD2"/>
    <w:rsid w:val="00BA39C6"/>
    <w:rsid w:val="00BA48D5"/>
    <w:rsid w:val="00BA4C0A"/>
    <w:rsid w:val="00BA4E1A"/>
    <w:rsid w:val="00BA5620"/>
    <w:rsid w:val="00BA5FF7"/>
    <w:rsid w:val="00BA66C9"/>
    <w:rsid w:val="00BA66E6"/>
    <w:rsid w:val="00BA72D0"/>
    <w:rsid w:val="00BA7797"/>
    <w:rsid w:val="00BB046D"/>
    <w:rsid w:val="00BB28E9"/>
    <w:rsid w:val="00BB318C"/>
    <w:rsid w:val="00BB3466"/>
    <w:rsid w:val="00BB49A4"/>
    <w:rsid w:val="00BB4CC8"/>
    <w:rsid w:val="00BB5784"/>
    <w:rsid w:val="00BB5802"/>
    <w:rsid w:val="00BB648F"/>
    <w:rsid w:val="00BB676E"/>
    <w:rsid w:val="00BB7629"/>
    <w:rsid w:val="00BB77C1"/>
    <w:rsid w:val="00BB78F7"/>
    <w:rsid w:val="00BC0169"/>
    <w:rsid w:val="00BC05D3"/>
    <w:rsid w:val="00BC06A9"/>
    <w:rsid w:val="00BC1334"/>
    <w:rsid w:val="00BC1589"/>
    <w:rsid w:val="00BC1D46"/>
    <w:rsid w:val="00BC1D70"/>
    <w:rsid w:val="00BC21BE"/>
    <w:rsid w:val="00BC24D7"/>
    <w:rsid w:val="00BC281D"/>
    <w:rsid w:val="00BC38FD"/>
    <w:rsid w:val="00BC4A2B"/>
    <w:rsid w:val="00BC5BA6"/>
    <w:rsid w:val="00BC6C73"/>
    <w:rsid w:val="00BD0059"/>
    <w:rsid w:val="00BD0684"/>
    <w:rsid w:val="00BD0CED"/>
    <w:rsid w:val="00BD0E5B"/>
    <w:rsid w:val="00BD11E2"/>
    <w:rsid w:val="00BD13EC"/>
    <w:rsid w:val="00BD16D2"/>
    <w:rsid w:val="00BD1DBA"/>
    <w:rsid w:val="00BD1F56"/>
    <w:rsid w:val="00BD2780"/>
    <w:rsid w:val="00BD2843"/>
    <w:rsid w:val="00BD436C"/>
    <w:rsid w:val="00BD4F2C"/>
    <w:rsid w:val="00BD5780"/>
    <w:rsid w:val="00BD5D34"/>
    <w:rsid w:val="00BD5FAC"/>
    <w:rsid w:val="00BD67AD"/>
    <w:rsid w:val="00BD68E2"/>
    <w:rsid w:val="00BE09E5"/>
    <w:rsid w:val="00BE0F8B"/>
    <w:rsid w:val="00BE156E"/>
    <w:rsid w:val="00BE15F2"/>
    <w:rsid w:val="00BE18D0"/>
    <w:rsid w:val="00BE1BAC"/>
    <w:rsid w:val="00BE28C1"/>
    <w:rsid w:val="00BE3299"/>
    <w:rsid w:val="00BE37C0"/>
    <w:rsid w:val="00BE3A3C"/>
    <w:rsid w:val="00BE3CEF"/>
    <w:rsid w:val="00BE4367"/>
    <w:rsid w:val="00BE4443"/>
    <w:rsid w:val="00BE47E3"/>
    <w:rsid w:val="00BE4B10"/>
    <w:rsid w:val="00BE54C4"/>
    <w:rsid w:val="00BE5FD3"/>
    <w:rsid w:val="00BE5FD7"/>
    <w:rsid w:val="00BE5FEF"/>
    <w:rsid w:val="00BE6DFF"/>
    <w:rsid w:val="00BE7ED4"/>
    <w:rsid w:val="00BF0265"/>
    <w:rsid w:val="00BF047E"/>
    <w:rsid w:val="00BF0795"/>
    <w:rsid w:val="00BF08AA"/>
    <w:rsid w:val="00BF147F"/>
    <w:rsid w:val="00BF1A3D"/>
    <w:rsid w:val="00BF2841"/>
    <w:rsid w:val="00BF3604"/>
    <w:rsid w:val="00BF3682"/>
    <w:rsid w:val="00BF420E"/>
    <w:rsid w:val="00BF495F"/>
    <w:rsid w:val="00BF49A4"/>
    <w:rsid w:val="00BF4A56"/>
    <w:rsid w:val="00BF52BE"/>
    <w:rsid w:val="00BF5809"/>
    <w:rsid w:val="00BF5968"/>
    <w:rsid w:val="00BF63E2"/>
    <w:rsid w:val="00BF7B83"/>
    <w:rsid w:val="00BF7C34"/>
    <w:rsid w:val="00C01AEC"/>
    <w:rsid w:val="00C01D46"/>
    <w:rsid w:val="00C034CB"/>
    <w:rsid w:val="00C04136"/>
    <w:rsid w:val="00C0420D"/>
    <w:rsid w:val="00C0425E"/>
    <w:rsid w:val="00C04A99"/>
    <w:rsid w:val="00C050D4"/>
    <w:rsid w:val="00C051A8"/>
    <w:rsid w:val="00C054BC"/>
    <w:rsid w:val="00C05E87"/>
    <w:rsid w:val="00C06262"/>
    <w:rsid w:val="00C064D6"/>
    <w:rsid w:val="00C06C19"/>
    <w:rsid w:val="00C07E94"/>
    <w:rsid w:val="00C07FA3"/>
    <w:rsid w:val="00C10CD7"/>
    <w:rsid w:val="00C111C6"/>
    <w:rsid w:val="00C116D1"/>
    <w:rsid w:val="00C117BE"/>
    <w:rsid w:val="00C122EF"/>
    <w:rsid w:val="00C12409"/>
    <w:rsid w:val="00C12F50"/>
    <w:rsid w:val="00C139BF"/>
    <w:rsid w:val="00C13AC6"/>
    <w:rsid w:val="00C1411D"/>
    <w:rsid w:val="00C14329"/>
    <w:rsid w:val="00C14CC5"/>
    <w:rsid w:val="00C14D77"/>
    <w:rsid w:val="00C1550E"/>
    <w:rsid w:val="00C157FC"/>
    <w:rsid w:val="00C161DB"/>
    <w:rsid w:val="00C1759A"/>
    <w:rsid w:val="00C17897"/>
    <w:rsid w:val="00C17EAF"/>
    <w:rsid w:val="00C20A36"/>
    <w:rsid w:val="00C22470"/>
    <w:rsid w:val="00C22F35"/>
    <w:rsid w:val="00C22F46"/>
    <w:rsid w:val="00C234D0"/>
    <w:rsid w:val="00C2374F"/>
    <w:rsid w:val="00C24B70"/>
    <w:rsid w:val="00C252BA"/>
    <w:rsid w:val="00C2647C"/>
    <w:rsid w:val="00C26CC3"/>
    <w:rsid w:val="00C30289"/>
    <w:rsid w:val="00C31C96"/>
    <w:rsid w:val="00C31D51"/>
    <w:rsid w:val="00C32075"/>
    <w:rsid w:val="00C3296C"/>
    <w:rsid w:val="00C342E7"/>
    <w:rsid w:val="00C3531B"/>
    <w:rsid w:val="00C35A51"/>
    <w:rsid w:val="00C35E47"/>
    <w:rsid w:val="00C36286"/>
    <w:rsid w:val="00C36E61"/>
    <w:rsid w:val="00C36F20"/>
    <w:rsid w:val="00C379F1"/>
    <w:rsid w:val="00C405E9"/>
    <w:rsid w:val="00C407CA"/>
    <w:rsid w:val="00C409D5"/>
    <w:rsid w:val="00C40A6B"/>
    <w:rsid w:val="00C40D3B"/>
    <w:rsid w:val="00C41A04"/>
    <w:rsid w:val="00C41A1F"/>
    <w:rsid w:val="00C420C3"/>
    <w:rsid w:val="00C43312"/>
    <w:rsid w:val="00C435C3"/>
    <w:rsid w:val="00C43C38"/>
    <w:rsid w:val="00C447DC"/>
    <w:rsid w:val="00C44941"/>
    <w:rsid w:val="00C45280"/>
    <w:rsid w:val="00C4574C"/>
    <w:rsid w:val="00C4621D"/>
    <w:rsid w:val="00C467B7"/>
    <w:rsid w:val="00C468F1"/>
    <w:rsid w:val="00C47252"/>
    <w:rsid w:val="00C47F7D"/>
    <w:rsid w:val="00C50A5F"/>
    <w:rsid w:val="00C52345"/>
    <w:rsid w:val="00C53260"/>
    <w:rsid w:val="00C532AD"/>
    <w:rsid w:val="00C5362A"/>
    <w:rsid w:val="00C5373E"/>
    <w:rsid w:val="00C538A9"/>
    <w:rsid w:val="00C53986"/>
    <w:rsid w:val="00C539A4"/>
    <w:rsid w:val="00C543D6"/>
    <w:rsid w:val="00C543F1"/>
    <w:rsid w:val="00C55C43"/>
    <w:rsid w:val="00C56108"/>
    <w:rsid w:val="00C57A49"/>
    <w:rsid w:val="00C57C7F"/>
    <w:rsid w:val="00C60AB6"/>
    <w:rsid w:val="00C61E41"/>
    <w:rsid w:val="00C6234B"/>
    <w:rsid w:val="00C62754"/>
    <w:rsid w:val="00C62B2B"/>
    <w:rsid w:val="00C62F78"/>
    <w:rsid w:val="00C635D5"/>
    <w:rsid w:val="00C63637"/>
    <w:rsid w:val="00C63E85"/>
    <w:rsid w:val="00C63EAE"/>
    <w:rsid w:val="00C642D6"/>
    <w:rsid w:val="00C64D03"/>
    <w:rsid w:val="00C652A6"/>
    <w:rsid w:val="00C65A78"/>
    <w:rsid w:val="00C66418"/>
    <w:rsid w:val="00C6664D"/>
    <w:rsid w:val="00C666F5"/>
    <w:rsid w:val="00C670A4"/>
    <w:rsid w:val="00C67F65"/>
    <w:rsid w:val="00C71CEF"/>
    <w:rsid w:val="00C7245B"/>
    <w:rsid w:val="00C727CC"/>
    <w:rsid w:val="00C728D7"/>
    <w:rsid w:val="00C72A73"/>
    <w:rsid w:val="00C74A6A"/>
    <w:rsid w:val="00C74E89"/>
    <w:rsid w:val="00C75079"/>
    <w:rsid w:val="00C750FD"/>
    <w:rsid w:val="00C75979"/>
    <w:rsid w:val="00C7629F"/>
    <w:rsid w:val="00C762A9"/>
    <w:rsid w:val="00C765EB"/>
    <w:rsid w:val="00C766A3"/>
    <w:rsid w:val="00C7757E"/>
    <w:rsid w:val="00C77AF6"/>
    <w:rsid w:val="00C804B4"/>
    <w:rsid w:val="00C80BC2"/>
    <w:rsid w:val="00C811DD"/>
    <w:rsid w:val="00C815FD"/>
    <w:rsid w:val="00C81841"/>
    <w:rsid w:val="00C81CC2"/>
    <w:rsid w:val="00C8271B"/>
    <w:rsid w:val="00C82C8D"/>
    <w:rsid w:val="00C833A5"/>
    <w:rsid w:val="00C839B3"/>
    <w:rsid w:val="00C845ED"/>
    <w:rsid w:val="00C84AFE"/>
    <w:rsid w:val="00C85030"/>
    <w:rsid w:val="00C850D9"/>
    <w:rsid w:val="00C85E53"/>
    <w:rsid w:val="00C862F1"/>
    <w:rsid w:val="00C863FE"/>
    <w:rsid w:val="00C86476"/>
    <w:rsid w:val="00C865F4"/>
    <w:rsid w:val="00C8661B"/>
    <w:rsid w:val="00C877EE"/>
    <w:rsid w:val="00C878AE"/>
    <w:rsid w:val="00C87CCB"/>
    <w:rsid w:val="00C9033F"/>
    <w:rsid w:val="00C90763"/>
    <w:rsid w:val="00C91B5C"/>
    <w:rsid w:val="00C92E5C"/>
    <w:rsid w:val="00C93116"/>
    <w:rsid w:val="00C9367E"/>
    <w:rsid w:val="00C93BD4"/>
    <w:rsid w:val="00C94175"/>
    <w:rsid w:val="00C9460F"/>
    <w:rsid w:val="00C9464D"/>
    <w:rsid w:val="00C95652"/>
    <w:rsid w:val="00C9592F"/>
    <w:rsid w:val="00C95DDD"/>
    <w:rsid w:val="00C96780"/>
    <w:rsid w:val="00C96CAC"/>
    <w:rsid w:val="00C96F11"/>
    <w:rsid w:val="00C96F16"/>
    <w:rsid w:val="00C972EC"/>
    <w:rsid w:val="00C97580"/>
    <w:rsid w:val="00CA139A"/>
    <w:rsid w:val="00CA1D31"/>
    <w:rsid w:val="00CA2092"/>
    <w:rsid w:val="00CA271C"/>
    <w:rsid w:val="00CA2899"/>
    <w:rsid w:val="00CA2A79"/>
    <w:rsid w:val="00CA3A3D"/>
    <w:rsid w:val="00CA4F69"/>
    <w:rsid w:val="00CA50A1"/>
    <w:rsid w:val="00CA5165"/>
    <w:rsid w:val="00CA5197"/>
    <w:rsid w:val="00CA5D59"/>
    <w:rsid w:val="00CA607D"/>
    <w:rsid w:val="00CA6191"/>
    <w:rsid w:val="00CA72AC"/>
    <w:rsid w:val="00CA77FB"/>
    <w:rsid w:val="00CA7816"/>
    <w:rsid w:val="00CA7895"/>
    <w:rsid w:val="00CB1E3D"/>
    <w:rsid w:val="00CB25A9"/>
    <w:rsid w:val="00CB2C5F"/>
    <w:rsid w:val="00CB379B"/>
    <w:rsid w:val="00CB5DD0"/>
    <w:rsid w:val="00CB619D"/>
    <w:rsid w:val="00CB6627"/>
    <w:rsid w:val="00CB6AE9"/>
    <w:rsid w:val="00CB71CE"/>
    <w:rsid w:val="00CC003C"/>
    <w:rsid w:val="00CC06D8"/>
    <w:rsid w:val="00CC07BC"/>
    <w:rsid w:val="00CC11E8"/>
    <w:rsid w:val="00CC133E"/>
    <w:rsid w:val="00CC13DA"/>
    <w:rsid w:val="00CC14C1"/>
    <w:rsid w:val="00CC14C2"/>
    <w:rsid w:val="00CC1B43"/>
    <w:rsid w:val="00CC1DB4"/>
    <w:rsid w:val="00CC262A"/>
    <w:rsid w:val="00CC281F"/>
    <w:rsid w:val="00CC2CD5"/>
    <w:rsid w:val="00CC309B"/>
    <w:rsid w:val="00CC3955"/>
    <w:rsid w:val="00CC3D29"/>
    <w:rsid w:val="00CC4242"/>
    <w:rsid w:val="00CC46DA"/>
    <w:rsid w:val="00CC494A"/>
    <w:rsid w:val="00CC51D4"/>
    <w:rsid w:val="00CC5B93"/>
    <w:rsid w:val="00CC65DA"/>
    <w:rsid w:val="00CC6CD5"/>
    <w:rsid w:val="00CC6F6A"/>
    <w:rsid w:val="00CC7086"/>
    <w:rsid w:val="00CC71C1"/>
    <w:rsid w:val="00CC7A7E"/>
    <w:rsid w:val="00CD0632"/>
    <w:rsid w:val="00CD085C"/>
    <w:rsid w:val="00CD0F04"/>
    <w:rsid w:val="00CD10E3"/>
    <w:rsid w:val="00CD1ED2"/>
    <w:rsid w:val="00CD2AFB"/>
    <w:rsid w:val="00CD3AA4"/>
    <w:rsid w:val="00CD452C"/>
    <w:rsid w:val="00CD481A"/>
    <w:rsid w:val="00CD4BBD"/>
    <w:rsid w:val="00CD5597"/>
    <w:rsid w:val="00CD5ECF"/>
    <w:rsid w:val="00CD6075"/>
    <w:rsid w:val="00CD609A"/>
    <w:rsid w:val="00CD665F"/>
    <w:rsid w:val="00CD6AA6"/>
    <w:rsid w:val="00CD6DDF"/>
    <w:rsid w:val="00CD7323"/>
    <w:rsid w:val="00CD7E8C"/>
    <w:rsid w:val="00CE0984"/>
    <w:rsid w:val="00CE0B5C"/>
    <w:rsid w:val="00CE1039"/>
    <w:rsid w:val="00CE1AF5"/>
    <w:rsid w:val="00CE1B15"/>
    <w:rsid w:val="00CE1EC2"/>
    <w:rsid w:val="00CE2573"/>
    <w:rsid w:val="00CE4C3F"/>
    <w:rsid w:val="00CE51FF"/>
    <w:rsid w:val="00CE5F8D"/>
    <w:rsid w:val="00CE6607"/>
    <w:rsid w:val="00CE7220"/>
    <w:rsid w:val="00CE7BC5"/>
    <w:rsid w:val="00CF07AA"/>
    <w:rsid w:val="00CF0B66"/>
    <w:rsid w:val="00CF206B"/>
    <w:rsid w:val="00CF21B9"/>
    <w:rsid w:val="00CF28C7"/>
    <w:rsid w:val="00CF3033"/>
    <w:rsid w:val="00CF3A00"/>
    <w:rsid w:val="00CF3A14"/>
    <w:rsid w:val="00CF4245"/>
    <w:rsid w:val="00CF42E3"/>
    <w:rsid w:val="00CF4CE5"/>
    <w:rsid w:val="00CF4F43"/>
    <w:rsid w:val="00CF6032"/>
    <w:rsid w:val="00CF6388"/>
    <w:rsid w:val="00CF64EE"/>
    <w:rsid w:val="00CF65E7"/>
    <w:rsid w:val="00CF65EC"/>
    <w:rsid w:val="00CF6BF9"/>
    <w:rsid w:val="00CF72A6"/>
    <w:rsid w:val="00CF7DDA"/>
    <w:rsid w:val="00CF7ED5"/>
    <w:rsid w:val="00D0037A"/>
    <w:rsid w:val="00D008A9"/>
    <w:rsid w:val="00D00F22"/>
    <w:rsid w:val="00D00F64"/>
    <w:rsid w:val="00D02825"/>
    <w:rsid w:val="00D02F09"/>
    <w:rsid w:val="00D03800"/>
    <w:rsid w:val="00D03E8F"/>
    <w:rsid w:val="00D04641"/>
    <w:rsid w:val="00D049EF"/>
    <w:rsid w:val="00D04CAD"/>
    <w:rsid w:val="00D0656E"/>
    <w:rsid w:val="00D065D3"/>
    <w:rsid w:val="00D06C25"/>
    <w:rsid w:val="00D0704A"/>
    <w:rsid w:val="00D072E3"/>
    <w:rsid w:val="00D073EB"/>
    <w:rsid w:val="00D0766C"/>
    <w:rsid w:val="00D079FC"/>
    <w:rsid w:val="00D07D33"/>
    <w:rsid w:val="00D07E94"/>
    <w:rsid w:val="00D10085"/>
    <w:rsid w:val="00D10A3C"/>
    <w:rsid w:val="00D10EC6"/>
    <w:rsid w:val="00D11954"/>
    <w:rsid w:val="00D12C4F"/>
    <w:rsid w:val="00D130B0"/>
    <w:rsid w:val="00D138B7"/>
    <w:rsid w:val="00D13B34"/>
    <w:rsid w:val="00D14B9F"/>
    <w:rsid w:val="00D14C94"/>
    <w:rsid w:val="00D14DA5"/>
    <w:rsid w:val="00D14E9A"/>
    <w:rsid w:val="00D150D2"/>
    <w:rsid w:val="00D151DF"/>
    <w:rsid w:val="00D1555D"/>
    <w:rsid w:val="00D16586"/>
    <w:rsid w:val="00D16D33"/>
    <w:rsid w:val="00D16F0A"/>
    <w:rsid w:val="00D17140"/>
    <w:rsid w:val="00D17168"/>
    <w:rsid w:val="00D1735E"/>
    <w:rsid w:val="00D20161"/>
    <w:rsid w:val="00D208AC"/>
    <w:rsid w:val="00D20F2E"/>
    <w:rsid w:val="00D211B0"/>
    <w:rsid w:val="00D21E55"/>
    <w:rsid w:val="00D22814"/>
    <w:rsid w:val="00D22A53"/>
    <w:rsid w:val="00D22D21"/>
    <w:rsid w:val="00D23D78"/>
    <w:rsid w:val="00D248D0"/>
    <w:rsid w:val="00D25535"/>
    <w:rsid w:val="00D259BD"/>
    <w:rsid w:val="00D26DD8"/>
    <w:rsid w:val="00D26E84"/>
    <w:rsid w:val="00D26FA9"/>
    <w:rsid w:val="00D271E3"/>
    <w:rsid w:val="00D27333"/>
    <w:rsid w:val="00D278DF"/>
    <w:rsid w:val="00D27A7D"/>
    <w:rsid w:val="00D27C4F"/>
    <w:rsid w:val="00D30823"/>
    <w:rsid w:val="00D30C53"/>
    <w:rsid w:val="00D31AC4"/>
    <w:rsid w:val="00D31AE2"/>
    <w:rsid w:val="00D3252B"/>
    <w:rsid w:val="00D32D13"/>
    <w:rsid w:val="00D3307A"/>
    <w:rsid w:val="00D331AD"/>
    <w:rsid w:val="00D33966"/>
    <w:rsid w:val="00D341F6"/>
    <w:rsid w:val="00D342A6"/>
    <w:rsid w:val="00D3437B"/>
    <w:rsid w:val="00D35459"/>
    <w:rsid w:val="00D360E0"/>
    <w:rsid w:val="00D36177"/>
    <w:rsid w:val="00D36254"/>
    <w:rsid w:val="00D364B6"/>
    <w:rsid w:val="00D36D37"/>
    <w:rsid w:val="00D36D98"/>
    <w:rsid w:val="00D4084B"/>
    <w:rsid w:val="00D40980"/>
    <w:rsid w:val="00D4305D"/>
    <w:rsid w:val="00D43440"/>
    <w:rsid w:val="00D44D65"/>
    <w:rsid w:val="00D45399"/>
    <w:rsid w:val="00D45CA6"/>
    <w:rsid w:val="00D45FAF"/>
    <w:rsid w:val="00D4629A"/>
    <w:rsid w:val="00D4638F"/>
    <w:rsid w:val="00D464BF"/>
    <w:rsid w:val="00D47189"/>
    <w:rsid w:val="00D47E71"/>
    <w:rsid w:val="00D50422"/>
    <w:rsid w:val="00D509A9"/>
    <w:rsid w:val="00D50D81"/>
    <w:rsid w:val="00D50E37"/>
    <w:rsid w:val="00D511C9"/>
    <w:rsid w:val="00D51301"/>
    <w:rsid w:val="00D51AC0"/>
    <w:rsid w:val="00D51FEA"/>
    <w:rsid w:val="00D53356"/>
    <w:rsid w:val="00D539BC"/>
    <w:rsid w:val="00D53C4B"/>
    <w:rsid w:val="00D53E26"/>
    <w:rsid w:val="00D54203"/>
    <w:rsid w:val="00D54788"/>
    <w:rsid w:val="00D563C5"/>
    <w:rsid w:val="00D568DE"/>
    <w:rsid w:val="00D57896"/>
    <w:rsid w:val="00D60AA6"/>
    <w:rsid w:val="00D6107D"/>
    <w:rsid w:val="00D61DFB"/>
    <w:rsid w:val="00D62659"/>
    <w:rsid w:val="00D62673"/>
    <w:rsid w:val="00D6390C"/>
    <w:rsid w:val="00D639D6"/>
    <w:rsid w:val="00D63D39"/>
    <w:rsid w:val="00D649BC"/>
    <w:rsid w:val="00D649F8"/>
    <w:rsid w:val="00D64F31"/>
    <w:rsid w:val="00D652D1"/>
    <w:rsid w:val="00D6553A"/>
    <w:rsid w:val="00D65A1A"/>
    <w:rsid w:val="00D66C31"/>
    <w:rsid w:val="00D66FC6"/>
    <w:rsid w:val="00D67268"/>
    <w:rsid w:val="00D67945"/>
    <w:rsid w:val="00D700EB"/>
    <w:rsid w:val="00D702C8"/>
    <w:rsid w:val="00D70348"/>
    <w:rsid w:val="00D70410"/>
    <w:rsid w:val="00D704B1"/>
    <w:rsid w:val="00D7068C"/>
    <w:rsid w:val="00D70E3B"/>
    <w:rsid w:val="00D71510"/>
    <w:rsid w:val="00D71796"/>
    <w:rsid w:val="00D72131"/>
    <w:rsid w:val="00D7289B"/>
    <w:rsid w:val="00D72BDE"/>
    <w:rsid w:val="00D72EFA"/>
    <w:rsid w:val="00D7351F"/>
    <w:rsid w:val="00D73BA5"/>
    <w:rsid w:val="00D73D5D"/>
    <w:rsid w:val="00D742FA"/>
    <w:rsid w:val="00D74A6F"/>
    <w:rsid w:val="00D74A88"/>
    <w:rsid w:val="00D74ABC"/>
    <w:rsid w:val="00D74ACB"/>
    <w:rsid w:val="00D76880"/>
    <w:rsid w:val="00D770A2"/>
    <w:rsid w:val="00D80BDF"/>
    <w:rsid w:val="00D815BD"/>
    <w:rsid w:val="00D81912"/>
    <w:rsid w:val="00D81F15"/>
    <w:rsid w:val="00D82326"/>
    <w:rsid w:val="00D82636"/>
    <w:rsid w:val="00D82C00"/>
    <w:rsid w:val="00D82ED0"/>
    <w:rsid w:val="00D82F85"/>
    <w:rsid w:val="00D83129"/>
    <w:rsid w:val="00D83AD9"/>
    <w:rsid w:val="00D8423C"/>
    <w:rsid w:val="00D858D6"/>
    <w:rsid w:val="00D879BC"/>
    <w:rsid w:val="00D9030D"/>
    <w:rsid w:val="00D90570"/>
    <w:rsid w:val="00D91BBC"/>
    <w:rsid w:val="00D936B6"/>
    <w:rsid w:val="00D939A2"/>
    <w:rsid w:val="00D93AD2"/>
    <w:rsid w:val="00D93B6D"/>
    <w:rsid w:val="00D9413E"/>
    <w:rsid w:val="00D9450E"/>
    <w:rsid w:val="00D95652"/>
    <w:rsid w:val="00D95AF0"/>
    <w:rsid w:val="00D96766"/>
    <w:rsid w:val="00D96BEF"/>
    <w:rsid w:val="00D978DD"/>
    <w:rsid w:val="00D97EF5"/>
    <w:rsid w:val="00DA03EA"/>
    <w:rsid w:val="00DA0555"/>
    <w:rsid w:val="00DA0B72"/>
    <w:rsid w:val="00DA0CBA"/>
    <w:rsid w:val="00DA1636"/>
    <w:rsid w:val="00DA1B43"/>
    <w:rsid w:val="00DA2596"/>
    <w:rsid w:val="00DA2668"/>
    <w:rsid w:val="00DA2DB2"/>
    <w:rsid w:val="00DA2DC2"/>
    <w:rsid w:val="00DA2F0A"/>
    <w:rsid w:val="00DA3901"/>
    <w:rsid w:val="00DA3B4C"/>
    <w:rsid w:val="00DA3B79"/>
    <w:rsid w:val="00DA40A0"/>
    <w:rsid w:val="00DA42C9"/>
    <w:rsid w:val="00DA4CDB"/>
    <w:rsid w:val="00DA53BF"/>
    <w:rsid w:val="00DA5D69"/>
    <w:rsid w:val="00DA62B5"/>
    <w:rsid w:val="00DA661C"/>
    <w:rsid w:val="00DA69D9"/>
    <w:rsid w:val="00DA6A1E"/>
    <w:rsid w:val="00DA6AEA"/>
    <w:rsid w:val="00DA7541"/>
    <w:rsid w:val="00DA7A1D"/>
    <w:rsid w:val="00DA7E82"/>
    <w:rsid w:val="00DA7E8C"/>
    <w:rsid w:val="00DA7FDA"/>
    <w:rsid w:val="00DB0123"/>
    <w:rsid w:val="00DB017D"/>
    <w:rsid w:val="00DB02CF"/>
    <w:rsid w:val="00DB043F"/>
    <w:rsid w:val="00DB0627"/>
    <w:rsid w:val="00DB12A1"/>
    <w:rsid w:val="00DB12AB"/>
    <w:rsid w:val="00DB1430"/>
    <w:rsid w:val="00DB244F"/>
    <w:rsid w:val="00DB2483"/>
    <w:rsid w:val="00DB26B5"/>
    <w:rsid w:val="00DB2B11"/>
    <w:rsid w:val="00DB2E35"/>
    <w:rsid w:val="00DB3402"/>
    <w:rsid w:val="00DB4CB9"/>
    <w:rsid w:val="00DB62D1"/>
    <w:rsid w:val="00DB6740"/>
    <w:rsid w:val="00DB7021"/>
    <w:rsid w:val="00DB744D"/>
    <w:rsid w:val="00DB7914"/>
    <w:rsid w:val="00DC0410"/>
    <w:rsid w:val="00DC04E2"/>
    <w:rsid w:val="00DC0BC0"/>
    <w:rsid w:val="00DC11B7"/>
    <w:rsid w:val="00DC18C6"/>
    <w:rsid w:val="00DC2380"/>
    <w:rsid w:val="00DC2397"/>
    <w:rsid w:val="00DC35D7"/>
    <w:rsid w:val="00DC43C4"/>
    <w:rsid w:val="00DC4ADE"/>
    <w:rsid w:val="00DC4E6A"/>
    <w:rsid w:val="00DC5B01"/>
    <w:rsid w:val="00DC6298"/>
    <w:rsid w:val="00DC6A30"/>
    <w:rsid w:val="00DC7521"/>
    <w:rsid w:val="00DD1C45"/>
    <w:rsid w:val="00DD27F7"/>
    <w:rsid w:val="00DD2BEC"/>
    <w:rsid w:val="00DD2E21"/>
    <w:rsid w:val="00DD2E6F"/>
    <w:rsid w:val="00DD3575"/>
    <w:rsid w:val="00DD41BB"/>
    <w:rsid w:val="00DD4351"/>
    <w:rsid w:val="00DD4730"/>
    <w:rsid w:val="00DD493A"/>
    <w:rsid w:val="00DD4BAF"/>
    <w:rsid w:val="00DD4E94"/>
    <w:rsid w:val="00DD4F0E"/>
    <w:rsid w:val="00DD4FF1"/>
    <w:rsid w:val="00DD5332"/>
    <w:rsid w:val="00DD53C7"/>
    <w:rsid w:val="00DD6ABA"/>
    <w:rsid w:val="00DD6D93"/>
    <w:rsid w:val="00DD7198"/>
    <w:rsid w:val="00DE0A76"/>
    <w:rsid w:val="00DE0B60"/>
    <w:rsid w:val="00DE0B6B"/>
    <w:rsid w:val="00DE0FBB"/>
    <w:rsid w:val="00DE13E0"/>
    <w:rsid w:val="00DE1C16"/>
    <w:rsid w:val="00DE20C2"/>
    <w:rsid w:val="00DE22A7"/>
    <w:rsid w:val="00DE387F"/>
    <w:rsid w:val="00DE3908"/>
    <w:rsid w:val="00DE3A0D"/>
    <w:rsid w:val="00DE3BE7"/>
    <w:rsid w:val="00DE46B4"/>
    <w:rsid w:val="00DE4736"/>
    <w:rsid w:val="00DE4C56"/>
    <w:rsid w:val="00DE51DE"/>
    <w:rsid w:val="00DE5768"/>
    <w:rsid w:val="00DE579F"/>
    <w:rsid w:val="00DE7E07"/>
    <w:rsid w:val="00DE7E60"/>
    <w:rsid w:val="00DF0364"/>
    <w:rsid w:val="00DF06CF"/>
    <w:rsid w:val="00DF0BF0"/>
    <w:rsid w:val="00DF0F6F"/>
    <w:rsid w:val="00DF199B"/>
    <w:rsid w:val="00DF1D08"/>
    <w:rsid w:val="00DF238C"/>
    <w:rsid w:val="00DF3421"/>
    <w:rsid w:val="00DF3655"/>
    <w:rsid w:val="00DF3CA2"/>
    <w:rsid w:val="00DF3E13"/>
    <w:rsid w:val="00DF4515"/>
    <w:rsid w:val="00DF49FF"/>
    <w:rsid w:val="00DF4E56"/>
    <w:rsid w:val="00DF6838"/>
    <w:rsid w:val="00DF74C4"/>
    <w:rsid w:val="00DF75C7"/>
    <w:rsid w:val="00DF7C86"/>
    <w:rsid w:val="00E009CA"/>
    <w:rsid w:val="00E00CCE"/>
    <w:rsid w:val="00E00D4D"/>
    <w:rsid w:val="00E01463"/>
    <w:rsid w:val="00E01650"/>
    <w:rsid w:val="00E01809"/>
    <w:rsid w:val="00E02A46"/>
    <w:rsid w:val="00E02EEB"/>
    <w:rsid w:val="00E03644"/>
    <w:rsid w:val="00E03BD2"/>
    <w:rsid w:val="00E03FE2"/>
    <w:rsid w:val="00E04C82"/>
    <w:rsid w:val="00E05052"/>
    <w:rsid w:val="00E05842"/>
    <w:rsid w:val="00E05E0A"/>
    <w:rsid w:val="00E05EB9"/>
    <w:rsid w:val="00E060BE"/>
    <w:rsid w:val="00E0722F"/>
    <w:rsid w:val="00E077EE"/>
    <w:rsid w:val="00E07B9A"/>
    <w:rsid w:val="00E07E7B"/>
    <w:rsid w:val="00E10381"/>
    <w:rsid w:val="00E108FB"/>
    <w:rsid w:val="00E115A5"/>
    <w:rsid w:val="00E124F6"/>
    <w:rsid w:val="00E12B49"/>
    <w:rsid w:val="00E131AE"/>
    <w:rsid w:val="00E13418"/>
    <w:rsid w:val="00E1369E"/>
    <w:rsid w:val="00E13A87"/>
    <w:rsid w:val="00E13D5D"/>
    <w:rsid w:val="00E149B7"/>
    <w:rsid w:val="00E14CC4"/>
    <w:rsid w:val="00E15479"/>
    <w:rsid w:val="00E154B2"/>
    <w:rsid w:val="00E15920"/>
    <w:rsid w:val="00E15BA5"/>
    <w:rsid w:val="00E20092"/>
    <w:rsid w:val="00E20B03"/>
    <w:rsid w:val="00E20DCA"/>
    <w:rsid w:val="00E219E5"/>
    <w:rsid w:val="00E23278"/>
    <w:rsid w:val="00E23DD4"/>
    <w:rsid w:val="00E24F2C"/>
    <w:rsid w:val="00E254ED"/>
    <w:rsid w:val="00E259E1"/>
    <w:rsid w:val="00E266D0"/>
    <w:rsid w:val="00E268A5"/>
    <w:rsid w:val="00E270DA"/>
    <w:rsid w:val="00E272DE"/>
    <w:rsid w:val="00E30607"/>
    <w:rsid w:val="00E30B87"/>
    <w:rsid w:val="00E31746"/>
    <w:rsid w:val="00E31CFC"/>
    <w:rsid w:val="00E3218A"/>
    <w:rsid w:val="00E323C6"/>
    <w:rsid w:val="00E32787"/>
    <w:rsid w:val="00E32ED9"/>
    <w:rsid w:val="00E3355E"/>
    <w:rsid w:val="00E33562"/>
    <w:rsid w:val="00E335B3"/>
    <w:rsid w:val="00E33ECC"/>
    <w:rsid w:val="00E34363"/>
    <w:rsid w:val="00E34C6E"/>
    <w:rsid w:val="00E35675"/>
    <w:rsid w:val="00E358B3"/>
    <w:rsid w:val="00E35D47"/>
    <w:rsid w:val="00E37460"/>
    <w:rsid w:val="00E3772F"/>
    <w:rsid w:val="00E37B18"/>
    <w:rsid w:val="00E37CB6"/>
    <w:rsid w:val="00E40092"/>
    <w:rsid w:val="00E400F7"/>
    <w:rsid w:val="00E4095D"/>
    <w:rsid w:val="00E40CA1"/>
    <w:rsid w:val="00E40DAC"/>
    <w:rsid w:val="00E413EC"/>
    <w:rsid w:val="00E414B3"/>
    <w:rsid w:val="00E41C77"/>
    <w:rsid w:val="00E42006"/>
    <w:rsid w:val="00E421C9"/>
    <w:rsid w:val="00E42A8A"/>
    <w:rsid w:val="00E43413"/>
    <w:rsid w:val="00E436FF"/>
    <w:rsid w:val="00E43925"/>
    <w:rsid w:val="00E43C7B"/>
    <w:rsid w:val="00E43EB1"/>
    <w:rsid w:val="00E449EB"/>
    <w:rsid w:val="00E44D6C"/>
    <w:rsid w:val="00E45008"/>
    <w:rsid w:val="00E45195"/>
    <w:rsid w:val="00E459FD"/>
    <w:rsid w:val="00E45C50"/>
    <w:rsid w:val="00E45D23"/>
    <w:rsid w:val="00E46186"/>
    <w:rsid w:val="00E47444"/>
    <w:rsid w:val="00E50741"/>
    <w:rsid w:val="00E51DDB"/>
    <w:rsid w:val="00E51E50"/>
    <w:rsid w:val="00E534CF"/>
    <w:rsid w:val="00E54411"/>
    <w:rsid w:val="00E54C73"/>
    <w:rsid w:val="00E552BF"/>
    <w:rsid w:val="00E5555B"/>
    <w:rsid w:val="00E556A2"/>
    <w:rsid w:val="00E55B4A"/>
    <w:rsid w:val="00E55D3A"/>
    <w:rsid w:val="00E55F88"/>
    <w:rsid w:val="00E56199"/>
    <w:rsid w:val="00E5621F"/>
    <w:rsid w:val="00E577F5"/>
    <w:rsid w:val="00E57869"/>
    <w:rsid w:val="00E6013D"/>
    <w:rsid w:val="00E60572"/>
    <w:rsid w:val="00E608F2"/>
    <w:rsid w:val="00E60C09"/>
    <w:rsid w:val="00E61A9F"/>
    <w:rsid w:val="00E6216E"/>
    <w:rsid w:val="00E62FFF"/>
    <w:rsid w:val="00E63DCE"/>
    <w:rsid w:val="00E64224"/>
    <w:rsid w:val="00E645BD"/>
    <w:rsid w:val="00E65809"/>
    <w:rsid w:val="00E66A72"/>
    <w:rsid w:val="00E66F98"/>
    <w:rsid w:val="00E673F6"/>
    <w:rsid w:val="00E70045"/>
    <w:rsid w:val="00E70663"/>
    <w:rsid w:val="00E707A3"/>
    <w:rsid w:val="00E71098"/>
    <w:rsid w:val="00E72DCD"/>
    <w:rsid w:val="00E72F50"/>
    <w:rsid w:val="00E72F72"/>
    <w:rsid w:val="00E74476"/>
    <w:rsid w:val="00E74644"/>
    <w:rsid w:val="00E74DBA"/>
    <w:rsid w:val="00E74E77"/>
    <w:rsid w:val="00E75402"/>
    <w:rsid w:val="00E75653"/>
    <w:rsid w:val="00E75ECC"/>
    <w:rsid w:val="00E7622D"/>
    <w:rsid w:val="00E76262"/>
    <w:rsid w:val="00E770DF"/>
    <w:rsid w:val="00E774A2"/>
    <w:rsid w:val="00E77852"/>
    <w:rsid w:val="00E77A9A"/>
    <w:rsid w:val="00E77C31"/>
    <w:rsid w:val="00E77F05"/>
    <w:rsid w:val="00E80505"/>
    <w:rsid w:val="00E80BF7"/>
    <w:rsid w:val="00E80DAC"/>
    <w:rsid w:val="00E8177E"/>
    <w:rsid w:val="00E81CB4"/>
    <w:rsid w:val="00E81F1E"/>
    <w:rsid w:val="00E82107"/>
    <w:rsid w:val="00E8240B"/>
    <w:rsid w:val="00E82453"/>
    <w:rsid w:val="00E83E4B"/>
    <w:rsid w:val="00E84D06"/>
    <w:rsid w:val="00E8585B"/>
    <w:rsid w:val="00E85BC1"/>
    <w:rsid w:val="00E860E7"/>
    <w:rsid w:val="00E86F75"/>
    <w:rsid w:val="00E875A0"/>
    <w:rsid w:val="00E90A95"/>
    <w:rsid w:val="00E90CA7"/>
    <w:rsid w:val="00E91E4E"/>
    <w:rsid w:val="00E91F1E"/>
    <w:rsid w:val="00E93B19"/>
    <w:rsid w:val="00E94283"/>
    <w:rsid w:val="00E94904"/>
    <w:rsid w:val="00E96509"/>
    <w:rsid w:val="00E9653F"/>
    <w:rsid w:val="00E967DC"/>
    <w:rsid w:val="00E968DE"/>
    <w:rsid w:val="00E96EE1"/>
    <w:rsid w:val="00E9756B"/>
    <w:rsid w:val="00E975EA"/>
    <w:rsid w:val="00E97857"/>
    <w:rsid w:val="00E97921"/>
    <w:rsid w:val="00EA03B0"/>
    <w:rsid w:val="00EA06CA"/>
    <w:rsid w:val="00EA1589"/>
    <w:rsid w:val="00EA1BBC"/>
    <w:rsid w:val="00EA2EFF"/>
    <w:rsid w:val="00EA3A3D"/>
    <w:rsid w:val="00EA3D15"/>
    <w:rsid w:val="00EA3F15"/>
    <w:rsid w:val="00EA4F8D"/>
    <w:rsid w:val="00EA5717"/>
    <w:rsid w:val="00EA5A5D"/>
    <w:rsid w:val="00EA5E53"/>
    <w:rsid w:val="00EA7409"/>
    <w:rsid w:val="00EA7847"/>
    <w:rsid w:val="00EA7FDF"/>
    <w:rsid w:val="00EB01FB"/>
    <w:rsid w:val="00EB263B"/>
    <w:rsid w:val="00EB2746"/>
    <w:rsid w:val="00EB4347"/>
    <w:rsid w:val="00EB4C2F"/>
    <w:rsid w:val="00EB6655"/>
    <w:rsid w:val="00EB68F4"/>
    <w:rsid w:val="00EB6DF0"/>
    <w:rsid w:val="00EB6F6A"/>
    <w:rsid w:val="00EB744B"/>
    <w:rsid w:val="00EB74D3"/>
    <w:rsid w:val="00EB7A7A"/>
    <w:rsid w:val="00EC1726"/>
    <w:rsid w:val="00EC1E03"/>
    <w:rsid w:val="00EC2370"/>
    <w:rsid w:val="00EC326F"/>
    <w:rsid w:val="00EC33A9"/>
    <w:rsid w:val="00EC3732"/>
    <w:rsid w:val="00EC3CE5"/>
    <w:rsid w:val="00EC448C"/>
    <w:rsid w:val="00EC4646"/>
    <w:rsid w:val="00EC5024"/>
    <w:rsid w:val="00EC527D"/>
    <w:rsid w:val="00EC5481"/>
    <w:rsid w:val="00EC6133"/>
    <w:rsid w:val="00EC696B"/>
    <w:rsid w:val="00EC6A3C"/>
    <w:rsid w:val="00EC71F9"/>
    <w:rsid w:val="00EC74B2"/>
    <w:rsid w:val="00ED0427"/>
    <w:rsid w:val="00ED13B4"/>
    <w:rsid w:val="00ED1F88"/>
    <w:rsid w:val="00ED227B"/>
    <w:rsid w:val="00ED26AF"/>
    <w:rsid w:val="00ED2821"/>
    <w:rsid w:val="00ED479B"/>
    <w:rsid w:val="00ED507C"/>
    <w:rsid w:val="00ED590E"/>
    <w:rsid w:val="00ED5A9B"/>
    <w:rsid w:val="00ED6095"/>
    <w:rsid w:val="00ED66C4"/>
    <w:rsid w:val="00ED6B9C"/>
    <w:rsid w:val="00ED6FD3"/>
    <w:rsid w:val="00ED7229"/>
    <w:rsid w:val="00ED7606"/>
    <w:rsid w:val="00ED773F"/>
    <w:rsid w:val="00ED77EB"/>
    <w:rsid w:val="00EE0B74"/>
    <w:rsid w:val="00EE12F5"/>
    <w:rsid w:val="00EE151D"/>
    <w:rsid w:val="00EE1D83"/>
    <w:rsid w:val="00EE1F2B"/>
    <w:rsid w:val="00EE23FE"/>
    <w:rsid w:val="00EE2E6E"/>
    <w:rsid w:val="00EE3B39"/>
    <w:rsid w:val="00EE467D"/>
    <w:rsid w:val="00EE4868"/>
    <w:rsid w:val="00EE4D57"/>
    <w:rsid w:val="00EE5DE0"/>
    <w:rsid w:val="00EE611D"/>
    <w:rsid w:val="00EE6127"/>
    <w:rsid w:val="00EE63EA"/>
    <w:rsid w:val="00EE671B"/>
    <w:rsid w:val="00EE7064"/>
    <w:rsid w:val="00EF05B1"/>
    <w:rsid w:val="00EF0EF0"/>
    <w:rsid w:val="00EF1D1D"/>
    <w:rsid w:val="00EF2EE2"/>
    <w:rsid w:val="00EF3491"/>
    <w:rsid w:val="00EF3F3A"/>
    <w:rsid w:val="00EF3FA8"/>
    <w:rsid w:val="00EF427F"/>
    <w:rsid w:val="00EF4387"/>
    <w:rsid w:val="00EF43F5"/>
    <w:rsid w:val="00EF47F2"/>
    <w:rsid w:val="00EF4850"/>
    <w:rsid w:val="00EF4C5E"/>
    <w:rsid w:val="00EF53A4"/>
    <w:rsid w:val="00EF5E46"/>
    <w:rsid w:val="00EF5FAC"/>
    <w:rsid w:val="00EF6A6F"/>
    <w:rsid w:val="00EF6AA6"/>
    <w:rsid w:val="00EF6D78"/>
    <w:rsid w:val="00EF719C"/>
    <w:rsid w:val="00EF7774"/>
    <w:rsid w:val="00EF7CDA"/>
    <w:rsid w:val="00F002A1"/>
    <w:rsid w:val="00F004AF"/>
    <w:rsid w:val="00F008EA"/>
    <w:rsid w:val="00F00AC8"/>
    <w:rsid w:val="00F01A39"/>
    <w:rsid w:val="00F02289"/>
    <w:rsid w:val="00F022D3"/>
    <w:rsid w:val="00F03284"/>
    <w:rsid w:val="00F0374A"/>
    <w:rsid w:val="00F04F7C"/>
    <w:rsid w:val="00F05988"/>
    <w:rsid w:val="00F05BFC"/>
    <w:rsid w:val="00F05DBB"/>
    <w:rsid w:val="00F06022"/>
    <w:rsid w:val="00F06711"/>
    <w:rsid w:val="00F0759E"/>
    <w:rsid w:val="00F07AB7"/>
    <w:rsid w:val="00F10228"/>
    <w:rsid w:val="00F121A9"/>
    <w:rsid w:val="00F127A4"/>
    <w:rsid w:val="00F12F35"/>
    <w:rsid w:val="00F13040"/>
    <w:rsid w:val="00F13246"/>
    <w:rsid w:val="00F14BE3"/>
    <w:rsid w:val="00F1583A"/>
    <w:rsid w:val="00F1587C"/>
    <w:rsid w:val="00F16364"/>
    <w:rsid w:val="00F16862"/>
    <w:rsid w:val="00F169AC"/>
    <w:rsid w:val="00F16A43"/>
    <w:rsid w:val="00F16B57"/>
    <w:rsid w:val="00F17236"/>
    <w:rsid w:val="00F17682"/>
    <w:rsid w:val="00F17709"/>
    <w:rsid w:val="00F178EE"/>
    <w:rsid w:val="00F20432"/>
    <w:rsid w:val="00F21AD4"/>
    <w:rsid w:val="00F25301"/>
    <w:rsid w:val="00F25C47"/>
    <w:rsid w:val="00F260E3"/>
    <w:rsid w:val="00F2641C"/>
    <w:rsid w:val="00F26DE6"/>
    <w:rsid w:val="00F27B79"/>
    <w:rsid w:val="00F307A2"/>
    <w:rsid w:val="00F31436"/>
    <w:rsid w:val="00F31B15"/>
    <w:rsid w:val="00F3254F"/>
    <w:rsid w:val="00F32C16"/>
    <w:rsid w:val="00F32F56"/>
    <w:rsid w:val="00F33434"/>
    <w:rsid w:val="00F337E7"/>
    <w:rsid w:val="00F33F1C"/>
    <w:rsid w:val="00F34BFB"/>
    <w:rsid w:val="00F35316"/>
    <w:rsid w:val="00F373C5"/>
    <w:rsid w:val="00F37C58"/>
    <w:rsid w:val="00F37DC5"/>
    <w:rsid w:val="00F37F7B"/>
    <w:rsid w:val="00F4026A"/>
    <w:rsid w:val="00F411FA"/>
    <w:rsid w:val="00F413E9"/>
    <w:rsid w:val="00F430AC"/>
    <w:rsid w:val="00F43C05"/>
    <w:rsid w:val="00F43E69"/>
    <w:rsid w:val="00F4448E"/>
    <w:rsid w:val="00F44C5E"/>
    <w:rsid w:val="00F44E5C"/>
    <w:rsid w:val="00F45C3D"/>
    <w:rsid w:val="00F46390"/>
    <w:rsid w:val="00F46780"/>
    <w:rsid w:val="00F46F2B"/>
    <w:rsid w:val="00F473E5"/>
    <w:rsid w:val="00F4767C"/>
    <w:rsid w:val="00F47748"/>
    <w:rsid w:val="00F50148"/>
    <w:rsid w:val="00F50D3B"/>
    <w:rsid w:val="00F52E4E"/>
    <w:rsid w:val="00F53D20"/>
    <w:rsid w:val="00F545EA"/>
    <w:rsid w:val="00F5514F"/>
    <w:rsid w:val="00F55370"/>
    <w:rsid w:val="00F55388"/>
    <w:rsid w:val="00F5575D"/>
    <w:rsid w:val="00F5620B"/>
    <w:rsid w:val="00F567C5"/>
    <w:rsid w:val="00F56DBD"/>
    <w:rsid w:val="00F574BA"/>
    <w:rsid w:val="00F576D5"/>
    <w:rsid w:val="00F579D2"/>
    <w:rsid w:val="00F57C79"/>
    <w:rsid w:val="00F60169"/>
    <w:rsid w:val="00F6228A"/>
    <w:rsid w:val="00F62818"/>
    <w:rsid w:val="00F62A86"/>
    <w:rsid w:val="00F633CD"/>
    <w:rsid w:val="00F635CA"/>
    <w:rsid w:val="00F63B6D"/>
    <w:rsid w:val="00F64008"/>
    <w:rsid w:val="00F6498E"/>
    <w:rsid w:val="00F649FB"/>
    <w:rsid w:val="00F64D51"/>
    <w:rsid w:val="00F65442"/>
    <w:rsid w:val="00F656A9"/>
    <w:rsid w:val="00F6583B"/>
    <w:rsid w:val="00F65955"/>
    <w:rsid w:val="00F65990"/>
    <w:rsid w:val="00F66D96"/>
    <w:rsid w:val="00F670CA"/>
    <w:rsid w:val="00F674C8"/>
    <w:rsid w:val="00F6753B"/>
    <w:rsid w:val="00F676C7"/>
    <w:rsid w:val="00F67C83"/>
    <w:rsid w:val="00F70C2F"/>
    <w:rsid w:val="00F710F6"/>
    <w:rsid w:val="00F72990"/>
    <w:rsid w:val="00F72A24"/>
    <w:rsid w:val="00F7332D"/>
    <w:rsid w:val="00F7355A"/>
    <w:rsid w:val="00F73AFC"/>
    <w:rsid w:val="00F75A55"/>
    <w:rsid w:val="00F75B7D"/>
    <w:rsid w:val="00F76098"/>
    <w:rsid w:val="00F76224"/>
    <w:rsid w:val="00F76B34"/>
    <w:rsid w:val="00F76BF6"/>
    <w:rsid w:val="00F76C39"/>
    <w:rsid w:val="00F777D3"/>
    <w:rsid w:val="00F80227"/>
    <w:rsid w:val="00F8053A"/>
    <w:rsid w:val="00F80AB8"/>
    <w:rsid w:val="00F80C5B"/>
    <w:rsid w:val="00F81DCB"/>
    <w:rsid w:val="00F81EFC"/>
    <w:rsid w:val="00F821A3"/>
    <w:rsid w:val="00F82A44"/>
    <w:rsid w:val="00F83A8F"/>
    <w:rsid w:val="00F83B68"/>
    <w:rsid w:val="00F84290"/>
    <w:rsid w:val="00F842D0"/>
    <w:rsid w:val="00F84894"/>
    <w:rsid w:val="00F854BF"/>
    <w:rsid w:val="00F85D1B"/>
    <w:rsid w:val="00F85FBD"/>
    <w:rsid w:val="00F8765B"/>
    <w:rsid w:val="00F87915"/>
    <w:rsid w:val="00F87B8D"/>
    <w:rsid w:val="00F90D14"/>
    <w:rsid w:val="00F91AEC"/>
    <w:rsid w:val="00F923CD"/>
    <w:rsid w:val="00F927D4"/>
    <w:rsid w:val="00F92CDF"/>
    <w:rsid w:val="00F92FA9"/>
    <w:rsid w:val="00F9314A"/>
    <w:rsid w:val="00F93235"/>
    <w:rsid w:val="00F940B2"/>
    <w:rsid w:val="00F946E0"/>
    <w:rsid w:val="00F94848"/>
    <w:rsid w:val="00F94F14"/>
    <w:rsid w:val="00F95401"/>
    <w:rsid w:val="00F95959"/>
    <w:rsid w:val="00F95E3A"/>
    <w:rsid w:val="00F9692C"/>
    <w:rsid w:val="00F97000"/>
    <w:rsid w:val="00F97057"/>
    <w:rsid w:val="00F97467"/>
    <w:rsid w:val="00F9760F"/>
    <w:rsid w:val="00F97E40"/>
    <w:rsid w:val="00FA0C6C"/>
    <w:rsid w:val="00FA183A"/>
    <w:rsid w:val="00FA1B80"/>
    <w:rsid w:val="00FA209D"/>
    <w:rsid w:val="00FA20C4"/>
    <w:rsid w:val="00FA21AF"/>
    <w:rsid w:val="00FA2507"/>
    <w:rsid w:val="00FA2752"/>
    <w:rsid w:val="00FA31FD"/>
    <w:rsid w:val="00FA3EDB"/>
    <w:rsid w:val="00FA4DAB"/>
    <w:rsid w:val="00FA55B4"/>
    <w:rsid w:val="00FA5C64"/>
    <w:rsid w:val="00FA5DB5"/>
    <w:rsid w:val="00FA5DC7"/>
    <w:rsid w:val="00FA63DB"/>
    <w:rsid w:val="00FA69B6"/>
    <w:rsid w:val="00FA6C85"/>
    <w:rsid w:val="00FA79DD"/>
    <w:rsid w:val="00FB0AAC"/>
    <w:rsid w:val="00FB0BDE"/>
    <w:rsid w:val="00FB197D"/>
    <w:rsid w:val="00FB257C"/>
    <w:rsid w:val="00FB3FF6"/>
    <w:rsid w:val="00FB60DB"/>
    <w:rsid w:val="00FB65D4"/>
    <w:rsid w:val="00FB6C9B"/>
    <w:rsid w:val="00FB74B2"/>
    <w:rsid w:val="00FB78B8"/>
    <w:rsid w:val="00FB7B05"/>
    <w:rsid w:val="00FB7EAD"/>
    <w:rsid w:val="00FC02EB"/>
    <w:rsid w:val="00FC0E36"/>
    <w:rsid w:val="00FC1955"/>
    <w:rsid w:val="00FC30A0"/>
    <w:rsid w:val="00FC37F9"/>
    <w:rsid w:val="00FC402B"/>
    <w:rsid w:val="00FC4057"/>
    <w:rsid w:val="00FC46D5"/>
    <w:rsid w:val="00FC53FB"/>
    <w:rsid w:val="00FC58EF"/>
    <w:rsid w:val="00FC636F"/>
    <w:rsid w:val="00FC6BDA"/>
    <w:rsid w:val="00FC6F22"/>
    <w:rsid w:val="00FC73DE"/>
    <w:rsid w:val="00FD026A"/>
    <w:rsid w:val="00FD0381"/>
    <w:rsid w:val="00FD12F8"/>
    <w:rsid w:val="00FD1D3C"/>
    <w:rsid w:val="00FD1E22"/>
    <w:rsid w:val="00FD265B"/>
    <w:rsid w:val="00FD33DF"/>
    <w:rsid w:val="00FD35D1"/>
    <w:rsid w:val="00FD35E8"/>
    <w:rsid w:val="00FD3A22"/>
    <w:rsid w:val="00FD3CB7"/>
    <w:rsid w:val="00FD3F86"/>
    <w:rsid w:val="00FD4EE8"/>
    <w:rsid w:val="00FD50D2"/>
    <w:rsid w:val="00FD5CB1"/>
    <w:rsid w:val="00FD636B"/>
    <w:rsid w:val="00FD67B8"/>
    <w:rsid w:val="00FD694C"/>
    <w:rsid w:val="00FE0667"/>
    <w:rsid w:val="00FE0AF5"/>
    <w:rsid w:val="00FE0E43"/>
    <w:rsid w:val="00FE1B9C"/>
    <w:rsid w:val="00FE2D6E"/>
    <w:rsid w:val="00FE36AA"/>
    <w:rsid w:val="00FE39D7"/>
    <w:rsid w:val="00FE3EC8"/>
    <w:rsid w:val="00FE6618"/>
    <w:rsid w:val="00FE6AFD"/>
    <w:rsid w:val="00FE6BA0"/>
    <w:rsid w:val="00FE6D43"/>
    <w:rsid w:val="00FE745B"/>
    <w:rsid w:val="00FF0997"/>
    <w:rsid w:val="00FF0CA5"/>
    <w:rsid w:val="00FF0D1B"/>
    <w:rsid w:val="00FF1275"/>
    <w:rsid w:val="00FF1729"/>
    <w:rsid w:val="00FF1967"/>
    <w:rsid w:val="00FF1FE7"/>
    <w:rsid w:val="00FF358B"/>
    <w:rsid w:val="00FF3C2F"/>
    <w:rsid w:val="00FF442A"/>
    <w:rsid w:val="00FF47C4"/>
    <w:rsid w:val="00FF69A3"/>
    <w:rsid w:val="00FF6F0B"/>
    <w:rsid w:val="00FF7112"/>
    <w:rsid w:val="00FF769E"/>
    <w:rsid w:val="00FF7A61"/>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docId w15:val="{31595B77-2DE6-40CF-BF5C-AEFA8B9875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uiPriority="9"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iPriority="0" w:unhideWhenUsed="1"/>
    <w:lsdException w:name="caption" w:semiHidden="1" w:uiPriority="35"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5AB4"/>
    <w:pPr>
      <w:spacing w:before="240" w:after="240"/>
      <w:jc w:val="both"/>
    </w:pPr>
    <w:rPr>
      <w:rFonts w:ascii="Bookman Old Style" w:hAnsi="Bookman Old Style"/>
      <w:sz w:val="24"/>
      <w:szCs w:val="24"/>
      <w:lang w:val="es-ES" w:eastAsia="es-ES"/>
    </w:rPr>
  </w:style>
  <w:style w:type="paragraph" w:styleId="Ttulo1">
    <w:name w:val="heading 1"/>
    <w:aliases w:val="Capítulo"/>
    <w:basedOn w:val="Normal"/>
    <w:next w:val="Normal"/>
    <w:link w:val="Ttulo1Car"/>
    <w:qFormat/>
    <w:rsid w:val="00E30B87"/>
    <w:pPr>
      <w:keepNext/>
      <w:numPr>
        <w:numId w:val="4"/>
      </w:numPr>
      <w:ind w:left="357" w:hanging="357"/>
      <w:jc w:val="center"/>
      <w:outlineLvl w:val="0"/>
    </w:pPr>
    <w:rPr>
      <w:b/>
      <w:caps/>
      <w:szCs w:val="20"/>
      <w:lang w:val="es-CO"/>
    </w:rPr>
  </w:style>
  <w:style w:type="paragraph" w:styleId="Ttulo2">
    <w:name w:val="heading 2"/>
    <w:basedOn w:val="Ttulo1"/>
    <w:next w:val="Normal"/>
    <w:link w:val="Ttulo2Car"/>
    <w:autoRedefine/>
    <w:qFormat/>
    <w:rsid w:val="00125F87"/>
    <w:pPr>
      <w:numPr>
        <w:ilvl w:val="1"/>
      </w:numPr>
      <w:spacing w:after="120"/>
      <w:jc w:val="left"/>
      <w:outlineLvl w:val="1"/>
    </w:pPr>
    <w:rPr>
      <w:spacing w:val="4"/>
      <w:szCs w:val="24"/>
      <w:lang w:val="es-ES"/>
    </w:rPr>
  </w:style>
  <w:style w:type="paragraph" w:styleId="Ttulo3">
    <w:name w:val="heading 3"/>
    <w:basedOn w:val="Normal"/>
    <w:next w:val="Normal"/>
    <w:link w:val="Ttulo3Car"/>
    <w:uiPriority w:val="9"/>
    <w:qFormat/>
    <w:rsid w:val="00490639"/>
    <w:pPr>
      <w:keepNext/>
      <w:numPr>
        <w:ilvl w:val="2"/>
        <w:numId w:val="4"/>
      </w:numPr>
      <w:outlineLvl w:val="2"/>
    </w:pPr>
    <w:rPr>
      <w:b/>
      <w:snapToGrid w:val="0"/>
      <w:color w:val="000000"/>
      <w:szCs w:val="20"/>
      <w:lang w:val="es-ES_tradnl"/>
    </w:rPr>
  </w:style>
  <w:style w:type="paragraph" w:styleId="Ttulo4">
    <w:name w:val="heading 4"/>
    <w:basedOn w:val="Normal"/>
    <w:next w:val="Normal"/>
    <w:link w:val="Ttulo4Car"/>
    <w:qFormat/>
    <w:rsid w:val="00CC309B"/>
    <w:pPr>
      <w:keepNext/>
      <w:numPr>
        <w:ilvl w:val="3"/>
        <w:numId w:val="4"/>
      </w:numPr>
      <w:ind w:left="1134" w:hanging="1134"/>
      <w:outlineLvl w:val="3"/>
    </w:pPr>
    <w:rPr>
      <w:rFonts w:cs="Arial"/>
      <w:b/>
      <w:snapToGrid w:val="0"/>
      <w:color w:val="000000"/>
      <w:szCs w:val="20"/>
      <w:lang w:val="es-ES_tradnl"/>
    </w:rPr>
  </w:style>
  <w:style w:type="paragraph" w:styleId="Ttulo5">
    <w:name w:val="heading 5"/>
    <w:basedOn w:val="Normal"/>
    <w:next w:val="Normal"/>
    <w:link w:val="Ttulo5Car"/>
    <w:qFormat/>
    <w:rsid w:val="00CC309B"/>
    <w:pPr>
      <w:keepNext/>
      <w:numPr>
        <w:ilvl w:val="4"/>
        <w:numId w:val="4"/>
      </w:numPr>
      <w:ind w:left="1418" w:hanging="1418"/>
      <w:outlineLvl w:val="4"/>
    </w:pPr>
    <w:rPr>
      <w:rFonts w:cs="Arial"/>
      <w:b/>
      <w:snapToGrid w:val="0"/>
      <w:color w:val="000000"/>
      <w:szCs w:val="20"/>
      <w:lang w:val="es-ES_tradnl"/>
    </w:rPr>
  </w:style>
  <w:style w:type="paragraph" w:styleId="Ttulo6">
    <w:name w:val="heading 6"/>
    <w:basedOn w:val="Normal"/>
    <w:next w:val="Normal"/>
    <w:link w:val="Ttulo6Car"/>
    <w:uiPriority w:val="9"/>
    <w:unhideWhenUsed/>
    <w:qFormat/>
    <w:rsid w:val="00CC309B"/>
    <w:pPr>
      <w:numPr>
        <w:ilvl w:val="5"/>
        <w:numId w:val="4"/>
      </w:numPr>
      <w:spacing w:after="60"/>
      <w:ind w:left="1588" w:hanging="1588"/>
      <w:outlineLvl w:val="5"/>
    </w:pPr>
    <w:rPr>
      <w:b/>
      <w:bCs/>
      <w:szCs w:val="22"/>
    </w:rPr>
  </w:style>
  <w:style w:type="paragraph" w:styleId="Ttulo7">
    <w:name w:val="heading 7"/>
    <w:basedOn w:val="Normal"/>
    <w:next w:val="Normal"/>
    <w:link w:val="Ttulo7Car"/>
    <w:uiPriority w:val="9"/>
    <w:unhideWhenUsed/>
    <w:qFormat/>
    <w:rsid w:val="00D879BC"/>
    <w:pPr>
      <w:numPr>
        <w:ilvl w:val="6"/>
        <w:numId w:val="4"/>
      </w:numPr>
      <w:spacing w:after="60"/>
      <w:outlineLvl w:val="6"/>
    </w:pPr>
    <w:rPr>
      <w:b/>
    </w:rPr>
  </w:style>
  <w:style w:type="paragraph" w:styleId="Ttulo8">
    <w:name w:val="heading 8"/>
    <w:basedOn w:val="Normal"/>
    <w:next w:val="Normal"/>
    <w:link w:val="Ttulo8Car"/>
    <w:uiPriority w:val="9"/>
    <w:qFormat/>
    <w:rsid w:val="000B4E51"/>
    <w:pPr>
      <w:keepNext/>
      <w:numPr>
        <w:ilvl w:val="7"/>
        <w:numId w:val="4"/>
      </w:numPr>
      <w:spacing w:before="160" w:after="160"/>
      <w:jc w:val="center"/>
      <w:outlineLvl w:val="7"/>
    </w:pPr>
    <w:rPr>
      <w:rFonts w:ascii="Arial" w:hAnsi="Arial" w:cs="Arial"/>
      <w:b/>
      <w:sz w:val="22"/>
      <w:szCs w:val="20"/>
      <w:lang w:val="es-CO"/>
    </w:rPr>
  </w:style>
  <w:style w:type="paragraph" w:styleId="Ttulo9">
    <w:name w:val="heading 9"/>
    <w:basedOn w:val="Normal"/>
    <w:next w:val="Normal"/>
    <w:link w:val="Ttulo9Car"/>
    <w:uiPriority w:val="9"/>
    <w:qFormat/>
    <w:rsid w:val="000B4E51"/>
    <w:pPr>
      <w:keepNext/>
      <w:numPr>
        <w:ilvl w:val="8"/>
        <w:numId w:val="4"/>
      </w:numPr>
      <w:spacing w:before="160" w:after="160"/>
      <w:outlineLvl w:val="8"/>
    </w:pPr>
    <w:rPr>
      <w:rFonts w:ascii="Arial" w:hAnsi="Arial"/>
      <w:sz w:val="22"/>
      <w:szCs w:val="20"/>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Capítulo Car"/>
    <w:link w:val="Ttulo1"/>
    <w:rsid w:val="00E30B87"/>
    <w:rPr>
      <w:rFonts w:ascii="Bookman Old Style" w:hAnsi="Bookman Old Style"/>
      <w:b/>
      <w:caps/>
      <w:sz w:val="24"/>
      <w:lang w:eastAsia="es-ES"/>
    </w:rPr>
  </w:style>
  <w:style w:type="character" w:customStyle="1" w:styleId="Ttulo2Car">
    <w:name w:val="Título 2 Car"/>
    <w:link w:val="Ttulo2"/>
    <w:rsid w:val="00125F87"/>
    <w:rPr>
      <w:rFonts w:ascii="Bookman Old Style" w:hAnsi="Bookman Old Style"/>
      <w:b/>
      <w:caps/>
      <w:spacing w:val="4"/>
      <w:sz w:val="24"/>
      <w:szCs w:val="24"/>
      <w:lang w:val="es-ES" w:eastAsia="es-ES"/>
    </w:rPr>
  </w:style>
  <w:style w:type="character" w:customStyle="1" w:styleId="Ttulo3Car">
    <w:name w:val="Título 3 Car"/>
    <w:link w:val="Ttulo3"/>
    <w:uiPriority w:val="9"/>
    <w:rsid w:val="00490639"/>
    <w:rPr>
      <w:rFonts w:ascii="Bookman Old Style" w:hAnsi="Bookman Old Style"/>
      <w:b/>
      <w:snapToGrid w:val="0"/>
      <w:color w:val="000000"/>
      <w:sz w:val="24"/>
      <w:lang w:val="es-ES_tradnl" w:eastAsia="es-ES"/>
    </w:rPr>
  </w:style>
  <w:style w:type="character" w:customStyle="1" w:styleId="Ttulo4Car">
    <w:name w:val="Título 4 Car"/>
    <w:link w:val="Ttulo4"/>
    <w:rsid w:val="00CC309B"/>
    <w:rPr>
      <w:rFonts w:ascii="Bookman Old Style" w:hAnsi="Bookman Old Style" w:cs="Arial"/>
      <w:b/>
      <w:snapToGrid w:val="0"/>
      <w:color w:val="000000"/>
      <w:sz w:val="24"/>
      <w:lang w:val="es-ES_tradnl" w:eastAsia="es-ES"/>
    </w:rPr>
  </w:style>
  <w:style w:type="character" w:customStyle="1" w:styleId="Ttulo5Car">
    <w:name w:val="Título 5 Car"/>
    <w:link w:val="Ttulo5"/>
    <w:rsid w:val="00CC309B"/>
    <w:rPr>
      <w:rFonts w:ascii="Bookman Old Style" w:hAnsi="Bookman Old Style" w:cs="Arial"/>
      <w:b/>
      <w:snapToGrid w:val="0"/>
      <w:color w:val="000000"/>
      <w:sz w:val="24"/>
      <w:lang w:val="es-ES_tradnl" w:eastAsia="es-ES"/>
    </w:rPr>
  </w:style>
  <w:style w:type="character" w:customStyle="1" w:styleId="Ttulo6Car">
    <w:name w:val="Título 6 Car"/>
    <w:link w:val="Ttulo6"/>
    <w:uiPriority w:val="9"/>
    <w:rsid w:val="00CC309B"/>
    <w:rPr>
      <w:rFonts w:ascii="Bookman Old Style" w:hAnsi="Bookman Old Style"/>
      <w:b/>
      <w:bCs/>
      <w:sz w:val="24"/>
      <w:szCs w:val="22"/>
      <w:lang w:val="es-ES" w:eastAsia="es-ES"/>
    </w:rPr>
  </w:style>
  <w:style w:type="character" w:customStyle="1" w:styleId="Ttulo7Car">
    <w:name w:val="Título 7 Car"/>
    <w:link w:val="Ttulo7"/>
    <w:uiPriority w:val="9"/>
    <w:rsid w:val="00D879BC"/>
    <w:rPr>
      <w:rFonts w:ascii="Bookman Old Style" w:hAnsi="Bookman Old Style"/>
      <w:b/>
      <w:sz w:val="24"/>
      <w:szCs w:val="24"/>
      <w:lang w:val="es-ES" w:eastAsia="es-ES"/>
    </w:rPr>
  </w:style>
  <w:style w:type="character" w:customStyle="1" w:styleId="Ttulo8Car">
    <w:name w:val="Título 8 Car"/>
    <w:link w:val="Ttulo8"/>
    <w:uiPriority w:val="9"/>
    <w:rsid w:val="000B4E51"/>
    <w:rPr>
      <w:rFonts w:ascii="Arial" w:hAnsi="Arial" w:cs="Arial"/>
      <w:b/>
      <w:sz w:val="22"/>
      <w:lang w:eastAsia="es-ES"/>
    </w:rPr>
  </w:style>
  <w:style w:type="character" w:customStyle="1" w:styleId="Ttulo9Car">
    <w:name w:val="Título 9 Car"/>
    <w:link w:val="Ttulo9"/>
    <w:uiPriority w:val="9"/>
    <w:rsid w:val="000B4E51"/>
    <w:rPr>
      <w:rFonts w:ascii="Arial" w:hAnsi="Arial"/>
      <w:sz w:val="22"/>
      <w:lang w:eastAsia="es-ES"/>
    </w:rPr>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character" w:customStyle="1" w:styleId="EncabezadoCar">
    <w:name w:val="Encabezado Car"/>
    <w:link w:val="Encabezado"/>
    <w:uiPriority w:val="99"/>
    <w:rsid w:val="00593C4F"/>
    <w:rPr>
      <w:rFonts w:ascii="CG Times" w:hAnsi="CG Times"/>
      <w:sz w:val="24"/>
      <w:lang w:val="es-CO"/>
    </w:rPr>
  </w:style>
  <w:style w:type="paragraph" w:styleId="Piedepgina">
    <w:name w:val="footer"/>
    <w:basedOn w:val="Normal"/>
    <w:link w:val="PiedepginaCar"/>
    <w:rsid w:val="003101DA"/>
    <w:pPr>
      <w:tabs>
        <w:tab w:val="center" w:pos="4252"/>
        <w:tab w:val="right" w:pos="8504"/>
      </w:tabs>
    </w:pPr>
  </w:style>
  <w:style w:type="character" w:customStyle="1" w:styleId="PiedepginaCar">
    <w:name w:val="Pie de página Car"/>
    <w:link w:val="Piedepgina"/>
    <w:rsid w:val="000B4E51"/>
    <w:rPr>
      <w:sz w:val="24"/>
      <w:szCs w:val="24"/>
      <w:lang w:val="es-ES" w:eastAsia="es-ES"/>
    </w:rPr>
  </w:style>
  <w:style w:type="paragraph" w:customStyle="1" w:styleId="Estilo1">
    <w:name w:val="Estilo1"/>
    <w:basedOn w:val="Normal"/>
    <w:qFormat/>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cs="Arial"/>
      <w:b/>
      <w:bCs/>
    </w:rPr>
  </w:style>
  <w:style w:type="character" w:customStyle="1" w:styleId="TextoindependienteCar">
    <w:name w:val="Texto independiente Car"/>
    <w:link w:val="Textoindependiente"/>
    <w:rsid w:val="00141013"/>
    <w:rPr>
      <w:rFonts w:ascii="Arial" w:hAnsi="Arial" w:cs="Arial"/>
      <w:b/>
      <w:bCs/>
      <w:sz w:val="24"/>
      <w:szCs w:val="24"/>
    </w:rPr>
  </w:style>
  <w:style w:type="paragraph" w:styleId="Textoindependiente3">
    <w:name w:val="Body Text 3"/>
    <w:basedOn w:val="Normal"/>
    <w:link w:val="Textoindependiente3Car"/>
    <w:uiPriority w:val="99"/>
    <w:rsid w:val="003101DA"/>
    <w:pPr>
      <w:jc w:val="center"/>
      <w:outlineLvl w:val="0"/>
    </w:pPr>
    <w:rPr>
      <w:rFonts w:ascii="Arial" w:hAnsi="Arial" w:cs="Arial"/>
      <w:b/>
      <w:bCs/>
      <w:spacing w:val="-3"/>
    </w:rPr>
  </w:style>
  <w:style w:type="character" w:customStyle="1" w:styleId="Textoindependiente3Car">
    <w:name w:val="Texto independiente 3 Car"/>
    <w:link w:val="Textoindependiente3"/>
    <w:uiPriority w:val="99"/>
    <w:rsid w:val="00141013"/>
    <w:rPr>
      <w:rFonts w:ascii="Arial" w:hAnsi="Arial" w:cs="Arial"/>
      <w:b/>
      <w:bCs/>
      <w:spacing w:val="-3"/>
      <w:sz w:val="24"/>
      <w:szCs w:val="24"/>
    </w:rPr>
  </w:style>
  <w:style w:type="paragraph" w:styleId="Textodeglobo">
    <w:name w:val="Balloon Text"/>
    <w:basedOn w:val="Normal"/>
    <w:link w:val="TextodegloboCar"/>
    <w:uiPriority w:val="99"/>
    <w:unhideWhenUsed/>
    <w:rsid w:val="00725FA4"/>
    <w:rPr>
      <w:rFonts w:ascii="Tahoma" w:hAnsi="Tahoma" w:cs="Tahoma"/>
      <w:sz w:val="16"/>
      <w:szCs w:val="16"/>
    </w:rPr>
  </w:style>
  <w:style w:type="character" w:customStyle="1" w:styleId="TextodegloboCar">
    <w:name w:val="Texto de globo Car"/>
    <w:link w:val="Textodeglobo"/>
    <w:uiPriority w:val="99"/>
    <w:rsid w:val="00725FA4"/>
    <w:rPr>
      <w:rFonts w:ascii="Tahoma" w:hAnsi="Tahoma" w:cs="Tahoma"/>
      <w:sz w:val="16"/>
      <w:szCs w:val="16"/>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tulo">
    <w:name w:val="Title"/>
    <w:basedOn w:val="Normal"/>
    <w:link w:val="TtuloCar"/>
    <w:qFormat/>
    <w:rsid w:val="00B05EF1"/>
    <w:pPr>
      <w:widowControl w:val="0"/>
      <w:numPr>
        <w:numId w:val="3"/>
      </w:numPr>
      <w:adjustRightInd w:val="0"/>
      <w:spacing w:line="360" w:lineRule="atLeast"/>
      <w:ind w:left="357" w:hanging="357"/>
      <w:textAlignment w:val="baseline"/>
    </w:pPr>
    <w:rPr>
      <w:rFonts w:cs="Arial"/>
      <w:b/>
      <w:bCs/>
      <w:caps/>
    </w:rPr>
  </w:style>
  <w:style w:type="character" w:customStyle="1" w:styleId="TtuloCar">
    <w:name w:val="Título Car"/>
    <w:link w:val="Ttulo"/>
    <w:rsid w:val="00B05EF1"/>
    <w:rPr>
      <w:rFonts w:ascii="Bookman Old Style" w:hAnsi="Bookman Old Style" w:cs="Arial"/>
      <w:b/>
      <w:bCs/>
      <w:caps/>
      <w:sz w:val="24"/>
      <w:szCs w:val="24"/>
      <w:lang w:val="es-ES" w:eastAsia="es-ES"/>
    </w:rPr>
  </w:style>
  <w:style w:type="paragraph" w:styleId="Prrafodelista">
    <w:name w:val="List Paragraph"/>
    <w:basedOn w:val="Normal"/>
    <w:link w:val="PrrafodelistaCar"/>
    <w:qFormat/>
    <w:rsid w:val="00490639"/>
    <w:pPr>
      <w:ind w:left="708"/>
    </w:pPr>
    <w:rPr>
      <w:szCs w:val="20"/>
      <w:lang w:val="es-CO"/>
    </w:rPr>
  </w:style>
  <w:style w:type="character" w:customStyle="1" w:styleId="PrrafodelistaCar">
    <w:name w:val="Párrafo de lista Car"/>
    <w:link w:val="Prrafodelista"/>
    <w:rsid w:val="00490639"/>
    <w:rPr>
      <w:rFonts w:ascii="Bookman Old Style" w:hAnsi="Bookman Old Style"/>
      <w:sz w:val="24"/>
      <w:lang w:eastAsia="es-ES"/>
    </w:rPr>
  </w:style>
  <w:style w:type="paragraph" w:styleId="TDC1">
    <w:name w:val="toc 1"/>
    <w:basedOn w:val="Normal"/>
    <w:next w:val="Normal"/>
    <w:uiPriority w:val="39"/>
    <w:qFormat/>
    <w:rsid w:val="008B04A9"/>
    <w:pPr>
      <w:tabs>
        <w:tab w:val="left" w:pos="1560"/>
        <w:tab w:val="right" w:leader="dot" w:pos="9214"/>
      </w:tabs>
      <w:spacing w:after="120"/>
      <w:jc w:val="left"/>
    </w:pPr>
    <w:rPr>
      <w:b/>
      <w:caps/>
      <w:noProof/>
    </w:rPr>
  </w:style>
  <w:style w:type="paragraph" w:styleId="Textodebloque">
    <w:name w:val="Block Text"/>
    <w:basedOn w:val="Normal"/>
    <w:rsid w:val="00D03800"/>
    <w:pPr>
      <w:suppressAutoHyphens/>
      <w:ind w:right="788"/>
    </w:pPr>
    <w:rPr>
      <w:rFonts w:ascii="Arial" w:hAnsi="Arial"/>
      <w:spacing w:val="-3"/>
      <w:szCs w:val="20"/>
      <w:lang w:val="es-ES_tradnl"/>
    </w:rPr>
  </w:style>
  <w:style w:type="paragraph" w:styleId="Textoindependiente2">
    <w:name w:val="Body Text 2"/>
    <w:basedOn w:val="Normal"/>
    <w:link w:val="Textoindependiente2Car"/>
    <w:semiHidden/>
    <w:unhideWhenUsed/>
    <w:rsid w:val="00006AE2"/>
    <w:pPr>
      <w:spacing w:after="120" w:line="480" w:lineRule="auto"/>
    </w:pPr>
  </w:style>
  <w:style w:type="character" w:customStyle="1" w:styleId="Textoindependiente2Car">
    <w:name w:val="Texto independiente 2 Car"/>
    <w:link w:val="Textoindependiente2"/>
    <w:semiHidden/>
    <w:rsid w:val="00006AE2"/>
    <w:rPr>
      <w:sz w:val="24"/>
      <w:szCs w:val="24"/>
    </w:rPr>
  </w:style>
  <w:style w:type="paragraph" w:styleId="Descripcin">
    <w:name w:val="caption"/>
    <w:basedOn w:val="Normal"/>
    <w:next w:val="Normal"/>
    <w:link w:val="DescripcinCar"/>
    <w:uiPriority w:val="35"/>
    <w:qFormat/>
    <w:rsid w:val="00C4574C"/>
    <w:pPr>
      <w:keepNext/>
      <w:widowControl w:val="0"/>
      <w:adjustRightInd w:val="0"/>
      <w:spacing w:before="120" w:after="120" w:line="360" w:lineRule="atLeast"/>
      <w:jc w:val="center"/>
      <w:textAlignment w:val="baseline"/>
    </w:pPr>
    <w:rPr>
      <w:sz w:val="22"/>
      <w:szCs w:val="20"/>
    </w:rPr>
  </w:style>
  <w:style w:type="character" w:customStyle="1" w:styleId="DescripcinCar">
    <w:name w:val="Descripción Car"/>
    <w:link w:val="Descripcin"/>
    <w:rsid w:val="00C4574C"/>
    <w:rPr>
      <w:rFonts w:ascii="Bookman Old Style" w:hAnsi="Bookman Old Style"/>
      <w:sz w:val="22"/>
      <w:lang w:val="es-ES" w:eastAsia="es-ES"/>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textAlignment w:val="baseline"/>
    </w:pPr>
    <w:rPr>
      <w:rFonts w:ascii="Arial" w:hAnsi="Arial"/>
      <w:sz w:val="22"/>
      <w:szCs w:val="20"/>
    </w:rPr>
  </w:style>
  <w:style w:type="paragraph" w:styleId="Sangradetextonormal">
    <w:name w:val="Body Text Indent"/>
    <w:basedOn w:val="Normal"/>
    <w:link w:val="SangradetextonormalCar"/>
    <w:unhideWhenUsed/>
    <w:rsid w:val="00E01463"/>
    <w:pPr>
      <w:numPr>
        <w:numId w:val="2"/>
      </w:numPr>
      <w:spacing w:after="120"/>
    </w:pPr>
  </w:style>
  <w:style w:type="character" w:customStyle="1" w:styleId="SangradetextonormalCar">
    <w:name w:val="Sangría de texto normal Car"/>
    <w:link w:val="Sangradetextonormal"/>
    <w:rsid w:val="00E01463"/>
    <w:rPr>
      <w:rFonts w:ascii="Bookman Old Style" w:hAnsi="Bookman Old Style"/>
      <w:sz w:val="24"/>
      <w:szCs w:val="24"/>
      <w:lang w:val="es-ES" w:eastAsia="es-ES"/>
    </w:rPr>
  </w:style>
  <w:style w:type="paragraph" w:customStyle="1" w:styleId="Vietaletra">
    <w:name w:val="Viñeta letra"/>
    <w:basedOn w:val="Normal"/>
    <w:next w:val="Normal"/>
    <w:rsid w:val="00E01463"/>
    <w:pPr>
      <w:numPr>
        <w:numId w:val="1"/>
      </w:numPr>
      <w:suppressAutoHyphens/>
      <w:overflowPunct w:val="0"/>
      <w:autoSpaceDE w:val="0"/>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jc w:val="center"/>
    </w:pPr>
    <w:rPr>
      <w:rFonts w:ascii="Arial" w:hAnsi="Arial"/>
      <w:b/>
      <w:bCs/>
      <w:sz w:val="22"/>
      <w:lang w:eastAsia="ar-SA"/>
    </w:rPr>
  </w:style>
  <w:style w:type="paragraph" w:styleId="Sangra2detindependiente">
    <w:name w:val="Body Text Indent 2"/>
    <w:basedOn w:val="Normal"/>
    <w:link w:val="Sangra2detindependienteCar"/>
    <w:uiPriority w:val="99"/>
    <w:unhideWhenUsed/>
    <w:rsid w:val="00E060BE"/>
    <w:pPr>
      <w:spacing w:after="120" w:line="480" w:lineRule="auto"/>
      <w:ind w:left="283"/>
    </w:pPr>
  </w:style>
  <w:style w:type="character" w:customStyle="1" w:styleId="Sangra2detindependienteCar">
    <w:name w:val="Sangría 2 de t. independiente Car"/>
    <w:link w:val="Sangra2detindependiente"/>
    <w:uiPriority w:val="99"/>
    <w:rsid w:val="00E060BE"/>
    <w:rPr>
      <w:sz w:val="24"/>
      <w:szCs w:val="24"/>
      <w:lang w:val="es-ES" w:eastAsia="es-ES"/>
    </w:rPr>
  </w:style>
  <w:style w:type="paragraph" w:customStyle="1" w:styleId="Artculo">
    <w:name w:val="Artículo"/>
    <w:basedOn w:val="Normal"/>
    <w:next w:val="articulo"/>
    <w:link w:val="ArtculoCar"/>
    <w:qFormat/>
    <w:rsid w:val="00855393"/>
    <w:pPr>
      <w:numPr>
        <w:numId w:val="6"/>
      </w:numPr>
      <w:ind w:left="0" w:firstLine="0"/>
    </w:pPr>
    <w:rPr>
      <w:rFonts w:cs="Arial"/>
      <w:b/>
    </w:rPr>
  </w:style>
  <w:style w:type="character" w:customStyle="1" w:styleId="ArtculoCar">
    <w:name w:val="Artículo Car"/>
    <w:link w:val="Artculo"/>
    <w:rsid w:val="00855393"/>
    <w:rPr>
      <w:rFonts w:ascii="Bookman Old Style" w:hAnsi="Bookman Old Style" w:cs="Arial"/>
      <w:b/>
      <w:sz w:val="24"/>
      <w:szCs w:val="24"/>
      <w:lang w:val="es-ES" w:eastAsia="es-ES"/>
    </w:rPr>
  </w:style>
  <w:style w:type="character" w:styleId="Hipervnculo">
    <w:name w:val="Hyperlink"/>
    <w:uiPriority w:val="99"/>
    <w:rsid w:val="000B4E51"/>
    <w:rPr>
      <w:color w:val="0000FF"/>
      <w:u w:val="single"/>
    </w:rPr>
  </w:style>
  <w:style w:type="character" w:styleId="Hipervnculovisitado">
    <w:name w:val="FollowedHyperlink"/>
    <w:uiPriority w:val="99"/>
    <w:rsid w:val="000B4E51"/>
    <w:rPr>
      <w:color w:val="800080"/>
      <w:u w:val="single"/>
    </w:rPr>
  </w:style>
  <w:style w:type="paragraph" w:styleId="Textonotapie">
    <w:name w:val="footnote text"/>
    <w:basedOn w:val="Normal"/>
    <w:link w:val="TextonotapieCar"/>
    <w:semiHidden/>
    <w:rsid w:val="000B4E51"/>
    <w:pPr>
      <w:spacing w:before="160" w:after="160"/>
    </w:pPr>
    <w:rPr>
      <w:rFonts w:ascii="Arial" w:hAnsi="Arial"/>
      <w:sz w:val="22"/>
      <w:szCs w:val="20"/>
      <w:lang w:val="es-CO"/>
    </w:rPr>
  </w:style>
  <w:style w:type="character" w:customStyle="1" w:styleId="TextonotapieCar">
    <w:name w:val="Texto nota pie Car"/>
    <w:link w:val="Textonotapie"/>
    <w:uiPriority w:val="99"/>
    <w:semiHidden/>
    <w:rsid w:val="000B4E51"/>
    <w:rPr>
      <w:rFonts w:ascii="Arial" w:hAnsi="Arial"/>
      <w:sz w:val="22"/>
      <w:lang w:eastAsia="es-ES"/>
    </w:rPr>
  </w:style>
  <w:style w:type="character" w:styleId="Refdenotaalpie">
    <w:name w:val="footnote reference"/>
    <w:uiPriority w:val="99"/>
    <w:semiHidden/>
    <w:rsid w:val="000B4E51"/>
    <w:rPr>
      <w:vertAlign w:val="superscript"/>
    </w:rPr>
  </w:style>
  <w:style w:type="paragraph" w:styleId="Listaconvietas">
    <w:name w:val="List Bullet"/>
    <w:basedOn w:val="Normal"/>
    <w:autoRedefine/>
    <w:rsid w:val="000B4E51"/>
    <w:pPr>
      <w:tabs>
        <w:tab w:val="num" w:pos="360"/>
      </w:tabs>
      <w:spacing w:before="160" w:after="160"/>
      <w:ind w:left="360" w:hanging="360"/>
    </w:pPr>
    <w:rPr>
      <w:rFonts w:ascii="CG Times" w:hAnsi="CG Times"/>
      <w:sz w:val="22"/>
      <w:szCs w:val="20"/>
      <w:lang w:val="es-CO"/>
    </w:rPr>
  </w:style>
  <w:style w:type="paragraph" w:styleId="Listaconvietas2">
    <w:name w:val="List Bullet 2"/>
    <w:basedOn w:val="Normal"/>
    <w:autoRedefine/>
    <w:semiHidden/>
    <w:rsid w:val="000B4E51"/>
    <w:pPr>
      <w:tabs>
        <w:tab w:val="num" w:pos="643"/>
      </w:tabs>
      <w:spacing w:before="160" w:after="160"/>
      <w:ind w:left="643" w:hanging="360"/>
    </w:pPr>
    <w:rPr>
      <w:rFonts w:ascii="CG Times" w:hAnsi="CG Times"/>
      <w:sz w:val="22"/>
      <w:szCs w:val="20"/>
      <w:lang w:val="es-CO"/>
    </w:rPr>
  </w:style>
  <w:style w:type="paragraph" w:styleId="Listaconvietas4">
    <w:name w:val="List Bullet 4"/>
    <w:basedOn w:val="Normal"/>
    <w:autoRedefine/>
    <w:semiHidden/>
    <w:rsid w:val="000B4E51"/>
    <w:pPr>
      <w:tabs>
        <w:tab w:val="num" w:pos="1209"/>
      </w:tabs>
      <w:spacing w:before="160" w:after="160"/>
      <w:ind w:left="1209" w:hanging="360"/>
    </w:pPr>
    <w:rPr>
      <w:rFonts w:ascii="CG Times" w:hAnsi="CG Times"/>
      <w:sz w:val="22"/>
      <w:szCs w:val="20"/>
      <w:lang w:val="es-CO"/>
    </w:rPr>
  </w:style>
  <w:style w:type="paragraph" w:styleId="TDC2">
    <w:name w:val="toc 2"/>
    <w:basedOn w:val="Normal"/>
    <w:next w:val="Normal"/>
    <w:uiPriority w:val="39"/>
    <w:qFormat/>
    <w:rsid w:val="0014422A"/>
    <w:pPr>
      <w:tabs>
        <w:tab w:val="left" w:pos="1843"/>
        <w:tab w:val="right" w:leader="dot" w:pos="9214"/>
      </w:tabs>
      <w:spacing w:before="120" w:after="120"/>
      <w:ind w:left="170"/>
      <w:jc w:val="left"/>
    </w:pPr>
    <w:rPr>
      <w:bCs/>
      <w:caps/>
      <w:noProof/>
      <w:sz w:val="22"/>
      <w:szCs w:val="20"/>
      <w:lang w:val="es-CO"/>
    </w:rPr>
  </w:style>
  <w:style w:type="paragraph" w:styleId="TDC3">
    <w:name w:val="toc 3"/>
    <w:basedOn w:val="Normal"/>
    <w:next w:val="Normal"/>
    <w:uiPriority w:val="39"/>
    <w:qFormat/>
    <w:rsid w:val="0014422A"/>
    <w:pPr>
      <w:tabs>
        <w:tab w:val="left" w:pos="1843"/>
        <w:tab w:val="right" w:leader="dot" w:pos="9214"/>
      </w:tabs>
      <w:spacing w:before="120" w:after="120"/>
      <w:ind w:left="1843" w:right="425" w:hanging="1503"/>
      <w:jc w:val="left"/>
    </w:pPr>
    <w:rPr>
      <w:noProof/>
      <w:sz w:val="22"/>
      <w:szCs w:val="20"/>
      <w:lang w:val="es-CO"/>
    </w:rPr>
  </w:style>
  <w:style w:type="paragraph" w:styleId="TDC4">
    <w:name w:val="toc 4"/>
    <w:basedOn w:val="Normal"/>
    <w:next w:val="Normal"/>
    <w:autoRedefine/>
    <w:uiPriority w:val="39"/>
    <w:rsid w:val="000B4E51"/>
    <w:pPr>
      <w:ind w:left="480"/>
    </w:pPr>
    <w:rPr>
      <w:rFonts w:ascii="Calibri" w:hAnsi="Calibri"/>
      <w:sz w:val="20"/>
      <w:szCs w:val="20"/>
      <w:lang w:val="es-CO"/>
    </w:rPr>
  </w:style>
  <w:style w:type="paragraph" w:styleId="TDC5">
    <w:name w:val="toc 5"/>
    <w:basedOn w:val="Normal"/>
    <w:next w:val="Normal"/>
    <w:autoRedefine/>
    <w:uiPriority w:val="39"/>
    <w:rsid w:val="000B4E51"/>
    <w:pPr>
      <w:ind w:left="720"/>
    </w:pPr>
    <w:rPr>
      <w:rFonts w:ascii="Calibri" w:hAnsi="Calibri"/>
      <w:sz w:val="20"/>
      <w:szCs w:val="20"/>
      <w:lang w:val="es-CO"/>
    </w:rPr>
  </w:style>
  <w:style w:type="paragraph" w:styleId="TDC6">
    <w:name w:val="toc 6"/>
    <w:basedOn w:val="Normal"/>
    <w:next w:val="Normal"/>
    <w:autoRedefine/>
    <w:uiPriority w:val="39"/>
    <w:rsid w:val="000B4E51"/>
    <w:pPr>
      <w:ind w:left="960"/>
    </w:pPr>
    <w:rPr>
      <w:rFonts w:ascii="Calibri" w:hAnsi="Calibri"/>
      <w:sz w:val="20"/>
      <w:szCs w:val="20"/>
      <w:lang w:val="es-CO"/>
    </w:rPr>
  </w:style>
  <w:style w:type="paragraph" w:styleId="TDC7">
    <w:name w:val="toc 7"/>
    <w:basedOn w:val="Normal"/>
    <w:next w:val="Normal"/>
    <w:autoRedefine/>
    <w:uiPriority w:val="39"/>
    <w:rsid w:val="000B4E51"/>
    <w:pPr>
      <w:tabs>
        <w:tab w:val="right" w:pos="9111"/>
      </w:tabs>
    </w:pPr>
    <w:rPr>
      <w:rFonts w:ascii="Arial" w:hAnsi="Arial"/>
      <w:b/>
      <w:sz w:val="22"/>
      <w:szCs w:val="20"/>
      <w:lang w:val="es-CO"/>
    </w:rPr>
  </w:style>
  <w:style w:type="paragraph" w:styleId="TDC8">
    <w:name w:val="toc 8"/>
    <w:basedOn w:val="Normal"/>
    <w:next w:val="Normal"/>
    <w:autoRedefine/>
    <w:uiPriority w:val="39"/>
    <w:rsid w:val="000B4E51"/>
    <w:pPr>
      <w:tabs>
        <w:tab w:val="right" w:leader="dot" w:pos="9111"/>
      </w:tabs>
    </w:pPr>
    <w:rPr>
      <w:rFonts w:ascii="Arial" w:hAnsi="Arial"/>
      <w:b/>
      <w:sz w:val="22"/>
      <w:szCs w:val="20"/>
      <w:lang w:val="es-CO"/>
    </w:rPr>
  </w:style>
  <w:style w:type="paragraph" w:styleId="TDC9">
    <w:name w:val="toc 9"/>
    <w:basedOn w:val="Normal"/>
    <w:next w:val="Normal"/>
    <w:autoRedefine/>
    <w:uiPriority w:val="39"/>
    <w:rsid w:val="000B4E51"/>
    <w:pPr>
      <w:ind w:left="1680"/>
    </w:pPr>
    <w:rPr>
      <w:rFonts w:ascii="Calibri" w:hAnsi="Calibri"/>
      <w:sz w:val="20"/>
      <w:szCs w:val="20"/>
      <w:lang w:val="es-CO"/>
    </w:rPr>
  </w:style>
  <w:style w:type="paragraph" w:customStyle="1" w:styleId="Textodenotaalfinal">
    <w:name w:val="Texto de nota al final"/>
    <w:basedOn w:val="Normal"/>
    <w:rsid w:val="000B4E51"/>
    <w:pPr>
      <w:widowControl w:val="0"/>
      <w:spacing w:before="160" w:after="160"/>
    </w:pPr>
    <w:rPr>
      <w:rFonts w:ascii="Courier New" w:hAnsi="Courier New"/>
      <w:sz w:val="22"/>
      <w:szCs w:val="20"/>
      <w:lang w:val="es-ES_tradnl"/>
    </w:rPr>
  </w:style>
  <w:style w:type="paragraph" w:styleId="Sangra3detindependiente">
    <w:name w:val="Body Text Indent 3"/>
    <w:basedOn w:val="Normal"/>
    <w:link w:val="Sangra3detindependienteCar"/>
    <w:rsid w:val="000B4E51"/>
    <w:pPr>
      <w:spacing w:before="160" w:after="160"/>
      <w:ind w:left="2880" w:hanging="2880"/>
    </w:pPr>
    <w:rPr>
      <w:spacing w:val="-4"/>
      <w:sz w:val="22"/>
      <w:szCs w:val="20"/>
      <w:lang w:val="es-CO"/>
    </w:rPr>
  </w:style>
  <w:style w:type="character" w:customStyle="1" w:styleId="Sangra3detindependienteCar">
    <w:name w:val="Sangría 3 de t. independiente Car"/>
    <w:link w:val="Sangra3detindependiente"/>
    <w:rsid w:val="000B4E51"/>
    <w:rPr>
      <w:rFonts w:ascii="Bookman Old Style" w:hAnsi="Bookman Old Style"/>
      <w:spacing w:val="-4"/>
      <w:sz w:val="22"/>
      <w:lang w:eastAsia="es-ES"/>
    </w:rPr>
  </w:style>
  <w:style w:type="paragraph" w:styleId="Cita">
    <w:name w:val="Quote"/>
    <w:basedOn w:val="Normal"/>
    <w:next w:val="Normal"/>
    <w:link w:val="CitaCar"/>
    <w:uiPriority w:val="29"/>
    <w:qFormat/>
    <w:rsid w:val="000B4E51"/>
    <w:pPr>
      <w:spacing w:after="120"/>
      <w:ind w:right="616"/>
    </w:pPr>
    <w:rPr>
      <w:rFonts w:ascii="Arial" w:eastAsia="Calibri" w:hAnsi="Arial" w:cs="Arial"/>
      <w:i/>
      <w:iCs/>
      <w:color w:val="000000"/>
      <w:sz w:val="20"/>
      <w:szCs w:val="22"/>
      <w:lang w:val="es-CO" w:eastAsia="en-US"/>
    </w:rPr>
  </w:style>
  <w:style w:type="character" w:customStyle="1" w:styleId="CitaCar">
    <w:name w:val="Cita Car"/>
    <w:link w:val="Cita"/>
    <w:uiPriority w:val="29"/>
    <w:rsid w:val="000B4E51"/>
    <w:rPr>
      <w:rFonts w:ascii="Arial" w:eastAsia="Calibri" w:hAnsi="Arial" w:cs="Arial"/>
      <w:i/>
      <w:iCs/>
      <w:color w:val="000000"/>
      <w:szCs w:val="22"/>
      <w:lang w:eastAsia="en-US"/>
    </w:rPr>
  </w:style>
  <w:style w:type="character" w:styleId="Refdecomentario">
    <w:name w:val="annotation reference"/>
    <w:uiPriority w:val="99"/>
    <w:semiHidden/>
    <w:unhideWhenUsed/>
    <w:rsid w:val="000B4E51"/>
    <w:rPr>
      <w:sz w:val="16"/>
      <w:szCs w:val="16"/>
    </w:rPr>
  </w:style>
  <w:style w:type="paragraph" w:styleId="Textocomentario">
    <w:name w:val="annotation text"/>
    <w:basedOn w:val="Normal"/>
    <w:link w:val="TextocomentarioCar"/>
    <w:uiPriority w:val="99"/>
    <w:unhideWhenUsed/>
    <w:rsid w:val="000B4E51"/>
    <w:pPr>
      <w:spacing w:before="160" w:after="160"/>
    </w:pPr>
    <w:rPr>
      <w:rFonts w:ascii="Arial" w:hAnsi="Arial"/>
      <w:sz w:val="20"/>
      <w:szCs w:val="20"/>
      <w:lang w:val="es-CO"/>
    </w:rPr>
  </w:style>
  <w:style w:type="character" w:customStyle="1" w:styleId="TextocomentarioCar">
    <w:name w:val="Texto comentario Car"/>
    <w:link w:val="Textocomentario"/>
    <w:uiPriority w:val="99"/>
    <w:rsid w:val="000B4E51"/>
    <w:rPr>
      <w:rFonts w:ascii="Arial" w:hAnsi="Arial"/>
      <w:lang w:eastAsia="es-ES"/>
    </w:rPr>
  </w:style>
  <w:style w:type="paragraph" w:styleId="Asuntodelcomentario">
    <w:name w:val="annotation subject"/>
    <w:basedOn w:val="Textocomentario"/>
    <w:next w:val="Textocomentario"/>
    <w:link w:val="AsuntodelcomentarioCar"/>
    <w:semiHidden/>
    <w:unhideWhenUsed/>
    <w:rsid w:val="000B4E51"/>
    <w:rPr>
      <w:b/>
      <w:bCs/>
    </w:rPr>
  </w:style>
  <w:style w:type="character" w:customStyle="1" w:styleId="AsuntodelcomentarioCar">
    <w:name w:val="Asunto del comentario Car"/>
    <w:link w:val="Asuntodelcomentario"/>
    <w:semiHidden/>
    <w:rsid w:val="000B4E51"/>
    <w:rPr>
      <w:rFonts w:ascii="Arial" w:hAnsi="Arial"/>
      <w:b/>
      <w:bCs/>
      <w:lang w:eastAsia="es-ES"/>
    </w:rPr>
  </w:style>
  <w:style w:type="character" w:styleId="Textoennegrita">
    <w:name w:val="Strong"/>
    <w:uiPriority w:val="22"/>
    <w:qFormat/>
    <w:rsid w:val="000B4E51"/>
    <w:rPr>
      <w:b/>
      <w:bCs/>
    </w:rPr>
  </w:style>
  <w:style w:type="paragraph" w:styleId="TtuloTDC">
    <w:name w:val="TOC Heading"/>
    <w:basedOn w:val="Ttulo1"/>
    <w:next w:val="Normal"/>
    <w:uiPriority w:val="39"/>
    <w:unhideWhenUsed/>
    <w:qFormat/>
    <w:rsid w:val="000B4E51"/>
    <w:pPr>
      <w:keepLines/>
      <w:spacing w:before="480" w:after="360" w:line="276" w:lineRule="auto"/>
      <w:jc w:val="left"/>
      <w:outlineLvl w:val="9"/>
    </w:pPr>
    <w:rPr>
      <w:rFonts w:ascii="Cambria" w:hAnsi="Cambria"/>
      <w:bCs/>
      <w:caps w:val="0"/>
      <w:color w:val="365F91"/>
      <w:spacing w:val="4"/>
      <w:sz w:val="28"/>
      <w:szCs w:val="28"/>
      <w:lang w:val="es-ES" w:eastAsia="en-US"/>
    </w:rPr>
  </w:style>
  <w:style w:type="paragraph" w:styleId="Mapadeldocumento">
    <w:name w:val="Document Map"/>
    <w:basedOn w:val="Normal"/>
    <w:link w:val="MapadeldocumentoCar"/>
    <w:uiPriority w:val="99"/>
    <w:unhideWhenUsed/>
    <w:rsid w:val="000B4E51"/>
    <w:pPr>
      <w:spacing w:before="160" w:after="160"/>
    </w:pPr>
    <w:rPr>
      <w:rFonts w:ascii="Tahoma" w:hAnsi="Tahoma" w:cs="Tahoma"/>
      <w:sz w:val="16"/>
      <w:szCs w:val="16"/>
      <w:lang w:val="es-CO"/>
    </w:rPr>
  </w:style>
  <w:style w:type="character" w:customStyle="1" w:styleId="MapadeldocumentoCar">
    <w:name w:val="Mapa del documento Car"/>
    <w:link w:val="Mapadeldocumento"/>
    <w:uiPriority w:val="99"/>
    <w:rsid w:val="000B4E51"/>
    <w:rPr>
      <w:rFonts w:ascii="Tahoma" w:hAnsi="Tahoma" w:cs="Tahoma"/>
      <w:sz w:val="16"/>
      <w:szCs w:val="16"/>
      <w:lang w:eastAsia="es-ES"/>
    </w:rPr>
  </w:style>
  <w:style w:type="paragraph" w:customStyle="1" w:styleId="Anexo">
    <w:name w:val="Anexo"/>
    <w:basedOn w:val="Normal"/>
    <w:link w:val="AnexoCar"/>
    <w:qFormat/>
    <w:rsid w:val="000B4E51"/>
    <w:pPr>
      <w:suppressAutoHyphens/>
      <w:ind w:left="1429" w:hanging="360"/>
    </w:pPr>
    <w:rPr>
      <w:rFonts w:cs="Arial"/>
      <w:b/>
      <w:bCs/>
      <w:spacing w:val="-4"/>
    </w:rPr>
  </w:style>
  <w:style w:type="character" w:customStyle="1" w:styleId="AnexoCar">
    <w:name w:val="Anexo Car"/>
    <w:link w:val="Anexo"/>
    <w:rsid w:val="000B4E51"/>
    <w:rPr>
      <w:rFonts w:ascii="Bookman Old Style" w:hAnsi="Bookman Old Style" w:cs="Arial"/>
      <w:b/>
      <w:bCs/>
      <w:spacing w:val="-4"/>
      <w:sz w:val="24"/>
      <w:szCs w:val="24"/>
      <w:lang w:val="es-ES" w:eastAsia="es-ES"/>
    </w:rPr>
  </w:style>
  <w:style w:type="paragraph" w:customStyle="1" w:styleId="PliegoTitulo1">
    <w:name w:val="Pliego_Titulo1"/>
    <w:basedOn w:val="Pliego-Normal"/>
    <w:next w:val="Pliego-Normal"/>
    <w:rsid w:val="000B4E51"/>
    <w:pPr>
      <w:tabs>
        <w:tab w:val="num" w:pos="432"/>
      </w:tabs>
      <w:ind w:left="432" w:hanging="432"/>
      <w:jc w:val="center"/>
    </w:pPr>
    <w:rPr>
      <w:b/>
    </w:rPr>
  </w:style>
  <w:style w:type="paragraph" w:customStyle="1" w:styleId="Pliego-Normal">
    <w:name w:val="Pliego-Normal"/>
    <w:basedOn w:val="Normal"/>
    <w:rsid w:val="000B4E51"/>
    <w:pPr>
      <w:widowControl w:val="0"/>
      <w:adjustRightInd w:val="0"/>
      <w:textAlignment w:val="baseline"/>
    </w:pPr>
    <w:rPr>
      <w:rFonts w:ascii="Garamond" w:hAnsi="Garamond"/>
      <w:bCs/>
      <w:sz w:val="22"/>
      <w:szCs w:val="20"/>
      <w:lang w:val="es-ES_tradnl"/>
    </w:rPr>
  </w:style>
  <w:style w:type="paragraph" w:styleId="NormalWeb">
    <w:name w:val="Normal (Web)"/>
    <w:basedOn w:val="Normal"/>
    <w:uiPriority w:val="99"/>
    <w:rsid w:val="000B4E51"/>
    <w:pPr>
      <w:widowControl w:val="0"/>
      <w:adjustRightInd w:val="0"/>
      <w:spacing w:before="100" w:beforeAutospacing="1" w:after="100" w:afterAutospacing="1"/>
      <w:textAlignment w:val="baseline"/>
    </w:pPr>
  </w:style>
  <w:style w:type="paragraph" w:styleId="ndice1">
    <w:name w:val="index 1"/>
    <w:basedOn w:val="Normal"/>
    <w:next w:val="Normal"/>
    <w:autoRedefine/>
    <w:semiHidden/>
    <w:rsid w:val="000B4E51"/>
    <w:pPr>
      <w:widowControl w:val="0"/>
      <w:adjustRightInd w:val="0"/>
      <w:textAlignment w:val="baseline"/>
    </w:pPr>
    <w:rPr>
      <w:rFonts w:ascii="Arial" w:hAnsi="Arial"/>
      <w:szCs w:val="20"/>
      <w:lang w:val="es-CO"/>
    </w:rPr>
  </w:style>
  <w:style w:type="paragraph" w:styleId="z-Finaldelformulario">
    <w:name w:val="HTML Bottom of Form"/>
    <w:basedOn w:val="Normal"/>
    <w:next w:val="Normal"/>
    <w:link w:val="z-FinaldelformularioCar"/>
    <w:hidden/>
    <w:rsid w:val="000B4E51"/>
    <w:pPr>
      <w:widowControl w:val="0"/>
      <w:pBdr>
        <w:top w:val="single" w:sz="6" w:space="1" w:color="auto"/>
      </w:pBdr>
      <w:adjustRightInd w:val="0"/>
      <w:jc w:val="center"/>
      <w:textAlignment w:val="baseline"/>
    </w:pPr>
    <w:rPr>
      <w:rFonts w:ascii="Arial" w:hAnsi="Arial" w:cs="Arial"/>
      <w:vanish/>
      <w:color w:val="000000"/>
      <w:sz w:val="16"/>
      <w:szCs w:val="16"/>
    </w:rPr>
  </w:style>
  <w:style w:type="character" w:customStyle="1" w:styleId="z-FinaldelformularioCar">
    <w:name w:val="z-Final del formulario Car"/>
    <w:link w:val="z-Finaldelformulario"/>
    <w:rsid w:val="000B4E51"/>
    <w:rPr>
      <w:rFonts w:ascii="Arial" w:hAnsi="Arial" w:cs="Arial"/>
      <w:vanish/>
      <w:color w:val="000000"/>
      <w:sz w:val="16"/>
      <w:szCs w:val="16"/>
      <w:lang w:val="es-ES" w:eastAsia="es-ES"/>
    </w:rPr>
  </w:style>
  <w:style w:type="paragraph" w:customStyle="1" w:styleId="NormalTesis">
    <w:name w:val="Normal Tesis"/>
    <w:basedOn w:val="Textoindependiente"/>
    <w:rsid w:val="000B4E51"/>
    <w:pPr>
      <w:widowControl w:val="0"/>
      <w:adjustRightInd w:val="0"/>
      <w:spacing w:line="360" w:lineRule="auto"/>
      <w:jc w:val="both"/>
      <w:textAlignment w:val="baseline"/>
    </w:pPr>
    <w:rPr>
      <w:b w:val="0"/>
      <w:bCs w:val="0"/>
      <w:sz w:val="22"/>
    </w:rPr>
  </w:style>
  <w:style w:type="paragraph" w:customStyle="1" w:styleId="Citas">
    <w:name w:val="Citas"/>
    <w:basedOn w:val="Normal"/>
    <w:rsid w:val="000B4E51"/>
    <w:pPr>
      <w:ind w:left="708" w:right="618"/>
    </w:pPr>
    <w:rPr>
      <w:rFonts w:cs="Arial"/>
      <w:i/>
      <w:iCs/>
      <w:szCs w:val="20"/>
    </w:rPr>
  </w:style>
  <w:style w:type="paragraph" w:customStyle="1" w:styleId="articulo">
    <w:name w:val="articulo"/>
    <w:basedOn w:val="Normal"/>
    <w:next w:val="Normal"/>
    <w:autoRedefine/>
    <w:rsid w:val="007C3393"/>
    <w:pPr>
      <w:suppressAutoHyphens/>
      <w:spacing w:after="0"/>
      <w:ind w:left="1276" w:hanging="1276"/>
    </w:pPr>
    <w:rPr>
      <w:rFonts w:cs="Arial"/>
    </w:rPr>
  </w:style>
  <w:style w:type="character" w:styleId="Textodelmarcadordeposicin">
    <w:name w:val="Placeholder Text"/>
    <w:uiPriority w:val="99"/>
    <w:semiHidden/>
    <w:rsid w:val="000B4E51"/>
    <w:rPr>
      <w:color w:val="808080"/>
    </w:rPr>
  </w:style>
  <w:style w:type="paragraph" w:customStyle="1" w:styleId="EstiloPrrafodelistaJustificado">
    <w:name w:val="Estilo Párrafo de lista + Justificado"/>
    <w:basedOn w:val="Prrafodelista"/>
    <w:rsid w:val="000B4E51"/>
    <w:pPr>
      <w:spacing w:before="120"/>
      <w:ind w:left="720" w:hanging="360"/>
    </w:pPr>
    <w:rPr>
      <w:spacing w:val="4"/>
      <w:lang w:val="es-ES"/>
    </w:rPr>
  </w:style>
  <w:style w:type="paragraph" w:customStyle="1" w:styleId="Vietas">
    <w:name w:val="Viñetas"/>
    <w:basedOn w:val="Prrafodelista"/>
    <w:rsid w:val="000B4E51"/>
    <w:pPr>
      <w:spacing w:before="120"/>
      <w:ind w:left="720" w:hanging="360"/>
    </w:pPr>
    <w:rPr>
      <w:spacing w:val="4"/>
      <w:lang w:val="es-ES"/>
    </w:rPr>
  </w:style>
  <w:style w:type="paragraph" w:customStyle="1" w:styleId="Listaletras">
    <w:name w:val="Lista letras"/>
    <w:basedOn w:val="Sangra2detindependiente"/>
    <w:link w:val="ListaletrasCar"/>
    <w:qFormat/>
    <w:rsid w:val="000B4E51"/>
    <w:pPr>
      <w:spacing w:before="160" w:after="160" w:line="240" w:lineRule="auto"/>
      <w:ind w:left="0" w:hanging="567"/>
      <w:outlineLvl w:val="0"/>
    </w:pPr>
    <w:rPr>
      <w:b/>
      <w:sz w:val="22"/>
      <w:szCs w:val="20"/>
      <w:lang w:val="es-CO"/>
    </w:rPr>
  </w:style>
  <w:style w:type="character" w:customStyle="1" w:styleId="ListaletrasCar">
    <w:name w:val="Lista letras Car"/>
    <w:link w:val="Listaletras"/>
    <w:rsid w:val="000B4E51"/>
    <w:rPr>
      <w:rFonts w:ascii="Bookman Old Style" w:hAnsi="Bookman Old Style"/>
      <w:b/>
      <w:sz w:val="22"/>
      <w:lang w:eastAsia="es-ES"/>
    </w:rPr>
  </w:style>
  <w:style w:type="paragraph" w:customStyle="1" w:styleId="Textoindependiente31">
    <w:name w:val="Texto independiente 31"/>
    <w:basedOn w:val="Normal"/>
    <w:rsid w:val="000B4E51"/>
    <w:pPr>
      <w:tabs>
        <w:tab w:val="left" w:pos="-720"/>
      </w:tabs>
      <w:suppressAutoHyphens/>
      <w:overflowPunct w:val="0"/>
      <w:autoSpaceDE w:val="0"/>
      <w:autoSpaceDN w:val="0"/>
      <w:adjustRightInd w:val="0"/>
      <w:ind w:right="45"/>
      <w:textAlignment w:val="baseline"/>
    </w:pPr>
    <w:rPr>
      <w:sz w:val="22"/>
      <w:szCs w:val="20"/>
    </w:rPr>
  </w:style>
  <w:style w:type="paragraph" w:customStyle="1" w:styleId="Estilo2">
    <w:name w:val="Estilo2"/>
    <w:basedOn w:val="Ttulo1"/>
    <w:link w:val="Estilo2Car"/>
    <w:rsid w:val="000B4E51"/>
    <w:pPr>
      <w:adjustRightInd w:val="0"/>
      <w:spacing w:after="360"/>
      <w:textAlignment w:val="baseline"/>
    </w:pPr>
    <w:rPr>
      <w:bCs/>
      <w:caps w:val="0"/>
      <w:spacing w:val="4"/>
      <w:szCs w:val="24"/>
      <w:lang w:val="es-ES"/>
    </w:rPr>
  </w:style>
  <w:style w:type="paragraph" w:styleId="Continuarlista">
    <w:name w:val="List Continue"/>
    <w:basedOn w:val="Normal"/>
    <w:rsid w:val="000B4E51"/>
    <w:pPr>
      <w:widowControl w:val="0"/>
      <w:adjustRightInd w:val="0"/>
      <w:spacing w:after="120"/>
      <w:ind w:left="283"/>
      <w:contextualSpacing/>
      <w:textAlignment w:val="baseline"/>
    </w:pPr>
  </w:style>
  <w:style w:type="character" w:customStyle="1" w:styleId="Fuentedeprrafopredeter1">
    <w:name w:val="Fuente de párrafo predeter.1"/>
    <w:rsid w:val="000B4E51"/>
  </w:style>
  <w:style w:type="character" w:customStyle="1" w:styleId="FootnoteCharacters">
    <w:name w:val="Footnote Characters"/>
    <w:rsid w:val="000B4E51"/>
    <w:rPr>
      <w:vertAlign w:val="superscript"/>
    </w:rPr>
  </w:style>
  <w:style w:type="character" w:customStyle="1" w:styleId="Refdenotaalpie1">
    <w:name w:val="Ref. de nota al pie1"/>
    <w:rsid w:val="000B4E51"/>
    <w:rPr>
      <w:vertAlign w:val="superscript"/>
    </w:rPr>
  </w:style>
  <w:style w:type="character" w:customStyle="1" w:styleId="Refdecomentario1">
    <w:name w:val="Ref. de comentario1"/>
    <w:rsid w:val="000B4E51"/>
    <w:rPr>
      <w:sz w:val="16"/>
    </w:rPr>
  </w:style>
  <w:style w:type="paragraph" w:customStyle="1" w:styleId="Heading">
    <w:name w:val="Heading"/>
    <w:basedOn w:val="Normal"/>
    <w:next w:val="Textoindependiente"/>
    <w:rsid w:val="000B4E51"/>
    <w:pPr>
      <w:keepNext/>
      <w:suppressAutoHyphens/>
      <w:spacing w:after="120"/>
    </w:pPr>
    <w:rPr>
      <w:rFonts w:ascii="Arial" w:eastAsia="DejaVu Sans" w:hAnsi="Arial" w:cs="DejaVu Sans"/>
      <w:sz w:val="28"/>
      <w:szCs w:val="28"/>
      <w:lang w:val="es-CO" w:eastAsia="ar-SA"/>
    </w:rPr>
  </w:style>
  <w:style w:type="paragraph" w:styleId="Lista">
    <w:name w:val="List"/>
    <w:basedOn w:val="Normal"/>
    <w:rsid w:val="000B4E51"/>
    <w:pPr>
      <w:suppressAutoHyphens/>
      <w:ind w:left="283" w:hanging="283"/>
    </w:pPr>
    <w:rPr>
      <w:sz w:val="22"/>
      <w:szCs w:val="20"/>
      <w:lang w:val="es-CO" w:eastAsia="ar-SA"/>
    </w:rPr>
  </w:style>
  <w:style w:type="paragraph" w:customStyle="1" w:styleId="Index">
    <w:name w:val="Index"/>
    <w:basedOn w:val="Normal"/>
    <w:rsid w:val="000B4E51"/>
    <w:pPr>
      <w:suppressLineNumbers/>
      <w:suppressAutoHyphens/>
    </w:pPr>
    <w:rPr>
      <w:sz w:val="22"/>
      <w:szCs w:val="20"/>
      <w:lang w:val="es-CO" w:eastAsia="ar-SA"/>
    </w:rPr>
  </w:style>
  <w:style w:type="paragraph" w:styleId="Ttulodendice">
    <w:name w:val="index heading"/>
    <w:basedOn w:val="Normal"/>
    <w:next w:val="ndice1"/>
    <w:rsid w:val="000B4E51"/>
    <w:pPr>
      <w:suppressAutoHyphens/>
      <w:spacing w:before="120" w:after="120"/>
    </w:pPr>
    <w:rPr>
      <w:b/>
      <w:i/>
      <w:sz w:val="20"/>
      <w:szCs w:val="20"/>
      <w:lang w:val="es-CO" w:eastAsia="ar-SA"/>
    </w:rPr>
  </w:style>
  <w:style w:type="paragraph" w:styleId="ndice2">
    <w:name w:val="index 2"/>
    <w:basedOn w:val="Normal"/>
    <w:next w:val="Normal"/>
    <w:rsid w:val="000B4E51"/>
    <w:pPr>
      <w:suppressAutoHyphens/>
      <w:ind w:left="480" w:hanging="240"/>
    </w:pPr>
    <w:rPr>
      <w:sz w:val="20"/>
      <w:szCs w:val="20"/>
      <w:lang w:val="es-CO" w:eastAsia="ar-SA"/>
    </w:rPr>
  </w:style>
  <w:style w:type="paragraph" w:styleId="ndice3">
    <w:name w:val="index 3"/>
    <w:basedOn w:val="Normal"/>
    <w:next w:val="Normal"/>
    <w:rsid w:val="000B4E51"/>
    <w:pPr>
      <w:suppressAutoHyphens/>
      <w:ind w:left="720" w:hanging="240"/>
    </w:pPr>
    <w:rPr>
      <w:sz w:val="20"/>
      <w:szCs w:val="20"/>
      <w:lang w:val="es-CO" w:eastAsia="ar-SA"/>
    </w:rPr>
  </w:style>
  <w:style w:type="paragraph" w:customStyle="1" w:styleId="Figuras">
    <w:name w:val="Figuras"/>
    <w:basedOn w:val="Textoindependiente"/>
    <w:rsid w:val="000B4E51"/>
    <w:pPr>
      <w:suppressAutoHyphens/>
    </w:pPr>
    <w:rPr>
      <w:rFonts w:cs="Times New Roman"/>
      <w:b w:val="0"/>
      <w:bCs w:val="0"/>
      <w:i/>
      <w:iCs/>
      <w:sz w:val="22"/>
      <w:szCs w:val="20"/>
      <w:lang w:val="es-CO" w:eastAsia="ar-SA"/>
    </w:rPr>
  </w:style>
  <w:style w:type="paragraph" w:customStyle="1" w:styleId="Text">
    <w:name w:val="Text"/>
    <w:basedOn w:val="Normal"/>
    <w:rsid w:val="000B4E51"/>
    <w:pPr>
      <w:suppressLineNumbers/>
      <w:suppressAutoHyphens/>
      <w:spacing w:before="120" w:after="120"/>
    </w:pPr>
    <w:rPr>
      <w:i/>
      <w:iCs/>
      <w:lang w:val="es-CO" w:eastAsia="ar-SA"/>
    </w:rPr>
  </w:style>
  <w:style w:type="paragraph" w:styleId="Textoindependienteprimerasangra">
    <w:name w:val="Body Text First Indent"/>
    <w:basedOn w:val="Textoindependiente"/>
    <w:link w:val="TextoindependienteprimerasangraCar"/>
    <w:rsid w:val="000B4E51"/>
    <w:pPr>
      <w:suppressAutoHyphens/>
      <w:ind w:firstLine="283"/>
    </w:pPr>
    <w:rPr>
      <w:rFonts w:ascii="Times New Roman" w:hAnsi="Times New Roman" w:cs="Times New Roman"/>
      <w:bCs w:val="0"/>
      <w:i/>
      <w:sz w:val="28"/>
      <w:szCs w:val="20"/>
      <w:lang w:val="es-CO" w:eastAsia="ar-SA"/>
    </w:rPr>
  </w:style>
  <w:style w:type="character" w:customStyle="1" w:styleId="TextoindependienteprimerasangraCar">
    <w:name w:val="Texto independiente primera sangría Car"/>
    <w:link w:val="Textoindependienteprimerasangra"/>
    <w:rsid w:val="000B4E51"/>
    <w:rPr>
      <w:rFonts w:ascii="Arial" w:hAnsi="Arial" w:cs="Arial"/>
      <w:b/>
      <w:bCs w:val="0"/>
      <w:i/>
      <w:sz w:val="28"/>
      <w:szCs w:val="24"/>
      <w:lang w:eastAsia="ar-SA"/>
    </w:rPr>
  </w:style>
  <w:style w:type="paragraph" w:customStyle="1" w:styleId="Notes">
    <w:name w:val="Notes"/>
    <w:rsid w:val="000B4E51"/>
    <w:pPr>
      <w:widowControl w:val="0"/>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suppressAutoHyphens/>
      <w:autoSpaceDE w:val="0"/>
      <w:spacing w:before="90"/>
      <w:jc w:val="both"/>
    </w:pPr>
    <w:rPr>
      <w:rFonts w:ascii="DejaVu Sans" w:eastAsia="DejaVu Sans" w:hAnsi="DejaVu Sans"/>
      <w:color w:val="000000"/>
      <w:sz w:val="24"/>
      <w:szCs w:val="24"/>
      <w:lang w:eastAsia="es-ES"/>
    </w:rPr>
  </w:style>
  <w:style w:type="paragraph" w:customStyle="1" w:styleId="Tabla">
    <w:name w:val="Tabla"/>
    <w:basedOn w:val="Descripcin"/>
    <w:link w:val="TablaCar"/>
    <w:qFormat/>
    <w:rsid w:val="000B4E51"/>
    <w:pPr>
      <w:widowControl/>
      <w:suppressAutoHyphens/>
      <w:adjustRightInd/>
      <w:spacing w:after="200" w:line="240" w:lineRule="auto"/>
      <w:textAlignment w:val="auto"/>
    </w:pPr>
    <w:rPr>
      <w:b/>
      <w:bCs/>
      <w:iCs/>
    </w:rPr>
  </w:style>
  <w:style w:type="character" w:customStyle="1" w:styleId="TablaCar">
    <w:name w:val="Tabla Car"/>
    <w:link w:val="Tabla"/>
    <w:rsid w:val="000B4E51"/>
    <w:rPr>
      <w:rFonts w:ascii="Arial" w:hAnsi="Arial"/>
      <w:b/>
      <w:bCs/>
      <w:iCs/>
      <w:lang w:val="es-ES" w:eastAsia="es-ES"/>
    </w:rPr>
  </w:style>
  <w:style w:type="paragraph" w:customStyle="1" w:styleId="DatosDocumento">
    <w:name w:val="Datos Documento"/>
    <w:basedOn w:val="Normal"/>
    <w:rsid w:val="000B4E51"/>
    <w:pPr>
      <w:jc w:val="right"/>
    </w:pPr>
    <w:rPr>
      <w:rFonts w:ascii="Arial" w:hAnsi="Arial" w:cs="Arial"/>
      <w:szCs w:val="20"/>
    </w:rPr>
  </w:style>
  <w:style w:type="paragraph" w:customStyle="1" w:styleId="TituloDocumento">
    <w:name w:val="Titulo Documento"/>
    <w:basedOn w:val="Normal"/>
    <w:rsid w:val="000B4E51"/>
    <w:pPr>
      <w:jc w:val="right"/>
    </w:pPr>
    <w:rPr>
      <w:rFonts w:ascii="Arial Black" w:hAnsi="Arial Black" w:cs="Arial"/>
      <w:sz w:val="48"/>
      <w:szCs w:val="20"/>
    </w:rPr>
  </w:style>
  <w:style w:type="paragraph" w:customStyle="1" w:styleId="SubtituloDocumento">
    <w:name w:val="Subtitulo Documento"/>
    <w:basedOn w:val="Normal"/>
    <w:rsid w:val="000B4E51"/>
    <w:pPr>
      <w:jc w:val="right"/>
    </w:pPr>
    <w:rPr>
      <w:rFonts w:ascii="Arial Black" w:hAnsi="Arial Black" w:cs="Arial"/>
      <w:sz w:val="32"/>
      <w:szCs w:val="20"/>
    </w:rPr>
  </w:style>
  <w:style w:type="paragraph" w:customStyle="1" w:styleId="TtuloInforme">
    <w:name w:val="Título Informe"/>
    <w:basedOn w:val="Normal"/>
    <w:next w:val="Normal"/>
    <w:rsid w:val="000B4E51"/>
    <w:pPr>
      <w:spacing w:before="120" w:after="120"/>
      <w:jc w:val="center"/>
    </w:pPr>
    <w:rPr>
      <w:rFonts w:ascii="Arial" w:hAnsi="Arial" w:cs="Arial"/>
      <w:color w:val="FF6309"/>
      <w:sz w:val="28"/>
      <w:szCs w:val="28"/>
    </w:rPr>
  </w:style>
  <w:style w:type="character" w:customStyle="1" w:styleId="TtuloInformeChar">
    <w:name w:val="Título Informe Char"/>
    <w:rsid w:val="000B4E51"/>
    <w:rPr>
      <w:rFonts w:ascii="Arial" w:hAnsi="Arial" w:cs="Arial"/>
      <w:noProof w:val="0"/>
      <w:color w:val="FF6309"/>
      <w:sz w:val="28"/>
      <w:szCs w:val="28"/>
      <w:lang w:val="es-ES" w:eastAsia="es-ES" w:bidi="ar-SA"/>
    </w:rPr>
  </w:style>
  <w:style w:type="paragraph" w:customStyle="1" w:styleId="SubtuloInforme">
    <w:name w:val="Subítulo Informe"/>
    <w:basedOn w:val="Normal"/>
    <w:next w:val="Normal"/>
    <w:rsid w:val="000B4E51"/>
    <w:pPr>
      <w:spacing w:before="120" w:after="120"/>
    </w:pPr>
    <w:rPr>
      <w:rFonts w:ascii="Arial" w:hAnsi="Arial" w:cs="Arial"/>
      <w:color w:val="808080"/>
    </w:rPr>
  </w:style>
  <w:style w:type="character" w:customStyle="1" w:styleId="SubtuloInformeChar">
    <w:name w:val="Subítulo Informe Char"/>
    <w:rsid w:val="000B4E51"/>
    <w:rPr>
      <w:rFonts w:ascii="Arial" w:hAnsi="Arial" w:cs="Arial"/>
      <w:noProof w:val="0"/>
      <w:color w:val="808080"/>
      <w:sz w:val="24"/>
      <w:szCs w:val="24"/>
      <w:lang w:val="es-ES" w:eastAsia="es-ES" w:bidi="ar-SA"/>
    </w:rPr>
  </w:style>
  <w:style w:type="paragraph" w:customStyle="1" w:styleId="EstiloEpgrafeCentrado">
    <w:name w:val="Estilo Epígrafe + Centrado"/>
    <w:basedOn w:val="Descripcin"/>
    <w:autoRedefine/>
    <w:rsid w:val="000B4E51"/>
    <w:pPr>
      <w:widowControl/>
      <w:adjustRightInd/>
      <w:spacing w:before="0" w:after="240" w:line="240" w:lineRule="auto"/>
      <w:textAlignment w:val="auto"/>
    </w:pPr>
    <w:rPr>
      <w:i/>
      <w:iCs/>
      <w:color w:val="808080"/>
    </w:rPr>
  </w:style>
  <w:style w:type="paragraph" w:styleId="Tabladeilustraciones">
    <w:name w:val="table of figures"/>
    <w:basedOn w:val="Normal"/>
    <w:next w:val="Normal"/>
    <w:rsid w:val="000B4E51"/>
    <w:pPr>
      <w:spacing w:before="120" w:after="120"/>
    </w:pPr>
    <w:rPr>
      <w:rFonts w:ascii="Arial" w:hAnsi="Arial" w:cs="Arial"/>
      <w:sz w:val="20"/>
      <w:szCs w:val="20"/>
    </w:rPr>
  </w:style>
  <w:style w:type="paragraph" w:customStyle="1" w:styleId="CUERPOTEXTO">
    <w:name w:val="CUERPO TEXTO"/>
    <w:rsid w:val="000B4E51"/>
    <w:pPr>
      <w:widowControl w:val="0"/>
      <w:tabs>
        <w:tab w:val="center" w:pos="510"/>
        <w:tab w:val="left" w:pos="1134"/>
      </w:tabs>
      <w:autoSpaceDE w:val="0"/>
      <w:autoSpaceDN w:val="0"/>
      <w:adjustRightInd w:val="0"/>
      <w:spacing w:before="28" w:after="28" w:line="210" w:lineRule="atLeast"/>
      <w:ind w:firstLine="283"/>
      <w:jc w:val="both"/>
    </w:pPr>
    <w:rPr>
      <w:color w:val="000000"/>
      <w:sz w:val="19"/>
      <w:szCs w:val="19"/>
      <w:lang w:val="es-ES" w:eastAsia="es-ES"/>
    </w:rPr>
  </w:style>
  <w:style w:type="paragraph" w:styleId="Revisin">
    <w:name w:val="Revision"/>
    <w:hidden/>
    <w:uiPriority w:val="99"/>
    <w:semiHidden/>
    <w:rsid w:val="000B4E51"/>
    <w:rPr>
      <w:rFonts w:ascii="Bookman Old Style" w:hAnsi="Bookman Old Style"/>
      <w:sz w:val="24"/>
      <w:szCs w:val="24"/>
      <w:lang w:val="es-ES" w:eastAsia="es-ES"/>
    </w:rPr>
  </w:style>
  <w:style w:type="paragraph" w:styleId="Saludo">
    <w:name w:val="Salutation"/>
    <w:basedOn w:val="Normal"/>
    <w:next w:val="Normal"/>
    <w:link w:val="SaludoCar"/>
    <w:uiPriority w:val="99"/>
    <w:unhideWhenUsed/>
    <w:rsid w:val="000B4E51"/>
    <w:pPr>
      <w:widowControl w:val="0"/>
      <w:adjustRightInd w:val="0"/>
      <w:textAlignment w:val="baseline"/>
    </w:pPr>
    <w:rPr>
      <w:lang w:val="es-CO"/>
    </w:rPr>
  </w:style>
  <w:style w:type="character" w:customStyle="1" w:styleId="SaludoCar">
    <w:name w:val="Saludo Car"/>
    <w:link w:val="Saludo"/>
    <w:uiPriority w:val="99"/>
    <w:rsid w:val="000B4E51"/>
    <w:rPr>
      <w:rFonts w:ascii="Bookman Old Style" w:hAnsi="Bookman Old Style"/>
      <w:sz w:val="24"/>
      <w:szCs w:val="24"/>
      <w:lang w:eastAsia="es-ES"/>
    </w:rPr>
  </w:style>
  <w:style w:type="paragraph" w:customStyle="1" w:styleId="Default">
    <w:name w:val="Default"/>
    <w:rsid w:val="004224BE"/>
    <w:pPr>
      <w:autoSpaceDE w:val="0"/>
      <w:autoSpaceDN w:val="0"/>
      <w:adjustRightInd w:val="0"/>
    </w:pPr>
    <w:rPr>
      <w:rFonts w:ascii="Arial" w:eastAsiaTheme="minorHAnsi" w:hAnsi="Arial" w:cs="Arial"/>
      <w:color w:val="000000"/>
      <w:sz w:val="24"/>
      <w:szCs w:val="24"/>
      <w:lang w:eastAsia="en-US"/>
    </w:rPr>
  </w:style>
  <w:style w:type="paragraph" w:customStyle="1" w:styleId="ARTICULOS">
    <w:name w:val="ARTICULOS"/>
    <w:basedOn w:val="Normal"/>
    <w:link w:val="ARTICULOSCar"/>
    <w:autoRedefine/>
    <w:qFormat/>
    <w:rsid w:val="00DB7021"/>
    <w:pPr>
      <w:numPr>
        <w:numId w:val="35"/>
      </w:numPr>
      <w:tabs>
        <w:tab w:val="left" w:pos="1560"/>
      </w:tabs>
      <w:adjustRightInd w:val="0"/>
      <w:spacing w:before="120" w:after="0"/>
      <w:ind w:left="0" w:firstLine="0"/>
      <w:textAlignment w:val="baseline"/>
    </w:pPr>
    <w:rPr>
      <w:bCs/>
    </w:rPr>
  </w:style>
  <w:style w:type="character" w:customStyle="1" w:styleId="ARTICULOSCar">
    <w:name w:val="ARTICULOS Car"/>
    <w:basedOn w:val="Fuentedeprrafopredeter"/>
    <w:link w:val="ARTICULOS"/>
    <w:rsid w:val="00DB7021"/>
    <w:rPr>
      <w:rFonts w:ascii="Bookman Old Style" w:hAnsi="Bookman Old Style"/>
      <w:bCs/>
      <w:sz w:val="24"/>
      <w:szCs w:val="24"/>
      <w:lang w:val="es-ES" w:eastAsia="es-ES"/>
    </w:rPr>
  </w:style>
  <w:style w:type="character" w:customStyle="1" w:styleId="Estilo2Car">
    <w:name w:val="Estilo2 Car"/>
    <w:link w:val="Estilo2"/>
    <w:rsid w:val="00DB7021"/>
    <w:rPr>
      <w:rFonts w:ascii="Bookman Old Style" w:hAnsi="Bookman Old Style"/>
      <w:b/>
      <w:bCs/>
      <w:spacing w:val="4"/>
      <w:sz w:val="24"/>
      <w:szCs w:val="24"/>
      <w:lang w:val="es-ES" w:eastAsia="es-ES"/>
    </w:rPr>
  </w:style>
  <w:style w:type="paragraph" w:styleId="HTMLconformatoprevio">
    <w:name w:val="HTML Preformatted"/>
    <w:basedOn w:val="Normal"/>
    <w:link w:val="HTMLconformatoprevioCar"/>
    <w:semiHidden/>
    <w:rsid w:val="00DB70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pPr>
    <w:rPr>
      <w:rFonts w:ascii="Arial Unicode MS" w:eastAsia="Arial Unicode MS" w:hAnsi="Arial Unicode MS" w:cs="Arial Unicode MS"/>
      <w:sz w:val="20"/>
      <w:szCs w:val="20"/>
    </w:rPr>
  </w:style>
  <w:style w:type="character" w:customStyle="1" w:styleId="HTMLconformatoprevioCar">
    <w:name w:val="HTML con formato previo Car"/>
    <w:basedOn w:val="Fuentedeprrafopredeter"/>
    <w:link w:val="HTMLconformatoprevio"/>
    <w:semiHidden/>
    <w:rsid w:val="00DB7021"/>
    <w:rPr>
      <w:rFonts w:ascii="Arial Unicode MS" w:eastAsia="Arial Unicode MS" w:hAnsi="Arial Unicode MS" w:cs="Arial Unicode MS"/>
      <w:lang w:val="es-ES" w:eastAsia="es-ES"/>
    </w:rPr>
  </w:style>
  <w:style w:type="paragraph" w:styleId="Sangranormal">
    <w:name w:val="Normal Indent"/>
    <w:basedOn w:val="Normal"/>
    <w:semiHidden/>
    <w:rsid w:val="00DB7021"/>
    <w:pPr>
      <w:overflowPunct w:val="0"/>
      <w:autoSpaceDE w:val="0"/>
      <w:autoSpaceDN w:val="0"/>
      <w:adjustRightInd w:val="0"/>
      <w:spacing w:before="120" w:after="120"/>
      <w:ind w:left="461"/>
      <w:jc w:val="left"/>
      <w:textAlignment w:val="baseline"/>
    </w:pPr>
    <w:rPr>
      <w:rFonts w:ascii="Arial" w:hAnsi="Arial"/>
      <w:szCs w:val="20"/>
      <w:lang w:val="es-ES_tradnl"/>
    </w:rPr>
  </w:style>
  <w:style w:type="paragraph" w:customStyle="1" w:styleId="CAPTULO">
    <w:name w:val="CAPÍTULO"/>
    <w:basedOn w:val="Ttulo1"/>
    <w:next w:val="Normal"/>
    <w:qFormat/>
    <w:rsid w:val="00DB7021"/>
    <w:pPr>
      <w:numPr>
        <w:numId w:val="0"/>
      </w:numPr>
      <w:ind w:left="432" w:hanging="432"/>
    </w:pPr>
    <w:rPr>
      <w:caps w:val="0"/>
      <w:spacing w:val="4"/>
      <w:szCs w:val="22"/>
      <w:lang w:val="es-ES"/>
    </w:rPr>
  </w:style>
  <w:style w:type="paragraph" w:customStyle="1" w:styleId="xl66">
    <w:name w:val="xl66"/>
    <w:basedOn w:val="Normal"/>
    <w:rsid w:val="00A444B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2"/>
      <w:szCs w:val="12"/>
      <w:lang w:val="es-CO" w:eastAsia="es-CO"/>
    </w:rPr>
  </w:style>
  <w:style w:type="paragraph" w:customStyle="1" w:styleId="xl67">
    <w:name w:val="xl67"/>
    <w:basedOn w:val="Normal"/>
    <w:rsid w:val="00A444B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2"/>
      <w:szCs w:val="12"/>
      <w:lang w:val="es-CO" w:eastAsia="es-CO"/>
    </w:rPr>
  </w:style>
  <w:style w:type="paragraph" w:customStyle="1" w:styleId="xl68">
    <w:name w:val="xl68"/>
    <w:basedOn w:val="Normal"/>
    <w:rsid w:val="00A444B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b/>
      <w:bCs/>
      <w:sz w:val="12"/>
      <w:szCs w:val="12"/>
      <w:lang w:val="es-CO" w:eastAsia="es-CO"/>
    </w:rPr>
  </w:style>
  <w:style w:type="paragraph" w:customStyle="1" w:styleId="xl69">
    <w:name w:val="xl69"/>
    <w:basedOn w:val="Normal"/>
    <w:rsid w:val="00A444B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12"/>
      <w:szCs w:val="12"/>
      <w:lang w:val="es-CO" w:eastAsia="es-CO"/>
    </w:rPr>
  </w:style>
  <w:style w:type="paragraph" w:customStyle="1" w:styleId="xl70">
    <w:name w:val="xl70"/>
    <w:basedOn w:val="Normal"/>
    <w:rsid w:val="00A444B1"/>
    <w:pPr>
      <w:pBdr>
        <w:left w:val="single" w:sz="4" w:space="0" w:color="auto"/>
        <w:bottom w:val="single" w:sz="4" w:space="0" w:color="auto"/>
        <w:right w:val="single" w:sz="4" w:space="0" w:color="auto"/>
      </w:pBdr>
      <w:spacing w:before="100" w:beforeAutospacing="1" w:after="100" w:afterAutospacing="1"/>
      <w:jc w:val="center"/>
    </w:pPr>
    <w:rPr>
      <w:sz w:val="12"/>
      <w:szCs w:val="12"/>
      <w:lang w:val="es-CO" w:eastAsia="es-CO"/>
    </w:rPr>
  </w:style>
  <w:style w:type="paragraph" w:customStyle="1" w:styleId="xl71">
    <w:name w:val="xl71"/>
    <w:basedOn w:val="Normal"/>
    <w:rsid w:val="00A444B1"/>
    <w:pPr>
      <w:pBdr>
        <w:left w:val="single" w:sz="4" w:space="0" w:color="auto"/>
        <w:bottom w:val="single" w:sz="4" w:space="0" w:color="auto"/>
        <w:right w:val="single" w:sz="4" w:space="0" w:color="auto"/>
      </w:pBdr>
      <w:spacing w:before="100" w:beforeAutospacing="1" w:after="100" w:afterAutospacing="1"/>
      <w:jc w:val="center"/>
    </w:pPr>
    <w:rPr>
      <w:sz w:val="12"/>
      <w:szCs w:val="12"/>
      <w:lang w:val="es-CO" w:eastAsia="es-CO"/>
    </w:rPr>
  </w:style>
  <w:style w:type="paragraph" w:customStyle="1" w:styleId="xl72">
    <w:name w:val="xl72"/>
    <w:basedOn w:val="Normal"/>
    <w:rsid w:val="00A444B1"/>
    <w:pPr>
      <w:pBdr>
        <w:left w:val="single" w:sz="4" w:space="0" w:color="auto"/>
        <w:bottom w:val="single" w:sz="4" w:space="0" w:color="auto"/>
        <w:right w:val="single" w:sz="8" w:space="0" w:color="auto"/>
      </w:pBdr>
      <w:spacing w:before="100" w:beforeAutospacing="1" w:after="100" w:afterAutospacing="1"/>
      <w:jc w:val="center"/>
    </w:pPr>
    <w:rPr>
      <w:sz w:val="12"/>
      <w:szCs w:val="12"/>
      <w:lang w:val="es-CO" w:eastAsia="es-CO"/>
    </w:rPr>
  </w:style>
  <w:style w:type="paragraph" w:customStyle="1" w:styleId="xl73">
    <w:name w:val="xl73"/>
    <w:basedOn w:val="Normal"/>
    <w:rsid w:val="00A444B1"/>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12"/>
      <w:szCs w:val="12"/>
      <w:lang w:val="es-CO" w:eastAsia="es-CO"/>
    </w:rPr>
  </w:style>
  <w:style w:type="paragraph" w:customStyle="1" w:styleId="xl74">
    <w:name w:val="xl74"/>
    <w:basedOn w:val="Normal"/>
    <w:rsid w:val="00A444B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lang w:val="es-CO" w:eastAsia="es-CO"/>
    </w:rPr>
  </w:style>
  <w:style w:type="paragraph" w:customStyle="1" w:styleId="xl75">
    <w:name w:val="xl75"/>
    <w:basedOn w:val="Normal"/>
    <w:rsid w:val="00A444B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lang w:val="es-CO" w:eastAsia="es-CO"/>
    </w:rPr>
  </w:style>
  <w:style w:type="paragraph" w:customStyle="1" w:styleId="xl76">
    <w:name w:val="xl76"/>
    <w:basedOn w:val="Normal"/>
    <w:rsid w:val="00A444B1"/>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12"/>
      <w:szCs w:val="12"/>
      <w:lang w:val="es-CO" w:eastAsia="es-CO"/>
    </w:rPr>
  </w:style>
  <w:style w:type="paragraph" w:customStyle="1" w:styleId="xl77">
    <w:name w:val="xl77"/>
    <w:basedOn w:val="Normal"/>
    <w:rsid w:val="00A444B1"/>
    <w:pPr>
      <w:spacing w:before="100" w:beforeAutospacing="1" w:after="100" w:afterAutospacing="1"/>
      <w:jc w:val="center"/>
      <w:textAlignment w:val="center"/>
    </w:pPr>
    <w:rPr>
      <w:sz w:val="12"/>
      <w:szCs w:val="12"/>
      <w:lang w:val="es-CO" w:eastAsia="es-CO"/>
    </w:rPr>
  </w:style>
  <w:style w:type="paragraph" w:customStyle="1" w:styleId="xl78">
    <w:name w:val="xl78"/>
    <w:basedOn w:val="Normal"/>
    <w:rsid w:val="00A444B1"/>
    <w:pPr>
      <w:spacing w:before="100" w:beforeAutospacing="1" w:after="100" w:afterAutospacing="1"/>
      <w:jc w:val="center"/>
    </w:pPr>
    <w:rPr>
      <w:sz w:val="12"/>
      <w:szCs w:val="12"/>
      <w:lang w:val="es-CO" w:eastAsia="es-CO"/>
    </w:rPr>
  </w:style>
  <w:style w:type="paragraph" w:styleId="Lista2">
    <w:name w:val="List 2"/>
    <w:basedOn w:val="Normal"/>
    <w:uiPriority w:val="99"/>
    <w:unhideWhenUsed/>
    <w:rsid w:val="00E43413"/>
    <w:pPr>
      <w:ind w:left="566" w:hanging="283"/>
      <w:contextualSpacing/>
    </w:pPr>
  </w:style>
  <w:style w:type="paragraph" w:styleId="Lista3">
    <w:name w:val="List 3"/>
    <w:basedOn w:val="Normal"/>
    <w:uiPriority w:val="99"/>
    <w:unhideWhenUsed/>
    <w:rsid w:val="00E43413"/>
    <w:pPr>
      <w:ind w:left="849" w:hanging="283"/>
      <w:contextualSpacing/>
    </w:pPr>
  </w:style>
  <w:style w:type="paragraph" w:styleId="Continuarlista2">
    <w:name w:val="List Continue 2"/>
    <w:basedOn w:val="Normal"/>
    <w:uiPriority w:val="99"/>
    <w:unhideWhenUsed/>
    <w:rsid w:val="00E43413"/>
    <w:pPr>
      <w:spacing w:after="120"/>
      <w:ind w:left="566"/>
      <w:contextualSpacing/>
    </w:pPr>
  </w:style>
  <w:style w:type="paragraph" w:styleId="Continuarlista3">
    <w:name w:val="List Continue 3"/>
    <w:basedOn w:val="Normal"/>
    <w:uiPriority w:val="99"/>
    <w:unhideWhenUsed/>
    <w:rsid w:val="00E43413"/>
    <w:pPr>
      <w:spacing w:after="120"/>
      <w:ind w:left="849"/>
      <w:contextualSpacing/>
    </w:pPr>
  </w:style>
  <w:style w:type="paragraph" w:customStyle="1" w:styleId="Caracteresenmarcados">
    <w:name w:val="Caracteres enmarcados"/>
    <w:basedOn w:val="Normal"/>
    <w:rsid w:val="00E43413"/>
  </w:style>
  <w:style w:type="paragraph" w:styleId="Textoindependienteprimerasangra2">
    <w:name w:val="Body Text First Indent 2"/>
    <w:basedOn w:val="Sangradetextonormal"/>
    <w:link w:val="Textoindependienteprimerasangra2Car"/>
    <w:uiPriority w:val="99"/>
    <w:unhideWhenUsed/>
    <w:rsid w:val="00E43413"/>
    <w:pPr>
      <w:numPr>
        <w:numId w:val="0"/>
      </w:numPr>
      <w:spacing w:after="24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E43413"/>
    <w:rPr>
      <w:rFonts w:ascii="Bookman Old Style" w:hAnsi="Bookman Old Style"/>
      <w:sz w:val="24"/>
      <w:szCs w:val="24"/>
      <w:lang w:val="es-ES" w:eastAsia="es-ES"/>
    </w:rPr>
  </w:style>
  <w:style w:type="paragraph" w:styleId="Encabezadodemensaje">
    <w:name w:val="Message Header"/>
    <w:basedOn w:val="Normal"/>
    <w:link w:val="EncabezadodemensajeCar"/>
    <w:uiPriority w:val="99"/>
    <w:unhideWhenUsed/>
    <w:rsid w:val="00F50D3B"/>
    <w:pPr>
      <w:pBdr>
        <w:top w:val="single" w:sz="6" w:space="1" w:color="auto"/>
        <w:left w:val="single" w:sz="6" w:space="1" w:color="auto"/>
        <w:bottom w:val="single" w:sz="6" w:space="1" w:color="auto"/>
        <w:right w:val="single" w:sz="6" w:space="1" w:color="auto"/>
      </w:pBdr>
      <w:shd w:val="pct20" w:color="auto" w:fill="auto"/>
      <w:spacing w:before="0" w:after="0"/>
      <w:ind w:left="1134" w:hanging="1134"/>
    </w:pPr>
    <w:rPr>
      <w:rFonts w:asciiTheme="majorHAnsi" w:eastAsiaTheme="majorEastAsia" w:hAnsiTheme="majorHAnsi" w:cstheme="majorBidi"/>
    </w:rPr>
  </w:style>
  <w:style w:type="character" w:customStyle="1" w:styleId="EncabezadodemensajeCar">
    <w:name w:val="Encabezado de mensaje Car"/>
    <w:basedOn w:val="Fuentedeprrafopredeter"/>
    <w:link w:val="Encabezadodemensaje"/>
    <w:uiPriority w:val="99"/>
    <w:rsid w:val="00F50D3B"/>
    <w:rPr>
      <w:rFonts w:asciiTheme="majorHAnsi" w:eastAsiaTheme="majorEastAsia" w:hAnsiTheme="majorHAnsi" w:cstheme="majorBidi"/>
      <w:sz w:val="24"/>
      <w:szCs w:val="24"/>
      <w:shd w:val="pct20" w:color="auto" w:fill="auto"/>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723086">
      <w:bodyDiv w:val="1"/>
      <w:marLeft w:val="0"/>
      <w:marRight w:val="0"/>
      <w:marTop w:val="0"/>
      <w:marBottom w:val="0"/>
      <w:divBdr>
        <w:top w:val="none" w:sz="0" w:space="0" w:color="auto"/>
        <w:left w:val="none" w:sz="0" w:space="0" w:color="auto"/>
        <w:bottom w:val="none" w:sz="0" w:space="0" w:color="auto"/>
        <w:right w:val="none" w:sz="0" w:space="0" w:color="auto"/>
      </w:divBdr>
    </w:div>
    <w:div w:id="39284696">
      <w:bodyDiv w:val="1"/>
      <w:marLeft w:val="0"/>
      <w:marRight w:val="0"/>
      <w:marTop w:val="0"/>
      <w:marBottom w:val="0"/>
      <w:divBdr>
        <w:top w:val="none" w:sz="0" w:space="0" w:color="auto"/>
        <w:left w:val="none" w:sz="0" w:space="0" w:color="auto"/>
        <w:bottom w:val="none" w:sz="0" w:space="0" w:color="auto"/>
        <w:right w:val="none" w:sz="0" w:space="0" w:color="auto"/>
      </w:divBdr>
    </w:div>
    <w:div w:id="62917018">
      <w:bodyDiv w:val="1"/>
      <w:marLeft w:val="0"/>
      <w:marRight w:val="0"/>
      <w:marTop w:val="0"/>
      <w:marBottom w:val="0"/>
      <w:divBdr>
        <w:top w:val="none" w:sz="0" w:space="0" w:color="auto"/>
        <w:left w:val="none" w:sz="0" w:space="0" w:color="auto"/>
        <w:bottom w:val="none" w:sz="0" w:space="0" w:color="auto"/>
        <w:right w:val="none" w:sz="0" w:space="0" w:color="auto"/>
      </w:divBdr>
    </w:div>
    <w:div w:id="64302511">
      <w:bodyDiv w:val="1"/>
      <w:marLeft w:val="0"/>
      <w:marRight w:val="0"/>
      <w:marTop w:val="0"/>
      <w:marBottom w:val="0"/>
      <w:divBdr>
        <w:top w:val="none" w:sz="0" w:space="0" w:color="auto"/>
        <w:left w:val="none" w:sz="0" w:space="0" w:color="auto"/>
        <w:bottom w:val="none" w:sz="0" w:space="0" w:color="auto"/>
        <w:right w:val="none" w:sz="0" w:space="0" w:color="auto"/>
      </w:divBdr>
    </w:div>
    <w:div w:id="86736409">
      <w:bodyDiv w:val="1"/>
      <w:marLeft w:val="0"/>
      <w:marRight w:val="0"/>
      <w:marTop w:val="0"/>
      <w:marBottom w:val="0"/>
      <w:divBdr>
        <w:top w:val="none" w:sz="0" w:space="0" w:color="auto"/>
        <w:left w:val="none" w:sz="0" w:space="0" w:color="auto"/>
        <w:bottom w:val="none" w:sz="0" w:space="0" w:color="auto"/>
        <w:right w:val="none" w:sz="0" w:space="0" w:color="auto"/>
      </w:divBdr>
    </w:div>
    <w:div w:id="131797928">
      <w:bodyDiv w:val="1"/>
      <w:marLeft w:val="0"/>
      <w:marRight w:val="0"/>
      <w:marTop w:val="0"/>
      <w:marBottom w:val="0"/>
      <w:divBdr>
        <w:top w:val="none" w:sz="0" w:space="0" w:color="auto"/>
        <w:left w:val="none" w:sz="0" w:space="0" w:color="auto"/>
        <w:bottom w:val="none" w:sz="0" w:space="0" w:color="auto"/>
        <w:right w:val="none" w:sz="0" w:space="0" w:color="auto"/>
      </w:divBdr>
    </w:div>
    <w:div w:id="156581274">
      <w:bodyDiv w:val="1"/>
      <w:marLeft w:val="0"/>
      <w:marRight w:val="0"/>
      <w:marTop w:val="0"/>
      <w:marBottom w:val="0"/>
      <w:divBdr>
        <w:top w:val="none" w:sz="0" w:space="0" w:color="auto"/>
        <w:left w:val="none" w:sz="0" w:space="0" w:color="auto"/>
        <w:bottom w:val="none" w:sz="0" w:space="0" w:color="auto"/>
        <w:right w:val="none" w:sz="0" w:space="0" w:color="auto"/>
      </w:divBdr>
    </w:div>
    <w:div w:id="185681673">
      <w:bodyDiv w:val="1"/>
      <w:marLeft w:val="0"/>
      <w:marRight w:val="0"/>
      <w:marTop w:val="0"/>
      <w:marBottom w:val="0"/>
      <w:divBdr>
        <w:top w:val="none" w:sz="0" w:space="0" w:color="auto"/>
        <w:left w:val="none" w:sz="0" w:space="0" w:color="auto"/>
        <w:bottom w:val="none" w:sz="0" w:space="0" w:color="auto"/>
        <w:right w:val="none" w:sz="0" w:space="0" w:color="auto"/>
      </w:divBdr>
    </w:div>
    <w:div w:id="247883796">
      <w:bodyDiv w:val="1"/>
      <w:marLeft w:val="0"/>
      <w:marRight w:val="0"/>
      <w:marTop w:val="0"/>
      <w:marBottom w:val="0"/>
      <w:divBdr>
        <w:top w:val="none" w:sz="0" w:space="0" w:color="auto"/>
        <w:left w:val="none" w:sz="0" w:space="0" w:color="auto"/>
        <w:bottom w:val="none" w:sz="0" w:space="0" w:color="auto"/>
        <w:right w:val="none" w:sz="0" w:space="0" w:color="auto"/>
      </w:divBdr>
    </w:div>
    <w:div w:id="255526620">
      <w:bodyDiv w:val="1"/>
      <w:marLeft w:val="0"/>
      <w:marRight w:val="0"/>
      <w:marTop w:val="0"/>
      <w:marBottom w:val="0"/>
      <w:divBdr>
        <w:top w:val="none" w:sz="0" w:space="0" w:color="auto"/>
        <w:left w:val="none" w:sz="0" w:space="0" w:color="auto"/>
        <w:bottom w:val="none" w:sz="0" w:space="0" w:color="auto"/>
        <w:right w:val="none" w:sz="0" w:space="0" w:color="auto"/>
      </w:divBdr>
    </w:div>
    <w:div w:id="257295674">
      <w:bodyDiv w:val="1"/>
      <w:marLeft w:val="0"/>
      <w:marRight w:val="0"/>
      <w:marTop w:val="0"/>
      <w:marBottom w:val="0"/>
      <w:divBdr>
        <w:top w:val="none" w:sz="0" w:space="0" w:color="auto"/>
        <w:left w:val="none" w:sz="0" w:space="0" w:color="auto"/>
        <w:bottom w:val="none" w:sz="0" w:space="0" w:color="auto"/>
        <w:right w:val="none" w:sz="0" w:space="0" w:color="auto"/>
      </w:divBdr>
    </w:div>
    <w:div w:id="318197151">
      <w:bodyDiv w:val="1"/>
      <w:marLeft w:val="0"/>
      <w:marRight w:val="0"/>
      <w:marTop w:val="0"/>
      <w:marBottom w:val="0"/>
      <w:divBdr>
        <w:top w:val="none" w:sz="0" w:space="0" w:color="auto"/>
        <w:left w:val="none" w:sz="0" w:space="0" w:color="auto"/>
        <w:bottom w:val="none" w:sz="0" w:space="0" w:color="auto"/>
        <w:right w:val="none" w:sz="0" w:space="0" w:color="auto"/>
      </w:divBdr>
    </w:div>
    <w:div w:id="322706355">
      <w:bodyDiv w:val="1"/>
      <w:marLeft w:val="0"/>
      <w:marRight w:val="0"/>
      <w:marTop w:val="0"/>
      <w:marBottom w:val="0"/>
      <w:divBdr>
        <w:top w:val="none" w:sz="0" w:space="0" w:color="auto"/>
        <w:left w:val="none" w:sz="0" w:space="0" w:color="auto"/>
        <w:bottom w:val="none" w:sz="0" w:space="0" w:color="auto"/>
        <w:right w:val="none" w:sz="0" w:space="0" w:color="auto"/>
      </w:divBdr>
    </w:div>
    <w:div w:id="395587556">
      <w:bodyDiv w:val="1"/>
      <w:marLeft w:val="0"/>
      <w:marRight w:val="0"/>
      <w:marTop w:val="0"/>
      <w:marBottom w:val="0"/>
      <w:divBdr>
        <w:top w:val="none" w:sz="0" w:space="0" w:color="auto"/>
        <w:left w:val="none" w:sz="0" w:space="0" w:color="auto"/>
        <w:bottom w:val="none" w:sz="0" w:space="0" w:color="auto"/>
        <w:right w:val="none" w:sz="0" w:space="0" w:color="auto"/>
      </w:divBdr>
    </w:div>
    <w:div w:id="415980442">
      <w:bodyDiv w:val="1"/>
      <w:marLeft w:val="0"/>
      <w:marRight w:val="0"/>
      <w:marTop w:val="0"/>
      <w:marBottom w:val="0"/>
      <w:divBdr>
        <w:top w:val="none" w:sz="0" w:space="0" w:color="auto"/>
        <w:left w:val="none" w:sz="0" w:space="0" w:color="auto"/>
        <w:bottom w:val="none" w:sz="0" w:space="0" w:color="auto"/>
        <w:right w:val="none" w:sz="0" w:space="0" w:color="auto"/>
      </w:divBdr>
    </w:div>
    <w:div w:id="445347142">
      <w:bodyDiv w:val="1"/>
      <w:marLeft w:val="0"/>
      <w:marRight w:val="0"/>
      <w:marTop w:val="0"/>
      <w:marBottom w:val="0"/>
      <w:divBdr>
        <w:top w:val="none" w:sz="0" w:space="0" w:color="auto"/>
        <w:left w:val="none" w:sz="0" w:space="0" w:color="auto"/>
        <w:bottom w:val="none" w:sz="0" w:space="0" w:color="auto"/>
        <w:right w:val="none" w:sz="0" w:space="0" w:color="auto"/>
      </w:divBdr>
    </w:div>
    <w:div w:id="454755050">
      <w:bodyDiv w:val="1"/>
      <w:marLeft w:val="0"/>
      <w:marRight w:val="0"/>
      <w:marTop w:val="0"/>
      <w:marBottom w:val="0"/>
      <w:divBdr>
        <w:top w:val="none" w:sz="0" w:space="0" w:color="auto"/>
        <w:left w:val="none" w:sz="0" w:space="0" w:color="auto"/>
        <w:bottom w:val="none" w:sz="0" w:space="0" w:color="auto"/>
        <w:right w:val="none" w:sz="0" w:space="0" w:color="auto"/>
      </w:divBdr>
    </w:div>
    <w:div w:id="534465740">
      <w:bodyDiv w:val="1"/>
      <w:marLeft w:val="0"/>
      <w:marRight w:val="0"/>
      <w:marTop w:val="0"/>
      <w:marBottom w:val="0"/>
      <w:divBdr>
        <w:top w:val="none" w:sz="0" w:space="0" w:color="auto"/>
        <w:left w:val="none" w:sz="0" w:space="0" w:color="auto"/>
        <w:bottom w:val="none" w:sz="0" w:space="0" w:color="auto"/>
        <w:right w:val="none" w:sz="0" w:space="0" w:color="auto"/>
      </w:divBdr>
    </w:div>
    <w:div w:id="577595191">
      <w:bodyDiv w:val="1"/>
      <w:marLeft w:val="0"/>
      <w:marRight w:val="0"/>
      <w:marTop w:val="0"/>
      <w:marBottom w:val="0"/>
      <w:divBdr>
        <w:top w:val="none" w:sz="0" w:space="0" w:color="auto"/>
        <w:left w:val="none" w:sz="0" w:space="0" w:color="auto"/>
        <w:bottom w:val="none" w:sz="0" w:space="0" w:color="auto"/>
        <w:right w:val="none" w:sz="0" w:space="0" w:color="auto"/>
      </w:divBdr>
    </w:div>
    <w:div w:id="598754127">
      <w:bodyDiv w:val="1"/>
      <w:marLeft w:val="0"/>
      <w:marRight w:val="0"/>
      <w:marTop w:val="0"/>
      <w:marBottom w:val="0"/>
      <w:divBdr>
        <w:top w:val="none" w:sz="0" w:space="0" w:color="auto"/>
        <w:left w:val="none" w:sz="0" w:space="0" w:color="auto"/>
        <w:bottom w:val="none" w:sz="0" w:space="0" w:color="auto"/>
        <w:right w:val="none" w:sz="0" w:space="0" w:color="auto"/>
      </w:divBdr>
    </w:div>
    <w:div w:id="618102696">
      <w:bodyDiv w:val="1"/>
      <w:marLeft w:val="0"/>
      <w:marRight w:val="0"/>
      <w:marTop w:val="0"/>
      <w:marBottom w:val="0"/>
      <w:divBdr>
        <w:top w:val="none" w:sz="0" w:space="0" w:color="auto"/>
        <w:left w:val="none" w:sz="0" w:space="0" w:color="auto"/>
        <w:bottom w:val="none" w:sz="0" w:space="0" w:color="auto"/>
        <w:right w:val="none" w:sz="0" w:space="0" w:color="auto"/>
      </w:divBdr>
    </w:div>
    <w:div w:id="618537843">
      <w:bodyDiv w:val="1"/>
      <w:marLeft w:val="0"/>
      <w:marRight w:val="0"/>
      <w:marTop w:val="0"/>
      <w:marBottom w:val="0"/>
      <w:divBdr>
        <w:top w:val="none" w:sz="0" w:space="0" w:color="auto"/>
        <w:left w:val="none" w:sz="0" w:space="0" w:color="auto"/>
        <w:bottom w:val="none" w:sz="0" w:space="0" w:color="auto"/>
        <w:right w:val="none" w:sz="0" w:space="0" w:color="auto"/>
      </w:divBdr>
    </w:div>
    <w:div w:id="619649673">
      <w:bodyDiv w:val="1"/>
      <w:marLeft w:val="0"/>
      <w:marRight w:val="0"/>
      <w:marTop w:val="0"/>
      <w:marBottom w:val="0"/>
      <w:divBdr>
        <w:top w:val="none" w:sz="0" w:space="0" w:color="auto"/>
        <w:left w:val="none" w:sz="0" w:space="0" w:color="auto"/>
        <w:bottom w:val="none" w:sz="0" w:space="0" w:color="auto"/>
        <w:right w:val="none" w:sz="0" w:space="0" w:color="auto"/>
      </w:divBdr>
    </w:div>
    <w:div w:id="619801262">
      <w:bodyDiv w:val="1"/>
      <w:marLeft w:val="0"/>
      <w:marRight w:val="0"/>
      <w:marTop w:val="0"/>
      <w:marBottom w:val="0"/>
      <w:divBdr>
        <w:top w:val="none" w:sz="0" w:space="0" w:color="auto"/>
        <w:left w:val="none" w:sz="0" w:space="0" w:color="auto"/>
        <w:bottom w:val="none" w:sz="0" w:space="0" w:color="auto"/>
        <w:right w:val="none" w:sz="0" w:space="0" w:color="auto"/>
      </w:divBdr>
    </w:div>
    <w:div w:id="635599230">
      <w:bodyDiv w:val="1"/>
      <w:marLeft w:val="0"/>
      <w:marRight w:val="0"/>
      <w:marTop w:val="0"/>
      <w:marBottom w:val="0"/>
      <w:divBdr>
        <w:top w:val="none" w:sz="0" w:space="0" w:color="auto"/>
        <w:left w:val="none" w:sz="0" w:space="0" w:color="auto"/>
        <w:bottom w:val="none" w:sz="0" w:space="0" w:color="auto"/>
        <w:right w:val="none" w:sz="0" w:space="0" w:color="auto"/>
      </w:divBdr>
    </w:div>
    <w:div w:id="683826192">
      <w:bodyDiv w:val="1"/>
      <w:marLeft w:val="0"/>
      <w:marRight w:val="0"/>
      <w:marTop w:val="0"/>
      <w:marBottom w:val="0"/>
      <w:divBdr>
        <w:top w:val="none" w:sz="0" w:space="0" w:color="auto"/>
        <w:left w:val="none" w:sz="0" w:space="0" w:color="auto"/>
        <w:bottom w:val="none" w:sz="0" w:space="0" w:color="auto"/>
        <w:right w:val="none" w:sz="0" w:space="0" w:color="auto"/>
      </w:divBdr>
    </w:div>
    <w:div w:id="734086988">
      <w:bodyDiv w:val="1"/>
      <w:marLeft w:val="0"/>
      <w:marRight w:val="0"/>
      <w:marTop w:val="0"/>
      <w:marBottom w:val="0"/>
      <w:divBdr>
        <w:top w:val="none" w:sz="0" w:space="0" w:color="auto"/>
        <w:left w:val="none" w:sz="0" w:space="0" w:color="auto"/>
        <w:bottom w:val="none" w:sz="0" w:space="0" w:color="auto"/>
        <w:right w:val="none" w:sz="0" w:space="0" w:color="auto"/>
      </w:divBdr>
    </w:div>
    <w:div w:id="740638656">
      <w:bodyDiv w:val="1"/>
      <w:marLeft w:val="0"/>
      <w:marRight w:val="0"/>
      <w:marTop w:val="0"/>
      <w:marBottom w:val="0"/>
      <w:divBdr>
        <w:top w:val="none" w:sz="0" w:space="0" w:color="auto"/>
        <w:left w:val="none" w:sz="0" w:space="0" w:color="auto"/>
        <w:bottom w:val="none" w:sz="0" w:space="0" w:color="auto"/>
        <w:right w:val="none" w:sz="0" w:space="0" w:color="auto"/>
      </w:divBdr>
    </w:div>
    <w:div w:id="765611422">
      <w:bodyDiv w:val="1"/>
      <w:marLeft w:val="0"/>
      <w:marRight w:val="0"/>
      <w:marTop w:val="0"/>
      <w:marBottom w:val="0"/>
      <w:divBdr>
        <w:top w:val="none" w:sz="0" w:space="0" w:color="auto"/>
        <w:left w:val="none" w:sz="0" w:space="0" w:color="auto"/>
        <w:bottom w:val="none" w:sz="0" w:space="0" w:color="auto"/>
        <w:right w:val="none" w:sz="0" w:space="0" w:color="auto"/>
      </w:divBdr>
    </w:div>
    <w:div w:id="779496499">
      <w:bodyDiv w:val="1"/>
      <w:marLeft w:val="0"/>
      <w:marRight w:val="0"/>
      <w:marTop w:val="0"/>
      <w:marBottom w:val="0"/>
      <w:divBdr>
        <w:top w:val="none" w:sz="0" w:space="0" w:color="auto"/>
        <w:left w:val="none" w:sz="0" w:space="0" w:color="auto"/>
        <w:bottom w:val="none" w:sz="0" w:space="0" w:color="auto"/>
        <w:right w:val="none" w:sz="0" w:space="0" w:color="auto"/>
      </w:divBdr>
    </w:div>
    <w:div w:id="825239714">
      <w:bodyDiv w:val="1"/>
      <w:marLeft w:val="0"/>
      <w:marRight w:val="0"/>
      <w:marTop w:val="0"/>
      <w:marBottom w:val="0"/>
      <w:divBdr>
        <w:top w:val="none" w:sz="0" w:space="0" w:color="auto"/>
        <w:left w:val="none" w:sz="0" w:space="0" w:color="auto"/>
        <w:bottom w:val="none" w:sz="0" w:space="0" w:color="auto"/>
        <w:right w:val="none" w:sz="0" w:space="0" w:color="auto"/>
      </w:divBdr>
    </w:div>
    <w:div w:id="870461073">
      <w:bodyDiv w:val="1"/>
      <w:marLeft w:val="0"/>
      <w:marRight w:val="0"/>
      <w:marTop w:val="0"/>
      <w:marBottom w:val="0"/>
      <w:divBdr>
        <w:top w:val="none" w:sz="0" w:space="0" w:color="auto"/>
        <w:left w:val="none" w:sz="0" w:space="0" w:color="auto"/>
        <w:bottom w:val="none" w:sz="0" w:space="0" w:color="auto"/>
        <w:right w:val="none" w:sz="0" w:space="0" w:color="auto"/>
      </w:divBdr>
    </w:div>
    <w:div w:id="895238213">
      <w:bodyDiv w:val="1"/>
      <w:marLeft w:val="0"/>
      <w:marRight w:val="0"/>
      <w:marTop w:val="0"/>
      <w:marBottom w:val="0"/>
      <w:divBdr>
        <w:top w:val="none" w:sz="0" w:space="0" w:color="auto"/>
        <w:left w:val="none" w:sz="0" w:space="0" w:color="auto"/>
        <w:bottom w:val="none" w:sz="0" w:space="0" w:color="auto"/>
        <w:right w:val="none" w:sz="0" w:space="0" w:color="auto"/>
      </w:divBdr>
    </w:div>
    <w:div w:id="917255446">
      <w:bodyDiv w:val="1"/>
      <w:marLeft w:val="0"/>
      <w:marRight w:val="0"/>
      <w:marTop w:val="0"/>
      <w:marBottom w:val="0"/>
      <w:divBdr>
        <w:top w:val="none" w:sz="0" w:space="0" w:color="auto"/>
        <w:left w:val="none" w:sz="0" w:space="0" w:color="auto"/>
        <w:bottom w:val="none" w:sz="0" w:space="0" w:color="auto"/>
        <w:right w:val="none" w:sz="0" w:space="0" w:color="auto"/>
      </w:divBdr>
    </w:div>
    <w:div w:id="925112847">
      <w:bodyDiv w:val="1"/>
      <w:marLeft w:val="0"/>
      <w:marRight w:val="0"/>
      <w:marTop w:val="0"/>
      <w:marBottom w:val="0"/>
      <w:divBdr>
        <w:top w:val="none" w:sz="0" w:space="0" w:color="auto"/>
        <w:left w:val="none" w:sz="0" w:space="0" w:color="auto"/>
        <w:bottom w:val="none" w:sz="0" w:space="0" w:color="auto"/>
        <w:right w:val="none" w:sz="0" w:space="0" w:color="auto"/>
      </w:divBdr>
    </w:div>
    <w:div w:id="967735730">
      <w:bodyDiv w:val="1"/>
      <w:marLeft w:val="0"/>
      <w:marRight w:val="0"/>
      <w:marTop w:val="0"/>
      <w:marBottom w:val="0"/>
      <w:divBdr>
        <w:top w:val="none" w:sz="0" w:space="0" w:color="auto"/>
        <w:left w:val="none" w:sz="0" w:space="0" w:color="auto"/>
        <w:bottom w:val="none" w:sz="0" w:space="0" w:color="auto"/>
        <w:right w:val="none" w:sz="0" w:space="0" w:color="auto"/>
      </w:divBdr>
    </w:div>
    <w:div w:id="1050033292">
      <w:bodyDiv w:val="1"/>
      <w:marLeft w:val="0"/>
      <w:marRight w:val="0"/>
      <w:marTop w:val="0"/>
      <w:marBottom w:val="0"/>
      <w:divBdr>
        <w:top w:val="none" w:sz="0" w:space="0" w:color="auto"/>
        <w:left w:val="none" w:sz="0" w:space="0" w:color="auto"/>
        <w:bottom w:val="none" w:sz="0" w:space="0" w:color="auto"/>
        <w:right w:val="none" w:sz="0" w:space="0" w:color="auto"/>
      </w:divBdr>
    </w:div>
    <w:div w:id="1063985935">
      <w:bodyDiv w:val="1"/>
      <w:marLeft w:val="0"/>
      <w:marRight w:val="0"/>
      <w:marTop w:val="0"/>
      <w:marBottom w:val="0"/>
      <w:divBdr>
        <w:top w:val="none" w:sz="0" w:space="0" w:color="auto"/>
        <w:left w:val="none" w:sz="0" w:space="0" w:color="auto"/>
        <w:bottom w:val="none" w:sz="0" w:space="0" w:color="auto"/>
        <w:right w:val="none" w:sz="0" w:space="0" w:color="auto"/>
      </w:divBdr>
    </w:div>
    <w:div w:id="1066533204">
      <w:bodyDiv w:val="1"/>
      <w:marLeft w:val="0"/>
      <w:marRight w:val="0"/>
      <w:marTop w:val="0"/>
      <w:marBottom w:val="0"/>
      <w:divBdr>
        <w:top w:val="none" w:sz="0" w:space="0" w:color="auto"/>
        <w:left w:val="none" w:sz="0" w:space="0" w:color="auto"/>
        <w:bottom w:val="none" w:sz="0" w:space="0" w:color="auto"/>
        <w:right w:val="none" w:sz="0" w:space="0" w:color="auto"/>
      </w:divBdr>
    </w:div>
    <w:div w:id="1073625114">
      <w:bodyDiv w:val="1"/>
      <w:marLeft w:val="0"/>
      <w:marRight w:val="0"/>
      <w:marTop w:val="0"/>
      <w:marBottom w:val="0"/>
      <w:divBdr>
        <w:top w:val="none" w:sz="0" w:space="0" w:color="auto"/>
        <w:left w:val="none" w:sz="0" w:space="0" w:color="auto"/>
        <w:bottom w:val="none" w:sz="0" w:space="0" w:color="auto"/>
        <w:right w:val="none" w:sz="0" w:space="0" w:color="auto"/>
      </w:divBdr>
    </w:div>
    <w:div w:id="1079059070">
      <w:bodyDiv w:val="1"/>
      <w:marLeft w:val="0"/>
      <w:marRight w:val="0"/>
      <w:marTop w:val="0"/>
      <w:marBottom w:val="0"/>
      <w:divBdr>
        <w:top w:val="none" w:sz="0" w:space="0" w:color="auto"/>
        <w:left w:val="none" w:sz="0" w:space="0" w:color="auto"/>
        <w:bottom w:val="none" w:sz="0" w:space="0" w:color="auto"/>
        <w:right w:val="none" w:sz="0" w:space="0" w:color="auto"/>
      </w:divBdr>
    </w:div>
    <w:div w:id="1086607839">
      <w:bodyDiv w:val="1"/>
      <w:marLeft w:val="0"/>
      <w:marRight w:val="0"/>
      <w:marTop w:val="0"/>
      <w:marBottom w:val="0"/>
      <w:divBdr>
        <w:top w:val="none" w:sz="0" w:space="0" w:color="auto"/>
        <w:left w:val="none" w:sz="0" w:space="0" w:color="auto"/>
        <w:bottom w:val="none" w:sz="0" w:space="0" w:color="auto"/>
        <w:right w:val="none" w:sz="0" w:space="0" w:color="auto"/>
      </w:divBdr>
    </w:div>
    <w:div w:id="1101608820">
      <w:bodyDiv w:val="1"/>
      <w:marLeft w:val="0"/>
      <w:marRight w:val="0"/>
      <w:marTop w:val="0"/>
      <w:marBottom w:val="0"/>
      <w:divBdr>
        <w:top w:val="none" w:sz="0" w:space="0" w:color="auto"/>
        <w:left w:val="none" w:sz="0" w:space="0" w:color="auto"/>
        <w:bottom w:val="none" w:sz="0" w:space="0" w:color="auto"/>
        <w:right w:val="none" w:sz="0" w:space="0" w:color="auto"/>
      </w:divBdr>
    </w:div>
    <w:div w:id="1123233750">
      <w:bodyDiv w:val="1"/>
      <w:marLeft w:val="0"/>
      <w:marRight w:val="0"/>
      <w:marTop w:val="0"/>
      <w:marBottom w:val="0"/>
      <w:divBdr>
        <w:top w:val="none" w:sz="0" w:space="0" w:color="auto"/>
        <w:left w:val="none" w:sz="0" w:space="0" w:color="auto"/>
        <w:bottom w:val="none" w:sz="0" w:space="0" w:color="auto"/>
        <w:right w:val="none" w:sz="0" w:space="0" w:color="auto"/>
      </w:divBdr>
    </w:div>
    <w:div w:id="1127427315">
      <w:bodyDiv w:val="1"/>
      <w:marLeft w:val="0"/>
      <w:marRight w:val="0"/>
      <w:marTop w:val="0"/>
      <w:marBottom w:val="0"/>
      <w:divBdr>
        <w:top w:val="none" w:sz="0" w:space="0" w:color="auto"/>
        <w:left w:val="none" w:sz="0" w:space="0" w:color="auto"/>
        <w:bottom w:val="none" w:sz="0" w:space="0" w:color="auto"/>
        <w:right w:val="none" w:sz="0" w:space="0" w:color="auto"/>
      </w:divBdr>
    </w:div>
    <w:div w:id="1141536219">
      <w:bodyDiv w:val="1"/>
      <w:marLeft w:val="0"/>
      <w:marRight w:val="0"/>
      <w:marTop w:val="0"/>
      <w:marBottom w:val="0"/>
      <w:divBdr>
        <w:top w:val="none" w:sz="0" w:space="0" w:color="auto"/>
        <w:left w:val="none" w:sz="0" w:space="0" w:color="auto"/>
        <w:bottom w:val="none" w:sz="0" w:space="0" w:color="auto"/>
        <w:right w:val="none" w:sz="0" w:space="0" w:color="auto"/>
      </w:divBdr>
    </w:div>
    <w:div w:id="1187983730">
      <w:bodyDiv w:val="1"/>
      <w:marLeft w:val="0"/>
      <w:marRight w:val="0"/>
      <w:marTop w:val="0"/>
      <w:marBottom w:val="0"/>
      <w:divBdr>
        <w:top w:val="none" w:sz="0" w:space="0" w:color="auto"/>
        <w:left w:val="none" w:sz="0" w:space="0" w:color="auto"/>
        <w:bottom w:val="none" w:sz="0" w:space="0" w:color="auto"/>
        <w:right w:val="none" w:sz="0" w:space="0" w:color="auto"/>
      </w:divBdr>
    </w:div>
    <w:div w:id="1222516793">
      <w:bodyDiv w:val="1"/>
      <w:marLeft w:val="0"/>
      <w:marRight w:val="0"/>
      <w:marTop w:val="0"/>
      <w:marBottom w:val="0"/>
      <w:divBdr>
        <w:top w:val="none" w:sz="0" w:space="0" w:color="auto"/>
        <w:left w:val="none" w:sz="0" w:space="0" w:color="auto"/>
        <w:bottom w:val="none" w:sz="0" w:space="0" w:color="auto"/>
        <w:right w:val="none" w:sz="0" w:space="0" w:color="auto"/>
      </w:divBdr>
    </w:div>
    <w:div w:id="1235165204">
      <w:bodyDiv w:val="1"/>
      <w:marLeft w:val="0"/>
      <w:marRight w:val="0"/>
      <w:marTop w:val="0"/>
      <w:marBottom w:val="0"/>
      <w:divBdr>
        <w:top w:val="none" w:sz="0" w:space="0" w:color="auto"/>
        <w:left w:val="none" w:sz="0" w:space="0" w:color="auto"/>
        <w:bottom w:val="none" w:sz="0" w:space="0" w:color="auto"/>
        <w:right w:val="none" w:sz="0" w:space="0" w:color="auto"/>
      </w:divBdr>
    </w:div>
    <w:div w:id="1236550639">
      <w:bodyDiv w:val="1"/>
      <w:marLeft w:val="0"/>
      <w:marRight w:val="0"/>
      <w:marTop w:val="0"/>
      <w:marBottom w:val="0"/>
      <w:divBdr>
        <w:top w:val="none" w:sz="0" w:space="0" w:color="auto"/>
        <w:left w:val="none" w:sz="0" w:space="0" w:color="auto"/>
        <w:bottom w:val="none" w:sz="0" w:space="0" w:color="auto"/>
        <w:right w:val="none" w:sz="0" w:space="0" w:color="auto"/>
      </w:divBdr>
    </w:div>
    <w:div w:id="1243447167">
      <w:bodyDiv w:val="1"/>
      <w:marLeft w:val="0"/>
      <w:marRight w:val="0"/>
      <w:marTop w:val="0"/>
      <w:marBottom w:val="0"/>
      <w:divBdr>
        <w:top w:val="none" w:sz="0" w:space="0" w:color="auto"/>
        <w:left w:val="none" w:sz="0" w:space="0" w:color="auto"/>
        <w:bottom w:val="none" w:sz="0" w:space="0" w:color="auto"/>
        <w:right w:val="none" w:sz="0" w:space="0" w:color="auto"/>
      </w:divBdr>
    </w:div>
    <w:div w:id="1247962128">
      <w:bodyDiv w:val="1"/>
      <w:marLeft w:val="0"/>
      <w:marRight w:val="0"/>
      <w:marTop w:val="0"/>
      <w:marBottom w:val="0"/>
      <w:divBdr>
        <w:top w:val="none" w:sz="0" w:space="0" w:color="auto"/>
        <w:left w:val="none" w:sz="0" w:space="0" w:color="auto"/>
        <w:bottom w:val="none" w:sz="0" w:space="0" w:color="auto"/>
        <w:right w:val="none" w:sz="0" w:space="0" w:color="auto"/>
      </w:divBdr>
    </w:div>
    <w:div w:id="1267153318">
      <w:bodyDiv w:val="1"/>
      <w:marLeft w:val="0"/>
      <w:marRight w:val="0"/>
      <w:marTop w:val="0"/>
      <w:marBottom w:val="0"/>
      <w:divBdr>
        <w:top w:val="none" w:sz="0" w:space="0" w:color="auto"/>
        <w:left w:val="none" w:sz="0" w:space="0" w:color="auto"/>
        <w:bottom w:val="none" w:sz="0" w:space="0" w:color="auto"/>
        <w:right w:val="none" w:sz="0" w:space="0" w:color="auto"/>
      </w:divBdr>
    </w:div>
    <w:div w:id="1287156532">
      <w:bodyDiv w:val="1"/>
      <w:marLeft w:val="0"/>
      <w:marRight w:val="0"/>
      <w:marTop w:val="0"/>
      <w:marBottom w:val="0"/>
      <w:divBdr>
        <w:top w:val="none" w:sz="0" w:space="0" w:color="auto"/>
        <w:left w:val="none" w:sz="0" w:space="0" w:color="auto"/>
        <w:bottom w:val="none" w:sz="0" w:space="0" w:color="auto"/>
        <w:right w:val="none" w:sz="0" w:space="0" w:color="auto"/>
      </w:divBdr>
    </w:div>
    <w:div w:id="1295405369">
      <w:bodyDiv w:val="1"/>
      <w:marLeft w:val="0"/>
      <w:marRight w:val="0"/>
      <w:marTop w:val="0"/>
      <w:marBottom w:val="0"/>
      <w:divBdr>
        <w:top w:val="none" w:sz="0" w:space="0" w:color="auto"/>
        <w:left w:val="none" w:sz="0" w:space="0" w:color="auto"/>
        <w:bottom w:val="none" w:sz="0" w:space="0" w:color="auto"/>
        <w:right w:val="none" w:sz="0" w:space="0" w:color="auto"/>
      </w:divBdr>
    </w:div>
    <w:div w:id="1401054214">
      <w:bodyDiv w:val="1"/>
      <w:marLeft w:val="0"/>
      <w:marRight w:val="0"/>
      <w:marTop w:val="0"/>
      <w:marBottom w:val="0"/>
      <w:divBdr>
        <w:top w:val="none" w:sz="0" w:space="0" w:color="auto"/>
        <w:left w:val="none" w:sz="0" w:space="0" w:color="auto"/>
        <w:bottom w:val="none" w:sz="0" w:space="0" w:color="auto"/>
        <w:right w:val="none" w:sz="0" w:space="0" w:color="auto"/>
      </w:divBdr>
    </w:div>
    <w:div w:id="1403522688">
      <w:bodyDiv w:val="1"/>
      <w:marLeft w:val="0"/>
      <w:marRight w:val="0"/>
      <w:marTop w:val="0"/>
      <w:marBottom w:val="0"/>
      <w:divBdr>
        <w:top w:val="none" w:sz="0" w:space="0" w:color="auto"/>
        <w:left w:val="none" w:sz="0" w:space="0" w:color="auto"/>
        <w:bottom w:val="none" w:sz="0" w:space="0" w:color="auto"/>
        <w:right w:val="none" w:sz="0" w:space="0" w:color="auto"/>
      </w:divBdr>
    </w:div>
    <w:div w:id="1411854714">
      <w:bodyDiv w:val="1"/>
      <w:marLeft w:val="0"/>
      <w:marRight w:val="0"/>
      <w:marTop w:val="0"/>
      <w:marBottom w:val="0"/>
      <w:divBdr>
        <w:top w:val="none" w:sz="0" w:space="0" w:color="auto"/>
        <w:left w:val="none" w:sz="0" w:space="0" w:color="auto"/>
        <w:bottom w:val="none" w:sz="0" w:space="0" w:color="auto"/>
        <w:right w:val="none" w:sz="0" w:space="0" w:color="auto"/>
      </w:divBdr>
    </w:div>
    <w:div w:id="1448350097">
      <w:bodyDiv w:val="1"/>
      <w:marLeft w:val="0"/>
      <w:marRight w:val="0"/>
      <w:marTop w:val="0"/>
      <w:marBottom w:val="0"/>
      <w:divBdr>
        <w:top w:val="none" w:sz="0" w:space="0" w:color="auto"/>
        <w:left w:val="none" w:sz="0" w:space="0" w:color="auto"/>
        <w:bottom w:val="none" w:sz="0" w:space="0" w:color="auto"/>
        <w:right w:val="none" w:sz="0" w:space="0" w:color="auto"/>
      </w:divBdr>
    </w:div>
    <w:div w:id="1498156438">
      <w:bodyDiv w:val="1"/>
      <w:marLeft w:val="0"/>
      <w:marRight w:val="0"/>
      <w:marTop w:val="0"/>
      <w:marBottom w:val="0"/>
      <w:divBdr>
        <w:top w:val="none" w:sz="0" w:space="0" w:color="auto"/>
        <w:left w:val="none" w:sz="0" w:space="0" w:color="auto"/>
        <w:bottom w:val="none" w:sz="0" w:space="0" w:color="auto"/>
        <w:right w:val="none" w:sz="0" w:space="0" w:color="auto"/>
      </w:divBdr>
    </w:div>
    <w:div w:id="1528982782">
      <w:bodyDiv w:val="1"/>
      <w:marLeft w:val="0"/>
      <w:marRight w:val="0"/>
      <w:marTop w:val="0"/>
      <w:marBottom w:val="0"/>
      <w:divBdr>
        <w:top w:val="none" w:sz="0" w:space="0" w:color="auto"/>
        <w:left w:val="none" w:sz="0" w:space="0" w:color="auto"/>
        <w:bottom w:val="none" w:sz="0" w:space="0" w:color="auto"/>
        <w:right w:val="none" w:sz="0" w:space="0" w:color="auto"/>
      </w:divBdr>
    </w:div>
    <w:div w:id="1543442316">
      <w:bodyDiv w:val="1"/>
      <w:marLeft w:val="0"/>
      <w:marRight w:val="0"/>
      <w:marTop w:val="0"/>
      <w:marBottom w:val="0"/>
      <w:divBdr>
        <w:top w:val="none" w:sz="0" w:space="0" w:color="auto"/>
        <w:left w:val="none" w:sz="0" w:space="0" w:color="auto"/>
        <w:bottom w:val="none" w:sz="0" w:space="0" w:color="auto"/>
        <w:right w:val="none" w:sz="0" w:space="0" w:color="auto"/>
      </w:divBdr>
    </w:div>
    <w:div w:id="1589732327">
      <w:bodyDiv w:val="1"/>
      <w:marLeft w:val="0"/>
      <w:marRight w:val="0"/>
      <w:marTop w:val="0"/>
      <w:marBottom w:val="0"/>
      <w:divBdr>
        <w:top w:val="none" w:sz="0" w:space="0" w:color="auto"/>
        <w:left w:val="none" w:sz="0" w:space="0" w:color="auto"/>
        <w:bottom w:val="none" w:sz="0" w:space="0" w:color="auto"/>
        <w:right w:val="none" w:sz="0" w:space="0" w:color="auto"/>
      </w:divBdr>
    </w:div>
    <w:div w:id="1634824749">
      <w:bodyDiv w:val="1"/>
      <w:marLeft w:val="0"/>
      <w:marRight w:val="0"/>
      <w:marTop w:val="0"/>
      <w:marBottom w:val="0"/>
      <w:divBdr>
        <w:top w:val="none" w:sz="0" w:space="0" w:color="auto"/>
        <w:left w:val="none" w:sz="0" w:space="0" w:color="auto"/>
        <w:bottom w:val="none" w:sz="0" w:space="0" w:color="auto"/>
        <w:right w:val="none" w:sz="0" w:space="0" w:color="auto"/>
      </w:divBdr>
    </w:div>
    <w:div w:id="1652369409">
      <w:bodyDiv w:val="1"/>
      <w:marLeft w:val="0"/>
      <w:marRight w:val="0"/>
      <w:marTop w:val="0"/>
      <w:marBottom w:val="0"/>
      <w:divBdr>
        <w:top w:val="none" w:sz="0" w:space="0" w:color="auto"/>
        <w:left w:val="none" w:sz="0" w:space="0" w:color="auto"/>
        <w:bottom w:val="none" w:sz="0" w:space="0" w:color="auto"/>
        <w:right w:val="none" w:sz="0" w:space="0" w:color="auto"/>
      </w:divBdr>
    </w:div>
    <w:div w:id="1674726452">
      <w:bodyDiv w:val="1"/>
      <w:marLeft w:val="0"/>
      <w:marRight w:val="0"/>
      <w:marTop w:val="0"/>
      <w:marBottom w:val="0"/>
      <w:divBdr>
        <w:top w:val="none" w:sz="0" w:space="0" w:color="auto"/>
        <w:left w:val="none" w:sz="0" w:space="0" w:color="auto"/>
        <w:bottom w:val="none" w:sz="0" w:space="0" w:color="auto"/>
        <w:right w:val="none" w:sz="0" w:space="0" w:color="auto"/>
      </w:divBdr>
    </w:div>
    <w:div w:id="1696274381">
      <w:bodyDiv w:val="1"/>
      <w:marLeft w:val="0"/>
      <w:marRight w:val="0"/>
      <w:marTop w:val="0"/>
      <w:marBottom w:val="0"/>
      <w:divBdr>
        <w:top w:val="none" w:sz="0" w:space="0" w:color="auto"/>
        <w:left w:val="none" w:sz="0" w:space="0" w:color="auto"/>
        <w:bottom w:val="none" w:sz="0" w:space="0" w:color="auto"/>
        <w:right w:val="none" w:sz="0" w:space="0" w:color="auto"/>
      </w:divBdr>
    </w:div>
    <w:div w:id="1708097299">
      <w:bodyDiv w:val="1"/>
      <w:marLeft w:val="0"/>
      <w:marRight w:val="0"/>
      <w:marTop w:val="0"/>
      <w:marBottom w:val="0"/>
      <w:divBdr>
        <w:top w:val="none" w:sz="0" w:space="0" w:color="auto"/>
        <w:left w:val="none" w:sz="0" w:space="0" w:color="auto"/>
        <w:bottom w:val="none" w:sz="0" w:space="0" w:color="auto"/>
        <w:right w:val="none" w:sz="0" w:space="0" w:color="auto"/>
      </w:divBdr>
    </w:div>
    <w:div w:id="1714647482">
      <w:bodyDiv w:val="1"/>
      <w:marLeft w:val="0"/>
      <w:marRight w:val="0"/>
      <w:marTop w:val="0"/>
      <w:marBottom w:val="0"/>
      <w:divBdr>
        <w:top w:val="none" w:sz="0" w:space="0" w:color="auto"/>
        <w:left w:val="none" w:sz="0" w:space="0" w:color="auto"/>
        <w:bottom w:val="none" w:sz="0" w:space="0" w:color="auto"/>
        <w:right w:val="none" w:sz="0" w:space="0" w:color="auto"/>
      </w:divBdr>
    </w:div>
    <w:div w:id="1801462069">
      <w:bodyDiv w:val="1"/>
      <w:marLeft w:val="0"/>
      <w:marRight w:val="0"/>
      <w:marTop w:val="0"/>
      <w:marBottom w:val="0"/>
      <w:divBdr>
        <w:top w:val="none" w:sz="0" w:space="0" w:color="auto"/>
        <w:left w:val="none" w:sz="0" w:space="0" w:color="auto"/>
        <w:bottom w:val="none" w:sz="0" w:space="0" w:color="auto"/>
        <w:right w:val="none" w:sz="0" w:space="0" w:color="auto"/>
      </w:divBdr>
    </w:div>
    <w:div w:id="1802305680">
      <w:bodyDiv w:val="1"/>
      <w:marLeft w:val="0"/>
      <w:marRight w:val="0"/>
      <w:marTop w:val="0"/>
      <w:marBottom w:val="0"/>
      <w:divBdr>
        <w:top w:val="none" w:sz="0" w:space="0" w:color="auto"/>
        <w:left w:val="none" w:sz="0" w:space="0" w:color="auto"/>
        <w:bottom w:val="none" w:sz="0" w:space="0" w:color="auto"/>
        <w:right w:val="none" w:sz="0" w:space="0" w:color="auto"/>
      </w:divBdr>
    </w:div>
    <w:div w:id="1802722170">
      <w:bodyDiv w:val="1"/>
      <w:marLeft w:val="0"/>
      <w:marRight w:val="0"/>
      <w:marTop w:val="0"/>
      <w:marBottom w:val="0"/>
      <w:divBdr>
        <w:top w:val="none" w:sz="0" w:space="0" w:color="auto"/>
        <w:left w:val="none" w:sz="0" w:space="0" w:color="auto"/>
        <w:bottom w:val="none" w:sz="0" w:space="0" w:color="auto"/>
        <w:right w:val="none" w:sz="0" w:space="0" w:color="auto"/>
      </w:divBdr>
    </w:div>
    <w:div w:id="1846280957">
      <w:bodyDiv w:val="1"/>
      <w:marLeft w:val="0"/>
      <w:marRight w:val="0"/>
      <w:marTop w:val="0"/>
      <w:marBottom w:val="0"/>
      <w:divBdr>
        <w:top w:val="none" w:sz="0" w:space="0" w:color="auto"/>
        <w:left w:val="none" w:sz="0" w:space="0" w:color="auto"/>
        <w:bottom w:val="none" w:sz="0" w:space="0" w:color="auto"/>
        <w:right w:val="none" w:sz="0" w:space="0" w:color="auto"/>
      </w:divBdr>
    </w:div>
    <w:div w:id="1849908953">
      <w:bodyDiv w:val="1"/>
      <w:marLeft w:val="0"/>
      <w:marRight w:val="0"/>
      <w:marTop w:val="0"/>
      <w:marBottom w:val="0"/>
      <w:divBdr>
        <w:top w:val="none" w:sz="0" w:space="0" w:color="auto"/>
        <w:left w:val="none" w:sz="0" w:space="0" w:color="auto"/>
        <w:bottom w:val="none" w:sz="0" w:space="0" w:color="auto"/>
        <w:right w:val="none" w:sz="0" w:space="0" w:color="auto"/>
      </w:divBdr>
    </w:div>
    <w:div w:id="1872955759">
      <w:bodyDiv w:val="1"/>
      <w:marLeft w:val="0"/>
      <w:marRight w:val="0"/>
      <w:marTop w:val="0"/>
      <w:marBottom w:val="0"/>
      <w:divBdr>
        <w:top w:val="none" w:sz="0" w:space="0" w:color="auto"/>
        <w:left w:val="none" w:sz="0" w:space="0" w:color="auto"/>
        <w:bottom w:val="none" w:sz="0" w:space="0" w:color="auto"/>
        <w:right w:val="none" w:sz="0" w:space="0" w:color="auto"/>
      </w:divBdr>
    </w:div>
    <w:div w:id="1974407386">
      <w:bodyDiv w:val="1"/>
      <w:marLeft w:val="0"/>
      <w:marRight w:val="0"/>
      <w:marTop w:val="0"/>
      <w:marBottom w:val="0"/>
      <w:divBdr>
        <w:top w:val="none" w:sz="0" w:space="0" w:color="auto"/>
        <w:left w:val="none" w:sz="0" w:space="0" w:color="auto"/>
        <w:bottom w:val="none" w:sz="0" w:space="0" w:color="auto"/>
        <w:right w:val="none" w:sz="0" w:space="0" w:color="auto"/>
      </w:divBdr>
    </w:div>
    <w:div w:id="2002542419">
      <w:bodyDiv w:val="1"/>
      <w:marLeft w:val="0"/>
      <w:marRight w:val="0"/>
      <w:marTop w:val="0"/>
      <w:marBottom w:val="0"/>
      <w:divBdr>
        <w:top w:val="none" w:sz="0" w:space="0" w:color="auto"/>
        <w:left w:val="none" w:sz="0" w:space="0" w:color="auto"/>
        <w:bottom w:val="none" w:sz="0" w:space="0" w:color="auto"/>
        <w:right w:val="none" w:sz="0" w:space="0" w:color="auto"/>
      </w:divBdr>
    </w:div>
    <w:div w:id="2014454707">
      <w:bodyDiv w:val="1"/>
      <w:marLeft w:val="0"/>
      <w:marRight w:val="0"/>
      <w:marTop w:val="0"/>
      <w:marBottom w:val="0"/>
      <w:divBdr>
        <w:top w:val="none" w:sz="0" w:space="0" w:color="auto"/>
        <w:left w:val="none" w:sz="0" w:space="0" w:color="auto"/>
        <w:bottom w:val="none" w:sz="0" w:space="0" w:color="auto"/>
        <w:right w:val="none" w:sz="0" w:space="0" w:color="auto"/>
      </w:divBdr>
    </w:div>
    <w:div w:id="2020236575">
      <w:bodyDiv w:val="1"/>
      <w:marLeft w:val="0"/>
      <w:marRight w:val="0"/>
      <w:marTop w:val="0"/>
      <w:marBottom w:val="0"/>
      <w:divBdr>
        <w:top w:val="none" w:sz="0" w:space="0" w:color="auto"/>
        <w:left w:val="none" w:sz="0" w:space="0" w:color="auto"/>
        <w:bottom w:val="none" w:sz="0" w:space="0" w:color="auto"/>
        <w:right w:val="none" w:sz="0" w:space="0" w:color="auto"/>
      </w:divBdr>
    </w:div>
    <w:div w:id="2038776758">
      <w:bodyDiv w:val="1"/>
      <w:marLeft w:val="0"/>
      <w:marRight w:val="0"/>
      <w:marTop w:val="0"/>
      <w:marBottom w:val="0"/>
      <w:divBdr>
        <w:top w:val="none" w:sz="0" w:space="0" w:color="auto"/>
        <w:left w:val="none" w:sz="0" w:space="0" w:color="auto"/>
        <w:bottom w:val="none" w:sz="0" w:space="0" w:color="auto"/>
        <w:right w:val="none" w:sz="0" w:space="0" w:color="auto"/>
      </w:divBdr>
    </w:div>
    <w:div w:id="2049258312">
      <w:bodyDiv w:val="1"/>
      <w:marLeft w:val="0"/>
      <w:marRight w:val="0"/>
      <w:marTop w:val="0"/>
      <w:marBottom w:val="0"/>
      <w:divBdr>
        <w:top w:val="none" w:sz="0" w:space="0" w:color="auto"/>
        <w:left w:val="none" w:sz="0" w:space="0" w:color="auto"/>
        <w:bottom w:val="none" w:sz="0" w:space="0" w:color="auto"/>
        <w:right w:val="none" w:sz="0" w:space="0" w:color="auto"/>
      </w:divBdr>
    </w:div>
    <w:div w:id="2054033705">
      <w:bodyDiv w:val="1"/>
      <w:marLeft w:val="0"/>
      <w:marRight w:val="0"/>
      <w:marTop w:val="0"/>
      <w:marBottom w:val="0"/>
      <w:divBdr>
        <w:top w:val="none" w:sz="0" w:space="0" w:color="auto"/>
        <w:left w:val="none" w:sz="0" w:space="0" w:color="auto"/>
        <w:bottom w:val="none" w:sz="0" w:space="0" w:color="auto"/>
        <w:right w:val="none" w:sz="0" w:space="0" w:color="auto"/>
      </w:divBdr>
    </w:div>
    <w:div w:id="2071032834">
      <w:bodyDiv w:val="1"/>
      <w:marLeft w:val="0"/>
      <w:marRight w:val="0"/>
      <w:marTop w:val="0"/>
      <w:marBottom w:val="0"/>
      <w:divBdr>
        <w:top w:val="none" w:sz="0" w:space="0" w:color="auto"/>
        <w:left w:val="none" w:sz="0" w:space="0" w:color="auto"/>
        <w:bottom w:val="none" w:sz="0" w:space="0" w:color="auto"/>
        <w:right w:val="none" w:sz="0" w:space="0" w:color="auto"/>
      </w:divBdr>
    </w:div>
    <w:div w:id="2071534195">
      <w:bodyDiv w:val="1"/>
      <w:marLeft w:val="0"/>
      <w:marRight w:val="0"/>
      <w:marTop w:val="0"/>
      <w:marBottom w:val="0"/>
      <w:divBdr>
        <w:top w:val="none" w:sz="0" w:space="0" w:color="auto"/>
        <w:left w:val="none" w:sz="0" w:space="0" w:color="auto"/>
        <w:bottom w:val="none" w:sz="0" w:space="0" w:color="auto"/>
        <w:right w:val="none" w:sz="0" w:space="0" w:color="auto"/>
      </w:divBdr>
    </w:div>
    <w:div w:id="2087846674">
      <w:bodyDiv w:val="1"/>
      <w:marLeft w:val="0"/>
      <w:marRight w:val="0"/>
      <w:marTop w:val="0"/>
      <w:marBottom w:val="0"/>
      <w:divBdr>
        <w:top w:val="none" w:sz="0" w:space="0" w:color="auto"/>
        <w:left w:val="none" w:sz="0" w:space="0" w:color="auto"/>
        <w:bottom w:val="none" w:sz="0" w:space="0" w:color="auto"/>
        <w:right w:val="none" w:sz="0" w:space="0" w:color="auto"/>
      </w:divBdr>
    </w:div>
    <w:div w:id="21459290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image" Target="media/image4.wmf"/><Relationship Id="rId18" Type="http://schemas.openxmlformats.org/officeDocument/2006/relationships/oleObject" Target="embeddings/oleObject5.bin"/><Relationship Id="rId26" Type="http://schemas.openxmlformats.org/officeDocument/2006/relationships/oleObject" Target="embeddings/oleObject9.bin"/><Relationship Id="rId3" Type="http://schemas.openxmlformats.org/officeDocument/2006/relationships/styles" Target="styles.xml"/><Relationship Id="rId21" Type="http://schemas.openxmlformats.org/officeDocument/2006/relationships/image" Target="media/image8.wmf"/><Relationship Id="rId34"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oleObject" Target="embeddings/oleObject2.bin"/><Relationship Id="rId17" Type="http://schemas.openxmlformats.org/officeDocument/2006/relationships/image" Target="media/image6.wmf"/><Relationship Id="rId25" Type="http://schemas.openxmlformats.org/officeDocument/2006/relationships/image" Target="media/image10.wmf"/><Relationship Id="rId33"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oleObject" Target="embeddings/oleObject4.bin"/><Relationship Id="rId20" Type="http://schemas.openxmlformats.org/officeDocument/2006/relationships/oleObject" Target="embeddings/oleObject6.bin"/><Relationship Id="rId29" Type="http://schemas.openxmlformats.org/officeDocument/2006/relationships/image" Target="media/image12.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wmf"/><Relationship Id="rId24" Type="http://schemas.openxmlformats.org/officeDocument/2006/relationships/oleObject" Target="embeddings/oleObject8.bin"/><Relationship Id="rId32"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image" Target="media/image5.wmf"/><Relationship Id="rId23" Type="http://schemas.openxmlformats.org/officeDocument/2006/relationships/image" Target="media/image9.wmf"/><Relationship Id="rId28" Type="http://schemas.openxmlformats.org/officeDocument/2006/relationships/oleObject" Target="embeddings/oleObject10.bin"/><Relationship Id="rId36" Type="http://schemas.openxmlformats.org/officeDocument/2006/relationships/theme" Target="theme/theme1.xml"/><Relationship Id="rId10" Type="http://schemas.openxmlformats.org/officeDocument/2006/relationships/oleObject" Target="embeddings/oleObject1.bin"/><Relationship Id="rId19" Type="http://schemas.openxmlformats.org/officeDocument/2006/relationships/image" Target="media/image7.wmf"/><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oleObject" Target="embeddings/oleObject3.bin"/><Relationship Id="rId22" Type="http://schemas.openxmlformats.org/officeDocument/2006/relationships/oleObject" Target="embeddings/oleObject7.bin"/><Relationship Id="rId27" Type="http://schemas.openxmlformats.org/officeDocument/2006/relationships/image" Target="media/image11.wmf"/><Relationship Id="rId30" Type="http://schemas.openxmlformats.org/officeDocument/2006/relationships/header" Target="header1.xml"/><Relationship Id="rId35"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11.bin"/><Relationship Id="rId1" Type="http://schemas.openxmlformats.org/officeDocument/2006/relationships/image" Target="media/image13.png"/></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2B10A6-06D0-43C9-9366-96A9A574DD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0</TotalTime>
  <Pages>239</Pages>
  <Words>95311</Words>
  <Characters>524211</Characters>
  <Application>Microsoft Office Word</Application>
  <DocSecurity>0</DocSecurity>
  <Lines>4368</Lines>
  <Paragraphs>1236</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618286</CharactersWithSpaces>
  <SharedDoc>false</SharedDoc>
  <HLinks>
    <vt:vector size="300" baseType="variant">
      <vt:variant>
        <vt:i4>1310768</vt:i4>
      </vt:variant>
      <vt:variant>
        <vt:i4>443</vt:i4>
      </vt:variant>
      <vt:variant>
        <vt:i4>0</vt:i4>
      </vt:variant>
      <vt:variant>
        <vt:i4>5</vt:i4>
      </vt:variant>
      <vt:variant>
        <vt:lpwstr/>
      </vt:variant>
      <vt:variant>
        <vt:lpwstr>_Toc310577409</vt:lpwstr>
      </vt:variant>
      <vt:variant>
        <vt:i4>1310768</vt:i4>
      </vt:variant>
      <vt:variant>
        <vt:i4>437</vt:i4>
      </vt:variant>
      <vt:variant>
        <vt:i4>0</vt:i4>
      </vt:variant>
      <vt:variant>
        <vt:i4>5</vt:i4>
      </vt:variant>
      <vt:variant>
        <vt:lpwstr/>
      </vt:variant>
      <vt:variant>
        <vt:lpwstr>_Toc310577408</vt:lpwstr>
      </vt:variant>
      <vt:variant>
        <vt:i4>1310768</vt:i4>
      </vt:variant>
      <vt:variant>
        <vt:i4>431</vt:i4>
      </vt:variant>
      <vt:variant>
        <vt:i4>0</vt:i4>
      </vt:variant>
      <vt:variant>
        <vt:i4>5</vt:i4>
      </vt:variant>
      <vt:variant>
        <vt:lpwstr/>
      </vt:variant>
      <vt:variant>
        <vt:lpwstr>_Toc310577407</vt:lpwstr>
      </vt:variant>
      <vt:variant>
        <vt:i4>1310768</vt:i4>
      </vt:variant>
      <vt:variant>
        <vt:i4>425</vt:i4>
      </vt:variant>
      <vt:variant>
        <vt:i4>0</vt:i4>
      </vt:variant>
      <vt:variant>
        <vt:i4>5</vt:i4>
      </vt:variant>
      <vt:variant>
        <vt:lpwstr/>
      </vt:variant>
      <vt:variant>
        <vt:lpwstr>_Toc310577406</vt:lpwstr>
      </vt:variant>
      <vt:variant>
        <vt:i4>1310768</vt:i4>
      </vt:variant>
      <vt:variant>
        <vt:i4>419</vt:i4>
      </vt:variant>
      <vt:variant>
        <vt:i4>0</vt:i4>
      </vt:variant>
      <vt:variant>
        <vt:i4>5</vt:i4>
      </vt:variant>
      <vt:variant>
        <vt:lpwstr/>
      </vt:variant>
      <vt:variant>
        <vt:lpwstr>_Toc310577405</vt:lpwstr>
      </vt:variant>
      <vt:variant>
        <vt:i4>1310768</vt:i4>
      </vt:variant>
      <vt:variant>
        <vt:i4>413</vt:i4>
      </vt:variant>
      <vt:variant>
        <vt:i4>0</vt:i4>
      </vt:variant>
      <vt:variant>
        <vt:i4>5</vt:i4>
      </vt:variant>
      <vt:variant>
        <vt:lpwstr/>
      </vt:variant>
      <vt:variant>
        <vt:lpwstr>_Toc310577404</vt:lpwstr>
      </vt:variant>
      <vt:variant>
        <vt:i4>1310768</vt:i4>
      </vt:variant>
      <vt:variant>
        <vt:i4>407</vt:i4>
      </vt:variant>
      <vt:variant>
        <vt:i4>0</vt:i4>
      </vt:variant>
      <vt:variant>
        <vt:i4>5</vt:i4>
      </vt:variant>
      <vt:variant>
        <vt:lpwstr/>
      </vt:variant>
      <vt:variant>
        <vt:lpwstr>_Toc310577403</vt:lpwstr>
      </vt:variant>
      <vt:variant>
        <vt:i4>1310768</vt:i4>
      </vt:variant>
      <vt:variant>
        <vt:i4>401</vt:i4>
      </vt:variant>
      <vt:variant>
        <vt:i4>0</vt:i4>
      </vt:variant>
      <vt:variant>
        <vt:i4>5</vt:i4>
      </vt:variant>
      <vt:variant>
        <vt:lpwstr/>
      </vt:variant>
      <vt:variant>
        <vt:lpwstr>_Toc310577402</vt:lpwstr>
      </vt:variant>
      <vt:variant>
        <vt:i4>1310768</vt:i4>
      </vt:variant>
      <vt:variant>
        <vt:i4>395</vt:i4>
      </vt:variant>
      <vt:variant>
        <vt:i4>0</vt:i4>
      </vt:variant>
      <vt:variant>
        <vt:i4>5</vt:i4>
      </vt:variant>
      <vt:variant>
        <vt:lpwstr/>
      </vt:variant>
      <vt:variant>
        <vt:lpwstr>_Toc310577401</vt:lpwstr>
      </vt:variant>
      <vt:variant>
        <vt:i4>1310768</vt:i4>
      </vt:variant>
      <vt:variant>
        <vt:i4>389</vt:i4>
      </vt:variant>
      <vt:variant>
        <vt:i4>0</vt:i4>
      </vt:variant>
      <vt:variant>
        <vt:i4>5</vt:i4>
      </vt:variant>
      <vt:variant>
        <vt:lpwstr/>
      </vt:variant>
      <vt:variant>
        <vt:lpwstr>_Toc310577400</vt:lpwstr>
      </vt:variant>
      <vt:variant>
        <vt:i4>1900599</vt:i4>
      </vt:variant>
      <vt:variant>
        <vt:i4>383</vt:i4>
      </vt:variant>
      <vt:variant>
        <vt:i4>0</vt:i4>
      </vt:variant>
      <vt:variant>
        <vt:i4>5</vt:i4>
      </vt:variant>
      <vt:variant>
        <vt:lpwstr/>
      </vt:variant>
      <vt:variant>
        <vt:lpwstr>_Toc310577399</vt:lpwstr>
      </vt:variant>
      <vt:variant>
        <vt:i4>1900599</vt:i4>
      </vt:variant>
      <vt:variant>
        <vt:i4>377</vt:i4>
      </vt:variant>
      <vt:variant>
        <vt:i4>0</vt:i4>
      </vt:variant>
      <vt:variant>
        <vt:i4>5</vt:i4>
      </vt:variant>
      <vt:variant>
        <vt:lpwstr/>
      </vt:variant>
      <vt:variant>
        <vt:lpwstr>_Toc310577398</vt:lpwstr>
      </vt:variant>
      <vt:variant>
        <vt:i4>1900599</vt:i4>
      </vt:variant>
      <vt:variant>
        <vt:i4>371</vt:i4>
      </vt:variant>
      <vt:variant>
        <vt:i4>0</vt:i4>
      </vt:variant>
      <vt:variant>
        <vt:i4>5</vt:i4>
      </vt:variant>
      <vt:variant>
        <vt:lpwstr/>
      </vt:variant>
      <vt:variant>
        <vt:lpwstr>_Toc310577397</vt:lpwstr>
      </vt:variant>
      <vt:variant>
        <vt:i4>1900599</vt:i4>
      </vt:variant>
      <vt:variant>
        <vt:i4>365</vt:i4>
      </vt:variant>
      <vt:variant>
        <vt:i4>0</vt:i4>
      </vt:variant>
      <vt:variant>
        <vt:i4>5</vt:i4>
      </vt:variant>
      <vt:variant>
        <vt:lpwstr/>
      </vt:variant>
      <vt:variant>
        <vt:lpwstr>_Toc310577396</vt:lpwstr>
      </vt:variant>
      <vt:variant>
        <vt:i4>1900599</vt:i4>
      </vt:variant>
      <vt:variant>
        <vt:i4>359</vt:i4>
      </vt:variant>
      <vt:variant>
        <vt:i4>0</vt:i4>
      </vt:variant>
      <vt:variant>
        <vt:i4>5</vt:i4>
      </vt:variant>
      <vt:variant>
        <vt:lpwstr/>
      </vt:variant>
      <vt:variant>
        <vt:lpwstr>_Toc310577395</vt:lpwstr>
      </vt:variant>
      <vt:variant>
        <vt:i4>1900599</vt:i4>
      </vt:variant>
      <vt:variant>
        <vt:i4>353</vt:i4>
      </vt:variant>
      <vt:variant>
        <vt:i4>0</vt:i4>
      </vt:variant>
      <vt:variant>
        <vt:i4>5</vt:i4>
      </vt:variant>
      <vt:variant>
        <vt:lpwstr/>
      </vt:variant>
      <vt:variant>
        <vt:lpwstr>_Toc310577394</vt:lpwstr>
      </vt:variant>
      <vt:variant>
        <vt:i4>1900599</vt:i4>
      </vt:variant>
      <vt:variant>
        <vt:i4>347</vt:i4>
      </vt:variant>
      <vt:variant>
        <vt:i4>0</vt:i4>
      </vt:variant>
      <vt:variant>
        <vt:i4>5</vt:i4>
      </vt:variant>
      <vt:variant>
        <vt:lpwstr/>
      </vt:variant>
      <vt:variant>
        <vt:lpwstr>_Toc310577393</vt:lpwstr>
      </vt:variant>
      <vt:variant>
        <vt:i4>1900599</vt:i4>
      </vt:variant>
      <vt:variant>
        <vt:i4>341</vt:i4>
      </vt:variant>
      <vt:variant>
        <vt:i4>0</vt:i4>
      </vt:variant>
      <vt:variant>
        <vt:i4>5</vt:i4>
      </vt:variant>
      <vt:variant>
        <vt:lpwstr/>
      </vt:variant>
      <vt:variant>
        <vt:lpwstr>_Toc310577392</vt:lpwstr>
      </vt:variant>
      <vt:variant>
        <vt:i4>1900599</vt:i4>
      </vt:variant>
      <vt:variant>
        <vt:i4>335</vt:i4>
      </vt:variant>
      <vt:variant>
        <vt:i4>0</vt:i4>
      </vt:variant>
      <vt:variant>
        <vt:i4>5</vt:i4>
      </vt:variant>
      <vt:variant>
        <vt:lpwstr/>
      </vt:variant>
      <vt:variant>
        <vt:lpwstr>_Toc310577391</vt:lpwstr>
      </vt:variant>
      <vt:variant>
        <vt:i4>1900599</vt:i4>
      </vt:variant>
      <vt:variant>
        <vt:i4>329</vt:i4>
      </vt:variant>
      <vt:variant>
        <vt:i4>0</vt:i4>
      </vt:variant>
      <vt:variant>
        <vt:i4>5</vt:i4>
      </vt:variant>
      <vt:variant>
        <vt:lpwstr/>
      </vt:variant>
      <vt:variant>
        <vt:lpwstr>_Toc310577390</vt:lpwstr>
      </vt:variant>
      <vt:variant>
        <vt:i4>1835063</vt:i4>
      </vt:variant>
      <vt:variant>
        <vt:i4>323</vt:i4>
      </vt:variant>
      <vt:variant>
        <vt:i4>0</vt:i4>
      </vt:variant>
      <vt:variant>
        <vt:i4>5</vt:i4>
      </vt:variant>
      <vt:variant>
        <vt:lpwstr/>
      </vt:variant>
      <vt:variant>
        <vt:lpwstr>_Toc310577389</vt:lpwstr>
      </vt:variant>
      <vt:variant>
        <vt:i4>1835063</vt:i4>
      </vt:variant>
      <vt:variant>
        <vt:i4>317</vt:i4>
      </vt:variant>
      <vt:variant>
        <vt:i4>0</vt:i4>
      </vt:variant>
      <vt:variant>
        <vt:i4>5</vt:i4>
      </vt:variant>
      <vt:variant>
        <vt:lpwstr/>
      </vt:variant>
      <vt:variant>
        <vt:lpwstr>_Toc310577388</vt:lpwstr>
      </vt:variant>
      <vt:variant>
        <vt:i4>1835063</vt:i4>
      </vt:variant>
      <vt:variant>
        <vt:i4>311</vt:i4>
      </vt:variant>
      <vt:variant>
        <vt:i4>0</vt:i4>
      </vt:variant>
      <vt:variant>
        <vt:i4>5</vt:i4>
      </vt:variant>
      <vt:variant>
        <vt:lpwstr/>
      </vt:variant>
      <vt:variant>
        <vt:lpwstr>_Toc310577387</vt:lpwstr>
      </vt:variant>
      <vt:variant>
        <vt:i4>1835063</vt:i4>
      </vt:variant>
      <vt:variant>
        <vt:i4>305</vt:i4>
      </vt:variant>
      <vt:variant>
        <vt:i4>0</vt:i4>
      </vt:variant>
      <vt:variant>
        <vt:i4>5</vt:i4>
      </vt:variant>
      <vt:variant>
        <vt:lpwstr/>
      </vt:variant>
      <vt:variant>
        <vt:lpwstr>_Toc310577386</vt:lpwstr>
      </vt:variant>
      <vt:variant>
        <vt:i4>1835063</vt:i4>
      </vt:variant>
      <vt:variant>
        <vt:i4>299</vt:i4>
      </vt:variant>
      <vt:variant>
        <vt:i4>0</vt:i4>
      </vt:variant>
      <vt:variant>
        <vt:i4>5</vt:i4>
      </vt:variant>
      <vt:variant>
        <vt:lpwstr/>
      </vt:variant>
      <vt:variant>
        <vt:lpwstr>_Toc310577385</vt:lpwstr>
      </vt:variant>
      <vt:variant>
        <vt:i4>1835063</vt:i4>
      </vt:variant>
      <vt:variant>
        <vt:i4>293</vt:i4>
      </vt:variant>
      <vt:variant>
        <vt:i4>0</vt:i4>
      </vt:variant>
      <vt:variant>
        <vt:i4>5</vt:i4>
      </vt:variant>
      <vt:variant>
        <vt:lpwstr/>
      </vt:variant>
      <vt:variant>
        <vt:lpwstr>_Toc310577384</vt:lpwstr>
      </vt:variant>
      <vt:variant>
        <vt:i4>1835063</vt:i4>
      </vt:variant>
      <vt:variant>
        <vt:i4>287</vt:i4>
      </vt:variant>
      <vt:variant>
        <vt:i4>0</vt:i4>
      </vt:variant>
      <vt:variant>
        <vt:i4>5</vt:i4>
      </vt:variant>
      <vt:variant>
        <vt:lpwstr/>
      </vt:variant>
      <vt:variant>
        <vt:lpwstr>_Toc310577383</vt:lpwstr>
      </vt:variant>
      <vt:variant>
        <vt:i4>1835063</vt:i4>
      </vt:variant>
      <vt:variant>
        <vt:i4>281</vt:i4>
      </vt:variant>
      <vt:variant>
        <vt:i4>0</vt:i4>
      </vt:variant>
      <vt:variant>
        <vt:i4>5</vt:i4>
      </vt:variant>
      <vt:variant>
        <vt:lpwstr/>
      </vt:variant>
      <vt:variant>
        <vt:lpwstr>_Toc310577382</vt:lpwstr>
      </vt:variant>
      <vt:variant>
        <vt:i4>1835063</vt:i4>
      </vt:variant>
      <vt:variant>
        <vt:i4>275</vt:i4>
      </vt:variant>
      <vt:variant>
        <vt:i4>0</vt:i4>
      </vt:variant>
      <vt:variant>
        <vt:i4>5</vt:i4>
      </vt:variant>
      <vt:variant>
        <vt:lpwstr/>
      </vt:variant>
      <vt:variant>
        <vt:lpwstr>_Toc310577381</vt:lpwstr>
      </vt:variant>
      <vt:variant>
        <vt:i4>1835063</vt:i4>
      </vt:variant>
      <vt:variant>
        <vt:i4>269</vt:i4>
      </vt:variant>
      <vt:variant>
        <vt:i4>0</vt:i4>
      </vt:variant>
      <vt:variant>
        <vt:i4>5</vt:i4>
      </vt:variant>
      <vt:variant>
        <vt:lpwstr/>
      </vt:variant>
      <vt:variant>
        <vt:lpwstr>_Toc310577380</vt:lpwstr>
      </vt:variant>
      <vt:variant>
        <vt:i4>1245239</vt:i4>
      </vt:variant>
      <vt:variant>
        <vt:i4>263</vt:i4>
      </vt:variant>
      <vt:variant>
        <vt:i4>0</vt:i4>
      </vt:variant>
      <vt:variant>
        <vt:i4>5</vt:i4>
      </vt:variant>
      <vt:variant>
        <vt:lpwstr/>
      </vt:variant>
      <vt:variant>
        <vt:lpwstr>_Toc310577379</vt:lpwstr>
      </vt:variant>
      <vt:variant>
        <vt:i4>1245239</vt:i4>
      </vt:variant>
      <vt:variant>
        <vt:i4>257</vt:i4>
      </vt:variant>
      <vt:variant>
        <vt:i4>0</vt:i4>
      </vt:variant>
      <vt:variant>
        <vt:i4>5</vt:i4>
      </vt:variant>
      <vt:variant>
        <vt:lpwstr/>
      </vt:variant>
      <vt:variant>
        <vt:lpwstr>_Toc310577378</vt:lpwstr>
      </vt:variant>
      <vt:variant>
        <vt:i4>1245239</vt:i4>
      </vt:variant>
      <vt:variant>
        <vt:i4>251</vt:i4>
      </vt:variant>
      <vt:variant>
        <vt:i4>0</vt:i4>
      </vt:variant>
      <vt:variant>
        <vt:i4>5</vt:i4>
      </vt:variant>
      <vt:variant>
        <vt:lpwstr/>
      </vt:variant>
      <vt:variant>
        <vt:lpwstr>_Toc310577377</vt:lpwstr>
      </vt:variant>
      <vt:variant>
        <vt:i4>1245239</vt:i4>
      </vt:variant>
      <vt:variant>
        <vt:i4>245</vt:i4>
      </vt:variant>
      <vt:variant>
        <vt:i4>0</vt:i4>
      </vt:variant>
      <vt:variant>
        <vt:i4>5</vt:i4>
      </vt:variant>
      <vt:variant>
        <vt:lpwstr/>
      </vt:variant>
      <vt:variant>
        <vt:lpwstr>_Toc310577376</vt:lpwstr>
      </vt:variant>
      <vt:variant>
        <vt:i4>1245239</vt:i4>
      </vt:variant>
      <vt:variant>
        <vt:i4>239</vt:i4>
      </vt:variant>
      <vt:variant>
        <vt:i4>0</vt:i4>
      </vt:variant>
      <vt:variant>
        <vt:i4>5</vt:i4>
      </vt:variant>
      <vt:variant>
        <vt:lpwstr/>
      </vt:variant>
      <vt:variant>
        <vt:lpwstr>_Toc310577375</vt:lpwstr>
      </vt:variant>
      <vt:variant>
        <vt:i4>1245239</vt:i4>
      </vt:variant>
      <vt:variant>
        <vt:i4>233</vt:i4>
      </vt:variant>
      <vt:variant>
        <vt:i4>0</vt:i4>
      </vt:variant>
      <vt:variant>
        <vt:i4>5</vt:i4>
      </vt:variant>
      <vt:variant>
        <vt:lpwstr/>
      </vt:variant>
      <vt:variant>
        <vt:lpwstr>_Toc310577374</vt:lpwstr>
      </vt:variant>
      <vt:variant>
        <vt:i4>1245239</vt:i4>
      </vt:variant>
      <vt:variant>
        <vt:i4>227</vt:i4>
      </vt:variant>
      <vt:variant>
        <vt:i4>0</vt:i4>
      </vt:variant>
      <vt:variant>
        <vt:i4>5</vt:i4>
      </vt:variant>
      <vt:variant>
        <vt:lpwstr/>
      </vt:variant>
      <vt:variant>
        <vt:lpwstr>_Toc310577373</vt:lpwstr>
      </vt:variant>
      <vt:variant>
        <vt:i4>1245239</vt:i4>
      </vt:variant>
      <vt:variant>
        <vt:i4>221</vt:i4>
      </vt:variant>
      <vt:variant>
        <vt:i4>0</vt:i4>
      </vt:variant>
      <vt:variant>
        <vt:i4>5</vt:i4>
      </vt:variant>
      <vt:variant>
        <vt:lpwstr/>
      </vt:variant>
      <vt:variant>
        <vt:lpwstr>_Toc310577372</vt:lpwstr>
      </vt:variant>
      <vt:variant>
        <vt:i4>1245239</vt:i4>
      </vt:variant>
      <vt:variant>
        <vt:i4>215</vt:i4>
      </vt:variant>
      <vt:variant>
        <vt:i4>0</vt:i4>
      </vt:variant>
      <vt:variant>
        <vt:i4>5</vt:i4>
      </vt:variant>
      <vt:variant>
        <vt:lpwstr/>
      </vt:variant>
      <vt:variant>
        <vt:lpwstr>_Toc310577371</vt:lpwstr>
      </vt:variant>
      <vt:variant>
        <vt:i4>1245239</vt:i4>
      </vt:variant>
      <vt:variant>
        <vt:i4>209</vt:i4>
      </vt:variant>
      <vt:variant>
        <vt:i4>0</vt:i4>
      </vt:variant>
      <vt:variant>
        <vt:i4>5</vt:i4>
      </vt:variant>
      <vt:variant>
        <vt:lpwstr/>
      </vt:variant>
      <vt:variant>
        <vt:lpwstr>_Toc310577370</vt:lpwstr>
      </vt:variant>
      <vt:variant>
        <vt:i4>1179703</vt:i4>
      </vt:variant>
      <vt:variant>
        <vt:i4>203</vt:i4>
      </vt:variant>
      <vt:variant>
        <vt:i4>0</vt:i4>
      </vt:variant>
      <vt:variant>
        <vt:i4>5</vt:i4>
      </vt:variant>
      <vt:variant>
        <vt:lpwstr/>
      </vt:variant>
      <vt:variant>
        <vt:lpwstr>_Toc310577369</vt:lpwstr>
      </vt:variant>
      <vt:variant>
        <vt:i4>1179703</vt:i4>
      </vt:variant>
      <vt:variant>
        <vt:i4>197</vt:i4>
      </vt:variant>
      <vt:variant>
        <vt:i4>0</vt:i4>
      </vt:variant>
      <vt:variant>
        <vt:i4>5</vt:i4>
      </vt:variant>
      <vt:variant>
        <vt:lpwstr/>
      </vt:variant>
      <vt:variant>
        <vt:lpwstr>_Toc310577368</vt:lpwstr>
      </vt:variant>
      <vt:variant>
        <vt:i4>1179703</vt:i4>
      </vt:variant>
      <vt:variant>
        <vt:i4>191</vt:i4>
      </vt:variant>
      <vt:variant>
        <vt:i4>0</vt:i4>
      </vt:variant>
      <vt:variant>
        <vt:i4>5</vt:i4>
      </vt:variant>
      <vt:variant>
        <vt:lpwstr/>
      </vt:variant>
      <vt:variant>
        <vt:lpwstr>_Toc310577367</vt:lpwstr>
      </vt:variant>
      <vt:variant>
        <vt:i4>1179703</vt:i4>
      </vt:variant>
      <vt:variant>
        <vt:i4>185</vt:i4>
      </vt:variant>
      <vt:variant>
        <vt:i4>0</vt:i4>
      </vt:variant>
      <vt:variant>
        <vt:i4>5</vt:i4>
      </vt:variant>
      <vt:variant>
        <vt:lpwstr/>
      </vt:variant>
      <vt:variant>
        <vt:lpwstr>_Toc310577366</vt:lpwstr>
      </vt:variant>
      <vt:variant>
        <vt:i4>1179703</vt:i4>
      </vt:variant>
      <vt:variant>
        <vt:i4>179</vt:i4>
      </vt:variant>
      <vt:variant>
        <vt:i4>0</vt:i4>
      </vt:variant>
      <vt:variant>
        <vt:i4>5</vt:i4>
      </vt:variant>
      <vt:variant>
        <vt:lpwstr/>
      </vt:variant>
      <vt:variant>
        <vt:lpwstr>_Toc310577365</vt:lpwstr>
      </vt:variant>
      <vt:variant>
        <vt:i4>1179703</vt:i4>
      </vt:variant>
      <vt:variant>
        <vt:i4>173</vt:i4>
      </vt:variant>
      <vt:variant>
        <vt:i4>0</vt:i4>
      </vt:variant>
      <vt:variant>
        <vt:i4>5</vt:i4>
      </vt:variant>
      <vt:variant>
        <vt:lpwstr/>
      </vt:variant>
      <vt:variant>
        <vt:lpwstr>_Toc310577364</vt:lpwstr>
      </vt:variant>
      <vt:variant>
        <vt:i4>1179703</vt:i4>
      </vt:variant>
      <vt:variant>
        <vt:i4>167</vt:i4>
      </vt:variant>
      <vt:variant>
        <vt:i4>0</vt:i4>
      </vt:variant>
      <vt:variant>
        <vt:i4>5</vt:i4>
      </vt:variant>
      <vt:variant>
        <vt:lpwstr/>
      </vt:variant>
      <vt:variant>
        <vt:lpwstr>_Toc310577363</vt:lpwstr>
      </vt:variant>
      <vt:variant>
        <vt:i4>1179703</vt:i4>
      </vt:variant>
      <vt:variant>
        <vt:i4>161</vt:i4>
      </vt:variant>
      <vt:variant>
        <vt:i4>0</vt:i4>
      </vt:variant>
      <vt:variant>
        <vt:i4>5</vt:i4>
      </vt:variant>
      <vt:variant>
        <vt:lpwstr/>
      </vt:variant>
      <vt:variant>
        <vt:lpwstr>_Toc310577362</vt:lpwstr>
      </vt:variant>
      <vt:variant>
        <vt:i4>1179703</vt:i4>
      </vt:variant>
      <vt:variant>
        <vt:i4>155</vt:i4>
      </vt:variant>
      <vt:variant>
        <vt:i4>0</vt:i4>
      </vt:variant>
      <vt:variant>
        <vt:i4>5</vt:i4>
      </vt:variant>
      <vt:variant>
        <vt:lpwstr/>
      </vt:variant>
      <vt:variant>
        <vt:lpwstr>_Toc310577361</vt:lpwstr>
      </vt:variant>
      <vt:variant>
        <vt:i4>1179703</vt:i4>
      </vt:variant>
      <vt:variant>
        <vt:i4>149</vt:i4>
      </vt:variant>
      <vt:variant>
        <vt:i4>0</vt:i4>
      </vt:variant>
      <vt:variant>
        <vt:i4>5</vt:i4>
      </vt:variant>
      <vt:variant>
        <vt:lpwstr/>
      </vt:variant>
      <vt:variant>
        <vt:lpwstr>_Toc310577360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LSROJAS</dc:creator>
  <cp:keywords/>
  <dc:description/>
  <cp:lastModifiedBy>Luz Stella Rojas Macias</cp:lastModifiedBy>
  <cp:revision>2</cp:revision>
  <cp:lastPrinted>2018-02-02T22:00:00Z</cp:lastPrinted>
  <dcterms:created xsi:type="dcterms:W3CDTF">2018-02-03T00:41:00Z</dcterms:created>
  <dcterms:modified xsi:type="dcterms:W3CDTF">2018-02-03T00:41:00Z</dcterms:modified>
</cp:coreProperties>
</file>