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5D9D6" w14:textId="1FC8B246" w:rsidR="005C1BCA" w:rsidRPr="005C1BCA" w:rsidRDefault="007C79FE" w:rsidP="005C1BCA">
      <w:pPr>
        <w:keepNext/>
        <w:tabs>
          <w:tab w:val="left" w:pos="0"/>
          <w:tab w:val="right" w:pos="9356"/>
        </w:tabs>
        <w:spacing w:after="0" w:line="240" w:lineRule="auto"/>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3C9D6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1742289" r:id="rId9"/>
        </w:object>
      </w:r>
      <w:r w:rsidR="00CC5F76">
        <w:rPr>
          <w:rFonts w:ascii="Bookman Old Style" w:eastAsia="Times New Roman" w:hAnsi="Bookman Old Style" w:cs="Arial"/>
          <w:bCs/>
          <w:snapToGrid w:val="0"/>
          <w:color w:val="000000"/>
          <w:spacing w:val="20"/>
          <w:sz w:val="24"/>
          <w:szCs w:val="24"/>
          <w:lang w:eastAsia="es-ES"/>
        </w:rPr>
        <w:t xml:space="preserve">  </w: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6E32B75D" w14:textId="77777777" w:rsidR="005C1BCA" w:rsidRPr="005C1BCA" w:rsidRDefault="005C1BCA" w:rsidP="00C139AB">
      <w:pPr>
        <w:keepNext/>
        <w:tabs>
          <w:tab w:val="left" w:pos="0"/>
          <w:tab w:val="right" w:pos="9356"/>
        </w:tabs>
        <w:spacing w:after="0" w:line="240" w:lineRule="auto"/>
        <w:contextualSpacing/>
        <w:outlineLvl w:val="2"/>
        <w:rPr>
          <w:rFonts w:ascii="Bookman Old Style" w:eastAsia="Times New Roman" w:hAnsi="Bookman Old Style" w:cs="Arial"/>
          <w:b/>
          <w:snapToGrid w:val="0"/>
          <w:color w:val="000000"/>
          <w:spacing w:val="20"/>
          <w:sz w:val="24"/>
          <w:szCs w:val="24"/>
          <w:lang w:val="es-ES_tradnl" w:eastAsia="es-ES"/>
        </w:rPr>
      </w:pPr>
    </w:p>
    <w:p w14:paraId="2AB155B6"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14:paraId="7031E262" w14:textId="7C55F126" w:rsidR="005C1BCA" w:rsidRPr="005C1BCA" w:rsidRDefault="00507259" w:rsidP="00507259">
      <w:pPr>
        <w:keepNext/>
        <w:tabs>
          <w:tab w:val="left" w:pos="0"/>
          <w:tab w:val="center" w:pos="4678"/>
          <w:tab w:val="right" w:pos="9356"/>
        </w:tabs>
        <w:spacing w:after="0" w:line="240" w:lineRule="auto"/>
        <w:contextualSpacing/>
        <w:outlineLvl w:val="2"/>
        <w:rPr>
          <w:rFonts w:ascii="Bookman Old Style" w:eastAsia="Times New Roman" w:hAnsi="Bookman Old Style" w:cs="Arial"/>
          <w:b/>
          <w:snapToGrid w:val="0"/>
          <w:color w:val="000000"/>
          <w:spacing w:val="20"/>
          <w:sz w:val="24"/>
          <w:szCs w:val="24"/>
          <w:lang w:val="es-ES_tradnl" w:eastAsia="es-ES"/>
        </w:rPr>
      </w:pPr>
      <w:r>
        <w:rPr>
          <w:rFonts w:ascii="Bookman Old Style" w:eastAsia="Times New Roman" w:hAnsi="Bookman Old Style" w:cs="Arial"/>
          <w:b/>
          <w:snapToGrid w:val="0"/>
          <w:color w:val="000000"/>
          <w:spacing w:val="20"/>
          <w:sz w:val="24"/>
          <w:szCs w:val="24"/>
          <w:lang w:val="es-ES_tradnl" w:eastAsia="es-ES"/>
        </w:rPr>
        <w:tab/>
      </w:r>
      <w:r w:rsidR="005C1BCA"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44C6BD71"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175E6B00"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1C3B9567"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w:t>
      </w:r>
      <w:r w:rsidR="00E368AA">
        <w:rPr>
          <w:rFonts w:ascii="Bookman Old Style" w:eastAsia="Times New Roman" w:hAnsi="Bookman Old Style" w:cs="Arial"/>
          <w:b/>
          <w:snapToGrid w:val="0"/>
          <w:color w:val="000000"/>
          <w:spacing w:val="20"/>
          <w:sz w:val="24"/>
          <w:szCs w:val="24"/>
          <w:lang w:val="es-ES_tradnl" w:eastAsia="es-ES"/>
        </w:rPr>
        <w:t>ÓN No.                   DE 2017</w:t>
      </w:r>
    </w:p>
    <w:p w14:paraId="34DF3EF3" w14:textId="77777777" w:rsid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60F49FE4"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14:paraId="23A6C9C4"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615C2DC9" w14:textId="77777777" w:rsidR="00870C45" w:rsidRDefault="00870C45" w:rsidP="00E368AA">
      <w:pPr>
        <w:spacing w:after="0" w:line="240" w:lineRule="auto"/>
        <w:jc w:val="center"/>
        <w:rPr>
          <w:rFonts w:ascii="Bookman Old Style" w:eastAsia="Times New Roman" w:hAnsi="Bookman Old Style" w:cs="Times New Roman"/>
          <w:sz w:val="24"/>
          <w:szCs w:val="24"/>
          <w:lang w:val="es-ES" w:eastAsia="es-ES"/>
        </w:rPr>
      </w:pPr>
    </w:p>
    <w:p w14:paraId="5097392C" w14:textId="16554C48" w:rsidR="00E368AA" w:rsidRPr="00E368AA" w:rsidRDefault="00E368AA" w:rsidP="00E368AA">
      <w:pPr>
        <w:spacing w:after="0" w:line="240" w:lineRule="auto"/>
        <w:jc w:val="center"/>
        <w:rPr>
          <w:rFonts w:ascii="Bookman Old Style" w:eastAsia="Times New Roman" w:hAnsi="Bookman Old Style" w:cs="Times New Roman"/>
          <w:sz w:val="24"/>
          <w:szCs w:val="24"/>
          <w:lang w:val="es-ES" w:eastAsia="es-ES"/>
        </w:rPr>
      </w:pPr>
      <w:r w:rsidRPr="00E368AA">
        <w:rPr>
          <w:rFonts w:ascii="Bookman Old Style" w:eastAsia="Times New Roman" w:hAnsi="Bookman Old Style" w:cs="Times New Roman"/>
          <w:sz w:val="24"/>
          <w:szCs w:val="24"/>
          <w:lang w:val="es-ES" w:eastAsia="es-ES"/>
        </w:rPr>
        <w:t xml:space="preserve"> “</w:t>
      </w:r>
      <w:r>
        <w:rPr>
          <w:rFonts w:ascii="Bookman Old Style" w:eastAsia="Times New Roman" w:hAnsi="Bookman Old Style" w:cs="Times New Roman"/>
          <w:sz w:val="24"/>
          <w:szCs w:val="24"/>
          <w:lang w:val="es-ES" w:eastAsia="es-ES"/>
        </w:rPr>
        <w:t xml:space="preserve">Por la cual se modifica </w:t>
      </w:r>
      <w:r w:rsidR="00F15D17">
        <w:rPr>
          <w:rFonts w:ascii="Bookman Old Style" w:eastAsia="Times New Roman" w:hAnsi="Bookman Old Style" w:cs="Times New Roman"/>
          <w:sz w:val="24"/>
          <w:szCs w:val="24"/>
          <w:lang w:val="es-ES" w:eastAsia="es-ES"/>
        </w:rPr>
        <w:t>el artículo 14 de la Resolución CREG 126 de 2010</w:t>
      </w:r>
      <w:r w:rsidRPr="00E368AA">
        <w:rPr>
          <w:rFonts w:ascii="Bookman Old Style" w:eastAsia="Times New Roman" w:hAnsi="Bookman Old Style" w:cs="Times New Roman"/>
          <w:sz w:val="24"/>
          <w:szCs w:val="24"/>
          <w:lang w:val="es-ES" w:eastAsia="es-ES"/>
        </w:rPr>
        <w:t>”</w:t>
      </w:r>
    </w:p>
    <w:p w14:paraId="54792613" w14:textId="77777777" w:rsidR="00E368AA" w:rsidRPr="00E368AA" w:rsidRDefault="00E368AA" w:rsidP="00E368AA">
      <w:pPr>
        <w:spacing w:after="0" w:line="240" w:lineRule="auto"/>
        <w:ind w:left="567" w:right="51"/>
        <w:rPr>
          <w:rFonts w:ascii="Bookman Old Style" w:eastAsia="Times New Roman" w:hAnsi="Bookman Old Style" w:cs="Times New Roman"/>
          <w:sz w:val="24"/>
          <w:szCs w:val="24"/>
          <w:lang w:val="es-ES" w:eastAsia="es-ES"/>
        </w:rPr>
      </w:pPr>
    </w:p>
    <w:p w14:paraId="46B67F9E" w14:textId="77777777" w:rsidR="00E368AA" w:rsidRPr="00E368AA" w:rsidRDefault="00E368AA" w:rsidP="00E368AA">
      <w:pPr>
        <w:spacing w:after="0" w:line="240" w:lineRule="auto"/>
        <w:ind w:left="567" w:right="51"/>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LA COMISIÓN DE REGULACIÓN DE</w:t>
      </w:r>
      <w:r w:rsidRPr="00E368AA">
        <w:rPr>
          <w:rFonts w:ascii="Bookman Old Style" w:eastAsia="Times New Roman" w:hAnsi="Bookman Old Style" w:cs="Times New Roman"/>
          <w:b/>
          <w:sz w:val="24"/>
          <w:szCs w:val="24"/>
          <w:lang w:val="es-ES" w:eastAsia="es-ES"/>
        </w:rPr>
        <w:t xml:space="preserve"> ENERGÍA Y GAS</w:t>
      </w:r>
    </w:p>
    <w:p w14:paraId="624AACA2" w14:textId="77777777" w:rsidR="00E368AA" w:rsidRPr="00E368AA" w:rsidRDefault="00E368AA" w:rsidP="00E368AA">
      <w:pPr>
        <w:spacing w:after="0" w:line="240" w:lineRule="auto"/>
        <w:ind w:right="51"/>
        <w:rPr>
          <w:rFonts w:ascii="Bookman Old Style" w:eastAsia="Times New Roman" w:hAnsi="Bookman Old Style" w:cs="Times New Roman"/>
          <w:sz w:val="24"/>
          <w:szCs w:val="24"/>
          <w:lang w:val="es-ES" w:eastAsia="es-ES"/>
        </w:rPr>
      </w:pPr>
    </w:p>
    <w:p w14:paraId="65CDB3B1" w14:textId="77777777" w:rsidR="00E368AA" w:rsidRPr="00E368AA" w:rsidRDefault="00E368AA" w:rsidP="00E368AA">
      <w:pPr>
        <w:spacing w:after="0" w:line="240" w:lineRule="auto"/>
        <w:ind w:right="51"/>
        <w:rPr>
          <w:rFonts w:ascii="Bookman Old Style" w:eastAsia="Times New Roman" w:hAnsi="Bookman Old Style" w:cs="Times New Roman"/>
          <w:sz w:val="24"/>
          <w:szCs w:val="24"/>
          <w:lang w:val="es-ES" w:eastAsia="es-ES"/>
        </w:rPr>
      </w:pPr>
    </w:p>
    <w:p w14:paraId="1F737C46" w14:textId="5714AD12" w:rsidR="00E368AA" w:rsidRDefault="00E368AA" w:rsidP="00E368AA">
      <w:pPr>
        <w:spacing w:after="0" w:line="240" w:lineRule="auto"/>
        <w:jc w:val="center"/>
        <w:rPr>
          <w:rFonts w:ascii="Bookman Old Style" w:eastAsia="Times New Roman" w:hAnsi="Bookman Old Style" w:cs="Times New Roman"/>
          <w:sz w:val="24"/>
          <w:szCs w:val="24"/>
          <w:lang w:val="es-ES" w:eastAsia="es-ES"/>
        </w:rPr>
      </w:pPr>
      <w:r w:rsidRPr="00E368AA">
        <w:rPr>
          <w:rFonts w:ascii="Bookman Old Style" w:eastAsia="Times New Roman" w:hAnsi="Bookman Old Style" w:cs="Times New Roman"/>
          <w:sz w:val="24"/>
          <w:szCs w:val="24"/>
          <w:lang w:val="es-ES" w:eastAsia="es-ES"/>
        </w:rPr>
        <w:t>En ejercicio de las atribuciones constitucionales y legales, en especial las conferidas por las leyes 142 de 1994 y en desarrollo de lo</w:t>
      </w:r>
      <w:r w:rsidR="00F15D17">
        <w:rPr>
          <w:rFonts w:ascii="Bookman Old Style" w:eastAsia="Times New Roman" w:hAnsi="Bookman Old Style" w:cs="Times New Roman"/>
          <w:sz w:val="24"/>
          <w:szCs w:val="24"/>
          <w:lang w:val="es-ES" w:eastAsia="es-ES"/>
        </w:rPr>
        <w:t>s Decretos 1523 y 2253 de 1994,</w:t>
      </w:r>
      <w:r w:rsidRPr="00E368AA">
        <w:rPr>
          <w:rFonts w:ascii="Bookman Old Style" w:eastAsia="Times New Roman" w:hAnsi="Bookman Old Style" w:cs="Times New Roman"/>
          <w:sz w:val="24"/>
          <w:szCs w:val="24"/>
          <w:lang w:val="es-ES" w:eastAsia="es-ES"/>
        </w:rPr>
        <w:t xml:space="preserve"> 1260 de 2013</w:t>
      </w:r>
      <w:r w:rsidR="00F15D17">
        <w:rPr>
          <w:rFonts w:ascii="Bookman Old Style" w:eastAsia="Times New Roman" w:hAnsi="Bookman Old Style" w:cs="Times New Roman"/>
          <w:sz w:val="24"/>
          <w:szCs w:val="24"/>
          <w:lang w:val="es-ES" w:eastAsia="es-ES"/>
        </w:rPr>
        <w:t>, 270 de 2017</w:t>
      </w:r>
      <w:r w:rsidRPr="00E368AA">
        <w:rPr>
          <w:rFonts w:ascii="Bookman Old Style" w:eastAsia="Times New Roman" w:hAnsi="Bookman Old Style" w:cs="Times New Roman"/>
          <w:sz w:val="24"/>
          <w:szCs w:val="24"/>
          <w:lang w:val="es-ES" w:eastAsia="es-ES"/>
        </w:rPr>
        <w:t xml:space="preserve"> y</w:t>
      </w:r>
    </w:p>
    <w:p w14:paraId="2C733D48" w14:textId="77777777" w:rsidR="00E368AA" w:rsidRPr="00E368AA" w:rsidRDefault="00E368AA" w:rsidP="00E368AA">
      <w:pPr>
        <w:spacing w:after="0" w:line="240" w:lineRule="auto"/>
        <w:jc w:val="center"/>
        <w:rPr>
          <w:rFonts w:ascii="Bookman Old Style" w:eastAsia="Times New Roman" w:hAnsi="Bookman Old Style" w:cs="Times New Roman"/>
          <w:sz w:val="24"/>
          <w:szCs w:val="24"/>
          <w:lang w:val="es-ES" w:eastAsia="es-ES"/>
        </w:rPr>
      </w:pPr>
    </w:p>
    <w:p w14:paraId="5C02C14E" w14:textId="77777777" w:rsidR="00E368AA" w:rsidRPr="00E368AA" w:rsidRDefault="00E368AA" w:rsidP="00E368AA">
      <w:pPr>
        <w:spacing w:after="0" w:line="240" w:lineRule="auto"/>
        <w:ind w:left="567" w:right="51"/>
        <w:rPr>
          <w:rFonts w:ascii="Bookman Old Style" w:eastAsia="Times New Roman" w:hAnsi="Bookman Old Style" w:cs="Times New Roman"/>
          <w:sz w:val="24"/>
          <w:szCs w:val="24"/>
          <w:lang w:val="es-ES" w:eastAsia="es-ES"/>
        </w:rPr>
      </w:pPr>
    </w:p>
    <w:p w14:paraId="70BEB87B" w14:textId="77777777" w:rsidR="00E368AA" w:rsidRPr="00E368AA" w:rsidRDefault="00E368AA" w:rsidP="00E368AA">
      <w:pPr>
        <w:spacing w:after="0" w:line="240" w:lineRule="auto"/>
        <w:ind w:left="567" w:right="51"/>
        <w:jc w:val="center"/>
        <w:rPr>
          <w:rFonts w:ascii="Bookman Old Style" w:eastAsia="Times New Roman" w:hAnsi="Bookman Old Style" w:cs="Times New Roman"/>
          <w:b/>
          <w:sz w:val="24"/>
          <w:szCs w:val="24"/>
          <w:lang w:val="es-ES" w:eastAsia="es-ES"/>
        </w:rPr>
      </w:pPr>
      <w:r w:rsidRPr="00E368AA">
        <w:rPr>
          <w:rFonts w:ascii="Bookman Old Style" w:eastAsia="Times New Roman" w:hAnsi="Bookman Old Style" w:cs="Times New Roman"/>
          <w:b/>
          <w:sz w:val="24"/>
          <w:szCs w:val="24"/>
          <w:lang w:val="es-ES" w:eastAsia="es-ES"/>
        </w:rPr>
        <w:t xml:space="preserve">C O N S I D E R A N D O </w:t>
      </w:r>
      <w:r>
        <w:rPr>
          <w:rFonts w:ascii="Bookman Old Style" w:eastAsia="Times New Roman" w:hAnsi="Bookman Old Style" w:cs="Times New Roman"/>
          <w:b/>
          <w:sz w:val="24"/>
          <w:szCs w:val="24"/>
          <w:lang w:val="es-ES" w:eastAsia="es-ES"/>
        </w:rPr>
        <w:t xml:space="preserve"> </w:t>
      </w:r>
      <w:r w:rsidRPr="00E368AA">
        <w:rPr>
          <w:rFonts w:ascii="Bookman Old Style" w:eastAsia="Times New Roman" w:hAnsi="Bookman Old Style" w:cs="Times New Roman"/>
          <w:b/>
          <w:sz w:val="24"/>
          <w:szCs w:val="24"/>
          <w:lang w:val="es-ES" w:eastAsia="es-ES"/>
        </w:rPr>
        <w:t xml:space="preserve"> Q U E:</w:t>
      </w:r>
    </w:p>
    <w:p w14:paraId="5FB83D25" w14:textId="77777777" w:rsidR="00E368AA" w:rsidRPr="00E368AA" w:rsidRDefault="00E368AA" w:rsidP="00E368AA">
      <w:pPr>
        <w:spacing w:after="0" w:line="240" w:lineRule="auto"/>
        <w:ind w:left="567" w:right="51"/>
        <w:jc w:val="center"/>
        <w:rPr>
          <w:rFonts w:ascii="Bookman Old Style" w:eastAsia="Times New Roman" w:hAnsi="Bookman Old Style" w:cs="Times New Roman"/>
          <w:b/>
          <w:sz w:val="24"/>
          <w:szCs w:val="24"/>
          <w:lang w:val="es-ES" w:eastAsia="es-ES"/>
        </w:rPr>
      </w:pPr>
    </w:p>
    <w:p w14:paraId="5092E9E6"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color w:val="000000" w:themeColor="text1"/>
          <w:sz w:val="24"/>
          <w:szCs w:val="24"/>
          <w:lang w:eastAsia="es-ES"/>
        </w:rPr>
        <w:t xml:space="preserve">De conformidad con lo establecido en el numeral 14.28 del artículo 14 de la Ley 142 de 1994 el servicio público domiciliario de gas combustible </w:t>
      </w:r>
      <w:r w:rsidRPr="00F15D17">
        <w:rPr>
          <w:rFonts w:ascii="Bookman Old Style" w:eastAsia="Times New Roman" w:hAnsi="Bookman Old Style" w:cs="Times New Roman"/>
          <w:i/>
          <w:color w:val="000000" w:themeColor="text1"/>
          <w:sz w:val="24"/>
          <w:szCs w:val="24"/>
          <w:lang w:eastAsia="es-ES"/>
        </w:rPr>
        <w:t>“</w:t>
      </w:r>
      <w:r w:rsidRPr="00F15D17">
        <w:rPr>
          <w:rFonts w:ascii="Bookman Old Style" w:eastAsia="Times New Roman" w:hAnsi="Bookman Old Style" w:cs="Times New Roman"/>
          <w:i/>
          <w:iCs/>
          <w:color w:val="000000" w:themeColor="text1"/>
          <w:sz w:val="24"/>
          <w:szCs w:val="24"/>
          <w:lang w:eastAsia="es-ES"/>
        </w:rPr>
        <w:t xml:space="preserve">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w:t>
      </w:r>
      <w:r w:rsidRPr="00F15D17">
        <w:rPr>
          <w:rFonts w:ascii="Bookman Old Style" w:eastAsia="Times New Roman" w:hAnsi="Bookman Old Style" w:cs="Times New Roman"/>
          <w:iCs/>
          <w:color w:val="000000" w:themeColor="text1"/>
          <w:sz w:val="24"/>
          <w:szCs w:val="24"/>
          <w:lang w:eastAsia="es-ES"/>
        </w:rPr>
        <w:t xml:space="preserve">por otros </w:t>
      </w:r>
      <w:r w:rsidRPr="00F15D17">
        <w:rPr>
          <w:rFonts w:ascii="Bookman Old Style" w:eastAsia="Times New Roman" w:hAnsi="Bookman Old Style" w:cs="Times New Roman"/>
          <w:sz w:val="24"/>
          <w:szCs w:val="27"/>
          <w:lang w:val="es-ES" w:eastAsia="es-ES"/>
        </w:rPr>
        <w:t>medios, desde el sitio de generación hasta aquel en donde se conecte a una red secundaria”.</w:t>
      </w:r>
    </w:p>
    <w:p w14:paraId="2F23EF34"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109C5EC8"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sz w:val="24"/>
          <w:szCs w:val="27"/>
          <w:lang w:val="es-ES" w:eastAsia="es-ES"/>
        </w:rPr>
        <w:t>Según lo dispuesto por el artículo 28 de la Ley 142 de 1994, la construcción y operación de redes para el transporte de gas, así como el señalamiento de las tarifas por su uso, se regirán</w:t>
      </w:r>
      <w:r w:rsidRPr="00F15D17">
        <w:rPr>
          <w:rFonts w:ascii="Bookman Old Style" w:eastAsia="Times New Roman" w:hAnsi="Bookman Old Style" w:cs="Times New Roman"/>
          <w:color w:val="000000" w:themeColor="text1"/>
          <w:sz w:val="24"/>
          <w:szCs w:val="24"/>
          <w:lang w:eastAsia="es-ES"/>
        </w:rPr>
        <w:t xml:space="preserve"> exclusivamente por dicha ley.</w:t>
      </w:r>
    </w:p>
    <w:p w14:paraId="59ECDDAB"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4"/>
          <w:szCs w:val="24"/>
          <w:lang w:eastAsia="es-ES"/>
        </w:rPr>
      </w:pPr>
    </w:p>
    <w:p w14:paraId="6F00E01B"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color w:val="000000" w:themeColor="text1"/>
          <w:sz w:val="24"/>
          <w:szCs w:val="24"/>
          <w:lang w:eastAsia="es-ES"/>
        </w:rPr>
        <w:t xml:space="preserve">El numeral 73.11 del artículo 73 de la Ley 142 de 1994 atribuyó a la Comisión de Regulación de </w:t>
      </w:r>
      <w:r w:rsidRPr="00F15D17">
        <w:rPr>
          <w:rFonts w:ascii="Bookman Old Style" w:eastAsia="Times New Roman" w:hAnsi="Bookman Old Style" w:cs="Times New Roman"/>
          <w:sz w:val="24"/>
          <w:szCs w:val="27"/>
          <w:lang w:val="es-ES" w:eastAsia="es-ES"/>
        </w:rPr>
        <w:t>Energía</w:t>
      </w:r>
      <w:r w:rsidRPr="00F15D17">
        <w:rPr>
          <w:rFonts w:ascii="Bookman Old Style" w:eastAsia="Times New Roman" w:hAnsi="Bookman Old Style" w:cs="Times New Roman"/>
          <w:color w:val="000000" w:themeColor="text1"/>
          <w:sz w:val="24"/>
          <w:szCs w:val="24"/>
          <w:lang w:eastAsia="es-ES"/>
        </w:rPr>
        <w:t xml:space="preserve"> y Gas, CREG, la competencia para establecer las fórmulas para la fijación de las tarifas del servicio público domiciliario de gas combustible.</w:t>
      </w:r>
    </w:p>
    <w:p w14:paraId="0FA256BC"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4"/>
          <w:szCs w:val="24"/>
          <w:lang w:eastAsia="es-ES"/>
        </w:rPr>
      </w:pPr>
    </w:p>
    <w:p w14:paraId="61E62590"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color w:val="000000" w:themeColor="text1"/>
          <w:sz w:val="24"/>
          <w:szCs w:val="24"/>
          <w:lang w:eastAsia="es-ES"/>
        </w:rPr>
        <w:t xml:space="preserve">Mediante la Resolución 126 de 2010 la CREG estableció los criterios generales para la remuneración del servicio de transporte de gas natural y el esquema de cargos del sistema </w:t>
      </w:r>
      <w:r w:rsidRPr="00F15D17">
        <w:rPr>
          <w:rFonts w:ascii="Bookman Old Style" w:eastAsia="Times New Roman" w:hAnsi="Bookman Old Style" w:cs="Times New Roman"/>
          <w:sz w:val="24"/>
          <w:szCs w:val="27"/>
          <w:lang w:val="es-ES" w:eastAsia="es-ES"/>
        </w:rPr>
        <w:t>nacional</w:t>
      </w:r>
      <w:r w:rsidRPr="00F15D17">
        <w:rPr>
          <w:rFonts w:ascii="Bookman Old Style" w:eastAsia="Times New Roman" w:hAnsi="Bookman Old Style" w:cs="Times New Roman"/>
          <w:color w:val="000000" w:themeColor="text1"/>
          <w:sz w:val="24"/>
          <w:szCs w:val="24"/>
          <w:lang w:eastAsia="es-ES"/>
        </w:rPr>
        <w:t xml:space="preserve"> de transporte, y dictó otras disposiciones en materia de transporte de gas natural.</w:t>
      </w:r>
    </w:p>
    <w:p w14:paraId="553BF927"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4"/>
          <w:szCs w:val="24"/>
          <w:lang w:eastAsia="es-ES"/>
        </w:rPr>
      </w:pPr>
    </w:p>
    <w:p w14:paraId="78D21FF6" w14:textId="77777777" w:rsidR="00F15D17" w:rsidRPr="00F15D17" w:rsidRDefault="00F15D17" w:rsidP="00F15D17">
      <w:pPr>
        <w:spacing w:after="0" w:line="240" w:lineRule="auto"/>
        <w:ind w:left="-142" w:right="-142"/>
        <w:jc w:val="both"/>
        <w:rPr>
          <w:rFonts w:ascii="Bookman Old Style" w:eastAsia="Times New Roman" w:hAnsi="Bookman Old Style" w:cs="Times New Roman"/>
          <w:color w:val="000000" w:themeColor="text1"/>
          <w:sz w:val="24"/>
          <w:szCs w:val="24"/>
          <w:lang w:eastAsia="es-ES"/>
        </w:rPr>
      </w:pPr>
      <w:r w:rsidRPr="00F15D17">
        <w:rPr>
          <w:rFonts w:ascii="Bookman Old Style" w:eastAsia="Times New Roman" w:hAnsi="Bookman Old Style" w:cs="Times New Roman"/>
          <w:color w:val="000000" w:themeColor="text1"/>
          <w:sz w:val="24"/>
          <w:szCs w:val="24"/>
          <w:lang w:eastAsia="es-ES"/>
        </w:rPr>
        <w:t>El artículo 14 de la Resolución CREG 126 de 2010, modificado por el artículo 2 de la Resolución CREG 066 de 2013, prevé lo siguiente:</w:t>
      </w:r>
    </w:p>
    <w:p w14:paraId="3021158E" w14:textId="77777777" w:rsidR="00F15D17" w:rsidRPr="00F15D17" w:rsidRDefault="00F15D17" w:rsidP="00F15D17">
      <w:pPr>
        <w:widowControl w:val="0"/>
        <w:spacing w:after="0" w:line="240" w:lineRule="auto"/>
        <w:jc w:val="both"/>
        <w:rPr>
          <w:rFonts w:ascii="Bookman Old Style" w:eastAsia="Times New Roman" w:hAnsi="Bookman Old Style" w:cs="Times New Roman"/>
          <w:color w:val="000000" w:themeColor="text1"/>
          <w:sz w:val="20"/>
          <w:szCs w:val="24"/>
          <w:lang w:eastAsia="es-ES"/>
        </w:rPr>
      </w:pPr>
    </w:p>
    <w:p w14:paraId="0044C5BA" w14:textId="03AF7D50"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bookmarkStart w:id="1" w:name="_Ref254259303"/>
      <w:r w:rsidRPr="005700D8">
        <w:rPr>
          <w:rFonts w:ascii="Bookman Old Style" w:eastAsia="Times New Roman" w:hAnsi="Bookman Old Style" w:cs="Arial"/>
          <w:b/>
          <w:i/>
          <w:lang w:val="es-ES" w:eastAsia="es-ES"/>
        </w:rPr>
        <w:t>“Artículo 14. Inversión a reconocer en activos que hayan cumplido la Vida Útil Normativa.</w:t>
      </w:r>
      <w:r w:rsidRPr="005700D8">
        <w:rPr>
          <w:rFonts w:ascii="Bookman Old Style" w:eastAsia="Times New Roman" w:hAnsi="Bookman Old Style" w:cs="Arial"/>
          <w:i/>
          <w:lang w:val="es-ES" w:eastAsia="es-ES"/>
        </w:rPr>
        <w:t xml:space="preserve"> Para aquellos activos en servicio, exceptuando terrenos y edificaciones, cuya Vida Útil Normativa se cumpla en el presente período tarifario, se aplicará el siguiente procedimiento:</w:t>
      </w:r>
      <w:bookmarkEnd w:id="1"/>
    </w:p>
    <w:p w14:paraId="69621B94"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73C8E0A5" w14:textId="77777777" w:rsidR="00F15D17" w:rsidRPr="005700D8" w:rsidRDefault="00F15D17" w:rsidP="00E83333">
      <w:pPr>
        <w:numPr>
          <w:ilvl w:val="0"/>
          <w:numId w:val="3"/>
        </w:numPr>
        <w:suppressAutoHyphens/>
        <w:spacing w:after="0" w:line="240" w:lineRule="auto"/>
        <w:ind w:left="993" w:hanging="426"/>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Un año antes del cumplimiento de la Vida Útil Normativa del activo, el transportador, mediante comunicación escrita, deberá solicitar a la CREG el inicio de una actuación administrativa en los términos definidos en el presente artículo.</w:t>
      </w:r>
    </w:p>
    <w:p w14:paraId="7C5F0709"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49DD017" w14:textId="77777777" w:rsidR="00F15D17" w:rsidRPr="005700D8" w:rsidRDefault="00F15D17" w:rsidP="00E83333">
      <w:pPr>
        <w:numPr>
          <w:ilvl w:val="0"/>
          <w:numId w:val="3"/>
        </w:numPr>
        <w:suppressAutoHyphens/>
        <w:spacing w:after="0" w:line="240" w:lineRule="auto"/>
        <w:ind w:left="993" w:hanging="426"/>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Comisión dará inició a la actuación administrativa que contendrá las siguientes etapas:</w:t>
      </w:r>
    </w:p>
    <w:p w14:paraId="1544EAE2"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0FF3A27E" w14:textId="77777777" w:rsidR="00F15D17" w:rsidRPr="005700D8" w:rsidRDefault="00F15D17" w:rsidP="00E83333">
      <w:pPr>
        <w:numPr>
          <w:ilvl w:val="0"/>
          <w:numId w:val="4"/>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Comisión designará un perito para la estimación del costo de reposición a nuevo del activo.</w:t>
      </w:r>
    </w:p>
    <w:p w14:paraId="10AD6CB4"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68300051"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Para la contratación del perito, la Comisión seleccionará a uno de una lista conformada previamente por la misma entidad, la cual será de público conocimiento, atendiendo a un criterio de menor costo, de acuerdo con las propuestas económicas que se presenten. Los peritos que conformarán la lista deberán ser personas naturales y/o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tres (3) países.</w:t>
      </w:r>
    </w:p>
    <w:p w14:paraId="148915D8"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6A17C0F4"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El perito realizará todas las actividades determinadas en el acto administrativo que expida la CREG</w:t>
      </w:r>
    </w:p>
    <w:p w14:paraId="2C524767"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B8A106F" w14:textId="77777777" w:rsidR="00F15D17" w:rsidRPr="005700D8" w:rsidRDefault="00F15D17" w:rsidP="00E83333">
      <w:pPr>
        <w:numPr>
          <w:ilvl w:val="0"/>
          <w:numId w:val="4"/>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A partir del ejercicio de valoración realizado por el perito la Comisión contará con un (1) Mes para realizar análisis propios con el fin de determinar el costo de reposición a nuevo del activo - </w:t>
      </w:r>
      <m:oMath>
        <m:r>
          <w:rPr>
            <w:rFonts w:ascii="Cambria Math" w:eastAsia="Times New Roman" w:hAnsi="Cambria Math" w:cs="Arial"/>
            <w:lang w:val="es-ES" w:eastAsia="es-ES"/>
          </w:rPr>
          <m:t>VRAN</m:t>
        </m:r>
      </m:oMath>
      <w:r w:rsidRPr="005700D8">
        <w:rPr>
          <w:rFonts w:ascii="Bookman Old Style" w:eastAsia="Times New Roman" w:hAnsi="Bookman Old Style" w:cs="Arial"/>
          <w:i/>
          <w:lang w:val="es-ES" w:eastAsia="es-ES"/>
        </w:rPr>
        <w:t xml:space="preserve">. </w:t>
      </w:r>
    </w:p>
    <w:p w14:paraId="2AA5603F"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256A1659" w14:textId="77777777" w:rsidR="00F15D17" w:rsidRPr="005700D8" w:rsidRDefault="00F15D17" w:rsidP="00E83333">
      <w:pPr>
        <w:numPr>
          <w:ilvl w:val="0"/>
          <w:numId w:val="4"/>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Comisión, una vez transcurrido el período correspondiente notificará a la empresa transportadora lo siguiente:</w:t>
      </w:r>
    </w:p>
    <w:p w14:paraId="71E8166B"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FB0E8A6" w14:textId="77777777" w:rsidR="00F15D17" w:rsidRPr="005700D8" w:rsidRDefault="00F15D17" w:rsidP="00E83333">
      <w:pPr>
        <w:numPr>
          <w:ilvl w:val="0"/>
          <w:numId w:val="5"/>
        </w:numPr>
        <w:suppressAutoHyphens/>
        <w:spacing w:after="0" w:line="240" w:lineRule="auto"/>
        <w:ind w:left="1843" w:hanging="425"/>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El valor a reconocer por el activo si continúa en operación. Este valor remunerará todas las inversiones en reparaciones que se requieran y será determinado como sigue:</w:t>
      </w:r>
    </w:p>
    <w:p w14:paraId="70DA2A27" w14:textId="77777777" w:rsidR="00F15D17" w:rsidRPr="005700D8" w:rsidRDefault="00F15D17" w:rsidP="00F15D17">
      <w:pPr>
        <w:spacing w:after="0" w:line="240" w:lineRule="auto"/>
        <w:ind w:left="1843"/>
        <w:jc w:val="both"/>
        <w:rPr>
          <w:rFonts w:ascii="Bookman Old Style" w:eastAsia="Times New Roman" w:hAnsi="Bookman Old Style" w:cs="Arial"/>
          <w:i/>
          <w:lang w:val="es-ES" w:eastAsia="es-ES"/>
        </w:rPr>
      </w:pPr>
    </w:p>
    <w:p w14:paraId="7C901220" w14:textId="77777777" w:rsidR="00F15D17" w:rsidRPr="005700D8" w:rsidRDefault="007C79FE" w:rsidP="00F15D17">
      <w:pPr>
        <w:spacing w:after="0" w:line="240" w:lineRule="auto"/>
        <w:ind w:left="1843"/>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r>
            <w:rPr>
              <w:rFonts w:ascii="Cambria Math" w:eastAsia="Times New Roman" w:hAnsi="Cambria Math" w:cs="Arial"/>
              <w:lang w:val="es-ES" w:eastAsia="es-ES"/>
            </w:rPr>
            <m:t>=VRAN×</m:t>
          </m:r>
          <m:f>
            <m:fPr>
              <m:ctrlPr>
                <w:rPr>
                  <w:rFonts w:ascii="Cambria Math" w:eastAsia="Times New Roman" w:hAnsi="Cambria Math" w:cs="Arial"/>
                  <w:i/>
                  <w:lang w:val="es-ES" w:eastAsia="es-ES"/>
                </w:rPr>
              </m:ctrlPr>
            </m:fPr>
            <m:num>
              <m:r>
                <w:rPr>
                  <w:rFonts w:ascii="Cambria Math" w:eastAsia="Times New Roman" w:hAnsi="Cambria Math" w:cs="Arial"/>
                  <w:lang w:val="es-ES" w:eastAsia="es-ES"/>
                </w:rPr>
                <m:t>VUR</m:t>
              </m:r>
            </m:num>
            <m:den>
              <m:r>
                <w:rPr>
                  <w:rFonts w:ascii="Cambria Math" w:eastAsia="Times New Roman" w:hAnsi="Cambria Math" w:cs="Arial"/>
                  <w:lang w:val="es-ES" w:eastAsia="es-ES"/>
                </w:rPr>
                <m:t>VU</m:t>
              </m:r>
            </m:den>
          </m:f>
        </m:oMath>
      </m:oMathPara>
    </w:p>
    <w:p w14:paraId="3E144E7C"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p>
    <w:p w14:paraId="2C13C470"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Donde,</w:t>
      </w:r>
    </w:p>
    <w:p w14:paraId="0D63CAEB"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p>
    <w:p w14:paraId="486C3EC3" w14:textId="77777777" w:rsidR="00F15D17" w:rsidRPr="005700D8" w:rsidRDefault="007C79FE" w:rsidP="00F15D17">
      <w:pPr>
        <w:spacing w:after="0" w:line="240" w:lineRule="auto"/>
        <w:ind w:left="2835" w:hanging="992"/>
        <w:jc w:val="both"/>
        <w:rPr>
          <w:rFonts w:ascii="Bookman Old Style" w:eastAsia="Times New Roman" w:hAnsi="Bookman Old Style" w:cs="Arial"/>
          <w:i/>
          <w:lang w:val="es-ES" w:eastAsia="es-ES"/>
        </w:rPr>
      </w:pPr>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r>
          <w:rPr>
            <w:rFonts w:ascii="Cambria Math" w:eastAsia="Times New Roman" w:hAnsi="Cambria Math" w:cs="Arial"/>
            <w:lang w:val="es-ES" w:eastAsia="es-ES"/>
          </w:rPr>
          <m:t>:</m:t>
        </m:r>
      </m:oMath>
      <w:r w:rsidR="00F15D17" w:rsidRPr="005700D8">
        <w:rPr>
          <w:rFonts w:ascii="Bookman Old Style" w:eastAsia="Times New Roman" w:hAnsi="Bookman Old Style" w:cs="Arial"/>
          <w:i/>
          <w:lang w:val="es-ES" w:eastAsia="es-ES"/>
        </w:rPr>
        <w:t xml:space="preserve"> </w:t>
      </w:r>
      <w:r w:rsidR="00F15D17" w:rsidRPr="005700D8">
        <w:rPr>
          <w:rFonts w:ascii="Bookman Old Style" w:eastAsia="Times New Roman" w:hAnsi="Bookman Old Style" w:cs="Arial"/>
          <w:i/>
          <w:lang w:val="es-ES" w:eastAsia="es-ES"/>
        </w:rPr>
        <w:tab/>
        <w:t>Valor del activo si se mantiene en operación, expresado en dólares de la Fecha Base.</w:t>
      </w:r>
    </w:p>
    <w:p w14:paraId="7BB08AD0"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w:p>
    <w:p w14:paraId="3ECA54CF"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m:oMath>
        <m:r>
          <w:rPr>
            <w:rFonts w:ascii="Cambria Math" w:eastAsia="Times New Roman" w:hAnsi="Cambria Math" w:cs="Arial"/>
            <w:lang w:val="es-ES" w:eastAsia="es-ES"/>
          </w:rPr>
          <m:t>VRAN:</m:t>
        </m:r>
      </m:oMath>
      <w:r w:rsidRPr="005700D8">
        <w:rPr>
          <w:rFonts w:ascii="Bookman Old Style" w:eastAsia="Times New Roman" w:hAnsi="Bookman Old Style" w:cs="Arial"/>
          <w:i/>
          <w:lang w:val="es-ES" w:eastAsia="es-ES"/>
        </w:rPr>
        <w:tab/>
        <w:t>Costo de reposición a nuevo del activo, expresado en dólares de la Fecha Base.</w:t>
      </w:r>
    </w:p>
    <w:p w14:paraId="73245DCA"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w:p>
    <w:p w14:paraId="552F115B"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m:oMath>
        <m:r>
          <w:rPr>
            <w:rFonts w:ascii="Cambria Math" w:eastAsia="Times New Roman" w:hAnsi="Cambria Math" w:cs="Arial"/>
            <w:lang w:val="es-ES" w:eastAsia="es-ES"/>
          </w:rPr>
          <m:t>VUR:</m:t>
        </m:r>
      </m:oMath>
      <w:r w:rsidRPr="005700D8">
        <w:rPr>
          <w:rFonts w:ascii="Bookman Old Style" w:eastAsia="Times New Roman" w:hAnsi="Bookman Old Style" w:cs="Arial"/>
          <w:i/>
          <w:lang w:val="es-ES" w:eastAsia="es-ES"/>
        </w:rPr>
        <w:t xml:space="preserve"> </w:t>
      </w:r>
      <w:r w:rsidRPr="005700D8">
        <w:rPr>
          <w:rFonts w:ascii="Bookman Old Style" w:eastAsia="Times New Roman" w:hAnsi="Bookman Old Style" w:cs="Arial"/>
          <w:i/>
          <w:lang w:val="es-ES" w:eastAsia="es-ES"/>
        </w:rPr>
        <w:tab/>
        <w:t>Vida útil remanente, calculada como la diferencia entre la Vida Útil y la Vida Útil Normativa.</w:t>
      </w:r>
    </w:p>
    <w:p w14:paraId="09B9BD62"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w:p>
    <w:p w14:paraId="35A30C9A" w14:textId="77777777" w:rsidR="00F15D17" w:rsidRPr="005700D8" w:rsidRDefault="00F15D17" w:rsidP="00F15D17">
      <w:pPr>
        <w:spacing w:after="0" w:line="240" w:lineRule="auto"/>
        <w:ind w:left="2835" w:hanging="992"/>
        <w:jc w:val="both"/>
        <w:rPr>
          <w:rFonts w:ascii="Bookman Old Style" w:eastAsia="Times New Roman" w:hAnsi="Bookman Old Style" w:cs="Arial"/>
          <w:i/>
          <w:lang w:val="es-ES" w:eastAsia="es-ES"/>
        </w:rPr>
      </w:pPr>
      <m:oMath>
        <m:r>
          <w:rPr>
            <w:rFonts w:ascii="Cambria Math" w:eastAsia="Times New Roman" w:hAnsi="Cambria Math" w:cs="Arial"/>
            <w:lang w:val="es-ES" w:eastAsia="es-ES"/>
          </w:rPr>
          <m:t>VU:</m:t>
        </m:r>
      </m:oMath>
      <w:r w:rsidRPr="005700D8">
        <w:rPr>
          <w:rFonts w:ascii="Bookman Old Style" w:eastAsia="Times New Roman" w:hAnsi="Bookman Old Style" w:cs="Arial"/>
          <w:i/>
          <w:lang w:val="es-ES" w:eastAsia="es-ES"/>
        </w:rPr>
        <w:t xml:space="preserve"> </w:t>
      </w:r>
      <w:r w:rsidRPr="005700D8">
        <w:rPr>
          <w:rFonts w:ascii="Bookman Old Style" w:eastAsia="Times New Roman" w:hAnsi="Bookman Old Style" w:cs="Arial"/>
          <w:i/>
          <w:lang w:val="es-ES" w:eastAsia="es-ES"/>
        </w:rPr>
        <w:tab/>
        <w:t>Vida Útil.</w:t>
      </w:r>
    </w:p>
    <w:p w14:paraId="4B274C08" w14:textId="77777777" w:rsidR="00F15D17" w:rsidRPr="005700D8" w:rsidRDefault="00F15D17" w:rsidP="00F15D17">
      <w:pPr>
        <w:spacing w:after="0" w:line="240" w:lineRule="auto"/>
        <w:ind w:left="2268" w:hanging="425"/>
        <w:jc w:val="both"/>
        <w:rPr>
          <w:rFonts w:ascii="Bookman Old Style" w:eastAsia="Times New Roman" w:hAnsi="Bookman Old Style" w:cs="Arial"/>
          <w:i/>
          <w:lang w:val="es-ES" w:eastAsia="es-ES"/>
        </w:rPr>
      </w:pPr>
    </w:p>
    <w:p w14:paraId="3D9CB1D0" w14:textId="77777777" w:rsidR="00F15D17" w:rsidRPr="005700D8" w:rsidRDefault="00F15D17" w:rsidP="00E83333">
      <w:pPr>
        <w:numPr>
          <w:ilvl w:val="0"/>
          <w:numId w:val="5"/>
        </w:numPr>
        <w:suppressAutoHyphens/>
        <w:spacing w:after="0" w:line="240" w:lineRule="auto"/>
        <w:ind w:left="1843" w:hanging="425"/>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El valor a reconocer si decide reponerlo. Este valor es el costo de oportunidad del activo - </w:t>
      </w:r>
      <m:oMath>
        <m:r>
          <w:rPr>
            <w:rFonts w:ascii="Cambria Math" w:eastAsia="Times New Roman" w:hAnsi="Cambria Math" w:cs="Arial"/>
            <w:lang w:val="es-ES" w:eastAsia="es-ES"/>
          </w:rPr>
          <m:t>VRAN</m:t>
        </m:r>
      </m:oMath>
      <w:r w:rsidRPr="005700D8">
        <w:rPr>
          <w:rFonts w:ascii="Bookman Old Style" w:eastAsia="Times New Roman" w:hAnsi="Bookman Old Style" w:cs="Arial"/>
          <w:i/>
          <w:lang w:val="es-ES" w:eastAsia="es-ES"/>
        </w:rPr>
        <w:t>, expresado en dólares de la Fecha Base.</w:t>
      </w:r>
    </w:p>
    <w:p w14:paraId="3F5E4969" w14:textId="77777777" w:rsidR="00F15D17" w:rsidRPr="005700D8" w:rsidRDefault="00F15D17" w:rsidP="00F15D17">
      <w:pPr>
        <w:suppressAutoHyphens/>
        <w:spacing w:after="0" w:line="240" w:lineRule="auto"/>
        <w:ind w:left="1843"/>
        <w:jc w:val="both"/>
        <w:rPr>
          <w:rFonts w:ascii="Bookman Old Style" w:eastAsia="Times New Roman" w:hAnsi="Bookman Old Style" w:cs="Arial"/>
          <w:i/>
          <w:lang w:val="es-ES" w:eastAsia="es-ES"/>
        </w:rPr>
      </w:pPr>
    </w:p>
    <w:p w14:paraId="11B049BE" w14:textId="61DC9BCC" w:rsidR="005700D8" w:rsidRDefault="00F15D17" w:rsidP="006B4140">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lastRenderedPageBreak/>
        <w:t>Estos valores se reconocerán al transportador por un período de veinte (20) años.</w:t>
      </w:r>
    </w:p>
    <w:p w14:paraId="3309AA3B" w14:textId="77777777" w:rsidR="005700D8" w:rsidRPr="005700D8" w:rsidRDefault="005700D8" w:rsidP="00F15D17">
      <w:pPr>
        <w:spacing w:after="0" w:line="240" w:lineRule="auto"/>
        <w:ind w:left="1418"/>
        <w:jc w:val="both"/>
        <w:rPr>
          <w:rFonts w:ascii="Bookman Old Style" w:eastAsia="Times New Roman" w:hAnsi="Bookman Old Style" w:cs="Arial"/>
          <w:i/>
          <w:lang w:val="es-ES" w:eastAsia="es-ES"/>
        </w:rPr>
      </w:pPr>
    </w:p>
    <w:p w14:paraId="7684B747" w14:textId="77777777" w:rsidR="00F15D17" w:rsidRPr="005700D8" w:rsidRDefault="00F15D17" w:rsidP="00E83333">
      <w:pPr>
        <w:numPr>
          <w:ilvl w:val="0"/>
          <w:numId w:val="3"/>
        </w:numPr>
        <w:suppressAutoHyphens/>
        <w:spacing w:after="0" w:line="240" w:lineRule="auto"/>
        <w:ind w:left="993" w:hanging="426"/>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La empresa transportadora deberá informar a la Comisión acerca de la decisión tomada dentro del Mes siguiente a la fecha de notificación. El transportador reportará alguna de las siguientes decisiones:</w:t>
      </w:r>
    </w:p>
    <w:p w14:paraId="5C781182" w14:textId="77777777" w:rsidR="00F15D17" w:rsidRPr="005700D8" w:rsidRDefault="00F15D17" w:rsidP="00F15D17">
      <w:pPr>
        <w:spacing w:after="0" w:line="240" w:lineRule="auto"/>
        <w:ind w:left="284"/>
        <w:jc w:val="both"/>
        <w:rPr>
          <w:rFonts w:ascii="Bookman Old Style" w:eastAsia="Times New Roman" w:hAnsi="Bookman Old Style" w:cs="Arial"/>
          <w:i/>
          <w:lang w:val="es-ES" w:eastAsia="es-ES"/>
        </w:rPr>
      </w:pPr>
    </w:p>
    <w:p w14:paraId="054485AB" w14:textId="77777777" w:rsidR="00F15D17" w:rsidRPr="005700D8" w:rsidRDefault="00F15D17" w:rsidP="00E83333">
      <w:pPr>
        <w:numPr>
          <w:ilvl w:val="0"/>
          <w:numId w:val="6"/>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Continuar operando el activo existente: En tal caso deberá solicitar a la Comisión un ajuste de los cargos regulados a que haya lugar. Este ajuste se determinará de conformidad con el valor </w:t>
      </w:r>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oMath>
      <w:r w:rsidRPr="005700D8">
        <w:rPr>
          <w:rFonts w:ascii="Bookman Old Style" w:eastAsia="Times New Roman" w:hAnsi="Bookman Old Style" w:cs="Arial"/>
          <w:i/>
          <w:lang w:val="es-ES" w:eastAsia="es-ES"/>
        </w:rPr>
        <w:t xml:space="preserve">. </w:t>
      </w:r>
    </w:p>
    <w:p w14:paraId="30C891A4" w14:textId="77777777" w:rsidR="00F15D17" w:rsidRPr="005700D8" w:rsidRDefault="00F15D17" w:rsidP="00F15D17">
      <w:pPr>
        <w:spacing w:after="0" w:line="240" w:lineRule="auto"/>
        <w:ind w:left="284"/>
        <w:jc w:val="both"/>
        <w:rPr>
          <w:rFonts w:ascii="Bookman Old Style" w:eastAsia="Times New Roman" w:hAnsi="Bookman Old Style" w:cs="Arial"/>
          <w:i/>
          <w:lang w:val="es-ES" w:eastAsia="es-ES"/>
        </w:rPr>
      </w:pPr>
    </w:p>
    <w:p w14:paraId="198813FA" w14:textId="77777777" w:rsidR="00F15D17" w:rsidRPr="005700D8" w:rsidRDefault="00F15D17" w:rsidP="00E83333">
      <w:pPr>
        <w:numPr>
          <w:ilvl w:val="0"/>
          <w:numId w:val="6"/>
        </w:numPr>
        <w:suppressAutoHyphens/>
        <w:spacing w:after="0" w:line="240" w:lineRule="auto"/>
        <w:ind w:left="1418" w:hanging="433"/>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Reposición del activo: En tal caso, la empresa transportadora deberá solicitar un ajuste de los cargos regulados una vez el nuevo activo entre en operación. Durante el período comprendido entre la fecha en que el activo existente cumpla la Vida Útil Normativa y la fecha de entrada en operación del nuevo activo se reconocerá el valor de </w:t>
      </w:r>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VAO</m:t>
            </m:r>
          </m:e>
          <m:sub>
            <m:r>
              <w:rPr>
                <w:rFonts w:ascii="Cambria Math" w:eastAsia="Times New Roman" w:hAnsi="Cambria Math" w:cs="Arial"/>
                <w:lang w:val="es-ES" w:eastAsia="es-ES"/>
              </w:rPr>
              <m:t>t</m:t>
            </m:r>
          </m:sub>
        </m:sSub>
      </m:oMath>
      <w:r w:rsidRPr="005700D8">
        <w:rPr>
          <w:rFonts w:ascii="Bookman Old Style" w:eastAsia="Times New Roman" w:hAnsi="Bookman Old Style" w:cs="Arial"/>
          <w:i/>
          <w:lang w:val="es-ES" w:eastAsia="es-ES"/>
        </w:rPr>
        <w:t>, siempre y cuando el activo a reponer se haya mantenido en operación.</w:t>
      </w:r>
    </w:p>
    <w:p w14:paraId="147317AB"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1E5FB74A"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Para efecto del cálculo tarifario la CREG calculará el Factor de Utilización y de ser necesario ajustará las demandas hasta alcanzar el Factor de Utilización Normativo. Las demás variables del cálculo tarifario no serán sujetas de modificación. </w:t>
      </w:r>
    </w:p>
    <w:p w14:paraId="59076640" w14:textId="77777777" w:rsidR="00F15D17" w:rsidRPr="005700D8" w:rsidRDefault="00F15D17" w:rsidP="00F15D17">
      <w:pPr>
        <w:spacing w:after="0" w:line="240" w:lineRule="auto"/>
        <w:ind w:left="1418"/>
        <w:jc w:val="both"/>
        <w:rPr>
          <w:rFonts w:ascii="Bookman Old Style" w:eastAsia="Times New Roman" w:hAnsi="Bookman Old Style" w:cs="Arial"/>
          <w:i/>
          <w:lang w:val="es-ES" w:eastAsia="es-ES"/>
        </w:rPr>
      </w:pPr>
    </w:p>
    <w:p w14:paraId="0BEA9353"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r w:rsidRPr="005700D8">
        <w:rPr>
          <w:rFonts w:ascii="Bookman Old Style" w:eastAsia="Times New Roman" w:hAnsi="Bookman Old Style" w:cs="Arial"/>
          <w:b/>
          <w:i/>
          <w:lang w:val="es-ES" w:eastAsia="es-ES"/>
        </w:rPr>
        <w:t>Parágrafo 1.</w:t>
      </w:r>
      <w:r w:rsidRPr="005700D8">
        <w:rPr>
          <w:rFonts w:ascii="Bookman Old Style" w:eastAsia="Times New Roman" w:hAnsi="Bookman Old Style" w:cs="Arial"/>
          <w:i/>
          <w:lang w:val="es-ES" w:eastAsia="es-ES"/>
        </w:rPr>
        <w:t xml:space="preserve"> En ningún caso se efectuarán modificaciones al monto de las inversiones existentes, ocasionadas por reemplazos de activos propios de la operación antes de concluir su Vida Útil Normativa.</w:t>
      </w:r>
    </w:p>
    <w:p w14:paraId="4122841C"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p>
    <w:p w14:paraId="6432FF69" w14:textId="77777777" w:rsidR="00F15D17" w:rsidRPr="005700D8" w:rsidRDefault="00F15D17" w:rsidP="00F15D17">
      <w:pPr>
        <w:spacing w:after="0" w:line="240" w:lineRule="auto"/>
        <w:ind w:left="567"/>
        <w:jc w:val="both"/>
        <w:rPr>
          <w:rFonts w:ascii="Bookman Old Style" w:eastAsia="Times New Roman" w:hAnsi="Bookman Old Style" w:cs="Arial"/>
          <w:i/>
          <w:lang w:val="es-ES" w:eastAsia="es-ES"/>
        </w:rPr>
      </w:pPr>
      <w:r w:rsidRPr="005700D8">
        <w:rPr>
          <w:rFonts w:ascii="Bookman Old Style" w:eastAsia="Times New Roman" w:hAnsi="Bookman Old Style" w:cs="Arial"/>
          <w:b/>
          <w:i/>
          <w:lang w:val="es-ES" w:eastAsia="es-ES"/>
        </w:rPr>
        <w:t>Parágrafo 2.</w:t>
      </w:r>
      <w:r w:rsidRPr="005700D8">
        <w:rPr>
          <w:rFonts w:ascii="Bookman Old Style" w:eastAsia="Times New Roman" w:hAnsi="Bookman Old Style" w:cs="Arial"/>
          <w:i/>
          <w:lang w:val="es-ES" w:eastAsia="es-ES"/>
        </w:rPr>
        <w:t xml:space="preserve"> Si un transportador no solicita oportunamente el inicio de la actuación administrativa de que trata el literal a) del presente artículo, la inversión asociada a dicho activo será igual a cero para efectos regulatorios a partir de la fecha en que cumpla la Vida Útil Normativa y la CREG procederá, de oficio, a ajustar los cargos regulados vigentes considerando el activo con este último valor.</w:t>
      </w:r>
    </w:p>
    <w:p w14:paraId="1A6780C8" w14:textId="77777777" w:rsidR="00F15D17" w:rsidRPr="005700D8" w:rsidRDefault="00F15D17" w:rsidP="0007645D">
      <w:pPr>
        <w:spacing w:after="0" w:line="240" w:lineRule="auto"/>
        <w:ind w:left="-142" w:right="-142"/>
        <w:jc w:val="both"/>
        <w:rPr>
          <w:rFonts w:ascii="Bookman Old Style" w:eastAsia="Times New Roman" w:hAnsi="Bookman Old Style" w:cs="Times New Roman"/>
          <w:sz w:val="32"/>
          <w:szCs w:val="27"/>
          <w:lang w:val="es-ES" w:eastAsia="es-ES"/>
        </w:rPr>
      </w:pPr>
    </w:p>
    <w:p w14:paraId="740E23F3" w14:textId="55369643"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Arial"/>
          <w:color w:val="000000" w:themeColor="text1"/>
          <w:spacing w:val="-3"/>
          <w:sz w:val="24"/>
          <w:szCs w:val="24"/>
          <w:lang w:val="es-ES" w:eastAsia="es-ES"/>
        </w:rPr>
        <w:t>D</w:t>
      </w:r>
      <w:r w:rsidRPr="00F15D17">
        <w:rPr>
          <w:rFonts w:ascii="Bookman Old Style" w:eastAsia="Times New Roman" w:hAnsi="Bookman Old Style" w:cs="Times New Roman"/>
          <w:sz w:val="24"/>
          <w:szCs w:val="27"/>
          <w:lang w:val="es-ES" w:eastAsia="es-ES"/>
        </w:rPr>
        <w:t xml:space="preserve">e acuerdo con lo anterior, en el artículo 14 de la Resolución CREG 126 de 2010, modificado por el artículo 2 de la Resolución CREG 066 de 2013, se estableció el procedimiento que se debe adelantar a fin de que la Comisión establezca el valor de la inversión a reconocer en aquellos activos que hayan cumplido la vida útil normativa. </w:t>
      </w:r>
      <w:r w:rsidR="006B4140">
        <w:rPr>
          <w:rFonts w:ascii="Bookman Old Style" w:eastAsia="Times New Roman" w:hAnsi="Bookman Old Style" w:cs="Times New Roman"/>
          <w:sz w:val="24"/>
          <w:szCs w:val="27"/>
          <w:lang w:val="es-ES" w:eastAsia="es-ES"/>
        </w:rPr>
        <w:t>Ateniendo el contenido d</w:t>
      </w:r>
      <w:r w:rsidRPr="00F15D17">
        <w:rPr>
          <w:rFonts w:ascii="Bookman Old Style" w:eastAsia="Times New Roman" w:hAnsi="Bookman Old Style" w:cs="Times New Roman"/>
          <w:sz w:val="24"/>
          <w:szCs w:val="27"/>
          <w:lang w:val="es-ES" w:eastAsia="es-ES"/>
        </w:rPr>
        <w:t xml:space="preserve">el numeral 1 del literal b) del artículo 14 de la Resolución CREG 126 de </w:t>
      </w:r>
      <w:r w:rsidRPr="00F15D17">
        <w:rPr>
          <w:rFonts w:ascii="Bookman Old Style" w:eastAsia="Times New Roman" w:hAnsi="Bookman Old Style" w:cs="Times New Roman"/>
          <w:color w:val="000000" w:themeColor="text1"/>
          <w:sz w:val="24"/>
          <w:szCs w:val="24"/>
          <w:lang w:eastAsia="es-ES"/>
        </w:rPr>
        <w:t>2010</w:t>
      </w:r>
      <w:r w:rsidRPr="00F15D17">
        <w:rPr>
          <w:rFonts w:ascii="Bookman Old Style" w:eastAsia="Times New Roman" w:hAnsi="Bookman Old Style" w:cs="Times New Roman"/>
          <w:sz w:val="24"/>
          <w:szCs w:val="27"/>
          <w:lang w:val="es-ES" w:eastAsia="es-ES"/>
        </w:rPr>
        <w:t>, la valoración que realice el perito se ha de realizar con base en las actividades determinadas en el acto administrativo que expida la Comisión.</w:t>
      </w:r>
    </w:p>
    <w:p w14:paraId="729FA3E6"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0CFEC673"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sz w:val="24"/>
          <w:szCs w:val="27"/>
          <w:lang w:val="es-ES" w:eastAsia="es-ES"/>
        </w:rPr>
        <w:t xml:space="preserve">El artículo 109 de la Ley 142 de 1994, en relación con las facultades con las que cuenta la Comisión dentro del ejercicio de las actuaciones administrativas que se adelanten en materia regulatoria, ha previsto </w:t>
      </w:r>
      <w:bookmarkStart w:id="2" w:name="109"/>
      <w:bookmarkEnd w:id="2"/>
      <w:r w:rsidRPr="00F15D17">
        <w:rPr>
          <w:rFonts w:ascii="Bookman Old Style" w:eastAsia="Times New Roman" w:hAnsi="Bookman Old Style" w:cs="Times New Roman"/>
          <w:sz w:val="24"/>
          <w:szCs w:val="27"/>
          <w:lang w:val="es-ES" w:eastAsia="es-ES"/>
        </w:rPr>
        <w:t>que al practicar pruebas las funciones que corresponderían al juez en un proceso civil las cumplirá la autoridad, o la persona que acuerden la autoridad y el interesado.</w:t>
      </w:r>
    </w:p>
    <w:p w14:paraId="6F53F981" w14:textId="77777777"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C087984" w14:textId="458C0BD3"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sz w:val="24"/>
          <w:szCs w:val="27"/>
          <w:lang w:val="es-ES" w:eastAsia="es-ES"/>
        </w:rPr>
        <w:t>En concordancia con lo anterior, el numeral 1 del artículo 124 de la Ley 142 de 1994 establece que cuando corresponda a la Comisión de Regulación de Energía y Gas como autoridad nombrar peritos, el nombramiento corresponderá a la Comisión misma.</w:t>
      </w:r>
    </w:p>
    <w:p w14:paraId="749F4F6E" w14:textId="4D76033C" w:rsidR="005700D8" w:rsidRDefault="005700D8" w:rsidP="00ED6540">
      <w:pPr>
        <w:spacing w:after="0" w:line="240" w:lineRule="auto"/>
        <w:ind w:right="-142"/>
        <w:jc w:val="both"/>
        <w:rPr>
          <w:rFonts w:ascii="Bookman Old Style" w:eastAsia="Times New Roman" w:hAnsi="Bookman Old Style" w:cs="Times New Roman"/>
          <w:sz w:val="24"/>
          <w:szCs w:val="27"/>
          <w:lang w:val="es-ES" w:eastAsia="es-ES"/>
        </w:rPr>
      </w:pPr>
    </w:p>
    <w:p w14:paraId="3F9EAE28" w14:textId="77777777"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sidRPr="00F15D17">
        <w:rPr>
          <w:rFonts w:ascii="Bookman Old Style" w:eastAsia="Times New Roman" w:hAnsi="Bookman Old Style" w:cs="Times New Roman"/>
          <w:sz w:val="24"/>
          <w:szCs w:val="27"/>
          <w:lang w:val="es-ES" w:eastAsia="es-ES"/>
        </w:rPr>
        <w:lastRenderedPageBreak/>
        <w:t>Mediante la Resolución CREG 080 de 2013, modificada por la Resolución CREG 110 de 2015, la Comisión conformó la lista de peritos de que trata el artículo 14 de la Resolución CREG 126 de 2010.</w:t>
      </w:r>
    </w:p>
    <w:p w14:paraId="53F8388E" w14:textId="77777777"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F405548" w14:textId="4A3EA99F"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Mediante las r</w:t>
      </w:r>
      <w:r w:rsidRPr="00F15D17">
        <w:rPr>
          <w:rFonts w:ascii="Bookman Old Style" w:eastAsia="Times New Roman" w:hAnsi="Bookman Old Style" w:cs="Times New Roman"/>
          <w:sz w:val="24"/>
          <w:szCs w:val="27"/>
          <w:lang w:val="es-ES" w:eastAsia="es-ES"/>
        </w:rPr>
        <w:t>esoluciones CREG 018 de 2014, 082 de 2014, 163 de 2015, 220 de 2015, 085 de 2016, 086 de 2016</w:t>
      </w:r>
      <w:r>
        <w:rPr>
          <w:rFonts w:ascii="Bookman Old Style" w:eastAsia="Times New Roman" w:hAnsi="Bookman Old Style" w:cs="Times New Roman"/>
          <w:sz w:val="24"/>
          <w:szCs w:val="27"/>
          <w:lang w:val="es-ES" w:eastAsia="es-ES"/>
        </w:rPr>
        <w:t xml:space="preserve"> y 241 de 2016, la Comisión ha venido dando aplicación a lo dispuesto en el artículo 14 de la Resolución CREG 126 de 2010 a efectos de resolver las solicitudes de los transportadores en aquellos activos que han cumplido su vida útil normativa.</w:t>
      </w:r>
      <w:r w:rsidRPr="00F15D17">
        <w:rPr>
          <w:rFonts w:ascii="Bookman Old Style" w:eastAsia="Times New Roman" w:hAnsi="Bookman Old Style" w:cs="Times New Roman"/>
          <w:sz w:val="24"/>
          <w:szCs w:val="27"/>
          <w:lang w:val="es-ES" w:eastAsia="es-ES"/>
        </w:rPr>
        <w:t xml:space="preserve"> </w:t>
      </w:r>
    </w:p>
    <w:p w14:paraId="60FE11B3" w14:textId="77777777" w:rsidR="00F15D17" w:rsidRDefault="00F15D17" w:rsidP="00F15D17">
      <w:pPr>
        <w:spacing w:after="0" w:line="240" w:lineRule="auto"/>
        <w:ind w:left="-142" w:right="-142"/>
        <w:jc w:val="both"/>
        <w:rPr>
          <w:rFonts w:ascii="Bookman Old Style" w:eastAsia="Times New Roman" w:hAnsi="Bookman Old Style" w:cs="Times New Roman"/>
          <w:sz w:val="24"/>
          <w:szCs w:val="27"/>
          <w:lang w:val="es-ES" w:eastAsia="es-ES"/>
        </w:rPr>
      </w:pPr>
    </w:p>
    <w:p w14:paraId="7571CE3F" w14:textId="765B9AE9" w:rsidR="00F15D17" w:rsidRPr="00F15D17" w:rsidRDefault="00F15D17" w:rsidP="00F15D17">
      <w:pPr>
        <w:spacing w:after="0" w:line="240" w:lineRule="auto"/>
        <w:ind w:left="-142" w:right="-142"/>
        <w:jc w:val="both"/>
        <w:rPr>
          <w:rFonts w:ascii="Bookman Old Style" w:eastAsia="Times New Roman" w:hAnsi="Bookman Old Style" w:cs="Arial"/>
          <w:sz w:val="24"/>
          <w:szCs w:val="24"/>
          <w:lang w:val="es-ES_tradnl" w:eastAsia="es-ES"/>
        </w:rPr>
      </w:pPr>
      <w:r w:rsidRPr="00F15D17">
        <w:rPr>
          <w:rFonts w:ascii="Bookman Old Style" w:eastAsia="Times New Roman" w:hAnsi="Bookman Old Style" w:cs="Arial"/>
          <w:sz w:val="24"/>
          <w:szCs w:val="24"/>
          <w:lang w:eastAsia="es-ES"/>
        </w:rPr>
        <w:t xml:space="preserve">Ahora bien, </w:t>
      </w:r>
      <w:r>
        <w:rPr>
          <w:rFonts w:ascii="Bookman Old Style" w:eastAsia="Times New Roman" w:hAnsi="Bookman Old Style" w:cs="Arial"/>
          <w:sz w:val="24"/>
          <w:szCs w:val="24"/>
          <w:lang w:eastAsia="es-ES"/>
        </w:rPr>
        <w:t xml:space="preserve">esta Comisión ha precisado que </w:t>
      </w:r>
      <w:r w:rsidRPr="00F15D17">
        <w:rPr>
          <w:rFonts w:ascii="Bookman Old Style" w:eastAsia="Times New Roman" w:hAnsi="Bookman Old Style" w:cs="Arial"/>
          <w:sz w:val="24"/>
          <w:szCs w:val="24"/>
          <w:lang w:eastAsia="es-ES"/>
        </w:rPr>
        <w:t xml:space="preserve">el dictamen decretado </w:t>
      </w:r>
      <w:r w:rsidR="00EB5B89">
        <w:rPr>
          <w:rFonts w:ascii="Bookman Old Style" w:eastAsia="Times New Roman" w:hAnsi="Bookman Old Style" w:cs="Arial"/>
          <w:sz w:val="24"/>
          <w:szCs w:val="24"/>
          <w:lang w:eastAsia="es-ES"/>
        </w:rPr>
        <w:t>en los términos del artículo 14 de la Resolución CREG 126 de 2010</w:t>
      </w:r>
      <w:r w:rsidRPr="00F15D17">
        <w:rPr>
          <w:rFonts w:ascii="Bookman Old Style" w:eastAsia="Times New Roman" w:hAnsi="Bookman Old Style" w:cs="Arial"/>
          <w:sz w:val="24"/>
          <w:szCs w:val="24"/>
          <w:lang w:eastAsia="es-ES"/>
        </w:rPr>
        <w:t xml:space="preserve"> corresponde a un </w:t>
      </w:r>
      <w:r w:rsidRPr="00F15D17">
        <w:rPr>
          <w:rFonts w:ascii="Bookman Old Style" w:eastAsia="Times New Roman" w:hAnsi="Bookman Old Style" w:cs="Times New Roman"/>
          <w:sz w:val="24"/>
          <w:szCs w:val="27"/>
          <w:lang w:val="es-ES" w:eastAsia="es-ES"/>
        </w:rPr>
        <w:t>dictamen</w:t>
      </w:r>
      <w:r w:rsidRPr="00F15D17">
        <w:rPr>
          <w:rFonts w:ascii="Bookman Old Style" w:eastAsia="Times New Roman" w:hAnsi="Bookman Old Style" w:cs="Arial"/>
          <w:sz w:val="24"/>
          <w:szCs w:val="24"/>
          <w:lang w:eastAsia="es-ES"/>
        </w:rPr>
        <w:t xml:space="preserve"> pericial de oficio desde el punto de vista procesal y sustancial. En relación con el primero, debido a que: i) su práctica obedece desde un punto de vista procesal a una decisión adoptada por la CREG sin que medie solicitud de alguna de las partes que hacen parte de la actuación administrativa,</w:t>
      </w:r>
      <w:r w:rsidRPr="00F15D17">
        <w:rPr>
          <w:rFonts w:ascii="Bookman Old Style" w:eastAsia="Times New Roman" w:hAnsi="Bookman Old Style" w:cs="Arial"/>
          <w:sz w:val="24"/>
          <w:szCs w:val="24"/>
          <w:lang w:val="es-ES_tradnl" w:eastAsia="es-ES"/>
        </w:rPr>
        <w:t xml:space="preserve"> atendiendo las facultades asignadas en materia probatoria (Ley 142 de 1994 artículo 109) en calidad de juez civil,</w:t>
      </w:r>
      <w:r w:rsidRPr="00F15D17">
        <w:rPr>
          <w:rFonts w:ascii="Bookman Old Style" w:eastAsia="Times New Roman" w:hAnsi="Bookman Old Style" w:cs="Arial"/>
          <w:sz w:val="24"/>
          <w:szCs w:val="24"/>
          <w:lang w:eastAsia="es-ES"/>
        </w:rPr>
        <w:t xml:space="preserve">; ii) a través de la metodología de la Resolución CREG 126 de 2010 se consideró que el medio idóneo </w:t>
      </w:r>
      <w:r w:rsidR="00A83B17">
        <w:rPr>
          <w:rFonts w:ascii="Bookman Old Style" w:eastAsia="Times New Roman" w:hAnsi="Bookman Old Style" w:cs="Arial"/>
          <w:sz w:val="24"/>
          <w:szCs w:val="24"/>
          <w:lang w:eastAsia="es-ES"/>
        </w:rPr>
        <w:t xml:space="preserve">para ilustrar a la Comisión </w:t>
      </w:r>
      <w:r w:rsidRPr="00F15D17">
        <w:rPr>
          <w:rFonts w:ascii="Bookman Old Style" w:eastAsia="Times New Roman" w:hAnsi="Bookman Old Style" w:cs="Arial"/>
          <w:sz w:val="24"/>
          <w:szCs w:val="24"/>
          <w:lang w:eastAsia="es-ES"/>
        </w:rPr>
        <w:t>correspondía a dicha prueba a efectos de llevar a cabo la valoración de aquellos gasoductos que han cumplido su vida útil normativa. Así mismo y desde el punto de vista sustancial, esto está directamente relacionado con el alcance de las funciones regulatorias asignadas a esta Comisión, incluidas aquellas en materia tarifaria</w:t>
      </w:r>
      <w:r w:rsidRPr="00F15D17">
        <w:rPr>
          <w:rFonts w:ascii="Bookman Old Style" w:eastAsia="Times New Roman" w:hAnsi="Bookman Old Style" w:cs="Arial"/>
          <w:sz w:val="24"/>
          <w:szCs w:val="24"/>
          <w:lang w:val="es-ES_tradnl" w:eastAsia="es-ES"/>
        </w:rPr>
        <w:t>.</w:t>
      </w:r>
      <w:r w:rsidRPr="00F15D17">
        <w:rPr>
          <w:rFonts w:ascii="Bookman Old Style" w:eastAsia="Times New Roman" w:hAnsi="Bookman Old Style" w:cs="Arial"/>
          <w:sz w:val="24"/>
          <w:szCs w:val="24"/>
          <w:vertAlign w:val="superscript"/>
          <w:lang w:val="es-ES_tradnl" w:eastAsia="es-ES"/>
        </w:rPr>
        <w:footnoteReference w:id="1"/>
      </w:r>
      <w:r w:rsidRPr="00F15D17">
        <w:rPr>
          <w:rFonts w:ascii="Bookman Old Style" w:eastAsia="Times New Roman" w:hAnsi="Bookman Old Style" w:cs="Arial"/>
          <w:sz w:val="24"/>
          <w:szCs w:val="24"/>
          <w:lang w:val="es-ES_tradnl" w:eastAsia="es-ES"/>
        </w:rPr>
        <w:t xml:space="preserve"> </w:t>
      </w:r>
    </w:p>
    <w:p w14:paraId="2A0231D0" w14:textId="77777777" w:rsidR="00F15D17" w:rsidRPr="00F15D17" w:rsidRDefault="00F15D17" w:rsidP="00F15D17">
      <w:pPr>
        <w:widowControl w:val="0"/>
        <w:spacing w:after="0" w:line="240" w:lineRule="auto"/>
        <w:jc w:val="both"/>
        <w:rPr>
          <w:rFonts w:ascii="Bookman Old Style" w:eastAsia="Times New Roman" w:hAnsi="Bookman Old Style" w:cs="Arial"/>
          <w:sz w:val="24"/>
          <w:szCs w:val="24"/>
          <w:lang w:val="es-ES_tradnl" w:eastAsia="es-ES"/>
        </w:rPr>
      </w:pPr>
    </w:p>
    <w:p w14:paraId="313DB3D5" w14:textId="69CA26C8" w:rsidR="00F15D17" w:rsidRDefault="00F15D17" w:rsidP="00F15D17">
      <w:pPr>
        <w:spacing w:after="0" w:line="240" w:lineRule="auto"/>
        <w:ind w:left="-142" w:right="-142"/>
        <w:jc w:val="both"/>
        <w:rPr>
          <w:rFonts w:ascii="Bookman Old Style" w:eastAsia="Times New Roman" w:hAnsi="Bookman Old Style" w:cs="Arial"/>
          <w:sz w:val="24"/>
          <w:szCs w:val="24"/>
          <w:lang w:val="es-ES_tradnl" w:eastAsia="es-ES"/>
        </w:rPr>
      </w:pPr>
      <w:r w:rsidRPr="00F15D17">
        <w:rPr>
          <w:rFonts w:ascii="Bookman Old Style" w:eastAsia="Times New Roman" w:hAnsi="Bookman Old Style" w:cs="Arial"/>
          <w:sz w:val="24"/>
          <w:szCs w:val="24"/>
          <w:lang w:val="es-ES_tradnl" w:eastAsia="es-ES"/>
        </w:rPr>
        <w:t xml:space="preserve">En este sentido, las pruebas que se decreten por parte de la Comisión deben estar ligadas y dirigidas a dar cumplimiento a los fines que persigue el ejercicio de su función regulatoria, razón </w:t>
      </w:r>
      <w:r w:rsidRPr="00F15D17">
        <w:rPr>
          <w:rFonts w:ascii="Bookman Old Style" w:eastAsia="Times New Roman" w:hAnsi="Bookman Old Style" w:cs="Times New Roman"/>
          <w:sz w:val="24"/>
          <w:szCs w:val="27"/>
          <w:lang w:val="es-ES" w:eastAsia="es-ES"/>
        </w:rPr>
        <w:t>por</w:t>
      </w:r>
      <w:r w:rsidRPr="00F15D17">
        <w:rPr>
          <w:rFonts w:ascii="Bookman Old Style" w:eastAsia="Times New Roman" w:hAnsi="Bookman Old Style" w:cs="Arial"/>
          <w:sz w:val="24"/>
          <w:szCs w:val="24"/>
          <w:lang w:val="es-ES_tradnl" w:eastAsia="es-ES"/>
        </w:rPr>
        <w:t xml:space="preserve"> la cual, cualquier prueba que no esté dirigida en este sentido ha de considerarse como impertinente, improcedente, inútil y superflua.  Esto ha de ser igualmente compatible con la posibilidad de que tienen las partes en el marco del derecho de defensa y contradicción que hacen parte del espectro general del debido proceso, de contar con las garantías de controvertir las pruebas decretadas por la Comisión.</w:t>
      </w:r>
    </w:p>
    <w:p w14:paraId="0B3EB63A" w14:textId="6FFD43FD" w:rsidR="00ED6540" w:rsidRDefault="00ED6540" w:rsidP="00F15D17">
      <w:pPr>
        <w:spacing w:after="0" w:line="240" w:lineRule="auto"/>
        <w:ind w:left="-142" w:right="-142"/>
        <w:jc w:val="both"/>
        <w:rPr>
          <w:rFonts w:ascii="Bookman Old Style" w:eastAsia="Times New Roman" w:hAnsi="Bookman Old Style" w:cs="Arial"/>
          <w:sz w:val="24"/>
          <w:szCs w:val="24"/>
          <w:lang w:val="es-ES_tradnl" w:eastAsia="es-ES"/>
        </w:rPr>
      </w:pPr>
    </w:p>
    <w:p w14:paraId="125178ED" w14:textId="61528A34" w:rsidR="00ED6540" w:rsidRPr="00F15D17" w:rsidRDefault="00ED6540" w:rsidP="00F15D17">
      <w:pPr>
        <w:spacing w:after="0" w:line="240" w:lineRule="auto"/>
        <w:ind w:left="-142" w:right="-142"/>
        <w:jc w:val="both"/>
        <w:rPr>
          <w:rFonts w:ascii="Bookman Old Style" w:eastAsia="Times New Roman" w:hAnsi="Bookman Old Style" w:cs="Arial"/>
          <w:sz w:val="24"/>
          <w:szCs w:val="24"/>
          <w:lang w:val="es-ES_tradnl" w:eastAsia="es-ES"/>
        </w:rPr>
      </w:pPr>
      <w:r>
        <w:rPr>
          <w:rFonts w:ascii="Bookman Old Style" w:eastAsia="Times New Roman" w:hAnsi="Bookman Old Style" w:cs="Arial"/>
          <w:sz w:val="24"/>
          <w:szCs w:val="24"/>
          <w:lang w:val="es-ES_tradnl" w:eastAsia="es-ES"/>
        </w:rPr>
        <w:t xml:space="preserve">Mediante la Resolución CREG 112 de 2014 esta Comisión sometió a consulta la propuesta regulatoria </w:t>
      </w:r>
      <w:r w:rsidRPr="00ED6540">
        <w:rPr>
          <w:rFonts w:ascii="Bookman Old Style" w:eastAsia="Times New Roman" w:hAnsi="Bookman Old Style" w:cs="Arial"/>
          <w:sz w:val="24"/>
          <w:szCs w:val="24"/>
          <w:lang w:val="es-ES_tradnl" w:eastAsia="es-ES"/>
        </w:rPr>
        <w:t>“Por la cual se modifica el artículo 14 de la Resolución CREG 126 de 2010”</w:t>
      </w:r>
      <w:r>
        <w:rPr>
          <w:rFonts w:ascii="Bookman Old Style" w:eastAsia="Times New Roman" w:hAnsi="Bookman Old Style" w:cs="Arial"/>
          <w:sz w:val="24"/>
          <w:szCs w:val="24"/>
          <w:lang w:val="es-ES_tradnl" w:eastAsia="es-ES"/>
        </w:rPr>
        <w:t>.</w:t>
      </w:r>
    </w:p>
    <w:p w14:paraId="0DF9F12C" w14:textId="76B20164" w:rsidR="00F15D17" w:rsidRPr="00F15D17" w:rsidRDefault="00F15D17" w:rsidP="00F15D17">
      <w:pPr>
        <w:spacing w:after="0" w:line="240" w:lineRule="auto"/>
        <w:ind w:left="-142" w:right="-142"/>
        <w:jc w:val="both"/>
        <w:rPr>
          <w:rFonts w:ascii="Bookman Old Style" w:eastAsia="Times New Roman" w:hAnsi="Bookman Old Style" w:cs="Times New Roman"/>
          <w:sz w:val="24"/>
          <w:szCs w:val="27"/>
          <w:lang w:val="es-ES_tradnl" w:eastAsia="es-ES"/>
        </w:rPr>
      </w:pPr>
    </w:p>
    <w:p w14:paraId="6AA3F3E3" w14:textId="5743426D" w:rsidR="00ED6540" w:rsidRPr="00ED6540" w:rsidRDefault="00F15D17" w:rsidP="00ED6540">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Teniendo en cuenta el alcance de la prueba pericial decretada por parte de la Comisión</w:t>
      </w:r>
      <w:r w:rsidR="00743CA9">
        <w:rPr>
          <w:rFonts w:ascii="Bookman Old Style" w:eastAsia="Times New Roman" w:hAnsi="Bookman Old Style" w:cs="Times New Roman"/>
          <w:sz w:val="24"/>
          <w:szCs w:val="27"/>
          <w:lang w:val="es-ES" w:eastAsia="es-ES"/>
        </w:rPr>
        <w:t xml:space="preserve"> atendiendo lo previsto en el artículo 14 de Resolución CREG 126 de 2010</w:t>
      </w:r>
      <w:r>
        <w:rPr>
          <w:rFonts w:ascii="Bookman Old Style" w:eastAsia="Times New Roman" w:hAnsi="Bookman Old Style" w:cs="Times New Roman"/>
          <w:sz w:val="24"/>
          <w:szCs w:val="27"/>
          <w:lang w:val="es-ES" w:eastAsia="es-ES"/>
        </w:rPr>
        <w:t xml:space="preserve">, </w:t>
      </w:r>
      <w:r w:rsidR="00DC6CD0">
        <w:rPr>
          <w:rFonts w:ascii="Bookman Old Style" w:eastAsia="Times New Roman" w:hAnsi="Bookman Old Style" w:cs="Times New Roman"/>
          <w:sz w:val="24"/>
          <w:szCs w:val="27"/>
          <w:lang w:val="es-ES" w:eastAsia="es-ES"/>
        </w:rPr>
        <w:t>así como las facultades con las que esta cuenta en materia probatoria</w:t>
      </w:r>
      <w:r w:rsidR="00A85051">
        <w:rPr>
          <w:rFonts w:ascii="Bookman Old Style" w:eastAsia="Times New Roman" w:hAnsi="Bookman Old Style" w:cs="Times New Roman"/>
          <w:sz w:val="24"/>
          <w:szCs w:val="27"/>
          <w:lang w:val="es-ES" w:eastAsia="es-ES"/>
        </w:rPr>
        <w:t xml:space="preserve"> y la relación que esto </w:t>
      </w:r>
      <w:r w:rsidR="00743CA9">
        <w:rPr>
          <w:rFonts w:ascii="Bookman Old Style" w:eastAsia="Times New Roman" w:hAnsi="Bookman Old Style" w:cs="Times New Roman"/>
          <w:sz w:val="24"/>
          <w:szCs w:val="27"/>
          <w:lang w:val="es-ES" w:eastAsia="es-ES"/>
        </w:rPr>
        <w:t xml:space="preserve">último </w:t>
      </w:r>
      <w:r w:rsidR="00A85051">
        <w:rPr>
          <w:rFonts w:ascii="Bookman Old Style" w:eastAsia="Times New Roman" w:hAnsi="Bookman Old Style" w:cs="Times New Roman"/>
          <w:sz w:val="24"/>
          <w:szCs w:val="27"/>
          <w:lang w:val="es-ES" w:eastAsia="es-ES"/>
        </w:rPr>
        <w:t>tiene con el ejercicio</w:t>
      </w:r>
      <w:r w:rsidR="00743CA9">
        <w:rPr>
          <w:rFonts w:ascii="Bookman Old Style" w:eastAsia="Times New Roman" w:hAnsi="Bookman Old Style" w:cs="Times New Roman"/>
          <w:sz w:val="24"/>
          <w:szCs w:val="27"/>
          <w:lang w:val="es-ES" w:eastAsia="es-ES"/>
        </w:rPr>
        <w:t xml:space="preserve"> de la función regulatoria</w:t>
      </w:r>
      <w:r w:rsidR="00DC6CD0">
        <w:rPr>
          <w:rFonts w:ascii="Bookman Old Style" w:eastAsia="Times New Roman" w:hAnsi="Bookman Old Style" w:cs="Times New Roman"/>
          <w:sz w:val="24"/>
          <w:szCs w:val="27"/>
          <w:lang w:val="es-ES" w:eastAsia="es-ES"/>
        </w:rPr>
        <w:t xml:space="preserve">, </w:t>
      </w:r>
      <w:r w:rsidR="00ED6540">
        <w:rPr>
          <w:rFonts w:ascii="Bookman Old Style" w:eastAsia="Times New Roman" w:hAnsi="Bookman Old Style" w:cs="Times New Roman"/>
          <w:sz w:val="24"/>
          <w:szCs w:val="27"/>
          <w:lang w:val="es-ES" w:eastAsia="es-ES"/>
        </w:rPr>
        <w:t xml:space="preserve">esta Comisión dentro de dicha propuesta regulatoria expuso que se consideraba </w:t>
      </w:r>
      <w:r w:rsidR="00A85051">
        <w:rPr>
          <w:rFonts w:ascii="Bookman Old Style" w:eastAsia="Times New Roman" w:hAnsi="Bookman Old Style" w:cs="Times New Roman"/>
          <w:sz w:val="24"/>
          <w:szCs w:val="27"/>
          <w:lang w:val="es-ES" w:eastAsia="es-ES"/>
        </w:rPr>
        <w:t xml:space="preserve"> procedente </w:t>
      </w:r>
      <w:r w:rsidR="00BB045C">
        <w:rPr>
          <w:rFonts w:ascii="Bookman Old Style" w:eastAsia="Times New Roman" w:hAnsi="Bookman Old Style" w:cs="Times New Roman"/>
          <w:sz w:val="24"/>
          <w:szCs w:val="27"/>
          <w:lang w:val="es-ES" w:eastAsia="es-ES"/>
        </w:rPr>
        <w:t>y razonable</w:t>
      </w:r>
      <w:r w:rsidR="00EA0A53">
        <w:rPr>
          <w:rFonts w:ascii="Bookman Old Style" w:eastAsia="Times New Roman" w:hAnsi="Bookman Old Style" w:cs="Times New Roman"/>
          <w:sz w:val="24"/>
          <w:szCs w:val="27"/>
          <w:lang w:val="es-ES" w:eastAsia="es-ES"/>
        </w:rPr>
        <w:t>: i)</w:t>
      </w:r>
      <w:r w:rsidR="00BB045C">
        <w:rPr>
          <w:rFonts w:ascii="Bookman Old Style" w:eastAsia="Times New Roman" w:hAnsi="Bookman Old Style" w:cs="Times New Roman"/>
          <w:sz w:val="24"/>
          <w:szCs w:val="27"/>
          <w:lang w:val="es-ES" w:eastAsia="es-ES"/>
        </w:rPr>
        <w:t xml:space="preserve"> ajustar </w:t>
      </w:r>
      <w:r w:rsidR="00A432B6">
        <w:rPr>
          <w:rFonts w:ascii="Bookman Old Style" w:eastAsia="Times New Roman" w:hAnsi="Bookman Old Style" w:cs="Times New Roman"/>
          <w:sz w:val="24"/>
          <w:szCs w:val="27"/>
          <w:lang w:val="es-ES" w:eastAsia="es-ES"/>
        </w:rPr>
        <w:t xml:space="preserve">el </w:t>
      </w:r>
      <w:r w:rsidR="006B4140">
        <w:rPr>
          <w:rFonts w:ascii="Bookman Old Style" w:eastAsia="Times New Roman" w:hAnsi="Bookman Old Style" w:cs="Times New Roman"/>
          <w:sz w:val="24"/>
          <w:szCs w:val="27"/>
          <w:lang w:val="es-ES" w:eastAsia="es-ES"/>
        </w:rPr>
        <w:t>mecanismo</w:t>
      </w:r>
      <w:r w:rsidR="00A432B6">
        <w:rPr>
          <w:rFonts w:ascii="Bookman Old Style" w:eastAsia="Times New Roman" w:hAnsi="Bookman Old Style" w:cs="Times New Roman"/>
          <w:sz w:val="24"/>
          <w:szCs w:val="27"/>
          <w:lang w:val="es-ES" w:eastAsia="es-ES"/>
        </w:rPr>
        <w:t xml:space="preserve"> de selección del perito</w:t>
      </w:r>
      <w:r w:rsidR="009E3E43">
        <w:rPr>
          <w:rFonts w:ascii="Bookman Old Style" w:eastAsia="Times New Roman" w:hAnsi="Bookman Old Style" w:cs="Times New Roman"/>
          <w:sz w:val="24"/>
          <w:szCs w:val="27"/>
          <w:lang w:val="es-ES" w:eastAsia="es-ES"/>
        </w:rPr>
        <w:t xml:space="preserve"> </w:t>
      </w:r>
      <w:r w:rsidR="00BB045C">
        <w:rPr>
          <w:rFonts w:ascii="Bookman Old Style" w:eastAsia="Times New Roman" w:hAnsi="Bookman Old Style" w:cs="Times New Roman"/>
          <w:sz w:val="24"/>
          <w:szCs w:val="27"/>
          <w:lang w:val="es-ES" w:eastAsia="es-ES"/>
        </w:rPr>
        <w:t xml:space="preserve">contenido </w:t>
      </w:r>
      <w:r w:rsidR="009E3E43">
        <w:rPr>
          <w:rFonts w:ascii="Bookman Old Style" w:eastAsia="Times New Roman" w:hAnsi="Bookman Old Style" w:cs="Times New Roman"/>
          <w:sz w:val="24"/>
          <w:szCs w:val="27"/>
          <w:lang w:val="es-ES" w:eastAsia="es-ES"/>
        </w:rPr>
        <w:t>en</w:t>
      </w:r>
      <w:r w:rsidR="005F1989">
        <w:rPr>
          <w:rFonts w:ascii="Bookman Old Style" w:eastAsia="Times New Roman" w:hAnsi="Bookman Old Style" w:cs="Times New Roman"/>
          <w:sz w:val="24"/>
          <w:szCs w:val="27"/>
          <w:lang w:val="es-ES" w:eastAsia="es-ES"/>
        </w:rPr>
        <w:t xml:space="preserve"> </w:t>
      </w:r>
      <w:r w:rsidR="009E3E43">
        <w:rPr>
          <w:rFonts w:ascii="Bookman Old Style" w:eastAsia="Times New Roman" w:hAnsi="Bookman Old Style" w:cs="Times New Roman"/>
          <w:sz w:val="24"/>
          <w:szCs w:val="27"/>
          <w:lang w:val="es-ES" w:eastAsia="es-ES"/>
        </w:rPr>
        <w:t>el</w:t>
      </w:r>
      <w:r w:rsidR="00BB045C">
        <w:rPr>
          <w:rFonts w:ascii="Bookman Old Style" w:eastAsia="Times New Roman" w:hAnsi="Bookman Old Style" w:cs="Times New Roman"/>
          <w:sz w:val="24"/>
          <w:szCs w:val="27"/>
          <w:lang w:val="es-ES" w:eastAsia="es-ES"/>
        </w:rPr>
        <w:t xml:space="preserve"> numeral 1</w:t>
      </w:r>
      <w:r w:rsidR="009E3E43">
        <w:rPr>
          <w:rFonts w:ascii="Bookman Old Style" w:eastAsia="Times New Roman" w:hAnsi="Bookman Old Style" w:cs="Times New Roman"/>
          <w:sz w:val="24"/>
          <w:szCs w:val="27"/>
          <w:lang w:val="es-ES" w:eastAsia="es-ES"/>
        </w:rPr>
        <w:t xml:space="preserve">o </w:t>
      </w:r>
      <w:r w:rsidR="00BB045C">
        <w:rPr>
          <w:rFonts w:ascii="Bookman Old Style" w:eastAsia="Times New Roman" w:hAnsi="Bookman Old Style" w:cs="Times New Roman"/>
          <w:sz w:val="24"/>
          <w:szCs w:val="27"/>
          <w:lang w:val="es-ES" w:eastAsia="es-ES"/>
        </w:rPr>
        <w:t>de dicha norma</w:t>
      </w:r>
      <w:r w:rsidR="00EA0A53">
        <w:rPr>
          <w:rFonts w:ascii="Bookman Old Style" w:eastAsia="Times New Roman" w:hAnsi="Bookman Old Style" w:cs="Times New Roman"/>
          <w:sz w:val="24"/>
          <w:szCs w:val="27"/>
          <w:lang w:val="es-ES" w:eastAsia="es-ES"/>
        </w:rPr>
        <w:t xml:space="preserve"> permitiendo la inclusión de otros </w:t>
      </w:r>
      <w:r w:rsidR="006B4140">
        <w:rPr>
          <w:rFonts w:ascii="Bookman Old Style" w:eastAsia="Times New Roman" w:hAnsi="Bookman Old Style" w:cs="Times New Roman"/>
          <w:sz w:val="24"/>
          <w:szCs w:val="27"/>
          <w:lang w:val="es-ES" w:eastAsia="es-ES"/>
        </w:rPr>
        <w:t>criterios</w:t>
      </w:r>
      <w:r w:rsidR="00EA0A53">
        <w:rPr>
          <w:rFonts w:ascii="Bookman Old Style" w:eastAsia="Times New Roman" w:hAnsi="Bookman Old Style" w:cs="Times New Roman"/>
          <w:sz w:val="24"/>
          <w:szCs w:val="27"/>
          <w:lang w:val="es-ES" w:eastAsia="es-ES"/>
        </w:rPr>
        <w:t xml:space="preserve"> diferentes y adicionales al del menor valor de la propuesta económica, los cuales se ajusten </w:t>
      </w:r>
      <w:r w:rsidR="00A83B17">
        <w:rPr>
          <w:rFonts w:ascii="Bookman Old Style" w:eastAsia="Times New Roman" w:hAnsi="Bookman Old Style" w:cs="Times New Roman"/>
          <w:sz w:val="24"/>
          <w:szCs w:val="27"/>
          <w:lang w:val="es-ES" w:eastAsia="es-ES"/>
        </w:rPr>
        <w:t>a un mecanismo</w:t>
      </w:r>
      <w:r w:rsidR="00EA0A53">
        <w:rPr>
          <w:rFonts w:ascii="Bookman Old Style" w:eastAsia="Times New Roman" w:hAnsi="Bookman Old Style" w:cs="Times New Roman"/>
          <w:sz w:val="24"/>
          <w:szCs w:val="27"/>
          <w:lang w:val="es-ES" w:eastAsia="es-ES"/>
        </w:rPr>
        <w:t xml:space="preserve"> de “selección objetiva” ateniendo el entendimiento que del mismo ha hecho la jurisprudencia, el cual lo ha definido como</w:t>
      </w:r>
      <w:r w:rsidR="00EA0A53" w:rsidRPr="00EA0A53">
        <w:rPr>
          <w:rFonts w:ascii="Bookman Old Style" w:eastAsia="Times New Roman" w:hAnsi="Bookman Old Style" w:cs="Times New Roman"/>
          <w:sz w:val="24"/>
          <w:szCs w:val="27"/>
          <w:lang w:val="es-ES" w:eastAsia="es-ES"/>
        </w:rPr>
        <w:t xml:space="preserve"> “la escogencia se hace al ofrecimiento más favorable a la entidad y a los fines que ella busca, sin tener en consideración factores de afecto o de interés y, en general, cualquier</w:t>
      </w:r>
      <w:r w:rsidR="00EA0A53">
        <w:rPr>
          <w:rFonts w:ascii="Bookman Old Style" w:eastAsia="Times New Roman" w:hAnsi="Bookman Old Style" w:cs="Times New Roman"/>
          <w:sz w:val="24"/>
          <w:szCs w:val="27"/>
          <w:lang w:val="es-ES" w:eastAsia="es-ES"/>
        </w:rPr>
        <w:t xml:space="preserve"> clase de motivación subjetiva”; ii) ajustar el nivel de experiencia solicitada a efectos de hacer parte de </w:t>
      </w:r>
      <w:r w:rsidR="00EA0A53">
        <w:rPr>
          <w:rFonts w:ascii="Bookman Old Style" w:eastAsia="Times New Roman" w:hAnsi="Bookman Old Style" w:cs="Times New Roman"/>
          <w:sz w:val="24"/>
          <w:szCs w:val="27"/>
          <w:lang w:val="es-ES" w:eastAsia="es-ES"/>
        </w:rPr>
        <w:lastRenderedPageBreak/>
        <w:t>la lista de peritos a la que allí s</w:t>
      </w:r>
      <w:r w:rsidR="00ED6540">
        <w:rPr>
          <w:rFonts w:ascii="Bookman Old Style" w:eastAsia="Times New Roman" w:hAnsi="Bookman Old Style" w:cs="Times New Roman"/>
          <w:sz w:val="24"/>
          <w:szCs w:val="27"/>
          <w:lang w:val="es-ES" w:eastAsia="es-ES"/>
        </w:rPr>
        <w:t xml:space="preserve">e hace referencia, garantizando </w:t>
      </w:r>
      <w:r w:rsidR="00ED6540" w:rsidRPr="00ED6540">
        <w:rPr>
          <w:rFonts w:ascii="Bookman Old Style" w:eastAsia="Times New Roman" w:hAnsi="Bookman Old Style" w:cs="Times New Roman"/>
          <w:sz w:val="24"/>
          <w:szCs w:val="27"/>
          <w:lang w:val="es-ES" w:eastAsia="es-ES"/>
        </w:rPr>
        <w:t xml:space="preserve">que el perito cuente con la experiencia (conocimiento y práctica prolongada) </w:t>
      </w:r>
      <w:r w:rsidR="00ED6540">
        <w:rPr>
          <w:rFonts w:ascii="Bookman Old Style" w:eastAsia="Times New Roman" w:hAnsi="Bookman Old Style" w:cs="Times New Roman"/>
          <w:sz w:val="24"/>
          <w:szCs w:val="27"/>
          <w:lang w:val="es-ES" w:eastAsia="es-ES"/>
        </w:rPr>
        <w:t xml:space="preserve">necesaria para llevar a cabo el ejercicio de valoración, para lo </w:t>
      </w:r>
      <w:r w:rsidR="00ED6540" w:rsidRPr="00ED6540">
        <w:rPr>
          <w:rFonts w:ascii="Bookman Old Style" w:eastAsia="Times New Roman" w:hAnsi="Bookman Old Style" w:cs="Times New Roman"/>
          <w:sz w:val="24"/>
          <w:szCs w:val="27"/>
          <w:lang w:val="es-ES" w:eastAsia="es-ES"/>
        </w:rPr>
        <w:t xml:space="preserve">cual se considera que </w:t>
      </w:r>
      <w:r w:rsidR="00ED6540">
        <w:rPr>
          <w:rFonts w:ascii="Bookman Old Style" w:eastAsia="Times New Roman" w:hAnsi="Bookman Old Style" w:cs="Times New Roman"/>
          <w:sz w:val="24"/>
          <w:szCs w:val="27"/>
          <w:lang w:val="es-ES" w:eastAsia="es-ES"/>
        </w:rPr>
        <w:t xml:space="preserve">la labor realizada en al menos </w:t>
      </w:r>
      <w:r w:rsidR="00ED6540" w:rsidRPr="00ED6540">
        <w:rPr>
          <w:rFonts w:ascii="Bookman Old Style" w:eastAsia="Times New Roman" w:hAnsi="Bookman Old Style" w:cs="Times New Roman"/>
          <w:sz w:val="24"/>
          <w:szCs w:val="27"/>
          <w:lang w:val="es-ES" w:eastAsia="es-ES"/>
        </w:rPr>
        <w:t xml:space="preserve">dos países permiten reflejar dicha experiencia. </w:t>
      </w:r>
      <w:r w:rsidR="00ED6540">
        <w:rPr>
          <w:rFonts w:ascii="Bookman Old Style" w:eastAsia="Times New Roman" w:hAnsi="Bookman Old Style" w:cs="Times New Roman"/>
          <w:sz w:val="24"/>
          <w:szCs w:val="27"/>
          <w:lang w:val="es-ES" w:eastAsia="es-ES"/>
        </w:rPr>
        <w:t>Esto es concordante con el alcance del encargo que fija esta</w:t>
      </w:r>
      <w:r w:rsidR="00ED6540" w:rsidRPr="00ED6540">
        <w:rPr>
          <w:rFonts w:ascii="Bookman Old Style" w:eastAsia="Times New Roman" w:hAnsi="Bookman Old Style" w:cs="Times New Roman"/>
          <w:sz w:val="24"/>
          <w:szCs w:val="27"/>
          <w:lang w:val="es-ES" w:eastAsia="es-ES"/>
        </w:rPr>
        <w:t xml:space="preserve"> Comisión </w:t>
      </w:r>
      <w:r w:rsidR="00ED6540">
        <w:rPr>
          <w:rFonts w:ascii="Bookman Old Style" w:eastAsia="Times New Roman" w:hAnsi="Bookman Old Style" w:cs="Times New Roman"/>
          <w:sz w:val="24"/>
          <w:szCs w:val="27"/>
          <w:lang w:val="es-ES" w:eastAsia="es-ES"/>
        </w:rPr>
        <w:t xml:space="preserve">en la resolución de designación, la cual establece que el ejercicio de valoración que este realiza </w:t>
      </w:r>
      <w:r w:rsidR="00ED6540" w:rsidRPr="00ED6540">
        <w:rPr>
          <w:rFonts w:ascii="Bookman Old Style" w:eastAsia="Times New Roman" w:hAnsi="Bookman Old Style" w:cs="Times New Roman"/>
          <w:sz w:val="24"/>
          <w:szCs w:val="27"/>
          <w:lang w:val="es-ES" w:eastAsia="es-ES"/>
        </w:rPr>
        <w:t xml:space="preserve">se hace con base en “la experiencia del perito y de información relevante, nacional e internacional”. Es decir, el perito debe considerar aspectos propios del transporte de gas en Colombia. </w:t>
      </w:r>
    </w:p>
    <w:p w14:paraId="775BDDCD" w14:textId="483FA17F" w:rsidR="00F15D17" w:rsidRDefault="00F15D17" w:rsidP="00BB045C">
      <w:pPr>
        <w:spacing w:after="0" w:line="240" w:lineRule="auto"/>
        <w:ind w:right="-142"/>
        <w:jc w:val="both"/>
        <w:rPr>
          <w:rFonts w:ascii="Bookman Old Style" w:eastAsia="Times New Roman" w:hAnsi="Bookman Old Style" w:cs="Times New Roman"/>
          <w:sz w:val="24"/>
          <w:szCs w:val="27"/>
          <w:lang w:val="es-ES" w:eastAsia="es-ES"/>
        </w:rPr>
      </w:pPr>
    </w:p>
    <w:p w14:paraId="678B6483" w14:textId="327093B6" w:rsidR="00222C24" w:rsidRDefault="00ED6540" w:rsidP="0007645D">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 xml:space="preserve">Así mismo que, </w:t>
      </w:r>
      <w:r w:rsidR="00743CA9">
        <w:rPr>
          <w:rFonts w:ascii="Bookman Old Style" w:eastAsia="Times New Roman" w:hAnsi="Bookman Old Style" w:cs="Times New Roman"/>
          <w:sz w:val="24"/>
          <w:szCs w:val="27"/>
          <w:lang w:val="es-ES" w:eastAsia="es-ES"/>
        </w:rPr>
        <w:t xml:space="preserve">en el caso particular de las estaciones de compresión, </w:t>
      </w:r>
      <w:r w:rsidR="00222C24">
        <w:rPr>
          <w:rFonts w:ascii="Bookman Old Style" w:eastAsia="Times New Roman" w:hAnsi="Bookman Old Style" w:cs="Times New Roman"/>
          <w:sz w:val="24"/>
          <w:szCs w:val="27"/>
          <w:lang w:val="es-ES" w:eastAsia="es-ES"/>
        </w:rPr>
        <w:t>esta Comisión considera que cuenta con</w:t>
      </w:r>
      <w:r w:rsidR="00743CA9">
        <w:rPr>
          <w:rFonts w:ascii="Bookman Old Style" w:eastAsia="Times New Roman" w:hAnsi="Bookman Old Style" w:cs="Times New Roman"/>
          <w:sz w:val="24"/>
          <w:szCs w:val="27"/>
          <w:lang w:val="es-ES" w:eastAsia="es-ES"/>
        </w:rPr>
        <w:t xml:space="preserve"> </w:t>
      </w:r>
      <w:r w:rsidR="00222C24">
        <w:rPr>
          <w:rFonts w:ascii="Bookman Old Style" w:eastAsia="Times New Roman" w:hAnsi="Bookman Old Style" w:cs="Times New Roman"/>
          <w:sz w:val="24"/>
          <w:szCs w:val="27"/>
          <w:lang w:val="es-ES" w:eastAsia="es-ES"/>
        </w:rPr>
        <w:t xml:space="preserve">un </w:t>
      </w:r>
      <w:r w:rsidR="00743CA9">
        <w:rPr>
          <w:rFonts w:ascii="Bookman Old Style" w:eastAsia="Times New Roman" w:hAnsi="Bookman Old Style" w:cs="Times New Roman"/>
          <w:sz w:val="24"/>
          <w:szCs w:val="27"/>
          <w:lang w:val="es-ES" w:eastAsia="es-ES"/>
        </w:rPr>
        <w:t xml:space="preserve">nivel </w:t>
      </w:r>
      <w:r w:rsidR="00222C24">
        <w:rPr>
          <w:rFonts w:ascii="Bookman Old Style" w:eastAsia="Times New Roman" w:hAnsi="Bookman Old Style" w:cs="Times New Roman"/>
          <w:sz w:val="24"/>
          <w:szCs w:val="27"/>
          <w:lang w:val="es-ES" w:eastAsia="es-ES"/>
        </w:rPr>
        <w:t xml:space="preserve">importante </w:t>
      </w:r>
      <w:r w:rsidR="00743CA9">
        <w:rPr>
          <w:rFonts w:ascii="Bookman Old Style" w:eastAsia="Times New Roman" w:hAnsi="Bookman Old Style" w:cs="Times New Roman"/>
          <w:sz w:val="24"/>
          <w:szCs w:val="27"/>
          <w:lang w:val="es-ES" w:eastAsia="es-ES"/>
        </w:rPr>
        <w:t xml:space="preserve">de información </w:t>
      </w:r>
      <w:r w:rsidR="00222C24">
        <w:rPr>
          <w:rFonts w:ascii="Bookman Old Style" w:eastAsia="Times New Roman" w:hAnsi="Bookman Old Style" w:cs="Times New Roman"/>
          <w:sz w:val="24"/>
          <w:szCs w:val="27"/>
          <w:lang w:val="es-ES" w:eastAsia="es-ES"/>
        </w:rPr>
        <w:t>en relación con estos activos,</w:t>
      </w:r>
      <w:r w:rsidR="00743CA9">
        <w:rPr>
          <w:rFonts w:ascii="Bookman Old Style" w:eastAsia="Times New Roman" w:hAnsi="Bookman Old Style" w:cs="Times New Roman"/>
          <w:sz w:val="24"/>
          <w:szCs w:val="27"/>
          <w:lang w:val="es-ES" w:eastAsia="es-ES"/>
        </w:rPr>
        <w:t xml:space="preserve"> en desarrollo de las actuaciones administrativas adelantadas por esta Comisión en aplicación de lo establecido en el artículo 14 de la Resolución CREG 126 de 2010, los estudios y consultorías realizadas durante la vigencia de la Resolución CREG 126 de 2010 para este tipo de activos, así como la informac</w:t>
      </w:r>
      <w:r w:rsidR="00901408">
        <w:rPr>
          <w:rFonts w:ascii="Bookman Old Style" w:eastAsia="Times New Roman" w:hAnsi="Bookman Old Style" w:cs="Times New Roman"/>
          <w:sz w:val="24"/>
          <w:szCs w:val="27"/>
          <w:lang w:val="es-ES" w:eastAsia="es-ES"/>
        </w:rPr>
        <w:t>ión recaudada, incluida la remitida y analizada a efectos de resolver los recursos de reposición contra las resoluciones CRE</w:t>
      </w:r>
      <w:r w:rsidR="00222C24">
        <w:rPr>
          <w:rFonts w:ascii="Bookman Old Style" w:eastAsia="Times New Roman" w:hAnsi="Bookman Old Style" w:cs="Times New Roman"/>
          <w:sz w:val="24"/>
          <w:szCs w:val="27"/>
          <w:lang w:val="es-ES" w:eastAsia="es-ES"/>
        </w:rPr>
        <w:t>G 110, 115 y 117 de 2011.</w:t>
      </w:r>
    </w:p>
    <w:p w14:paraId="1B882895" w14:textId="5F309324" w:rsidR="00222C24" w:rsidRDefault="00222C24" w:rsidP="0007645D">
      <w:pPr>
        <w:spacing w:after="0" w:line="240" w:lineRule="auto"/>
        <w:ind w:left="-142" w:right="-142"/>
        <w:jc w:val="both"/>
        <w:rPr>
          <w:rFonts w:ascii="Bookman Old Style" w:eastAsia="Times New Roman" w:hAnsi="Bookman Old Style" w:cs="Times New Roman"/>
          <w:sz w:val="24"/>
          <w:szCs w:val="27"/>
          <w:lang w:val="es-ES" w:eastAsia="es-ES"/>
        </w:rPr>
      </w:pPr>
    </w:p>
    <w:p w14:paraId="625EF094" w14:textId="633F608C" w:rsidR="007A504F" w:rsidRDefault="00222C24" w:rsidP="00222C24">
      <w:pPr>
        <w:spacing w:after="0" w:line="240" w:lineRule="auto"/>
        <w:ind w:left="-142" w:right="-142"/>
        <w:jc w:val="both"/>
        <w:rPr>
          <w:rFonts w:ascii="Bookman Old Style" w:eastAsia="Times New Roman" w:hAnsi="Bookman Old Style" w:cs="Times New Roman"/>
          <w:sz w:val="24"/>
          <w:szCs w:val="27"/>
          <w:lang w:val="es-ES" w:eastAsia="es-ES"/>
        </w:rPr>
      </w:pPr>
      <w:r>
        <w:rPr>
          <w:rFonts w:ascii="Bookman Old Style" w:eastAsia="Times New Roman" w:hAnsi="Bookman Old Style" w:cs="Times New Roman"/>
          <w:sz w:val="24"/>
          <w:szCs w:val="27"/>
          <w:lang w:val="es-ES" w:eastAsia="es-ES"/>
        </w:rPr>
        <w:t>De acuerdo con lo anterior,</w:t>
      </w:r>
      <w:r w:rsidR="00901408">
        <w:rPr>
          <w:rFonts w:ascii="Bookman Old Style" w:eastAsia="Times New Roman" w:hAnsi="Bookman Old Style" w:cs="Times New Roman"/>
          <w:sz w:val="24"/>
          <w:szCs w:val="27"/>
          <w:lang w:val="es-ES" w:eastAsia="es-ES"/>
        </w:rPr>
        <w:t xml:space="preserve"> esta Comisión </w:t>
      </w:r>
      <w:r>
        <w:rPr>
          <w:rFonts w:ascii="Bookman Old Style" w:eastAsia="Times New Roman" w:hAnsi="Bookman Old Style" w:cs="Times New Roman"/>
          <w:sz w:val="24"/>
          <w:szCs w:val="27"/>
          <w:lang w:val="es-ES" w:eastAsia="es-ES"/>
        </w:rPr>
        <w:t>considera</w:t>
      </w:r>
      <w:r w:rsidR="00901408">
        <w:rPr>
          <w:rFonts w:ascii="Bookman Old Style" w:eastAsia="Times New Roman" w:hAnsi="Bookman Old Style" w:cs="Times New Roman"/>
          <w:sz w:val="24"/>
          <w:szCs w:val="27"/>
          <w:lang w:val="es-ES" w:eastAsia="es-ES"/>
        </w:rPr>
        <w:t xml:space="preserve"> que el procedimiento más eficiente, entre otros, atendiendo el criterio de simplicidad previsto en el artículo 87 de la Ley 142 de 1994, así como el más adecuado y razonable técnica</w:t>
      </w:r>
      <w:r>
        <w:rPr>
          <w:rFonts w:ascii="Bookman Old Style" w:eastAsia="Times New Roman" w:hAnsi="Bookman Old Style" w:cs="Times New Roman"/>
          <w:sz w:val="24"/>
          <w:szCs w:val="27"/>
          <w:lang w:val="es-ES" w:eastAsia="es-ES"/>
        </w:rPr>
        <w:t xml:space="preserve"> y económica</w:t>
      </w:r>
      <w:r w:rsidR="00901408">
        <w:rPr>
          <w:rFonts w:ascii="Bookman Old Style" w:eastAsia="Times New Roman" w:hAnsi="Bookman Old Style" w:cs="Times New Roman"/>
          <w:sz w:val="24"/>
          <w:szCs w:val="27"/>
          <w:lang w:val="es-ES" w:eastAsia="es-ES"/>
        </w:rPr>
        <w:t>mente para efectos de llevar a cabo la valoración de estos activos y ser incorporados en un tiempo razonable en la tarifa,</w:t>
      </w:r>
      <w:r>
        <w:rPr>
          <w:rFonts w:ascii="Bookman Old Style" w:eastAsia="Times New Roman" w:hAnsi="Bookman Old Style" w:cs="Times New Roman"/>
          <w:sz w:val="24"/>
          <w:szCs w:val="27"/>
          <w:lang w:val="es-ES" w:eastAsia="es-ES"/>
        </w:rPr>
        <w:t xml:space="preserve"> como parte de la actualización y/o ajuste en los</w:t>
      </w:r>
      <w:r w:rsidR="00901408">
        <w:rPr>
          <w:rFonts w:ascii="Bookman Old Style" w:eastAsia="Times New Roman" w:hAnsi="Bookman Old Style" w:cs="Times New Roman"/>
          <w:sz w:val="24"/>
          <w:szCs w:val="27"/>
          <w:lang w:val="es-ES" w:eastAsia="es-ES"/>
        </w:rPr>
        <w:t xml:space="preserve"> cargos </w:t>
      </w:r>
      <w:r>
        <w:rPr>
          <w:rFonts w:ascii="Bookman Old Style" w:eastAsia="Times New Roman" w:hAnsi="Bookman Old Style" w:cs="Times New Roman"/>
          <w:sz w:val="24"/>
          <w:szCs w:val="27"/>
          <w:lang w:val="es-ES" w:eastAsia="es-ES"/>
        </w:rPr>
        <w:t xml:space="preserve">de transporte </w:t>
      </w:r>
      <w:r w:rsidR="00901408">
        <w:rPr>
          <w:rFonts w:ascii="Bookman Old Style" w:eastAsia="Times New Roman" w:hAnsi="Bookman Old Style" w:cs="Times New Roman"/>
          <w:sz w:val="24"/>
          <w:szCs w:val="27"/>
          <w:lang w:val="es-ES" w:eastAsia="es-ES"/>
        </w:rPr>
        <w:t>que se debe hacer ateniendo lo previsto en el artículo 14 de la metodología, es el de aplicar una</w:t>
      </w:r>
      <w:r w:rsidR="00BB045C">
        <w:rPr>
          <w:rFonts w:ascii="Bookman Old Style" w:eastAsia="Times New Roman" w:hAnsi="Bookman Old Style" w:cs="Times New Roman"/>
          <w:sz w:val="24"/>
          <w:szCs w:val="27"/>
          <w:lang w:val="es-ES" w:eastAsia="es-ES"/>
        </w:rPr>
        <w:t xml:space="preserve"> valoración </w:t>
      </w:r>
      <w:r>
        <w:rPr>
          <w:rFonts w:ascii="Bookman Old Style" w:eastAsia="Times New Roman" w:hAnsi="Bookman Old Style" w:cs="Times New Roman"/>
          <w:sz w:val="24"/>
          <w:szCs w:val="27"/>
          <w:lang w:val="es-ES" w:eastAsia="es-ES"/>
        </w:rPr>
        <w:t>de dichos activos atendiendo los criterios establecidos en la metodología y su Anexo 1, entre otros, bajo un mecanismo de comparación</w:t>
      </w:r>
      <w:r w:rsidR="0095401F">
        <w:rPr>
          <w:rFonts w:ascii="Bookman Old Style" w:eastAsia="Times New Roman" w:hAnsi="Bookman Old Style" w:cs="Times New Roman"/>
          <w:sz w:val="24"/>
          <w:szCs w:val="27"/>
          <w:lang w:val="es-ES" w:eastAsia="es-ES"/>
        </w:rPr>
        <w:t>, así como con base en la información que esta Comisión estime pertinente, la cual ha de ser de conocimiento de los agentes y demás interesados dentro del trámite de las actuaciones administrativas que se adelanten</w:t>
      </w:r>
      <w:r>
        <w:rPr>
          <w:rFonts w:ascii="Bookman Old Style" w:eastAsia="Times New Roman" w:hAnsi="Bookman Old Style" w:cs="Times New Roman"/>
          <w:sz w:val="24"/>
          <w:szCs w:val="27"/>
          <w:lang w:val="es-ES" w:eastAsia="es-ES"/>
        </w:rPr>
        <w:t xml:space="preserve">. </w:t>
      </w:r>
    </w:p>
    <w:p w14:paraId="1167B527" w14:textId="13E8E17E" w:rsidR="00ED6540" w:rsidRDefault="00ED6540" w:rsidP="00222C24">
      <w:pPr>
        <w:spacing w:after="0" w:line="240" w:lineRule="auto"/>
        <w:ind w:left="-142" w:right="-142"/>
        <w:jc w:val="both"/>
        <w:rPr>
          <w:rFonts w:ascii="Bookman Old Style" w:eastAsia="Times New Roman" w:hAnsi="Bookman Old Style" w:cs="Times New Roman"/>
          <w:sz w:val="24"/>
          <w:szCs w:val="27"/>
          <w:lang w:val="es-ES" w:eastAsia="es-ES"/>
        </w:rPr>
      </w:pPr>
    </w:p>
    <w:p w14:paraId="656A2FFB" w14:textId="4F8D6C71" w:rsidR="00ED6540" w:rsidRDefault="00ED6540" w:rsidP="00ED6540">
      <w:pPr>
        <w:spacing w:after="0" w:line="240" w:lineRule="auto"/>
        <w:ind w:left="-142" w:right="-142"/>
        <w:jc w:val="both"/>
        <w:rPr>
          <w:rFonts w:ascii="Bookman Old Style" w:eastAsia="Times New Roman" w:hAnsi="Bookman Old Style" w:cs="Times New Roman"/>
          <w:sz w:val="24"/>
          <w:szCs w:val="27"/>
          <w:lang w:val="es-ES" w:eastAsia="es-ES"/>
        </w:rPr>
      </w:pPr>
      <w:r w:rsidRPr="00ED6540">
        <w:rPr>
          <w:rFonts w:ascii="Bookman Old Style" w:eastAsia="Times New Roman" w:hAnsi="Bookman Old Style" w:cs="Times New Roman"/>
          <w:sz w:val="24"/>
          <w:szCs w:val="27"/>
          <w:lang w:val="es-ES" w:eastAsia="es-ES"/>
        </w:rPr>
        <w:t>Durante e</w:t>
      </w:r>
      <w:r>
        <w:rPr>
          <w:rFonts w:ascii="Bookman Old Style" w:eastAsia="Times New Roman" w:hAnsi="Bookman Old Style" w:cs="Times New Roman"/>
          <w:sz w:val="24"/>
          <w:szCs w:val="27"/>
          <w:lang w:val="es-ES" w:eastAsia="es-ES"/>
        </w:rPr>
        <w:t>l período de consulta, las empresas Transportadora de Gas Internacional TGI S.A. E.S.P. y Promigas S.A. E.S.P. mediante los radicados E-2017-008715 y E-2017-008727 respectivamente, presentaron comentarios a la propuesta regulatoria de la Resolución CREG 112 de 2017.</w:t>
      </w:r>
    </w:p>
    <w:p w14:paraId="3FE64860" w14:textId="77777777" w:rsidR="00ED6540" w:rsidRDefault="00ED6540" w:rsidP="00ED6540">
      <w:pPr>
        <w:spacing w:after="0" w:line="240" w:lineRule="auto"/>
        <w:ind w:left="-142" w:right="-142"/>
        <w:jc w:val="both"/>
        <w:rPr>
          <w:rFonts w:ascii="Bookman Old Style" w:eastAsia="Times New Roman" w:hAnsi="Bookman Old Style" w:cs="Times New Roman"/>
          <w:sz w:val="24"/>
          <w:szCs w:val="27"/>
          <w:lang w:val="es-ES" w:eastAsia="es-ES"/>
        </w:rPr>
      </w:pPr>
    </w:p>
    <w:p w14:paraId="1DD8559F" w14:textId="6AEF0E2D" w:rsidR="00790FFE" w:rsidRPr="00790FFE" w:rsidRDefault="00790FFE" w:rsidP="00790FFE">
      <w:pPr>
        <w:spacing w:after="0" w:line="240" w:lineRule="auto"/>
        <w:ind w:left="-142" w:right="-142"/>
        <w:jc w:val="both"/>
        <w:rPr>
          <w:rFonts w:ascii="Bookman Old Style" w:eastAsia="Times New Roman" w:hAnsi="Bookman Old Style" w:cs="Times New Roman"/>
          <w:sz w:val="24"/>
          <w:szCs w:val="24"/>
          <w:lang w:val="es-ES_tradnl" w:eastAsia="es-ES"/>
        </w:rPr>
      </w:pPr>
      <w:r w:rsidRPr="00790FFE">
        <w:rPr>
          <w:rFonts w:ascii="Bookman Old Style" w:eastAsia="Times New Roman" w:hAnsi="Bookman Old Style" w:cs="Times New Roman"/>
          <w:sz w:val="24"/>
          <w:szCs w:val="24"/>
          <w:lang w:val="es-ES_tradnl" w:eastAsia="es-ES"/>
        </w:rPr>
        <w:t>Con base en lo establecido en el artículo 4 del Decreto 2897 de 2010</w:t>
      </w:r>
      <w:r w:rsidRPr="00790FFE">
        <w:rPr>
          <w:rFonts w:ascii="Bookman Old Style" w:eastAsia="Times New Roman" w:hAnsi="Bookman Old Style" w:cs="Times New Roman"/>
          <w:sz w:val="24"/>
          <w:szCs w:val="24"/>
          <w:vertAlign w:val="superscript"/>
          <w:lang w:val="es-ES_tradnl" w:eastAsia="es-ES"/>
        </w:rPr>
        <w:footnoteReference w:id="2"/>
      </w:r>
      <w:r w:rsidRPr="00790FFE">
        <w:rPr>
          <w:rFonts w:ascii="Bookman Old Style" w:eastAsia="Times New Roman" w:hAnsi="Bookman Old Style" w:cs="Times New Roman"/>
          <w:sz w:val="24"/>
          <w:szCs w:val="24"/>
          <w:lang w:val="es-ES_tradnl" w:eastAsia="es-ES"/>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En el Documento CREG </w:t>
      </w:r>
      <w:r w:rsidR="00210297">
        <w:rPr>
          <w:rFonts w:ascii="Bookman Old Style" w:eastAsia="Times New Roman" w:hAnsi="Bookman Old Style" w:cs="Times New Roman"/>
          <w:sz w:val="24"/>
          <w:szCs w:val="24"/>
          <w:lang w:val="es-ES_tradnl" w:eastAsia="es-ES"/>
        </w:rPr>
        <w:t>084 de octubre 1</w:t>
      </w:r>
      <w:r w:rsidR="00870C45">
        <w:rPr>
          <w:rFonts w:ascii="Bookman Old Style" w:eastAsia="Times New Roman" w:hAnsi="Bookman Old Style" w:cs="Times New Roman"/>
          <w:sz w:val="24"/>
          <w:szCs w:val="24"/>
          <w:lang w:val="es-ES_tradnl" w:eastAsia="es-ES"/>
        </w:rPr>
        <w:t>7</w:t>
      </w:r>
      <w:r w:rsidRPr="00790FFE">
        <w:rPr>
          <w:rFonts w:ascii="Bookman Old Style" w:eastAsia="Times New Roman" w:hAnsi="Bookman Old Style" w:cs="Times New Roman"/>
          <w:sz w:val="24"/>
          <w:szCs w:val="24"/>
          <w:lang w:val="es-ES_tradnl" w:eastAsia="es-ES"/>
        </w:rPr>
        <w:t xml:space="preserve"> de 2017 se transcribe el cuestionario y se da respuesta a los comentarios recibidos</w:t>
      </w:r>
      <w:r>
        <w:rPr>
          <w:rFonts w:ascii="Bookman Old Style" w:eastAsia="Times New Roman" w:hAnsi="Bookman Old Style" w:cs="Times New Roman"/>
          <w:sz w:val="24"/>
          <w:szCs w:val="24"/>
          <w:lang w:val="es-ES_tradnl" w:eastAsia="es-ES"/>
        </w:rPr>
        <w:t xml:space="preserve"> a la propuesta de la Resolución CREG 112 de 2017</w:t>
      </w:r>
      <w:r w:rsidRPr="00790FFE">
        <w:rPr>
          <w:rFonts w:ascii="Bookman Old Style" w:eastAsia="Times New Roman" w:hAnsi="Bookman Old Style" w:cs="Times New Roman"/>
          <w:sz w:val="24"/>
          <w:szCs w:val="24"/>
          <w:lang w:val="es-ES_tradnl" w:eastAsia="es-ES"/>
        </w:rPr>
        <w:t>.</w:t>
      </w:r>
    </w:p>
    <w:p w14:paraId="0F59829E" w14:textId="77777777" w:rsidR="00790FFE" w:rsidRPr="00790FFE" w:rsidRDefault="00790FFE" w:rsidP="00790FFE">
      <w:pPr>
        <w:spacing w:after="0" w:line="240" w:lineRule="auto"/>
        <w:jc w:val="both"/>
        <w:rPr>
          <w:rFonts w:ascii="Bookman Old Style" w:eastAsia="Times New Roman" w:hAnsi="Bookman Old Style" w:cs="Arial"/>
          <w:sz w:val="24"/>
          <w:szCs w:val="24"/>
          <w:lang w:val="es-ES_tradnl" w:eastAsia="es-ES"/>
        </w:rPr>
      </w:pPr>
    </w:p>
    <w:p w14:paraId="77F4904E" w14:textId="63906E9C" w:rsidR="00790FFE" w:rsidRPr="00790FFE" w:rsidRDefault="00790FFE" w:rsidP="006B4140">
      <w:pPr>
        <w:spacing w:after="0" w:line="240" w:lineRule="auto"/>
        <w:ind w:left="-142" w:right="-142"/>
        <w:jc w:val="both"/>
        <w:rPr>
          <w:rFonts w:ascii="Bookman Old Style" w:eastAsia="Times New Roman" w:hAnsi="Bookman Old Style" w:cs="Arial"/>
          <w:bCs/>
          <w:color w:val="000000" w:themeColor="text1"/>
          <w:sz w:val="24"/>
          <w:szCs w:val="24"/>
          <w:lang w:val="es-ES_tradnl" w:eastAsia="es-CO"/>
        </w:rPr>
      </w:pPr>
      <w:r w:rsidRPr="00790FFE">
        <w:rPr>
          <w:rFonts w:ascii="Bookman Old Style" w:eastAsia="Times New Roman" w:hAnsi="Bookman Old Style" w:cs="Arial"/>
          <w:bCs/>
          <w:color w:val="000000" w:themeColor="text1"/>
          <w:sz w:val="24"/>
          <w:szCs w:val="24"/>
          <w:lang w:val="es-ES_tradnl" w:eastAsia="es-CO"/>
        </w:rPr>
        <w:t xml:space="preserve">La Comisión de </w:t>
      </w:r>
      <w:r w:rsidRPr="006B4140">
        <w:rPr>
          <w:rFonts w:ascii="Bookman Old Style" w:eastAsia="Times New Roman" w:hAnsi="Bookman Old Style" w:cs="Times New Roman"/>
          <w:sz w:val="24"/>
          <w:szCs w:val="24"/>
          <w:lang w:val="es-ES_tradnl" w:eastAsia="es-ES"/>
        </w:rPr>
        <w:t>Regulación</w:t>
      </w:r>
      <w:r w:rsidRPr="00790FFE">
        <w:rPr>
          <w:rFonts w:ascii="Bookman Old Style" w:eastAsia="Times New Roman" w:hAnsi="Bookman Old Style" w:cs="Arial"/>
          <w:bCs/>
          <w:color w:val="000000" w:themeColor="text1"/>
          <w:sz w:val="24"/>
          <w:szCs w:val="24"/>
          <w:lang w:val="es-ES_tradnl" w:eastAsia="es-CO"/>
        </w:rPr>
        <w:t xml:space="preserve"> de Energía y Gas aprobó el presente acto administrativo en la sesión No. </w:t>
      </w:r>
      <w:r w:rsidR="00CE3417">
        <w:rPr>
          <w:rFonts w:ascii="Bookman Old Style" w:eastAsia="Times New Roman" w:hAnsi="Bookman Old Style" w:cs="Arial"/>
          <w:bCs/>
          <w:color w:val="000000" w:themeColor="text1"/>
          <w:sz w:val="24"/>
          <w:szCs w:val="24"/>
          <w:lang w:val="es-ES_tradnl" w:eastAsia="es-CO"/>
        </w:rPr>
        <w:t>80</w:t>
      </w:r>
      <w:r w:rsidR="00870C45">
        <w:rPr>
          <w:rFonts w:ascii="Bookman Old Style" w:eastAsia="Times New Roman" w:hAnsi="Bookman Old Style" w:cs="Arial"/>
          <w:bCs/>
          <w:color w:val="000000" w:themeColor="text1"/>
          <w:sz w:val="24"/>
          <w:szCs w:val="24"/>
          <w:lang w:val="es-ES_tradnl" w:eastAsia="es-CO"/>
        </w:rPr>
        <w:t>8</w:t>
      </w:r>
      <w:r w:rsidR="00CE3417">
        <w:rPr>
          <w:rFonts w:ascii="Bookman Old Style" w:eastAsia="Times New Roman" w:hAnsi="Bookman Old Style" w:cs="Arial"/>
          <w:bCs/>
          <w:color w:val="000000" w:themeColor="text1"/>
          <w:sz w:val="24"/>
          <w:szCs w:val="24"/>
          <w:lang w:val="es-ES_tradnl" w:eastAsia="es-CO"/>
        </w:rPr>
        <w:t xml:space="preserve"> del 1</w:t>
      </w:r>
      <w:r w:rsidR="00870C45">
        <w:rPr>
          <w:rFonts w:ascii="Bookman Old Style" w:eastAsia="Times New Roman" w:hAnsi="Bookman Old Style" w:cs="Arial"/>
          <w:bCs/>
          <w:color w:val="000000" w:themeColor="text1"/>
          <w:sz w:val="24"/>
          <w:szCs w:val="24"/>
          <w:lang w:val="es-ES_tradnl" w:eastAsia="es-CO"/>
        </w:rPr>
        <w:t>7</w:t>
      </w:r>
      <w:r w:rsidRPr="00790FFE">
        <w:rPr>
          <w:rFonts w:ascii="Bookman Old Style" w:eastAsia="Times New Roman" w:hAnsi="Bookman Old Style" w:cs="Arial"/>
          <w:bCs/>
          <w:color w:val="000000" w:themeColor="text1"/>
          <w:sz w:val="24"/>
          <w:szCs w:val="24"/>
          <w:lang w:val="es-ES_tradnl" w:eastAsia="es-CO"/>
        </w:rPr>
        <w:t xml:space="preserve"> de octubre de 2017.</w:t>
      </w:r>
    </w:p>
    <w:p w14:paraId="0EA79B37" w14:textId="518BDCD6" w:rsidR="006D1C2F" w:rsidRPr="006D1C2F" w:rsidRDefault="006D1C2F" w:rsidP="006D1C2F">
      <w:pPr>
        <w:spacing w:after="0" w:line="240" w:lineRule="auto"/>
        <w:contextualSpacing/>
        <w:jc w:val="both"/>
        <w:rPr>
          <w:rFonts w:ascii="Bookman Old Style" w:eastAsia="Times New Roman" w:hAnsi="Bookman Old Style" w:cs="Times New Roman"/>
          <w:sz w:val="24"/>
          <w:szCs w:val="24"/>
          <w:lang w:val="es-ES_tradnl" w:eastAsia="es-ES"/>
        </w:rPr>
      </w:pPr>
    </w:p>
    <w:p w14:paraId="4EFA48B3" w14:textId="77777777" w:rsidR="007F66B9" w:rsidRDefault="007F66B9" w:rsidP="0097340A">
      <w:pPr>
        <w:spacing w:after="0" w:line="240" w:lineRule="auto"/>
        <w:contextualSpacing/>
        <w:rPr>
          <w:rFonts w:ascii="Bookman Old Style" w:eastAsia="Times New Roman" w:hAnsi="Bookman Old Style" w:cs="Times New Roman"/>
          <w:b/>
          <w:sz w:val="24"/>
          <w:szCs w:val="24"/>
          <w:lang w:val="es-ES" w:eastAsia="es-ES"/>
        </w:rPr>
      </w:pPr>
    </w:p>
    <w:p w14:paraId="72C3CBF2" w14:textId="77777777" w:rsidR="00CD74B5"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lastRenderedPageBreak/>
        <w:t>R E S U E L V E:</w:t>
      </w:r>
    </w:p>
    <w:p w14:paraId="7116C82F" w14:textId="77777777" w:rsidR="00222C24" w:rsidRDefault="00222C24" w:rsidP="001A37DF">
      <w:pPr>
        <w:spacing w:after="0" w:line="240" w:lineRule="auto"/>
        <w:jc w:val="both"/>
        <w:rPr>
          <w:rFonts w:ascii="Bookman Old Style" w:eastAsia="Times New Roman" w:hAnsi="Bookman Old Style" w:cs="Arial"/>
          <w:sz w:val="24"/>
          <w:szCs w:val="20"/>
          <w:lang w:val="es-ES" w:eastAsia="es-ES"/>
        </w:rPr>
      </w:pPr>
    </w:p>
    <w:p w14:paraId="1591833E" w14:textId="1EC1B148" w:rsidR="00222C24" w:rsidRPr="00222C24" w:rsidRDefault="00222C24" w:rsidP="00222C24">
      <w:pPr>
        <w:spacing w:after="0" w:line="240" w:lineRule="auto"/>
        <w:ind w:left="-142" w:right="-142"/>
        <w:jc w:val="both"/>
        <w:rPr>
          <w:rFonts w:ascii="Bookman Old Style" w:eastAsia="Times New Roman" w:hAnsi="Bookman Old Style" w:cs="Arial"/>
          <w:sz w:val="24"/>
          <w:szCs w:val="24"/>
          <w:lang w:val="es-ES" w:eastAsia="es-ES"/>
        </w:rPr>
      </w:pPr>
      <w:r>
        <w:rPr>
          <w:rFonts w:ascii="Bookman Old Style" w:eastAsia="Times New Roman" w:hAnsi="Bookman Old Style" w:cs="Arial"/>
          <w:b/>
          <w:sz w:val="24"/>
          <w:szCs w:val="24"/>
          <w:lang w:val="es-ES" w:eastAsia="es-ES"/>
        </w:rPr>
        <w:t>Artículo 1</w:t>
      </w:r>
      <w:r w:rsidRPr="00222C24">
        <w:rPr>
          <w:rFonts w:ascii="Bookman Old Style" w:eastAsia="Times New Roman" w:hAnsi="Bookman Old Style" w:cs="Arial"/>
          <w:b/>
          <w:sz w:val="24"/>
          <w:szCs w:val="24"/>
          <w:lang w:val="es-ES" w:eastAsia="es-ES"/>
        </w:rPr>
        <w:t xml:space="preserve">. </w:t>
      </w:r>
      <w:r w:rsidRPr="003938BC">
        <w:rPr>
          <w:rFonts w:ascii="Bookman Old Style" w:eastAsia="Times New Roman" w:hAnsi="Bookman Old Style" w:cs="Arial"/>
          <w:sz w:val="24"/>
          <w:szCs w:val="24"/>
          <w:lang w:val="es-ES" w:eastAsia="es-ES"/>
        </w:rPr>
        <w:t xml:space="preserve">Modificar </w:t>
      </w:r>
      <w:r w:rsidR="0095401F">
        <w:rPr>
          <w:rFonts w:ascii="Bookman Old Style" w:eastAsia="Times New Roman" w:hAnsi="Bookman Old Style" w:cs="Arial"/>
          <w:sz w:val="24"/>
          <w:szCs w:val="24"/>
          <w:lang w:val="es-ES" w:eastAsia="es-ES"/>
        </w:rPr>
        <w:t>el</w:t>
      </w:r>
      <w:r w:rsidRPr="00222C24">
        <w:rPr>
          <w:rFonts w:ascii="Bookman Old Style" w:eastAsia="Times New Roman" w:hAnsi="Bookman Old Style" w:cs="Arial"/>
          <w:sz w:val="24"/>
          <w:szCs w:val="24"/>
          <w:lang w:val="es-ES" w:eastAsia="es-ES"/>
        </w:rPr>
        <w:t xml:space="preserve"> numeral</w:t>
      </w:r>
      <w:r w:rsidR="00660B46">
        <w:rPr>
          <w:rFonts w:ascii="Bookman Old Style" w:eastAsia="Times New Roman" w:hAnsi="Bookman Old Style" w:cs="Arial"/>
          <w:sz w:val="24"/>
          <w:szCs w:val="24"/>
          <w:lang w:val="es-ES" w:eastAsia="es-ES"/>
        </w:rPr>
        <w:t>es 1 y 2</w:t>
      </w:r>
      <w:r w:rsidRPr="00222C24">
        <w:rPr>
          <w:rFonts w:ascii="Bookman Old Style" w:eastAsia="Times New Roman" w:hAnsi="Bookman Old Style" w:cs="Arial"/>
          <w:sz w:val="24"/>
          <w:szCs w:val="24"/>
          <w:lang w:val="es-ES" w:eastAsia="es-ES"/>
        </w:rPr>
        <w:t xml:space="preserve"> del literal b) del artículo 14 de la </w:t>
      </w:r>
      <w:r w:rsidRPr="00222C24">
        <w:rPr>
          <w:rFonts w:ascii="Bookman Old Style" w:eastAsia="Times New Roman" w:hAnsi="Bookman Old Style" w:cs="Times New Roman"/>
          <w:sz w:val="24"/>
          <w:szCs w:val="24"/>
          <w:lang w:val="es-ES" w:eastAsia="es-ES"/>
        </w:rPr>
        <w:t>Resolución</w:t>
      </w:r>
      <w:r w:rsidRPr="00222C24">
        <w:rPr>
          <w:rFonts w:ascii="Bookman Old Style" w:eastAsia="Times New Roman" w:hAnsi="Bookman Old Style" w:cs="Arial"/>
          <w:sz w:val="24"/>
          <w:szCs w:val="24"/>
          <w:lang w:val="es-ES" w:eastAsia="es-ES"/>
        </w:rPr>
        <w:t xml:space="preserve"> CREG 126 de 2010</w:t>
      </w:r>
      <w:r w:rsidRPr="003938BC">
        <w:rPr>
          <w:rFonts w:ascii="Bookman Old Style" w:eastAsia="Times New Roman" w:hAnsi="Bookman Old Style" w:cs="Arial"/>
          <w:sz w:val="24"/>
          <w:szCs w:val="24"/>
          <w:lang w:val="es-ES" w:eastAsia="es-ES"/>
        </w:rPr>
        <w:t xml:space="preserve">, modificado por el </w:t>
      </w:r>
      <w:r w:rsidR="003938BC" w:rsidRPr="003938BC">
        <w:rPr>
          <w:rFonts w:ascii="Bookman Old Style" w:eastAsia="Times New Roman" w:hAnsi="Bookman Old Style" w:cs="Arial"/>
          <w:sz w:val="24"/>
          <w:szCs w:val="24"/>
          <w:lang w:val="es-ES" w:eastAsia="es-ES"/>
        </w:rPr>
        <w:t xml:space="preserve">artículo 1 de </w:t>
      </w:r>
      <w:r w:rsidRPr="003938BC">
        <w:rPr>
          <w:rFonts w:ascii="Bookman Old Style" w:eastAsia="Times New Roman" w:hAnsi="Bookman Old Style" w:cs="Arial"/>
          <w:sz w:val="24"/>
          <w:szCs w:val="24"/>
          <w:lang w:val="es-ES" w:eastAsia="es-ES"/>
        </w:rPr>
        <w:t xml:space="preserve">la Resolución CREG </w:t>
      </w:r>
      <w:r w:rsidR="003938BC" w:rsidRPr="003938BC">
        <w:rPr>
          <w:rFonts w:ascii="Bookman Old Style" w:eastAsia="Times New Roman" w:hAnsi="Bookman Old Style" w:cs="Arial"/>
          <w:sz w:val="24"/>
          <w:szCs w:val="24"/>
          <w:lang w:val="es-ES" w:eastAsia="es-ES"/>
        </w:rPr>
        <w:t>066 de 2013</w:t>
      </w:r>
      <w:r w:rsidR="009D1F81">
        <w:rPr>
          <w:rFonts w:ascii="Bookman Old Style" w:eastAsia="Times New Roman" w:hAnsi="Bookman Old Style" w:cs="Arial"/>
          <w:sz w:val="24"/>
          <w:szCs w:val="24"/>
          <w:lang w:val="es-ES" w:eastAsia="es-ES"/>
        </w:rPr>
        <w:t>,</w:t>
      </w:r>
      <w:r w:rsidR="003938BC" w:rsidRPr="003938BC">
        <w:rPr>
          <w:rFonts w:ascii="Bookman Old Style" w:eastAsia="Times New Roman" w:hAnsi="Bookman Old Style" w:cs="Arial"/>
          <w:sz w:val="24"/>
          <w:szCs w:val="24"/>
          <w:lang w:val="es-ES" w:eastAsia="es-ES"/>
        </w:rPr>
        <w:t xml:space="preserve"> </w:t>
      </w:r>
      <w:r w:rsidR="000C0867">
        <w:rPr>
          <w:rFonts w:ascii="Bookman Old Style" w:eastAsia="Times New Roman" w:hAnsi="Bookman Old Style" w:cs="Arial"/>
          <w:sz w:val="24"/>
          <w:szCs w:val="24"/>
          <w:lang w:val="es-ES" w:eastAsia="es-ES"/>
        </w:rPr>
        <w:t>los</w:t>
      </w:r>
      <w:r w:rsidR="003938BC" w:rsidRPr="003938BC">
        <w:rPr>
          <w:rFonts w:ascii="Bookman Old Style" w:eastAsia="Times New Roman" w:hAnsi="Bookman Old Style" w:cs="Arial"/>
          <w:sz w:val="24"/>
          <w:szCs w:val="24"/>
          <w:lang w:val="es-ES" w:eastAsia="es-ES"/>
        </w:rPr>
        <w:t xml:space="preserve"> cual</w:t>
      </w:r>
      <w:r w:rsidR="000C0867">
        <w:rPr>
          <w:rFonts w:ascii="Bookman Old Style" w:eastAsia="Times New Roman" w:hAnsi="Bookman Old Style" w:cs="Arial"/>
          <w:sz w:val="24"/>
          <w:szCs w:val="24"/>
          <w:lang w:val="es-ES" w:eastAsia="es-ES"/>
        </w:rPr>
        <w:t>es</w:t>
      </w:r>
      <w:r w:rsidR="003938BC" w:rsidRPr="003938BC">
        <w:rPr>
          <w:rFonts w:ascii="Bookman Old Style" w:eastAsia="Times New Roman" w:hAnsi="Bookman Old Style" w:cs="Arial"/>
          <w:sz w:val="24"/>
          <w:szCs w:val="24"/>
          <w:lang w:val="es-ES" w:eastAsia="es-ES"/>
        </w:rPr>
        <w:t xml:space="preserve"> </w:t>
      </w:r>
      <w:r w:rsidRPr="00222C24">
        <w:rPr>
          <w:rFonts w:ascii="Bookman Old Style" w:eastAsia="Times New Roman" w:hAnsi="Bookman Old Style" w:cs="Arial"/>
          <w:sz w:val="24"/>
          <w:szCs w:val="24"/>
          <w:lang w:val="es-ES" w:eastAsia="es-ES"/>
        </w:rPr>
        <w:t>quedará</w:t>
      </w:r>
      <w:r w:rsidR="000C0867">
        <w:rPr>
          <w:rFonts w:ascii="Bookman Old Style" w:eastAsia="Times New Roman" w:hAnsi="Bookman Old Style" w:cs="Arial"/>
          <w:sz w:val="24"/>
          <w:szCs w:val="24"/>
          <w:lang w:val="es-ES" w:eastAsia="es-ES"/>
        </w:rPr>
        <w:t>n</w:t>
      </w:r>
      <w:r w:rsidRPr="00222C24">
        <w:rPr>
          <w:rFonts w:ascii="Bookman Old Style" w:eastAsia="Times New Roman" w:hAnsi="Bookman Old Style" w:cs="Arial"/>
          <w:sz w:val="24"/>
          <w:szCs w:val="24"/>
          <w:lang w:val="es-ES" w:eastAsia="es-ES"/>
        </w:rPr>
        <w:t xml:space="preserve"> así:</w:t>
      </w:r>
    </w:p>
    <w:p w14:paraId="0A648DA9" w14:textId="77777777" w:rsidR="00222C24" w:rsidRPr="00222C24" w:rsidRDefault="00222C24" w:rsidP="00222C24">
      <w:pPr>
        <w:spacing w:after="0" w:line="240" w:lineRule="auto"/>
        <w:jc w:val="both"/>
        <w:rPr>
          <w:rFonts w:ascii="Bookman Old Style" w:eastAsia="Times New Roman" w:hAnsi="Bookman Old Style" w:cs="Arial"/>
          <w:sz w:val="20"/>
          <w:szCs w:val="20"/>
          <w:lang w:val="es-ES" w:eastAsia="es-ES"/>
        </w:rPr>
      </w:pPr>
    </w:p>
    <w:p w14:paraId="017C987D" w14:textId="61034CF8" w:rsidR="00B41741" w:rsidRPr="005700D8" w:rsidRDefault="00222C24" w:rsidP="008128DA">
      <w:pPr>
        <w:spacing w:after="0" w:line="240" w:lineRule="auto"/>
        <w:ind w:left="284" w:right="284"/>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“1. </w:t>
      </w:r>
      <w:r w:rsidR="00B41741" w:rsidRPr="005700D8">
        <w:rPr>
          <w:rFonts w:ascii="Bookman Old Style" w:eastAsia="Times New Roman" w:hAnsi="Bookman Old Style" w:cs="Arial"/>
          <w:i/>
          <w:lang w:val="es-ES" w:eastAsia="es-ES"/>
        </w:rPr>
        <w:t>La Comisión designará un perito para la estimación del costo de reposición a nuevo del activo.</w:t>
      </w:r>
      <w:r w:rsidR="00A83B17" w:rsidRPr="005700D8">
        <w:rPr>
          <w:rFonts w:ascii="Bookman Old Style" w:eastAsia="Times New Roman" w:hAnsi="Bookman Old Style" w:cs="Arial"/>
          <w:i/>
          <w:lang w:val="es-ES" w:eastAsia="es-ES"/>
        </w:rPr>
        <w:t xml:space="preserve"> </w:t>
      </w:r>
      <w:r w:rsidR="00B41741" w:rsidRPr="005700D8">
        <w:rPr>
          <w:rFonts w:ascii="Bookman Old Style" w:eastAsia="Times New Roman" w:hAnsi="Bookman Old Style" w:cs="Arial"/>
          <w:i/>
          <w:lang w:val="es-ES" w:eastAsia="es-ES"/>
        </w:rPr>
        <w:t xml:space="preserve">Para la contratación del perito, la Comisión seleccionará a uno de una lista conformada previamente por la misma entidad, la cual será de público conocimiento, atendiendo </w:t>
      </w:r>
      <w:r w:rsidR="00A83B17" w:rsidRPr="005700D8">
        <w:rPr>
          <w:rFonts w:ascii="Bookman Old Style" w:eastAsia="Times New Roman" w:hAnsi="Bookman Old Style" w:cs="Arial"/>
          <w:i/>
          <w:lang w:val="es-ES" w:eastAsia="es-ES"/>
        </w:rPr>
        <w:t xml:space="preserve">mecanismos </w:t>
      </w:r>
      <w:r w:rsidR="00B41741" w:rsidRPr="005700D8">
        <w:rPr>
          <w:rFonts w:ascii="Bookman Old Style" w:eastAsia="Times New Roman" w:hAnsi="Bookman Old Style" w:cs="Arial"/>
          <w:i/>
          <w:lang w:val="es-ES" w:eastAsia="es-ES"/>
        </w:rPr>
        <w:t xml:space="preserve">de selección objetiva, </w:t>
      </w:r>
      <w:r w:rsidR="008128DA" w:rsidRPr="005700D8">
        <w:rPr>
          <w:rFonts w:ascii="Bookman Old Style" w:eastAsia="Times New Roman" w:hAnsi="Bookman Old Style" w:cs="Arial"/>
          <w:i/>
          <w:lang w:val="es-ES" w:eastAsia="es-ES"/>
        </w:rPr>
        <w:t>con base en criterios asociados con el valor de las propuestas que se presenten, experiencias específicas</w:t>
      </w:r>
      <w:r w:rsidR="003965CF" w:rsidRPr="005700D8">
        <w:rPr>
          <w:rFonts w:ascii="Bookman Old Style" w:eastAsia="Times New Roman" w:hAnsi="Bookman Old Style" w:cs="Arial"/>
          <w:i/>
          <w:lang w:val="es-ES" w:eastAsia="es-ES"/>
        </w:rPr>
        <w:t xml:space="preserve"> y demás que la Comisión estime pertinentes</w:t>
      </w:r>
      <w:r w:rsidR="00B41741" w:rsidRPr="005700D8">
        <w:rPr>
          <w:rFonts w:ascii="Bookman Old Style" w:eastAsia="Times New Roman" w:hAnsi="Bookman Old Style" w:cs="Arial"/>
          <w:i/>
          <w:lang w:val="es-ES" w:eastAsia="es-ES"/>
        </w:rPr>
        <w:t>. Los peritos que conformarán la lista d</w:t>
      </w:r>
      <w:r w:rsidR="006B4140">
        <w:rPr>
          <w:rFonts w:ascii="Bookman Old Style" w:eastAsia="Times New Roman" w:hAnsi="Bookman Old Style" w:cs="Arial"/>
          <w:i/>
          <w:lang w:val="es-ES" w:eastAsia="es-ES"/>
        </w:rPr>
        <w:t xml:space="preserve">eberán ser personas naturales </w:t>
      </w:r>
      <w:r w:rsidR="00B41741" w:rsidRPr="005700D8">
        <w:rPr>
          <w:rFonts w:ascii="Bookman Old Style" w:eastAsia="Times New Roman" w:hAnsi="Bookman Old Style" w:cs="Arial"/>
          <w:i/>
          <w:lang w:val="es-ES" w:eastAsia="es-ES"/>
        </w:rPr>
        <w:t>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dos (2) países.</w:t>
      </w:r>
    </w:p>
    <w:p w14:paraId="23F29834" w14:textId="77777777" w:rsidR="00B41741" w:rsidRPr="005700D8" w:rsidRDefault="00B41741" w:rsidP="00B41741">
      <w:pPr>
        <w:spacing w:after="0" w:line="240" w:lineRule="auto"/>
        <w:ind w:left="284" w:right="284"/>
        <w:jc w:val="both"/>
        <w:rPr>
          <w:rFonts w:ascii="Bookman Old Style" w:eastAsia="Times New Roman" w:hAnsi="Bookman Old Style" w:cs="Arial"/>
          <w:i/>
          <w:lang w:val="es-ES" w:eastAsia="es-ES"/>
        </w:rPr>
      </w:pPr>
    </w:p>
    <w:p w14:paraId="2EE3CBD9" w14:textId="2CC5BD7D" w:rsidR="000C0867" w:rsidRPr="005700D8" w:rsidRDefault="00B41741" w:rsidP="00B41741">
      <w:pPr>
        <w:spacing w:after="0" w:line="240" w:lineRule="auto"/>
        <w:ind w:left="284" w:right="284"/>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El perito realizará todas las actividades determinadas en el acto administrativo que expida la CREG.</w:t>
      </w:r>
    </w:p>
    <w:p w14:paraId="39032509" w14:textId="77777777" w:rsidR="00B41741" w:rsidRPr="005700D8" w:rsidRDefault="00B41741" w:rsidP="00B41741">
      <w:pPr>
        <w:spacing w:after="0" w:line="240" w:lineRule="auto"/>
        <w:ind w:left="284" w:right="284"/>
        <w:jc w:val="both"/>
        <w:rPr>
          <w:rFonts w:ascii="Bookman Old Style" w:eastAsia="Times New Roman" w:hAnsi="Bookman Old Style" w:cs="Arial"/>
          <w:i/>
          <w:lang w:val="es-ES" w:eastAsia="es-ES"/>
        </w:rPr>
      </w:pPr>
    </w:p>
    <w:p w14:paraId="120AAD49" w14:textId="2CC94C2E" w:rsidR="00222C24" w:rsidRPr="005700D8" w:rsidRDefault="000C0867" w:rsidP="008F7650">
      <w:pPr>
        <w:spacing w:after="0" w:line="240" w:lineRule="auto"/>
        <w:ind w:left="284" w:right="284"/>
        <w:jc w:val="both"/>
        <w:rPr>
          <w:rFonts w:ascii="Bookman Old Style" w:eastAsia="Times New Roman" w:hAnsi="Bookman Old Style" w:cs="Arial"/>
          <w:i/>
          <w:lang w:val="es-ES" w:eastAsia="es-ES"/>
        </w:rPr>
      </w:pPr>
      <w:r w:rsidRPr="005700D8">
        <w:rPr>
          <w:rFonts w:ascii="Bookman Old Style" w:eastAsia="Times New Roman" w:hAnsi="Bookman Old Style" w:cs="Arial"/>
          <w:i/>
          <w:lang w:val="es-ES" w:eastAsia="es-ES"/>
        </w:rPr>
        <w:t xml:space="preserve">2. A partir del ejercicio de valoración realizado a través de la prueba pericial la Comisión contará con un (1) Mes para realizar análisis propios con el fin de determinar el costo de reposición a nuevo del activo - VRAN. Para el caso de las estaciones de compresión que hayan cumplido su VUN la Comisión </w:t>
      </w:r>
      <w:r w:rsidR="008F7650" w:rsidRPr="005700D8">
        <w:rPr>
          <w:rFonts w:ascii="Bookman Old Style" w:eastAsia="Times New Roman" w:hAnsi="Bookman Old Style" w:cs="Arial"/>
          <w:i/>
          <w:lang w:val="es-ES" w:eastAsia="es-ES"/>
        </w:rPr>
        <w:t>realizará su valoración atendiendo los criterios establecidos en la metodología y su Anexo 1, entre otros, bajo un mecanismo de comparación.</w:t>
      </w:r>
      <w:r w:rsidR="00222C24" w:rsidRPr="005700D8">
        <w:rPr>
          <w:rFonts w:ascii="Bookman Old Style" w:eastAsia="Times New Roman" w:hAnsi="Bookman Old Style" w:cs="Arial"/>
          <w:i/>
          <w:lang w:val="es-ES" w:eastAsia="es-ES"/>
        </w:rPr>
        <w:t>”.</w:t>
      </w:r>
    </w:p>
    <w:p w14:paraId="331E8B4C" w14:textId="5E9E39F5" w:rsidR="005700D8" w:rsidRDefault="005700D8" w:rsidP="001A37DF">
      <w:pPr>
        <w:spacing w:after="0" w:line="240" w:lineRule="auto"/>
        <w:jc w:val="both"/>
        <w:rPr>
          <w:rFonts w:ascii="Bookman Old Style" w:eastAsia="Times New Roman" w:hAnsi="Bookman Old Style" w:cs="Times New Roman"/>
          <w:b/>
          <w:sz w:val="24"/>
          <w:szCs w:val="24"/>
          <w:lang w:val="es-ES" w:eastAsia="es-ES"/>
        </w:rPr>
      </w:pPr>
    </w:p>
    <w:p w14:paraId="008C6EA6" w14:textId="77777777" w:rsidR="001A37DF" w:rsidRPr="001A37DF" w:rsidRDefault="001A37DF" w:rsidP="007A504F">
      <w:pPr>
        <w:spacing w:after="0" w:line="240" w:lineRule="auto"/>
        <w:ind w:left="-142" w:right="-142"/>
        <w:jc w:val="both"/>
        <w:rPr>
          <w:rFonts w:ascii="Bookman Old Style" w:eastAsia="Times New Roman" w:hAnsi="Bookman Old Style" w:cs="Times New Roman"/>
          <w:i/>
          <w:sz w:val="24"/>
          <w:szCs w:val="24"/>
          <w:lang w:val="es-ES" w:eastAsia="es-ES"/>
        </w:rPr>
      </w:pPr>
      <w:r>
        <w:rPr>
          <w:rFonts w:ascii="Bookman Old Style" w:eastAsia="Times New Roman" w:hAnsi="Bookman Old Style" w:cs="Times New Roman"/>
          <w:b/>
          <w:sz w:val="24"/>
          <w:szCs w:val="24"/>
          <w:lang w:val="es-ES" w:eastAsia="es-ES"/>
        </w:rPr>
        <w:t>Artículo 2</w:t>
      </w:r>
      <w:r w:rsidRPr="001A37DF">
        <w:rPr>
          <w:rFonts w:ascii="Bookman Old Style" w:eastAsia="Times New Roman" w:hAnsi="Bookman Old Style" w:cs="Times New Roman"/>
          <w:b/>
          <w:sz w:val="24"/>
          <w:szCs w:val="24"/>
          <w:lang w:val="es-ES" w:eastAsia="es-ES"/>
        </w:rPr>
        <w:t xml:space="preserve">. Vigencia. </w:t>
      </w:r>
      <w:r w:rsidRPr="001A37DF">
        <w:rPr>
          <w:rFonts w:ascii="Bookman Old Style" w:eastAsia="Times New Roman" w:hAnsi="Bookman Old Style" w:cs="Times New Roman"/>
          <w:sz w:val="24"/>
          <w:szCs w:val="24"/>
          <w:lang w:val="es-ES" w:eastAsia="es-ES"/>
        </w:rPr>
        <w:t xml:space="preserve">Esta resolución rige a partir de su publicación en el </w:t>
      </w:r>
      <w:r w:rsidRPr="001A37DF">
        <w:rPr>
          <w:rFonts w:ascii="Bookman Old Style" w:eastAsia="Times New Roman" w:hAnsi="Bookman Old Style" w:cs="Times New Roman"/>
          <w:i/>
          <w:sz w:val="24"/>
          <w:szCs w:val="24"/>
          <w:lang w:val="es-ES" w:eastAsia="es-ES"/>
        </w:rPr>
        <w:t>Diario Oficial</w:t>
      </w:r>
      <w:r w:rsidRPr="001A37DF">
        <w:rPr>
          <w:rFonts w:ascii="Bookman Old Style" w:eastAsia="Times New Roman" w:hAnsi="Bookman Old Style" w:cs="Times New Roman"/>
          <w:sz w:val="24"/>
          <w:szCs w:val="24"/>
          <w:lang w:val="es-ES" w:eastAsia="es-ES"/>
        </w:rPr>
        <w:t xml:space="preserve"> y deroga las normas que le sean contrarias.</w:t>
      </w:r>
    </w:p>
    <w:p w14:paraId="07793575" w14:textId="52AFAA52" w:rsid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p>
    <w:p w14:paraId="3825E63A" w14:textId="77777777" w:rsidR="006B4140" w:rsidRPr="00F43DB0" w:rsidRDefault="006B4140" w:rsidP="00F43DB0">
      <w:pPr>
        <w:spacing w:after="0" w:line="240" w:lineRule="auto"/>
        <w:contextualSpacing/>
        <w:rPr>
          <w:rFonts w:ascii="Bookman Old Style" w:eastAsia="Times New Roman" w:hAnsi="Bookman Old Style" w:cs="Times New Roman"/>
          <w:sz w:val="24"/>
          <w:szCs w:val="24"/>
          <w:lang w:val="es-ES" w:eastAsia="es-ES"/>
        </w:rPr>
      </w:pPr>
    </w:p>
    <w:p w14:paraId="46051D37" w14:textId="77777777" w:rsidR="00F43DB0" w:rsidRPr="00F43DB0" w:rsidRDefault="00F43DB0" w:rsidP="00F43DB0">
      <w:pPr>
        <w:spacing w:after="0" w:line="240" w:lineRule="auto"/>
        <w:ind w:left="567"/>
        <w:contextualSpacing/>
        <w:jc w:val="center"/>
        <w:rPr>
          <w:rFonts w:ascii="Bookman Old Style" w:eastAsia="Times New Roman" w:hAnsi="Bookman Old Style" w:cs="Times New Roman"/>
          <w:b/>
          <w:sz w:val="24"/>
          <w:szCs w:val="24"/>
          <w:lang w:val="es-ES" w:eastAsia="es-ES"/>
        </w:rPr>
      </w:pPr>
      <w:r w:rsidRPr="00F43DB0">
        <w:rPr>
          <w:rFonts w:ascii="Bookman Old Style" w:eastAsia="Times New Roman" w:hAnsi="Bookman Old Style" w:cs="Times New Roman"/>
          <w:b/>
          <w:sz w:val="24"/>
          <w:szCs w:val="24"/>
          <w:lang w:val="es-ES" w:eastAsia="es-ES"/>
        </w:rPr>
        <w:t>PUBLÍQUESE Y CÚMPLASE</w:t>
      </w:r>
    </w:p>
    <w:p w14:paraId="76FCE656" w14:textId="32C40D41" w:rsidR="00F43DB0" w:rsidRPr="00F43DB0" w:rsidRDefault="00F43DB0" w:rsidP="00F43DB0">
      <w:pPr>
        <w:spacing w:after="0" w:line="240" w:lineRule="auto"/>
        <w:contextualSpacing/>
        <w:rPr>
          <w:rFonts w:ascii="Bookman Old Style" w:eastAsia="Times New Roman" w:hAnsi="Bookman Old Style" w:cs="Times New Roman"/>
          <w:sz w:val="24"/>
          <w:szCs w:val="24"/>
          <w:lang w:val="es-ES" w:eastAsia="es-ES"/>
        </w:rPr>
      </w:pPr>
    </w:p>
    <w:p w14:paraId="5D35EC2B" w14:textId="5DE1456E" w:rsidR="006B4140" w:rsidRDefault="00790FFE" w:rsidP="006B4140">
      <w:pPr>
        <w:spacing w:after="0" w:line="240" w:lineRule="auto"/>
        <w:ind w:left="-142" w:right="-142"/>
        <w:jc w:val="both"/>
        <w:rPr>
          <w:rFonts w:ascii="Bookman Old Style" w:eastAsia="Times New Roman" w:hAnsi="Bookman Old Style" w:cs="Times New Roman"/>
          <w:sz w:val="24"/>
          <w:szCs w:val="24"/>
          <w:lang w:val="es-ES" w:eastAsia="es-ES"/>
        </w:rPr>
      </w:pPr>
      <w:r w:rsidRPr="00790FFE">
        <w:rPr>
          <w:rFonts w:ascii="Bookman Old Style" w:eastAsia="Times New Roman" w:hAnsi="Bookman Old Style" w:cs="Times New Roman"/>
          <w:sz w:val="24"/>
          <w:szCs w:val="24"/>
          <w:lang w:val="es-ES" w:eastAsia="es-ES"/>
        </w:rPr>
        <w:t>Dada en Bogotá, el día,</w:t>
      </w:r>
    </w:p>
    <w:p w14:paraId="16A556F0" w14:textId="7230BD03" w:rsidR="006B4140" w:rsidRDefault="006B4140" w:rsidP="006B4140">
      <w:pPr>
        <w:spacing w:after="0" w:line="240" w:lineRule="auto"/>
        <w:ind w:right="-142"/>
        <w:jc w:val="both"/>
        <w:rPr>
          <w:rFonts w:ascii="Bookman Old Style" w:eastAsia="Times New Roman" w:hAnsi="Bookman Old Style" w:cs="Times New Roman"/>
          <w:sz w:val="24"/>
          <w:szCs w:val="24"/>
          <w:lang w:val="es-ES" w:eastAsia="es-ES"/>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6B4140" w:rsidRPr="00FC430C" w14:paraId="0DE9B84A" w14:textId="77777777" w:rsidTr="00D76A51">
        <w:trPr>
          <w:tblCellSpacing w:w="0" w:type="dxa"/>
          <w:jc w:val="center"/>
        </w:trPr>
        <w:tc>
          <w:tcPr>
            <w:tcW w:w="5033" w:type="dxa"/>
            <w:hideMark/>
          </w:tcPr>
          <w:p w14:paraId="7F086FF3" w14:textId="77777777" w:rsidR="006B4140" w:rsidRPr="00FC430C" w:rsidRDefault="006B4140" w:rsidP="00D76A51">
            <w:pPr>
              <w:spacing w:after="0" w:line="240" w:lineRule="auto"/>
              <w:rPr>
                <w:rFonts w:ascii="Bookman Old Style" w:eastAsia="Times New Roman" w:hAnsi="Bookman Old Style" w:cs="Arial"/>
                <w:b/>
                <w:spacing w:val="-3"/>
                <w:sz w:val="24"/>
                <w:szCs w:val="24"/>
                <w:lang w:val="es-ES" w:eastAsia="es-ES"/>
              </w:rPr>
            </w:pPr>
          </w:p>
          <w:p w14:paraId="01BBBE9C" w14:textId="77777777" w:rsidR="006B4140" w:rsidRPr="00FC430C" w:rsidRDefault="006B4140" w:rsidP="00D76A51">
            <w:pPr>
              <w:spacing w:after="0" w:line="240" w:lineRule="auto"/>
              <w:rPr>
                <w:rFonts w:ascii="Bookman Old Style" w:eastAsia="Times New Roman" w:hAnsi="Bookman Old Style" w:cs="Arial"/>
                <w:b/>
                <w:spacing w:val="-3"/>
                <w:sz w:val="24"/>
                <w:szCs w:val="24"/>
                <w:lang w:val="es-ES" w:eastAsia="es-ES"/>
              </w:rPr>
            </w:pPr>
          </w:p>
          <w:p w14:paraId="1A8C0791" w14:textId="77777777" w:rsidR="006B4140" w:rsidRPr="00FC430C" w:rsidRDefault="006B4140" w:rsidP="00D76A51">
            <w:pPr>
              <w:spacing w:after="0" w:line="240" w:lineRule="auto"/>
              <w:rPr>
                <w:rFonts w:ascii="Bookman Old Style" w:eastAsia="Times New Roman" w:hAnsi="Bookman Old Style" w:cs="Arial"/>
                <w:b/>
                <w:spacing w:val="-3"/>
                <w:sz w:val="24"/>
                <w:szCs w:val="24"/>
                <w:lang w:val="es-ES" w:eastAsia="es-ES"/>
              </w:rPr>
            </w:pPr>
          </w:p>
          <w:p w14:paraId="090B158E" w14:textId="77777777" w:rsidR="006B4140" w:rsidRPr="00FC430C" w:rsidRDefault="006B4140" w:rsidP="00D76A51">
            <w:pPr>
              <w:spacing w:after="0" w:line="240" w:lineRule="auto"/>
              <w:ind w:left="66"/>
              <w:jc w:val="center"/>
              <w:rPr>
                <w:rFonts w:ascii="Bookman Old Style" w:eastAsia="Times New Roman" w:hAnsi="Bookman Old Style" w:cs="Arial"/>
                <w:b/>
                <w:spacing w:val="-3"/>
                <w:sz w:val="24"/>
                <w:szCs w:val="24"/>
                <w:lang w:val="es-ES" w:eastAsia="es-ES"/>
              </w:rPr>
            </w:pPr>
          </w:p>
          <w:p w14:paraId="0946A4D5" w14:textId="77777777" w:rsidR="006B4140" w:rsidRPr="00FC430C" w:rsidRDefault="006B4140" w:rsidP="00D76A51">
            <w:pPr>
              <w:spacing w:after="0" w:line="240" w:lineRule="auto"/>
              <w:ind w:left="66"/>
              <w:jc w:val="center"/>
              <w:rPr>
                <w:rFonts w:ascii="Bookman Old Style" w:eastAsia="Times New Roman" w:hAnsi="Bookman Old Style" w:cs="Arial"/>
                <w:b/>
                <w:spacing w:val="-3"/>
                <w:sz w:val="24"/>
                <w:szCs w:val="24"/>
                <w:lang w:val="es-ES" w:eastAsia="es-ES"/>
              </w:rPr>
            </w:pPr>
            <w:r w:rsidRPr="00FC430C">
              <w:rPr>
                <w:rFonts w:ascii="Bookman Old Style" w:eastAsia="Times New Roman" w:hAnsi="Bookman Old Style" w:cs="Arial"/>
                <w:b/>
                <w:spacing w:val="-3"/>
                <w:sz w:val="24"/>
                <w:szCs w:val="24"/>
                <w:lang w:val="es-ES" w:eastAsia="es-ES"/>
              </w:rPr>
              <w:t>RUTTY PAOLA ORTIZ JARA</w:t>
            </w:r>
          </w:p>
        </w:tc>
        <w:tc>
          <w:tcPr>
            <w:tcW w:w="4465" w:type="dxa"/>
            <w:hideMark/>
          </w:tcPr>
          <w:p w14:paraId="762E345A" w14:textId="77777777" w:rsidR="006B4140" w:rsidRPr="00FC430C" w:rsidRDefault="006B4140" w:rsidP="00D76A51">
            <w:pPr>
              <w:spacing w:after="0" w:line="240" w:lineRule="auto"/>
              <w:ind w:left="89"/>
              <w:jc w:val="center"/>
              <w:rPr>
                <w:rFonts w:ascii="Bookman Old Style" w:eastAsia="Times New Roman" w:hAnsi="Bookman Old Style" w:cs="Arial"/>
                <w:b/>
                <w:spacing w:val="-3"/>
                <w:sz w:val="24"/>
                <w:szCs w:val="24"/>
                <w:lang w:val="es-ES" w:eastAsia="es-ES"/>
              </w:rPr>
            </w:pPr>
          </w:p>
          <w:p w14:paraId="659B4AA4" w14:textId="77777777" w:rsidR="006B4140" w:rsidRPr="00FC430C" w:rsidRDefault="006B4140" w:rsidP="00D76A51">
            <w:pPr>
              <w:spacing w:after="0" w:line="240" w:lineRule="auto"/>
              <w:ind w:left="89"/>
              <w:jc w:val="center"/>
              <w:rPr>
                <w:rFonts w:ascii="Bookman Old Style" w:eastAsia="Times New Roman" w:hAnsi="Bookman Old Style" w:cs="Arial"/>
                <w:b/>
                <w:spacing w:val="-3"/>
                <w:sz w:val="24"/>
                <w:szCs w:val="24"/>
                <w:lang w:val="es-ES" w:eastAsia="es-ES"/>
              </w:rPr>
            </w:pPr>
          </w:p>
          <w:p w14:paraId="118B6FCA" w14:textId="77777777" w:rsidR="006B4140" w:rsidRPr="00FC430C" w:rsidRDefault="006B4140" w:rsidP="00D76A51">
            <w:pPr>
              <w:spacing w:after="0" w:line="240" w:lineRule="auto"/>
              <w:ind w:left="89"/>
              <w:jc w:val="center"/>
              <w:rPr>
                <w:rFonts w:ascii="Bookman Old Style" w:eastAsia="Times New Roman" w:hAnsi="Bookman Old Style" w:cs="Arial"/>
                <w:b/>
                <w:spacing w:val="-3"/>
                <w:sz w:val="24"/>
                <w:szCs w:val="24"/>
                <w:lang w:val="es-ES" w:eastAsia="es-ES"/>
              </w:rPr>
            </w:pPr>
          </w:p>
          <w:p w14:paraId="2D4C55AD" w14:textId="77777777" w:rsidR="006B4140" w:rsidRPr="00FC430C" w:rsidRDefault="006B4140" w:rsidP="00D76A51">
            <w:pPr>
              <w:spacing w:after="0" w:line="240" w:lineRule="auto"/>
              <w:ind w:left="89"/>
              <w:jc w:val="center"/>
              <w:rPr>
                <w:rFonts w:ascii="Bookman Old Style" w:eastAsia="Times New Roman" w:hAnsi="Bookman Old Style" w:cs="Arial"/>
                <w:b/>
                <w:spacing w:val="-3"/>
                <w:sz w:val="24"/>
                <w:szCs w:val="24"/>
                <w:lang w:val="es-ES" w:eastAsia="es-ES"/>
              </w:rPr>
            </w:pPr>
          </w:p>
          <w:p w14:paraId="647F97A6" w14:textId="77777777" w:rsidR="006B4140" w:rsidRPr="00FC430C" w:rsidRDefault="006B4140" w:rsidP="00D76A51">
            <w:pPr>
              <w:spacing w:after="0" w:line="240" w:lineRule="auto"/>
              <w:ind w:left="89"/>
              <w:jc w:val="center"/>
              <w:rPr>
                <w:rFonts w:ascii="Bookman Old Style" w:eastAsia="Times New Roman" w:hAnsi="Bookman Old Style" w:cs="Arial"/>
                <w:b/>
                <w:spacing w:val="-3"/>
                <w:sz w:val="24"/>
                <w:szCs w:val="24"/>
                <w:lang w:val="es-ES" w:eastAsia="es-ES"/>
              </w:rPr>
            </w:pPr>
            <w:r w:rsidRPr="00FC430C">
              <w:rPr>
                <w:rFonts w:ascii="Bookman Old Style" w:eastAsia="Times New Roman" w:hAnsi="Bookman Old Style" w:cs="Arial"/>
                <w:b/>
                <w:spacing w:val="-3"/>
                <w:sz w:val="24"/>
                <w:szCs w:val="24"/>
                <w:lang w:val="es-ES" w:eastAsia="es-ES"/>
              </w:rPr>
              <w:t>CHRISTIAN JARAMILLO HERRERA</w:t>
            </w:r>
          </w:p>
        </w:tc>
      </w:tr>
      <w:tr w:rsidR="006B4140" w:rsidRPr="00FC430C" w14:paraId="4C8FFC6B" w14:textId="77777777" w:rsidTr="00D76A51">
        <w:trPr>
          <w:tblCellSpacing w:w="0" w:type="dxa"/>
          <w:jc w:val="center"/>
        </w:trPr>
        <w:tc>
          <w:tcPr>
            <w:tcW w:w="5033" w:type="dxa"/>
            <w:hideMark/>
          </w:tcPr>
          <w:p w14:paraId="5A4FA175" w14:textId="77777777" w:rsidR="006B4140" w:rsidRPr="00FC430C" w:rsidRDefault="006B4140" w:rsidP="00D76A51">
            <w:pPr>
              <w:spacing w:after="0" w:line="240" w:lineRule="auto"/>
              <w:ind w:left="66"/>
              <w:jc w:val="center"/>
              <w:rPr>
                <w:rFonts w:ascii="Bookman Old Style" w:eastAsia="Arial Unicode MS" w:hAnsi="Bookman Old Style" w:cs="Arial"/>
                <w:color w:val="000000"/>
                <w:sz w:val="24"/>
                <w:szCs w:val="24"/>
                <w:lang w:val="es-ES" w:eastAsia="es-ES"/>
              </w:rPr>
            </w:pPr>
            <w:r w:rsidRPr="00FC430C">
              <w:rPr>
                <w:rFonts w:ascii="Bookman Old Style" w:eastAsia="Times New Roman" w:hAnsi="Bookman Old Style" w:cs="Arial"/>
                <w:spacing w:val="-3"/>
                <w:sz w:val="24"/>
                <w:szCs w:val="24"/>
                <w:lang w:val="es-ES" w:eastAsia="es-ES"/>
              </w:rPr>
              <w:t>Delegada del Ministro de Minas y Energía Viceministra de Energía</w:t>
            </w:r>
          </w:p>
        </w:tc>
        <w:tc>
          <w:tcPr>
            <w:tcW w:w="4465" w:type="dxa"/>
            <w:hideMark/>
          </w:tcPr>
          <w:p w14:paraId="3BF1F6A5" w14:textId="77777777" w:rsidR="006B4140" w:rsidRPr="00FC430C" w:rsidRDefault="006B4140" w:rsidP="00D76A51">
            <w:pPr>
              <w:spacing w:after="0" w:line="240" w:lineRule="auto"/>
              <w:jc w:val="center"/>
              <w:rPr>
                <w:rFonts w:ascii="Bookman Old Style" w:eastAsia="Arial Unicode MS" w:hAnsi="Bookman Old Style" w:cs="Arial"/>
                <w:color w:val="000000"/>
                <w:sz w:val="24"/>
                <w:szCs w:val="24"/>
                <w:lang w:val="es-ES" w:eastAsia="es-ES"/>
              </w:rPr>
            </w:pPr>
            <w:r w:rsidRPr="00FC430C">
              <w:rPr>
                <w:rFonts w:ascii="Bookman Old Style" w:eastAsia="Times New Roman" w:hAnsi="Bookman Old Style" w:cs="Arial"/>
                <w:spacing w:val="-3"/>
                <w:sz w:val="24"/>
                <w:szCs w:val="24"/>
                <w:lang w:val="es-ES" w:eastAsia="es-ES"/>
              </w:rPr>
              <w:t>Director Ejecutivo</w:t>
            </w:r>
            <w:r>
              <w:rPr>
                <w:rFonts w:ascii="Bookman Old Style" w:eastAsia="Times New Roman" w:hAnsi="Bookman Old Style" w:cs="Arial"/>
                <w:spacing w:val="-3"/>
                <w:sz w:val="24"/>
                <w:szCs w:val="24"/>
                <w:lang w:val="es-ES" w:eastAsia="es-ES"/>
              </w:rPr>
              <w:t xml:space="preserve"> (E)</w:t>
            </w:r>
          </w:p>
        </w:tc>
      </w:tr>
      <w:tr w:rsidR="006B4140" w:rsidRPr="00FC430C" w14:paraId="460DB14D" w14:textId="77777777" w:rsidTr="00D76A51">
        <w:trPr>
          <w:tblCellSpacing w:w="0" w:type="dxa"/>
          <w:jc w:val="center"/>
        </w:trPr>
        <w:tc>
          <w:tcPr>
            <w:tcW w:w="5033" w:type="dxa"/>
            <w:hideMark/>
          </w:tcPr>
          <w:p w14:paraId="4AD384F7" w14:textId="77777777" w:rsidR="006B4140" w:rsidRPr="00FC430C" w:rsidRDefault="006B4140" w:rsidP="00D76A51">
            <w:pPr>
              <w:spacing w:after="0" w:line="240" w:lineRule="auto"/>
              <w:ind w:left="66"/>
              <w:jc w:val="center"/>
              <w:rPr>
                <w:rFonts w:ascii="Bookman Old Style" w:eastAsia="Arial Unicode MS" w:hAnsi="Bookman Old Style" w:cs="Arial"/>
                <w:color w:val="000000"/>
                <w:sz w:val="24"/>
                <w:szCs w:val="24"/>
                <w:lang w:val="es-ES" w:eastAsia="es-ES"/>
              </w:rPr>
            </w:pPr>
            <w:r w:rsidRPr="00FC430C">
              <w:rPr>
                <w:rFonts w:ascii="Bookman Old Style" w:eastAsia="Times New Roman" w:hAnsi="Bookman Old Style" w:cs="Arial"/>
                <w:spacing w:val="-3"/>
                <w:sz w:val="24"/>
                <w:szCs w:val="24"/>
                <w:lang w:val="es-ES" w:eastAsia="es-ES"/>
              </w:rPr>
              <w:t>Presidente</w:t>
            </w:r>
          </w:p>
        </w:tc>
        <w:tc>
          <w:tcPr>
            <w:tcW w:w="4465" w:type="dxa"/>
          </w:tcPr>
          <w:p w14:paraId="2FA0C761" w14:textId="77777777" w:rsidR="006B4140" w:rsidRPr="00FC430C" w:rsidRDefault="006B4140" w:rsidP="00D76A51">
            <w:pPr>
              <w:spacing w:after="0" w:line="240" w:lineRule="auto"/>
              <w:jc w:val="center"/>
              <w:rPr>
                <w:rFonts w:ascii="Bookman Old Style" w:eastAsia="Arial Unicode MS" w:hAnsi="Bookman Old Style" w:cs="Arial"/>
                <w:color w:val="000000"/>
                <w:sz w:val="24"/>
                <w:szCs w:val="24"/>
                <w:lang w:val="es-ES" w:eastAsia="es-ES"/>
              </w:rPr>
            </w:pPr>
          </w:p>
        </w:tc>
      </w:tr>
    </w:tbl>
    <w:p w14:paraId="2B80353D" w14:textId="77777777" w:rsidR="006B4140" w:rsidRPr="00F43DB0" w:rsidRDefault="006B4140" w:rsidP="006B4140">
      <w:pPr>
        <w:spacing w:after="0" w:line="240" w:lineRule="auto"/>
        <w:ind w:left="-142" w:right="-142"/>
        <w:jc w:val="both"/>
        <w:rPr>
          <w:rFonts w:ascii="Bookman Old Style" w:eastAsia="Times New Roman" w:hAnsi="Bookman Old Style" w:cs="Times New Roman"/>
          <w:sz w:val="24"/>
          <w:szCs w:val="24"/>
          <w:lang w:val="es-ES" w:eastAsia="es-ES"/>
        </w:rPr>
      </w:pPr>
    </w:p>
    <w:p w14:paraId="324282B7" w14:textId="0ACE5DE6" w:rsidR="00A35B73" w:rsidRDefault="00A35B73" w:rsidP="00451FF9">
      <w:pPr>
        <w:pStyle w:val="Prrafodelista"/>
        <w:spacing w:after="0"/>
        <w:ind w:left="0"/>
        <w:jc w:val="both"/>
        <w:rPr>
          <w:rFonts w:ascii="Bookman Old Style" w:hAnsi="Bookman Old Style"/>
          <w:sz w:val="24"/>
          <w:szCs w:val="24"/>
        </w:rPr>
      </w:pPr>
    </w:p>
    <w:p w14:paraId="29F506EA" w14:textId="42719CD6" w:rsidR="006B4140" w:rsidRDefault="006B4140" w:rsidP="00451FF9">
      <w:pPr>
        <w:pStyle w:val="Prrafodelista"/>
        <w:spacing w:after="0"/>
        <w:ind w:left="0"/>
        <w:jc w:val="both"/>
        <w:rPr>
          <w:rFonts w:ascii="Bookman Old Style" w:hAnsi="Bookman Old Style"/>
          <w:sz w:val="24"/>
          <w:szCs w:val="24"/>
        </w:rPr>
      </w:pPr>
    </w:p>
    <w:p w14:paraId="1B9A83F4" w14:textId="77777777" w:rsidR="006B4140" w:rsidRPr="00F914EB" w:rsidRDefault="006B4140" w:rsidP="00451FF9">
      <w:pPr>
        <w:pStyle w:val="Prrafodelista"/>
        <w:spacing w:after="0"/>
        <w:ind w:left="0"/>
        <w:jc w:val="both"/>
        <w:rPr>
          <w:rFonts w:ascii="Bookman Old Style" w:hAnsi="Bookman Old Style"/>
          <w:sz w:val="24"/>
          <w:szCs w:val="24"/>
        </w:rPr>
      </w:pPr>
    </w:p>
    <w:sectPr w:rsidR="006B4140" w:rsidRPr="00F914EB" w:rsidSect="005C1BCA">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D462" w14:textId="77777777" w:rsidR="009167C7" w:rsidRDefault="009167C7" w:rsidP="005C1BCA">
      <w:pPr>
        <w:spacing w:after="0" w:line="240" w:lineRule="auto"/>
      </w:pPr>
      <w:r>
        <w:separator/>
      </w:r>
    </w:p>
  </w:endnote>
  <w:endnote w:type="continuationSeparator" w:id="0">
    <w:p w14:paraId="3A48E92B" w14:textId="77777777" w:rsidR="009167C7" w:rsidRDefault="009167C7"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20E83" w14:textId="77777777" w:rsidR="009167C7" w:rsidRDefault="009167C7" w:rsidP="005C1BCA">
      <w:pPr>
        <w:spacing w:after="0" w:line="240" w:lineRule="auto"/>
      </w:pPr>
      <w:r>
        <w:separator/>
      </w:r>
    </w:p>
  </w:footnote>
  <w:footnote w:type="continuationSeparator" w:id="0">
    <w:p w14:paraId="02D2615D" w14:textId="77777777" w:rsidR="009167C7" w:rsidRDefault="009167C7" w:rsidP="005C1BCA">
      <w:pPr>
        <w:spacing w:after="0" w:line="240" w:lineRule="auto"/>
      </w:pPr>
      <w:r>
        <w:continuationSeparator/>
      </w:r>
    </w:p>
  </w:footnote>
  <w:footnote w:id="1">
    <w:p w14:paraId="2728BFDB" w14:textId="77777777" w:rsidR="00553500" w:rsidRPr="00A10F9F" w:rsidRDefault="00553500" w:rsidP="00F15D17">
      <w:pPr>
        <w:pStyle w:val="Textonotapie"/>
        <w:ind w:left="0"/>
        <w:rPr>
          <w:rFonts w:ascii="Bookman Old Style" w:hAnsi="Bookman Old Style" w:cs="Arial"/>
          <w:sz w:val="16"/>
          <w:szCs w:val="16"/>
        </w:rPr>
      </w:pPr>
      <w:r w:rsidRPr="00A10F9F">
        <w:rPr>
          <w:rFonts w:ascii="Bookman Old Style" w:hAnsi="Bookman Old Style" w:cs="Arial"/>
          <w:sz w:val="16"/>
          <w:szCs w:val="16"/>
          <w:vertAlign w:val="superscript"/>
        </w:rPr>
        <w:footnoteRef/>
      </w:r>
      <w:r w:rsidRPr="00A10F9F">
        <w:rPr>
          <w:rFonts w:ascii="Bookman Old Style" w:hAnsi="Bookman Old Style" w:cs="Arial"/>
          <w:sz w:val="16"/>
          <w:szCs w:val="16"/>
          <w:vertAlign w:val="superscript"/>
        </w:rPr>
        <w:t xml:space="preserve"> </w:t>
      </w:r>
      <w:r w:rsidRPr="00A10F9F">
        <w:rPr>
          <w:rFonts w:ascii="Bookman Old Style" w:hAnsi="Bookman Old Style" w:cs="Arial"/>
          <w:sz w:val="16"/>
          <w:szCs w:val="16"/>
        </w:rPr>
        <w:t>Ver entre otras las sentencias de la H. Corte Constitucional C-150 de 2003, C-1162 de 2000, C-186 de 2011.</w:t>
      </w:r>
    </w:p>
  </w:footnote>
  <w:footnote w:id="2">
    <w:p w14:paraId="4B91343D" w14:textId="77777777" w:rsidR="00790FFE" w:rsidRPr="009E6423" w:rsidRDefault="00790FFE" w:rsidP="00790FFE">
      <w:pPr>
        <w:pStyle w:val="Textonotapie"/>
        <w:ind w:left="0"/>
        <w:jc w:val="both"/>
        <w:rPr>
          <w:rFonts w:cs="Arial"/>
          <w:sz w:val="16"/>
          <w:szCs w:val="16"/>
          <w:lang w:val="es-CO"/>
        </w:rPr>
      </w:pPr>
      <w:r w:rsidRPr="00790FFE">
        <w:rPr>
          <w:rFonts w:ascii="Bookman Old Style" w:hAnsi="Bookman Old Style" w:cs="Arial"/>
          <w:sz w:val="16"/>
          <w:szCs w:val="16"/>
        </w:rPr>
        <w:footnoteRef/>
      </w:r>
      <w:r w:rsidRPr="00790FFE">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E55E" w14:textId="77777777" w:rsidR="00553500" w:rsidRDefault="00553500" w:rsidP="001F2B83">
    <w:pPr>
      <w:pStyle w:val="Ttulo1"/>
      <w:ind w:right="6"/>
      <w:jc w:val="left"/>
      <w:rPr>
        <w:rFonts w:ascii="Bookman Old Style" w:hAnsi="Bookman Old Style" w:cs="Arial"/>
        <w:b w:val="0"/>
        <w:sz w:val="22"/>
        <w:szCs w:val="22"/>
      </w:rPr>
    </w:pPr>
  </w:p>
  <w:p w14:paraId="6F3914B2" w14:textId="4203E7C6" w:rsidR="00553500" w:rsidRPr="00951F79" w:rsidRDefault="00553500"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C79F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C79FE" w:rsidRPr="007C79FE">
        <w:rPr>
          <w:rFonts w:ascii="Bookman Old Style" w:hAnsi="Bookman Old Style" w:cs="Arial"/>
          <w:b w:val="0"/>
          <w:noProof/>
          <w:sz w:val="22"/>
          <w:szCs w:val="22"/>
        </w:rPr>
        <w:t>6</w:t>
      </w:r>
    </w:fldSimple>
  </w:p>
  <w:p w14:paraId="7BDBF0CA" w14:textId="77777777" w:rsidR="00553500" w:rsidRDefault="00553500"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E9DC43E" wp14:editId="057E6D1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26961"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5BF3A68" w14:textId="3CFAFAD2" w:rsidR="005700D8" w:rsidRPr="005700D8" w:rsidRDefault="005700D8" w:rsidP="00ED6540">
    <w:pPr>
      <w:spacing w:after="0" w:line="240" w:lineRule="auto"/>
      <w:jc w:val="center"/>
      <w:rPr>
        <w:rFonts w:ascii="Bookman Old Style" w:eastAsia="Times New Roman" w:hAnsi="Bookman Old Style" w:cs="Times New Roman"/>
        <w:lang w:val="es-ES" w:eastAsia="es-ES"/>
      </w:rPr>
    </w:pPr>
    <w:r w:rsidRPr="005700D8">
      <w:rPr>
        <w:rFonts w:ascii="Bookman Old Style" w:eastAsia="Times New Roman" w:hAnsi="Bookman Old Style" w:cs="Times New Roman"/>
        <w:lang w:val="es-ES" w:eastAsia="es-ES"/>
      </w:rPr>
      <w:t>Por la cual se modifica el artículo 14 de</w:t>
    </w:r>
    <w:r w:rsidR="00ED6540">
      <w:rPr>
        <w:rFonts w:ascii="Bookman Old Style" w:eastAsia="Times New Roman" w:hAnsi="Bookman Old Style" w:cs="Times New Roman"/>
        <w:lang w:val="es-ES" w:eastAsia="es-ES"/>
      </w:rPr>
      <w:t xml:space="preserve"> la Resolución CREG 126 de 2010</w:t>
    </w:r>
  </w:p>
  <w:p w14:paraId="3FB1669A" w14:textId="53797661" w:rsidR="00553500" w:rsidRPr="007F66B9" w:rsidRDefault="00553500" w:rsidP="005700D8">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C362" w14:textId="77777777" w:rsidR="00553500" w:rsidRDefault="00553500"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05CB78DF" w14:textId="77777777" w:rsidR="00553500" w:rsidRDefault="00553500">
    <w:pPr>
      <w:pStyle w:val="Encabezado"/>
      <w:jc w:val="center"/>
      <w:rPr>
        <w:rFonts w:ascii="Arial" w:hAnsi="Arial" w:cs="Arial"/>
        <w:spacing w:val="20"/>
        <w:sz w:val="20"/>
      </w:rPr>
    </w:pPr>
  </w:p>
  <w:p w14:paraId="69E8B68F" w14:textId="77777777" w:rsidR="00553500" w:rsidRDefault="00553500"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E2CF5A2" wp14:editId="7DD82A9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E9DC"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3" w15:restartNumberingAfterBreak="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4" w15:restartNumberingAfterBreak="0">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
  </w:num>
  <w:num w:numId="2">
    <w:abstractNumId w:val="6"/>
  </w:num>
  <w:num w:numId="3">
    <w:abstractNumId w:val="5"/>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65E9"/>
    <w:rsid w:val="000068F0"/>
    <w:rsid w:val="0001493D"/>
    <w:rsid w:val="00020A6C"/>
    <w:rsid w:val="00027C95"/>
    <w:rsid w:val="0003079D"/>
    <w:rsid w:val="00034DF4"/>
    <w:rsid w:val="00037534"/>
    <w:rsid w:val="0004585E"/>
    <w:rsid w:val="00051E42"/>
    <w:rsid w:val="00063E9D"/>
    <w:rsid w:val="00074962"/>
    <w:rsid w:val="0007645D"/>
    <w:rsid w:val="000768E2"/>
    <w:rsid w:val="0008222F"/>
    <w:rsid w:val="00096487"/>
    <w:rsid w:val="000A5D06"/>
    <w:rsid w:val="000C0867"/>
    <w:rsid w:val="000D4D20"/>
    <w:rsid w:val="000E43B1"/>
    <w:rsid w:val="000F5960"/>
    <w:rsid w:val="001079AA"/>
    <w:rsid w:val="001164AC"/>
    <w:rsid w:val="00140F9E"/>
    <w:rsid w:val="001544B0"/>
    <w:rsid w:val="00161159"/>
    <w:rsid w:val="00167E49"/>
    <w:rsid w:val="00177BFE"/>
    <w:rsid w:val="00191AE9"/>
    <w:rsid w:val="001A1203"/>
    <w:rsid w:val="001A37DF"/>
    <w:rsid w:val="001A4A22"/>
    <w:rsid w:val="001B0BF6"/>
    <w:rsid w:val="001B534B"/>
    <w:rsid w:val="001C513B"/>
    <w:rsid w:val="001D5B0D"/>
    <w:rsid w:val="001E19DA"/>
    <w:rsid w:val="001E5EF3"/>
    <w:rsid w:val="001F1945"/>
    <w:rsid w:val="001F2B83"/>
    <w:rsid w:val="0020666C"/>
    <w:rsid w:val="002071F1"/>
    <w:rsid w:val="00210297"/>
    <w:rsid w:val="00222C24"/>
    <w:rsid w:val="002360EA"/>
    <w:rsid w:val="002371B7"/>
    <w:rsid w:val="00246BDD"/>
    <w:rsid w:val="00250C34"/>
    <w:rsid w:val="0025381F"/>
    <w:rsid w:val="002C1D84"/>
    <w:rsid w:val="002C2F59"/>
    <w:rsid w:val="002C38BA"/>
    <w:rsid w:val="002E47EE"/>
    <w:rsid w:val="0031795E"/>
    <w:rsid w:val="00322645"/>
    <w:rsid w:val="00330B53"/>
    <w:rsid w:val="00331103"/>
    <w:rsid w:val="00331F35"/>
    <w:rsid w:val="003347B1"/>
    <w:rsid w:val="0034389C"/>
    <w:rsid w:val="00351A5E"/>
    <w:rsid w:val="003613EA"/>
    <w:rsid w:val="003655CF"/>
    <w:rsid w:val="0039378C"/>
    <w:rsid w:val="003938BC"/>
    <w:rsid w:val="003965CF"/>
    <w:rsid w:val="003B50DF"/>
    <w:rsid w:val="003B7D5A"/>
    <w:rsid w:val="003C1360"/>
    <w:rsid w:val="00403E9A"/>
    <w:rsid w:val="00445CF1"/>
    <w:rsid w:val="00451FF9"/>
    <w:rsid w:val="004570FE"/>
    <w:rsid w:val="00467145"/>
    <w:rsid w:val="00486620"/>
    <w:rsid w:val="004966B0"/>
    <w:rsid w:val="004A7835"/>
    <w:rsid w:val="004B1817"/>
    <w:rsid w:val="004B65F7"/>
    <w:rsid w:val="004C299E"/>
    <w:rsid w:val="004F0CD7"/>
    <w:rsid w:val="004F21D4"/>
    <w:rsid w:val="00507259"/>
    <w:rsid w:val="00516A8F"/>
    <w:rsid w:val="00547070"/>
    <w:rsid w:val="00553500"/>
    <w:rsid w:val="00560437"/>
    <w:rsid w:val="005608AD"/>
    <w:rsid w:val="0056639C"/>
    <w:rsid w:val="005700D8"/>
    <w:rsid w:val="00590C88"/>
    <w:rsid w:val="0059208B"/>
    <w:rsid w:val="005A318F"/>
    <w:rsid w:val="005B7051"/>
    <w:rsid w:val="005C1BCA"/>
    <w:rsid w:val="005D15C1"/>
    <w:rsid w:val="005E6508"/>
    <w:rsid w:val="005F1989"/>
    <w:rsid w:val="00607BBA"/>
    <w:rsid w:val="00620E2D"/>
    <w:rsid w:val="006441EA"/>
    <w:rsid w:val="0065201F"/>
    <w:rsid w:val="00660B46"/>
    <w:rsid w:val="00663DED"/>
    <w:rsid w:val="006673C7"/>
    <w:rsid w:val="00677ABF"/>
    <w:rsid w:val="006948D9"/>
    <w:rsid w:val="006A23B5"/>
    <w:rsid w:val="006A7B7C"/>
    <w:rsid w:val="006B4140"/>
    <w:rsid w:val="006B429D"/>
    <w:rsid w:val="006B68C9"/>
    <w:rsid w:val="006D1C2F"/>
    <w:rsid w:val="006E4CFF"/>
    <w:rsid w:val="00701265"/>
    <w:rsid w:val="00735D6F"/>
    <w:rsid w:val="00743CA9"/>
    <w:rsid w:val="00761133"/>
    <w:rsid w:val="00766151"/>
    <w:rsid w:val="007662A6"/>
    <w:rsid w:val="0078006D"/>
    <w:rsid w:val="007860F7"/>
    <w:rsid w:val="00790FFE"/>
    <w:rsid w:val="007917F3"/>
    <w:rsid w:val="007A14A7"/>
    <w:rsid w:val="007A504F"/>
    <w:rsid w:val="007B33D4"/>
    <w:rsid w:val="007B4C7A"/>
    <w:rsid w:val="007B6F8C"/>
    <w:rsid w:val="007C79FE"/>
    <w:rsid w:val="007D4A88"/>
    <w:rsid w:val="007F66B9"/>
    <w:rsid w:val="00812471"/>
    <w:rsid w:val="008128DA"/>
    <w:rsid w:val="008347D1"/>
    <w:rsid w:val="00837C9E"/>
    <w:rsid w:val="00844EAB"/>
    <w:rsid w:val="00846CC8"/>
    <w:rsid w:val="00870C45"/>
    <w:rsid w:val="0087723A"/>
    <w:rsid w:val="008932C5"/>
    <w:rsid w:val="0089470C"/>
    <w:rsid w:val="0089512B"/>
    <w:rsid w:val="008F2645"/>
    <w:rsid w:val="008F7650"/>
    <w:rsid w:val="00901408"/>
    <w:rsid w:val="009167C7"/>
    <w:rsid w:val="0092233F"/>
    <w:rsid w:val="00935E73"/>
    <w:rsid w:val="00940283"/>
    <w:rsid w:val="0095071D"/>
    <w:rsid w:val="009514A4"/>
    <w:rsid w:val="009532D8"/>
    <w:rsid w:val="0095401F"/>
    <w:rsid w:val="00961901"/>
    <w:rsid w:val="009625E3"/>
    <w:rsid w:val="00962A90"/>
    <w:rsid w:val="0097340A"/>
    <w:rsid w:val="009802B3"/>
    <w:rsid w:val="00984696"/>
    <w:rsid w:val="009871E2"/>
    <w:rsid w:val="009A682D"/>
    <w:rsid w:val="009B05E8"/>
    <w:rsid w:val="009D134C"/>
    <w:rsid w:val="009D1F81"/>
    <w:rsid w:val="009D4C4F"/>
    <w:rsid w:val="009E2BA7"/>
    <w:rsid w:val="009E3E43"/>
    <w:rsid w:val="00A173A0"/>
    <w:rsid w:val="00A35B73"/>
    <w:rsid w:val="00A371B3"/>
    <w:rsid w:val="00A432B6"/>
    <w:rsid w:val="00A446AE"/>
    <w:rsid w:val="00A44FAD"/>
    <w:rsid w:val="00A55137"/>
    <w:rsid w:val="00A6381B"/>
    <w:rsid w:val="00A81178"/>
    <w:rsid w:val="00A83B17"/>
    <w:rsid w:val="00A85051"/>
    <w:rsid w:val="00AC44B0"/>
    <w:rsid w:val="00AC468A"/>
    <w:rsid w:val="00AC558F"/>
    <w:rsid w:val="00AC7523"/>
    <w:rsid w:val="00AD168D"/>
    <w:rsid w:val="00AE5D16"/>
    <w:rsid w:val="00AF279C"/>
    <w:rsid w:val="00B044D6"/>
    <w:rsid w:val="00B05FD2"/>
    <w:rsid w:val="00B07259"/>
    <w:rsid w:val="00B17697"/>
    <w:rsid w:val="00B41741"/>
    <w:rsid w:val="00B5071D"/>
    <w:rsid w:val="00B87342"/>
    <w:rsid w:val="00B90AB3"/>
    <w:rsid w:val="00B942E9"/>
    <w:rsid w:val="00B951C4"/>
    <w:rsid w:val="00BB045C"/>
    <w:rsid w:val="00BB0B01"/>
    <w:rsid w:val="00BC5226"/>
    <w:rsid w:val="00BC74BC"/>
    <w:rsid w:val="00BE74D4"/>
    <w:rsid w:val="00C139AB"/>
    <w:rsid w:val="00C149F3"/>
    <w:rsid w:val="00C31FCA"/>
    <w:rsid w:val="00C345DC"/>
    <w:rsid w:val="00C54EB1"/>
    <w:rsid w:val="00C62A15"/>
    <w:rsid w:val="00C96BB0"/>
    <w:rsid w:val="00CA4C24"/>
    <w:rsid w:val="00CC5416"/>
    <w:rsid w:val="00CC5F76"/>
    <w:rsid w:val="00CC60A6"/>
    <w:rsid w:val="00CD60B6"/>
    <w:rsid w:val="00CD6EF8"/>
    <w:rsid w:val="00CD74B5"/>
    <w:rsid w:val="00CE3417"/>
    <w:rsid w:val="00CF4873"/>
    <w:rsid w:val="00CF5BA8"/>
    <w:rsid w:val="00D21660"/>
    <w:rsid w:val="00D705A0"/>
    <w:rsid w:val="00D7068D"/>
    <w:rsid w:val="00D93FE3"/>
    <w:rsid w:val="00DA08F9"/>
    <w:rsid w:val="00DB573A"/>
    <w:rsid w:val="00DC6CD0"/>
    <w:rsid w:val="00DC7728"/>
    <w:rsid w:val="00DE5DBA"/>
    <w:rsid w:val="00DE6614"/>
    <w:rsid w:val="00E12213"/>
    <w:rsid w:val="00E132CB"/>
    <w:rsid w:val="00E16F57"/>
    <w:rsid w:val="00E368AA"/>
    <w:rsid w:val="00E411EE"/>
    <w:rsid w:val="00E56721"/>
    <w:rsid w:val="00E774ED"/>
    <w:rsid w:val="00E83333"/>
    <w:rsid w:val="00EA0A53"/>
    <w:rsid w:val="00EB023A"/>
    <w:rsid w:val="00EB1577"/>
    <w:rsid w:val="00EB559D"/>
    <w:rsid w:val="00EB5B89"/>
    <w:rsid w:val="00EB7261"/>
    <w:rsid w:val="00EC705E"/>
    <w:rsid w:val="00ED6540"/>
    <w:rsid w:val="00F064F7"/>
    <w:rsid w:val="00F15D17"/>
    <w:rsid w:val="00F31FBA"/>
    <w:rsid w:val="00F35701"/>
    <w:rsid w:val="00F43DB0"/>
    <w:rsid w:val="00F4478E"/>
    <w:rsid w:val="00F62FAE"/>
    <w:rsid w:val="00F654EA"/>
    <w:rsid w:val="00F662D1"/>
    <w:rsid w:val="00F74DD6"/>
    <w:rsid w:val="00F770EE"/>
    <w:rsid w:val="00F84E2E"/>
    <w:rsid w:val="00F914EB"/>
    <w:rsid w:val="00FA71BF"/>
    <w:rsid w:val="00FB2452"/>
    <w:rsid w:val="00FB2E5A"/>
    <w:rsid w:val="00FB4BC2"/>
    <w:rsid w:val="00FE2147"/>
    <w:rsid w:val="00FE517B"/>
    <w:rsid w:val="00FF41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AC63A"/>
  <w15:docId w15:val="{17FB2662-129A-4139-BF34-40D04B34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semiHidden/>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semiHidden/>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semiHidden/>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semiHidden/>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7D96A-296F-4944-8AAA-A1CBB4B4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2468</Words>
  <Characters>13579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2016-06-03T14:30:00Z</cp:lastPrinted>
  <dcterms:created xsi:type="dcterms:W3CDTF">2017-11-09T19:18:00Z</dcterms:created>
  <dcterms:modified xsi:type="dcterms:W3CDTF">2017-11-09T19:18:00Z</dcterms:modified>
</cp:coreProperties>
</file>