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342C" w:rsidRPr="00701C21" w:rsidRDefault="008369ED" w:rsidP="00E47660">
      <w:pPr>
        <w:pStyle w:val="Encabezado"/>
        <w:tabs>
          <w:tab w:val="clear" w:pos="8504"/>
        </w:tabs>
        <w:ind w:left="0"/>
        <w:jc w:val="center"/>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97.15pt;margin-top:-53.5pt;width:52.5pt;height:48.75pt;z-index:251657216" fillcolor="#0c9">
            <v:imagedata r:id="rId9" o:title=""/>
          </v:shape>
          <o:OLEObject Type="Embed" ProgID="PBrush" ShapeID="_x0000_s1026" DrawAspect="Content" ObjectID="_1458635389" r:id="rId10"/>
        </w:pict>
      </w:r>
    </w:p>
    <w:p w:rsidR="00625DC6" w:rsidRPr="00701C21" w:rsidRDefault="00625DC6" w:rsidP="00E47660">
      <w:pPr>
        <w:pStyle w:val="Encabezado"/>
        <w:tabs>
          <w:tab w:val="clear" w:pos="8504"/>
        </w:tabs>
        <w:ind w:left="0"/>
        <w:jc w:val="center"/>
        <w:rPr>
          <w:rFonts w:ascii="Bookman Old Style" w:hAnsi="Bookman Old Style"/>
          <w:szCs w:val="24"/>
        </w:rPr>
      </w:pPr>
    </w:p>
    <w:p w:rsidR="00CA77FB" w:rsidRPr="00701C21" w:rsidRDefault="00CA77FB" w:rsidP="00E47660">
      <w:pPr>
        <w:pStyle w:val="Ttulo4"/>
        <w:ind w:left="0"/>
        <w:rPr>
          <w:rFonts w:ascii="Bookman Old Style" w:hAnsi="Bookman Old Style"/>
          <w:b w:val="0"/>
          <w:bCs/>
          <w:noProof/>
          <w:sz w:val="24"/>
          <w:szCs w:val="24"/>
          <w:lang w:val="es-CO"/>
        </w:rPr>
      </w:pPr>
      <w:r w:rsidRPr="00701C21">
        <w:rPr>
          <w:rFonts w:ascii="Bookman Old Style" w:hAnsi="Bookman Old Style"/>
          <w:b w:val="0"/>
          <w:bCs/>
          <w:sz w:val="24"/>
          <w:szCs w:val="24"/>
          <w:lang w:val="es-CO"/>
        </w:rPr>
        <w:t>Ministerio de Minas y Energía</w:t>
      </w:r>
    </w:p>
    <w:p w:rsidR="00CA77FB" w:rsidRPr="00701C21" w:rsidRDefault="00CA77FB" w:rsidP="00E47660">
      <w:pPr>
        <w:pStyle w:val="Ttulo4"/>
        <w:ind w:left="0"/>
        <w:rPr>
          <w:rFonts w:ascii="Bookman Old Style" w:hAnsi="Bookman Old Style"/>
          <w:b w:val="0"/>
          <w:bCs/>
          <w:sz w:val="24"/>
          <w:szCs w:val="24"/>
          <w:lang w:val="es-CO"/>
        </w:rPr>
      </w:pPr>
    </w:p>
    <w:p w:rsidR="00CA77FB" w:rsidRPr="00701C21" w:rsidRDefault="00CA77FB" w:rsidP="00E47660">
      <w:pPr>
        <w:pStyle w:val="Ttulo3"/>
        <w:ind w:left="0"/>
        <w:rPr>
          <w:rFonts w:ascii="Bookman Old Style" w:hAnsi="Bookman Old Style" w:cs="Arial"/>
          <w:spacing w:val="20"/>
          <w:szCs w:val="24"/>
          <w:lang w:val="es-CO"/>
        </w:rPr>
      </w:pPr>
      <w:r w:rsidRPr="00701C21">
        <w:rPr>
          <w:rFonts w:ascii="Bookman Old Style" w:hAnsi="Bookman Old Style" w:cs="Arial"/>
          <w:spacing w:val="20"/>
          <w:szCs w:val="24"/>
          <w:lang w:val="es-CO"/>
        </w:rPr>
        <w:t>COMISIÓN DE REGULACIÓN DE ENERGÍA Y GAS</w:t>
      </w:r>
    </w:p>
    <w:p w:rsidR="00CA77FB" w:rsidRPr="00701C21" w:rsidRDefault="00CA77FB" w:rsidP="00E47660">
      <w:pPr>
        <w:pStyle w:val="Ttulo5"/>
        <w:ind w:left="0"/>
        <w:rPr>
          <w:rFonts w:ascii="Bookman Old Style" w:hAnsi="Bookman Old Style"/>
          <w:sz w:val="24"/>
          <w:szCs w:val="24"/>
          <w:lang w:val="es-CO"/>
        </w:rPr>
      </w:pPr>
    </w:p>
    <w:p w:rsidR="00CA77FB" w:rsidRPr="00701C21" w:rsidRDefault="00CA77FB" w:rsidP="00E47660">
      <w:pPr>
        <w:pStyle w:val="Ttulo5"/>
        <w:ind w:left="0"/>
        <w:rPr>
          <w:rFonts w:ascii="Bookman Old Style" w:hAnsi="Bookman Old Style"/>
          <w:sz w:val="24"/>
          <w:szCs w:val="24"/>
          <w:lang w:val="es-CO"/>
        </w:rPr>
      </w:pPr>
    </w:p>
    <w:p w:rsidR="00CA77FB" w:rsidRPr="00701C21" w:rsidRDefault="00CA77FB" w:rsidP="00E47660">
      <w:pPr>
        <w:pStyle w:val="Ttulo5"/>
        <w:ind w:left="0"/>
        <w:rPr>
          <w:rFonts w:ascii="Bookman Old Style" w:hAnsi="Bookman Old Style"/>
          <w:sz w:val="24"/>
          <w:szCs w:val="24"/>
          <w:lang w:val="es-CO"/>
        </w:rPr>
      </w:pPr>
      <w:r w:rsidRPr="00701C21">
        <w:rPr>
          <w:rFonts w:ascii="Bookman Old Style" w:hAnsi="Bookman Old Style"/>
          <w:sz w:val="24"/>
          <w:szCs w:val="24"/>
          <w:lang w:val="es-CO"/>
        </w:rPr>
        <w:t xml:space="preserve">RESOLUCIÓN No. </w:t>
      </w:r>
      <w:r w:rsidR="00795BFB" w:rsidRPr="00701C21">
        <w:rPr>
          <w:rFonts w:ascii="Bookman Old Style" w:hAnsi="Bookman Old Style"/>
          <w:sz w:val="24"/>
          <w:szCs w:val="24"/>
          <w:lang w:val="es-CO"/>
        </w:rPr>
        <w:t xml:space="preserve">             </w:t>
      </w:r>
      <w:r w:rsidRPr="00701C21">
        <w:rPr>
          <w:rFonts w:ascii="Bookman Old Style" w:hAnsi="Bookman Old Style"/>
          <w:sz w:val="24"/>
          <w:szCs w:val="24"/>
          <w:lang w:val="es-CO"/>
        </w:rPr>
        <w:t>DE 20</w:t>
      </w:r>
      <w:r w:rsidR="00795BFB" w:rsidRPr="00701C21">
        <w:rPr>
          <w:rFonts w:ascii="Bookman Old Style" w:hAnsi="Bookman Old Style"/>
          <w:sz w:val="24"/>
          <w:szCs w:val="24"/>
          <w:lang w:val="es-CO"/>
        </w:rPr>
        <w:t>1</w:t>
      </w:r>
      <w:r w:rsidR="00D379DD" w:rsidRPr="00701C21">
        <w:rPr>
          <w:rFonts w:ascii="Bookman Old Style" w:hAnsi="Bookman Old Style"/>
          <w:sz w:val="24"/>
          <w:szCs w:val="24"/>
          <w:lang w:val="es-CO"/>
        </w:rPr>
        <w:t>4</w:t>
      </w:r>
    </w:p>
    <w:p w:rsidR="00CA77FB" w:rsidRPr="00701C21" w:rsidRDefault="00CA77FB" w:rsidP="00E47660">
      <w:pPr>
        <w:ind w:left="0"/>
        <w:jc w:val="center"/>
        <w:rPr>
          <w:rFonts w:ascii="Bookman Old Style" w:hAnsi="Bookman Old Style" w:cs="Arial"/>
          <w:b/>
          <w:snapToGrid w:val="0"/>
          <w:color w:val="000000"/>
          <w:lang w:val="es-CO"/>
        </w:rPr>
      </w:pPr>
    </w:p>
    <w:p w:rsidR="00CA77FB" w:rsidRPr="00701C21" w:rsidRDefault="00CA77FB" w:rsidP="00E47660">
      <w:pPr>
        <w:pStyle w:val="Ttulo3"/>
        <w:ind w:left="0"/>
        <w:rPr>
          <w:rFonts w:ascii="Bookman Old Style" w:hAnsi="Bookman Old Style"/>
          <w:b w:val="0"/>
          <w:szCs w:val="24"/>
          <w:lang w:val="es-CO"/>
        </w:rPr>
      </w:pPr>
      <w:r w:rsidRPr="00701C21">
        <w:rPr>
          <w:rFonts w:ascii="Bookman Old Style" w:hAnsi="Bookman Old Style"/>
          <w:b w:val="0"/>
          <w:szCs w:val="24"/>
          <w:lang w:val="es-CO"/>
        </w:rPr>
        <w:t>(                                )</w:t>
      </w:r>
    </w:p>
    <w:p w:rsidR="00CA77FB" w:rsidRPr="00701C21" w:rsidRDefault="00CA77FB" w:rsidP="00E47660">
      <w:pPr>
        <w:ind w:left="0"/>
        <w:jc w:val="center"/>
        <w:rPr>
          <w:rFonts w:ascii="Bookman Old Style" w:hAnsi="Bookman Old Style"/>
          <w:lang w:val="es-CO"/>
        </w:rPr>
      </w:pPr>
    </w:p>
    <w:p w:rsidR="00CD5CEF" w:rsidRPr="00701C21" w:rsidRDefault="00CD5CEF" w:rsidP="00E47660">
      <w:pPr>
        <w:ind w:left="0"/>
        <w:jc w:val="center"/>
        <w:rPr>
          <w:rFonts w:ascii="Bookman Old Style" w:hAnsi="Bookman Old Style"/>
          <w:lang w:val="es-CO"/>
        </w:rPr>
      </w:pPr>
    </w:p>
    <w:p w:rsidR="00FC182F" w:rsidRPr="00701C21" w:rsidRDefault="0020528A" w:rsidP="00E47660">
      <w:pPr>
        <w:pStyle w:val="Textodebloque"/>
        <w:spacing w:after="0"/>
        <w:ind w:left="0" w:right="0"/>
        <w:jc w:val="center"/>
        <w:rPr>
          <w:rFonts w:ascii="Bookman Old Style" w:hAnsi="Bookman Old Style"/>
          <w:iCs/>
          <w:szCs w:val="24"/>
          <w:lang w:val="es-CO"/>
        </w:rPr>
      </w:pPr>
      <w:r w:rsidRPr="00701C21">
        <w:rPr>
          <w:rFonts w:ascii="Bookman Old Style" w:hAnsi="Bookman Old Style"/>
          <w:iCs/>
          <w:szCs w:val="24"/>
          <w:lang w:val="es-CO"/>
        </w:rPr>
        <w:t xml:space="preserve">Por la cual se </w:t>
      </w:r>
      <w:r w:rsidR="00FC182F" w:rsidRPr="00701C21">
        <w:rPr>
          <w:rFonts w:ascii="Bookman Old Style" w:hAnsi="Bookman Old Style"/>
          <w:iCs/>
          <w:szCs w:val="24"/>
          <w:lang w:val="es-CO"/>
        </w:rPr>
        <w:t xml:space="preserve">pone en conocimiento </w:t>
      </w:r>
      <w:r w:rsidRPr="00701C21">
        <w:rPr>
          <w:rFonts w:ascii="Bookman Old Style" w:hAnsi="Bookman Old Style"/>
          <w:iCs/>
          <w:szCs w:val="24"/>
          <w:lang w:val="es-CO"/>
        </w:rPr>
        <w:t xml:space="preserve">de </w:t>
      </w:r>
      <w:r w:rsidR="00FC182F" w:rsidRPr="00701C21">
        <w:rPr>
          <w:rFonts w:ascii="Bookman Old Style" w:hAnsi="Bookman Old Style"/>
          <w:iCs/>
          <w:szCs w:val="24"/>
          <w:lang w:val="es-CO"/>
        </w:rPr>
        <w:t xml:space="preserve">las empresas prestadoras del servicio de gas natural, los usuarios y demás interesados </w:t>
      </w:r>
      <w:r w:rsidR="00941EEA" w:rsidRPr="00701C21">
        <w:rPr>
          <w:rFonts w:ascii="Bookman Old Style" w:hAnsi="Bookman Old Style"/>
          <w:iCs/>
          <w:szCs w:val="24"/>
          <w:lang w:val="es-CO"/>
        </w:rPr>
        <w:t xml:space="preserve">las bases </w:t>
      </w:r>
      <w:r w:rsidRPr="00701C21">
        <w:rPr>
          <w:rFonts w:ascii="Bookman Old Style" w:hAnsi="Bookman Old Style"/>
          <w:iCs/>
          <w:szCs w:val="24"/>
          <w:lang w:val="es-CO"/>
        </w:rPr>
        <w:t>sobre l</w:t>
      </w:r>
      <w:r w:rsidR="00941EEA" w:rsidRPr="00701C21">
        <w:rPr>
          <w:rFonts w:ascii="Bookman Old Style" w:hAnsi="Bookman Old Style"/>
          <w:iCs/>
          <w:szCs w:val="24"/>
          <w:lang w:val="es-CO"/>
        </w:rPr>
        <w:t>a</w:t>
      </w:r>
      <w:r w:rsidRPr="00701C21">
        <w:rPr>
          <w:rFonts w:ascii="Bookman Old Style" w:hAnsi="Bookman Old Style"/>
          <w:iCs/>
          <w:szCs w:val="24"/>
          <w:lang w:val="es-CO"/>
        </w:rPr>
        <w:t xml:space="preserve">s cuales se efectuará el estudio para </w:t>
      </w:r>
      <w:r w:rsidR="00FC182F" w:rsidRPr="00701C21">
        <w:rPr>
          <w:rFonts w:ascii="Bookman Old Style" w:hAnsi="Bookman Old Style"/>
          <w:iCs/>
          <w:szCs w:val="24"/>
          <w:lang w:val="es-CO"/>
        </w:rPr>
        <w:t>determinar</w:t>
      </w:r>
      <w:r w:rsidRPr="00701C21">
        <w:rPr>
          <w:rFonts w:ascii="Bookman Old Style" w:hAnsi="Bookman Old Style"/>
          <w:iCs/>
          <w:szCs w:val="24"/>
          <w:lang w:val="es-CO"/>
        </w:rPr>
        <w:t xml:space="preserve"> </w:t>
      </w:r>
      <w:r w:rsidR="00FC182F" w:rsidRPr="00701C21">
        <w:rPr>
          <w:rFonts w:ascii="Bookman Old Style" w:hAnsi="Bookman Old Style"/>
          <w:iCs/>
          <w:szCs w:val="24"/>
          <w:lang w:val="es-CO"/>
        </w:rPr>
        <w:t xml:space="preserve">la metodología y el esquema general de cargos para remunerar la actividad de transporte de gas natural en el siguiente </w:t>
      </w:r>
      <w:r w:rsidR="00452777">
        <w:rPr>
          <w:rFonts w:ascii="Bookman Old Style" w:hAnsi="Bookman Old Style"/>
          <w:iCs/>
          <w:szCs w:val="24"/>
          <w:lang w:val="es-CO"/>
        </w:rPr>
        <w:t>período</w:t>
      </w:r>
      <w:r w:rsidR="00FC182F" w:rsidRPr="00701C21">
        <w:rPr>
          <w:rFonts w:ascii="Bookman Old Style" w:hAnsi="Bookman Old Style"/>
          <w:iCs/>
          <w:szCs w:val="24"/>
          <w:lang w:val="es-CO"/>
        </w:rPr>
        <w:t xml:space="preserve"> tarifario</w:t>
      </w:r>
    </w:p>
    <w:p w:rsidR="00FC182F" w:rsidRPr="004D310F" w:rsidRDefault="00FC182F" w:rsidP="00E47660">
      <w:pPr>
        <w:pStyle w:val="Textodebloque"/>
        <w:spacing w:after="0"/>
        <w:ind w:left="0" w:right="0"/>
        <w:jc w:val="center"/>
        <w:rPr>
          <w:rFonts w:ascii="Bookman Old Style" w:hAnsi="Bookman Old Style"/>
          <w:iCs/>
          <w:sz w:val="28"/>
          <w:szCs w:val="24"/>
          <w:lang w:val="es-CO"/>
        </w:rPr>
      </w:pPr>
    </w:p>
    <w:p w:rsidR="00CD5CEF" w:rsidRPr="004D310F" w:rsidRDefault="00CD5CEF" w:rsidP="00E47660">
      <w:pPr>
        <w:pStyle w:val="Textodebloque"/>
        <w:spacing w:after="0"/>
        <w:ind w:left="0" w:right="0"/>
        <w:jc w:val="center"/>
        <w:rPr>
          <w:rFonts w:ascii="Bookman Old Style" w:hAnsi="Bookman Old Style"/>
          <w:iCs/>
          <w:sz w:val="28"/>
          <w:szCs w:val="24"/>
          <w:lang w:val="es-CO"/>
        </w:rPr>
      </w:pPr>
    </w:p>
    <w:p w:rsidR="0020528A" w:rsidRPr="00701C21" w:rsidRDefault="0020528A" w:rsidP="00E47660">
      <w:pPr>
        <w:ind w:left="0"/>
        <w:jc w:val="center"/>
        <w:rPr>
          <w:rFonts w:ascii="Bookman Old Style" w:hAnsi="Bookman Old Style"/>
          <w:b/>
          <w:lang w:val="es-CO"/>
        </w:rPr>
      </w:pPr>
      <w:r w:rsidRPr="00701C21">
        <w:rPr>
          <w:rFonts w:ascii="Bookman Old Style" w:hAnsi="Bookman Old Style"/>
          <w:b/>
          <w:lang w:val="es-CO"/>
        </w:rPr>
        <w:t>LA COMISIÓN DE REGULACIÓN DE ENERGÍA Y GAS</w:t>
      </w:r>
    </w:p>
    <w:p w:rsidR="0020528A" w:rsidRPr="004D310F" w:rsidRDefault="0020528A" w:rsidP="00E47660">
      <w:pPr>
        <w:ind w:left="0"/>
        <w:jc w:val="center"/>
        <w:rPr>
          <w:rFonts w:ascii="Bookman Old Style" w:hAnsi="Bookman Old Style"/>
          <w:sz w:val="28"/>
          <w:lang w:val="es-CO"/>
        </w:rPr>
      </w:pPr>
    </w:p>
    <w:p w:rsidR="0020528A" w:rsidRPr="004D310F" w:rsidRDefault="0020528A" w:rsidP="00E47660">
      <w:pPr>
        <w:pStyle w:val="Textoindependiente3"/>
        <w:ind w:left="0"/>
        <w:rPr>
          <w:rFonts w:ascii="Bookman Old Style" w:hAnsi="Bookman Old Style"/>
          <w:b w:val="0"/>
          <w:sz w:val="28"/>
          <w:lang w:val="es-CO"/>
        </w:rPr>
      </w:pPr>
    </w:p>
    <w:p w:rsidR="0020528A" w:rsidRPr="00701C21" w:rsidRDefault="000A51F8" w:rsidP="00E47660">
      <w:pPr>
        <w:ind w:left="0"/>
        <w:jc w:val="center"/>
        <w:rPr>
          <w:rFonts w:ascii="Bookman Old Style" w:hAnsi="Bookman Old Style"/>
        </w:rPr>
      </w:pPr>
      <w:r w:rsidRPr="00701C21">
        <w:rPr>
          <w:rFonts w:ascii="Bookman Old Style" w:hAnsi="Bookman Old Style"/>
        </w:rPr>
        <w:t>En ejercicio de sus atribuciones legales, en especial las conferidas por la Ley 142 de 1994, y en desarrollo del Decreto 2253 de 1994, y</w:t>
      </w:r>
    </w:p>
    <w:p w:rsidR="000A51F8" w:rsidRPr="004D310F" w:rsidRDefault="000A51F8" w:rsidP="00E47660">
      <w:pPr>
        <w:ind w:left="0"/>
        <w:jc w:val="center"/>
        <w:rPr>
          <w:rFonts w:ascii="Bookman Old Style" w:hAnsi="Bookman Old Style"/>
          <w:sz w:val="28"/>
          <w:lang w:val="es-CO"/>
        </w:rPr>
      </w:pPr>
    </w:p>
    <w:p w:rsidR="00CD5CEF" w:rsidRPr="004D310F" w:rsidRDefault="00CD5CEF" w:rsidP="00E47660">
      <w:pPr>
        <w:ind w:left="0"/>
        <w:jc w:val="center"/>
        <w:rPr>
          <w:rFonts w:ascii="Bookman Old Style" w:hAnsi="Bookman Old Style"/>
          <w:sz w:val="28"/>
          <w:lang w:val="es-CO"/>
        </w:rPr>
      </w:pPr>
    </w:p>
    <w:p w:rsidR="0020528A" w:rsidRPr="00701C21" w:rsidRDefault="0020528A" w:rsidP="00E47660">
      <w:pPr>
        <w:ind w:left="0"/>
        <w:jc w:val="center"/>
        <w:rPr>
          <w:rFonts w:ascii="Bookman Old Style" w:hAnsi="Bookman Old Style"/>
          <w:b/>
          <w:lang w:val="es-CO"/>
        </w:rPr>
      </w:pPr>
      <w:r w:rsidRPr="00701C21">
        <w:rPr>
          <w:rFonts w:ascii="Bookman Old Style" w:hAnsi="Bookman Old Style"/>
          <w:b/>
          <w:lang w:val="es-CO"/>
        </w:rPr>
        <w:t>C O N S I D E R A N D O</w:t>
      </w:r>
      <w:r w:rsidR="00CD5CEF" w:rsidRPr="00701C21">
        <w:rPr>
          <w:rFonts w:ascii="Bookman Old Style" w:hAnsi="Bookman Old Style"/>
          <w:b/>
          <w:lang w:val="es-CO"/>
        </w:rPr>
        <w:t xml:space="preserve">  Q U E</w:t>
      </w:r>
      <w:r w:rsidRPr="00701C21">
        <w:rPr>
          <w:rFonts w:ascii="Bookman Old Style" w:hAnsi="Bookman Old Style"/>
          <w:b/>
          <w:lang w:val="es-CO"/>
        </w:rPr>
        <w:t>:</w:t>
      </w:r>
    </w:p>
    <w:p w:rsidR="00351D27" w:rsidRPr="004D310F" w:rsidRDefault="00351D27" w:rsidP="00E47660">
      <w:pPr>
        <w:pStyle w:val="Textodebloque"/>
        <w:spacing w:after="0"/>
        <w:ind w:left="0" w:right="0"/>
        <w:jc w:val="center"/>
        <w:rPr>
          <w:rFonts w:ascii="Bookman Old Style" w:hAnsi="Bookman Old Style"/>
          <w:iCs/>
          <w:sz w:val="28"/>
          <w:szCs w:val="24"/>
          <w:lang w:val="es-CO"/>
        </w:rPr>
      </w:pPr>
    </w:p>
    <w:p w:rsidR="00713B0E" w:rsidRPr="004D310F" w:rsidRDefault="00713B0E" w:rsidP="00E47660">
      <w:pPr>
        <w:pStyle w:val="Textodebloque"/>
        <w:spacing w:after="0"/>
        <w:ind w:left="0" w:right="0"/>
        <w:jc w:val="center"/>
        <w:rPr>
          <w:rFonts w:ascii="Bookman Old Style" w:hAnsi="Bookman Old Style"/>
          <w:iCs/>
          <w:sz w:val="28"/>
          <w:szCs w:val="24"/>
          <w:lang w:val="es-CO"/>
        </w:rPr>
      </w:pPr>
    </w:p>
    <w:p w:rsidR="000A51F8" w:rsidRPr="00701C21" w:rsidRDefault="000A51F8" w:rsidP="00E47660">
      <w:pPr>
        <w:pStyle w:val="Textodebloque"/>
        <w:spacing w:after="0"/>
        <w:ind w:left="0" w:right="0"/>
        <w:rPr>
          <w:rFonts w:ascii="Bookman Old Style" w:hAnsi="Bookman Old Style"/>
          <w:iCs/>
          <w:szCs w:val="24"/>
          <w:lang w:val="es-CO"/>
        </w:rPr>
      </w:pPr>
      <w:r w:rsidRPr="00701C21">
        <w:rPr>
          <w:rFonts w:ascii="Bookman Old Style" w:hAnsi="Bookman Old Style"/>
          <w:iCs/>
          <w:szCs w:val="24"/>
          <w:lang w:val="es-CO"/>
        </w:rPr>
        <w:t>De acuerdo con lo establecido en el artículo 14 de la Ley 142 de 1994, la actividad de transporte de gas natural es una actividad complementaria del servicio público domiciliario de gas natural.</w:t>
      </w:r>
    </w:p>
    <w:p w:rsidR="000A51F8" w:rsidRPr="004D310F" w:rsidRDefault="000A51F8" w:rsidP="00E47660">
      <w:pPr>
        <w:pStyle w:val="Textodebloque"/>
        <w:spacing w:after="0"/>
        <w:ind w:left="0" w:right="0"/>
        <w:rPr>
          <w:rFonts w:ascii="Bookman Old Style" w:hAnsi="Bookman Old Style"/>
          <w:iCs/>
          <w:sz w:val="28"/>
          <w:szCs w:val="24"/>
          <w:lang w:val="es-CO"/>
        </w:rPr>
      </w:pPr>
    </w:p>
    <w:p w:rsidR="000A51F8" w:rsidRPr="00701C21" w:rsidRDefault="000A51F8" w:rsidP="00E47660">
      <w:pPr>
        <w:pStyle w:val="Textodebloque"/>
        <w:spacing w:after="0"/>
        <w:ind w:left="0" w:right="0"/>
        <w:rPr>
          <w:rFonts w:ascii="Bookman Old Style" w:hAnsi="Bookman Old Style"/>
          <w:iCs/>
          <w:szCs w:val="24"/>
          <w:lang w:val="es-CO"/>
        </w:rPr>
      </w:pPr>
      <w:r w:rsidRPr="00701C21">
        <w:rPr>
          <w:rFonts w:ascii="Bookman Old Style" w:hAnsi="Bookman Old Style"/>
          <w:iCs/>
          <w:szCs w:val="24"/>
          <w:lang w:val="es-CO"/>
        </w:rPr>
        <w:t>El artículo 73.11 de la Ley 142 de 1994 faculta a la CREG para establecer fórmulas para la fijación de las tarifas de los servicios públicos.</w:t>
      </w:r>
    </w:p>
    <w:p w:rsidR="000A51F8" w:rsidRPr="004D310F" w:rsidRDefault="000A51F8" w:rsidP="00E47660">
      <w:pPr>
        <w:pStyle w:val="Textodebloque"/>
        <w:spacing w:after="0"/>
        <w:ind w:left="0" w:right="0"/>
        <w:rPr>
          <w:rFonts w:ascii="Bookman Old Style" w:hAnsi="Bookman Old Style"/>
          <w:iCs/>
          <w:sz w:val="28"/>
          <w:szCs w:val="24"/>
          <w:lang w:val="es-CO"/>
        </w:rPr>
      </w:pPr>
    </w:p>
    <w:p w:rsidR="000A51F8" w:rsidRPr="00701C21" w:rsidRDefault="000A51F8" w:rsidP="00E47660">
      <w:pPr>
        <w:pStyle w:val="Textodebloque"/>
        <w:spacing w:after="0"/>
        <w:ind w:left="0" w:right="0"/>
        <w:rPr>
          <w:rFonts w:ascii="Bookman Old Style" w:hAnsi="Bookman Old Style"/>
          <w:iCs/>
          <w:szCs w:val="24"/>
          <w:lang w:val="es-CO"/>
        </w:rPr>
      </w:pPr>
      <w:r w:rsidRPr="00701C21">
        <w:rPr>
          <w:rFonts w:ascii="Bookman Old Style" w:hAnsi="Bookman Old Style"/>
          <w:iCs/>
          <w:szCs w:val="24"/>
          <w:lang w:val="es-CO"/>
        </w:rPr>
        <w:t>El artículo 87 de la Ley 142 de 1994 establece que el régimen tarifario estará orientado por los criterios de eficiencia económica, neutralidad, solidaridad, redistribución, suficiencia financiera, simplicidad y transparencia.</w:t>
      </w:r>
    </w:p>
    <w:p w:rsidR="000A51F8" w:rsidRPr="004D310F" w:rsidRDefault="000A51F8" w:rsidP="00E47660">
      <w:pPr>
        <w:pStyle w:val="Textodebloque"/>
        <w:spacing w:after="0"/>
        <w:ind w:left="0" w:right="0"/>
        <w:rPr>
          <w:rFonts w:ascii="Bookman Old Style" w:hAnsi="Bookman Old Style"/>
          <w:iCs/>
          <w:sz w:val="28"/>
          <w:szCs w:val="24"/>
          <w:lang w:val="es-CO"/>
        </w:rPr>
      </w:pPr>
    </w:p>
    <w:p w:rsidR="000A51F8" w:rsidRPr="00701C21" w:rsidRDefault="000A51F8" w:rsidP="00E47660">
      <w:pPr>
        <w:pStyle w:val="Textodebloque"/>
        <w:spacing w:after="0"/>
        <w:ind w:left="0" w:right="0"/>
        <w:rPr>
          <w:rFonts w:ascii="Bookman Old Style" w:hAnsi="Bookman Old Style"/>
          <w:iCs/>
          <w:szCs w:val="24"/>
          <w:lang w:val="es-CO"/>
        </w:rPr>
      </w:pPr>
      <w:r w:rsidRPr="00701C21">
        <w:rPr>
          <w:rFonts w:ascii="Bookman Old Style" w:hAnsi="Bookman Old Style"/>
          <w:iCs/>
          <w:szCs w:val="24"/>
          <w:lang w:val="es-CO"/>
        </w:rPr>
        <w:t>De acuerdo con el artículo 88.1 de la Ley 142 de 1994</w:t>
      </w:r>
      <w:r w:rsidR="00996A52" w:rsidRPr="00701C21">
        <w:rPr>
          <w:rFonts w:ascii="Bookman Old Style" w:hAnsi="Bookman Old Style"/>
          <w:iCs/>
          <w:szCs w:val="24"/>
          <w:lang w:val="es-CO"/>
        </w:rPr>
        <w:t>,</w:t>
      </w:r>
      <w:r w:rsidRPr="00701C21">
        <w:rPr>
          <w:rFonts w:ascii="Bookman Old Style" w:hAnsi="Bookman Old Style"/>
          <w:iCs/>
          <w:szCs w:val="24"/>
          <w:lang w:val="es-CO"/>
        </w:rPr>
        <w:t xml:space="preserve"> la CREG puede establecer topes máximos y mínimos de tarifas.</w:t>
      </w:r>
    </w:p>
    <w:p w:rsidR="000A51F8" w:rsidRPr="004D310F" w:rsidRDefault="000A51F8" w:rsidP="00E47660">
      <w:pPr>
        <w:pStyle w:val="Textodebloque"/>
        <w:spacing w:after="0"/>
        <w:ind w:left="0" w:right="0"/>
        <w:rPr>
          <w:rFonts w:ascii="Bookman Old Style" w:hAnsi="Bookman Old Style"/>
          <w:iCs/>
          <w:sz w:val="28"/>
          <w:szCs w:val="24"/>
          <w:lang w:val="es-CO"/>
        </w:rPr>
      </w:pPr>
    </w:p>
    <w:p w:rsidR="000A51F8" w:rsidRPr="00701C21" w:rsidRDefault="000A51F8" w:rsidP="00E47660">
      <w:pPr>
        <w:pStyle w:val="Textodebloque"/>
        <w:spacing w:after="0"/>
        <w:ind w:left="0" w:right="0"/>
        <w:rPr>
          <w:rFonts w:ascii="Bookman Old Style" w:hAnsi="Bookman Old Style"/>
          <w:iCs/>
          <w:szCs w:val="24"/>
          <w:lang w:val="es-CO"/>
        </w:rPr>
      </w:pPr>
      <w:r w:rsidRPr="00701C21">
        <w:rPr>
          <w:rFonts w:ascii="Bookman Old Style" w:hAnsi="Bookman Old Style"/>
          <w:iCs/>
          <w:szCs w:val="24"/>
          <w:lang w:val="es-CO"/>
        </w:rPr>
        <w:t>El artículo 91 de la Ley 142 de 1994 ordena que para establecer las fórmulas tarifarias se calculará por separado, cuando sea posible, una fórmula para cada una de las diversas etapas del servicio.</w:t>
      </w:r>
    </w:p>
    <w:p w:rsidR="000A51F8" w:rsidRPr="004D310F" w:rsidRDefault="000A51F8" w:rsidP="00E47660">
      <w:pPr>
        <w:pStyle w:val="Textodebloque"/>
        <w:spacing w:after="0"/>
        <w:ind w:left="0" w:right="0"/>
        <w:rPr>
          <w:rFonts w:ascii="Bookman Old Style" w:hAnsi="Bookman Old Style"/>
          <w:iCs/>
          <w:sz w:val="28"/>
          <w:szCs w:val="24"/>
          <w:lang w:val="es-CO"/>
        </w:rPr>
      </w:pPr>
    </w:p>
    <w:p w:rsidR="000A51F8" w:rsidRPr="00701C21" w:rsidRDefault="000A51F8" w:rsidP="00E47660">
      <w:pPr>
        <w:pStyle w:val="Textodebloque"/>
        <w:spacing w:after="0"/>
        <w:ind w:left="0" w:right="0"/>
        <w:rPr>
          <w:rFonts w:ascii="Bookman Old Style" w:hAnsi="Bookman Old Style"/>
          <w:iCs/>
          <w:szCs w:val="24"/>
          <w:lang w:val="es-CO"/>
        </w:rPr>
      </w:pPr>
      <w:r w:rsidRPr="00701C21">
        <w:rPr>
          <w:rFonts w:ascii="Bookman Old Style" w:hAnsi="Bookman Old Style"/>
          <w:iCs/>
          <w:szCs w:val="24"/>
          <w:lang w:val="es-CO"/>
        </w:rPr>
        <w:t xml:space="preserve">El artículo 127 de la Ley 142 de 1994 dispone que antes de doce meses de la fecha prevista para que termine la vigencia de las fórmulas tarifarias, la Comisión </w:t>
      </w:r>
      <w:r w:rsidRPr="00701C21">
        <w:rPr>
          <w:rFonts w:ascii="Bookman Old Style" w:hAnsi="Bookman Old Style"/>
          <w:iCs/>
          <w:szCs w:val="24"/>
          <w:lang w:val="es-CO"/>
        </w:rPr>
        <w:lastRenderedPageBreak/>
        <w:t>deberá poner en conocimiento de las empresas de servicios públicos las bases sobre las cuales efectuará el estudio para determinar las fórmulas del período siguiente.</w:t>
      </w:r>
    </w:p>
    <w:p w:rsidR="000A51F8" w:rsidRPr="004D310F" w:rsidRDefault="000A51F8" w:rsidP="00E47660">
      <w:pPr>
        <w:pStyle w:val="Textodebloque"/>
        <w:spacing w:after="0"/>
        <w:ind w:left="0" w:right="0"/>
        <w:rPr>
          <w:rFonts w:ascii="Bookman Old Style" w:hAnsi="Bookman Old Style"/>
          <w:iCs/>
          <w:sz w:val="28"/>
          <w:szCs w:val="24"/>
          <w:lang w:val="es-CO"/>
        </w:rPr>
      </w:pPr>
    </w:p>
    <w:p w:rsidR="000A51F8" w:rsidRPr="00701C21" w:rsidRDefault="000A51F8" w:rsidP="00E47660">
      <w:pPr>
        <w:pStyle w:val="Vietaletra"/>
        <w:numPr>
          <w:ilvl w:val="0"/>
          <w:numId w:val="0"/>
        </w:numPr>
        <w:overflowPunct/>
        <w:autoSpaceDE/>
        <w:textAlignment w:val="auto"/>
        <w:rPr>
          <w:rFonts w:ascii="Bookman Old Style" w:hAnsi="Bookman Old Style"/>
          <w:szCs w:val="24"/>
          <w:lang w:val="es-ES"/>
        </w:rPr>
      </w:pPr>
      <w:r w:rsidRPr="00701C21">
        <w:rPr>
          <w:rFonts w:ascii="Bookman Old Style" w:hAnsi="Bookman Old Style"/>
          <w:szCs w:val="24"/>
          <w:lang w:val="es-ES"/>
        </w:rPr>
        <w:t xml:space="preserve">El </w:t>
      </w:r>
      <w:r w:rsidR="00996A52" w:rsidRPr="00701C21">
        <w:rPr>
          <w:rFonts w:ascii="Bookman Old Style" w:hAnsi="Bookman Old Style"/>
          <w:szCs w:val="24"/>
          <w:lang w:val="es-ES"/>
        </w:rPr>
        <w:t xml:space="preserve">artículo 11 del </w:t>
      </w:r>
      <w:r w:rsidRPr="00701C21">
        <w:rPr>
          <w:rFonts w:ascii="Bookman Old Style" w:hAnsi="Bookman Old Style"/>
          <w:szCs w:val="24"/>
          <w:lang w:val="es-ES"/>
        </w:rPr>
        <w:t>Decreto 2696 de 2004 disp</w:t>
      </w:r>
      <w:r w:rsidR="00996A52" w:rsidRPr="00701C21">
        <w:rPr>
          <w:rFonts w:ascii="Bookman Old Style" w:hAnsi="Bookman Old Style"/>
          <w:szCs w:val="24"/>
          <w:lang w:val="es-ES"/>
        </w:rPr>
        <w:t>one</w:t>
      </w:r>
      <w:r w:rsidRPr="00701C21">
        <w:rPr>
          <w:rFonts w:ascii="Bookman Old Style" w:hAnsi="Bookman Old Style"/>
          <w:szCs w:val="24"/>
          <w:lang w:val="es-ES"/>
        </w:rPr>
        <w:t xml:space="preserve"> que antes de doce meses de la fecha prevista para que termine la vigencia de las fórmulas tarifarias, cada Comisión deberá poner en conocimiento de las entidades prestadoras y de los usuarios, las bases sobre las cuales efectuará el estudio para determinar las fórmulas del período siguiente, que deben cubrir como mínimo los siguientes puntos: i) aspectos generales del tipo de regulación a aplicar; ii) aspectos básicos del criterio de eficiencia; iii) criterios para temas relacionados con costos y gastos; iv) criterios relacionados con calidad del servicio; v) criterios para remunerar el patrimonio de los accionistas; vi) los demás criterios tarifarios contenidos en la ley.</w:t>
      </w:r>
    </w:p>
    <w:p w:rsidR="000A51F8" w:rsidRPr="004D310F" w:rsidRDefault="000A51F8" w:rsidP="00E47660">
      <w:pPr>
        <w:pStyle w:val="Vietaletra"/>
        <w:numPr>
          <w:ilvl w:val="0"/>
          <w:numId w:val="0"/>
        </w:numPr>
        <w:overflowPunct/>
        <w:autoSpaceDE/>
        <w:textAlignment w:val="auto"/>
        <w:rPr>
          <w:rFonts w:ascii="Bookman Old Style" w:hAnsi="Bookman Old Style"/>
          <w:sz w:val="28"/>
          <w:szCs w:val="24"/>
          <w:lang w:val="es-ES"/>
        </w:rPr>
      </w:pPr>
    </w:p>
    <w:p w:rsidR="00495DFC" w:rsidRPr="00701C21" w:rsidRDefault="00975618" w:rsidP="00E47660">
      <w:pPr>
        <w:pStyle w:val="Textodebloque"/>
        <w:spacing w:after="0"/>
        <w:ind w:left="0" w:right="0"/>
        <w:rPr>
          <w:rFonts w:ascii="Bookman Old Style" w:hAnsi="Bookman Old Style"/>
          <w:iCs/>
          <w:szCs w:val="24"/>
          <w:lang w:val="es-CO"/>
        </w:rPr>
      </w:pPr>
      <w:r w:rsidRPr="00701C21">
        <w:rPr>
          <w:rFonts w:ascii="Bookman Old Style" w:hAnsi="Bookman Old Style"/>
          <w:iCs/>
          <w:szCs w:val="24"/>
          <w:lang w:val="es-CO"/>
        </w:rPr>
        <w:t xml:space="preserve">La Resolución CREG </w:t>
      </w:r>
      <w:r w:rsidR="00495DFC" w:rsidRPr="00701C21">
        <w:rPr>
          <w:rFonts w:ascii="Bookman Old Style" w:hAnsi="Bookman Old Style"/>
          <w:iCs/>
          <w:szCs w:val="24"/>
          <w:lang w:val="es-CO"/>
        </w:rPr>
        <w:t>126</w:t>
      </w:r>
      <w:r w:rsidRPr="00701C21">
        <w:rPr>
          <w:rFonts w:ascii="Bookman Old Style" w:hAnsi="Bookman Old Style"/>
          <w:iCs/>
          <w:szCs w:val="24"/>
          <w:lang w:val="es-CO"/>
        </w:rPr>
        <w:t xml:space="preserve"> de 20</w:t>
      </w:r>
      <w:r w:rsidR="00495DFC" w:rsidRPr="00701C21">
        <w:rPr>
          <w:rFonts w:ascii="Bookman Old Style" w:hAnsi="Bookman Old Style"/>
          <w:iCs/>
          <w:szCs w:val="24"/>
          <w:lang w:val="es-CO"/>
        </w:rPr>
        <w:t>10</w:t>
      </w:r>
      <w:r w:rsidR="00713B0E" w:rsidRPr="00701C21">
        <w:rPr>
          <w:rFonts w:ascii="Bookman Old Style" w:hAnsi="Bookman Old Style"/>
          <w:iCs/>
          <w:szCs w:val="24"/>
          <w:lang w:val="es-CO"/>
        </w:rPr>
        <w:t xml:space="preserve">, que entró en vigencia el </w:t>
      </w:r>
      <w:r w:rsidR="00495DFC" w:rsidRPr="00701C21">
        <w:rPr>
          <w:rFonts w:ascii="Bookman Old Style" w:hAnsi="Bookman Old Style"/>
          <w:iCs/>
          <w:szCs w:val="24"/>
          <w:lang w:val="es-CO"/>
        </w:rPr>
        <w:t>9</w:t>
      </w:r>
      <w:r w:rsidR="00713B0E" w:rsidRPr="00701C21">
        <w:rPr>
          <w:rFonts w:ascii="Bookman Old Style" w:hAnsi="Bookman Old Style"/>
          <w:iCs/>
          <w:szCs w:val="24"/>
          <w:lang w:val="es-CO"/>
        </w:rPr>
        <w:t xml:space="preserve"> de </w:t>
      </w:r>
      <w:r w:rsidR="00495DFC" w:rsidRPr="00701C21">
        <w:rPr>
          <w:rFonts w:ascii="Bookman Old Style" w:hAnsi="Bookman Old Style"/>
          <w:iCs/>
          <w:szCs w:val="24"/>
          <w:lang w:val="es-CO"/>
        </w:rPr>
        <w:t>agosto</w:t>
      </w:r>
      <w:r w:rsidR="00713B0E" w:rsidRPr="00701C21">
        <w:rPr>
          <w:rFonts w:ascii="Bookman Old Style" w:hAnsi="Bookman Old Style"/>
          <w:iCs/>
          <w:szCs w:val="24"/>
          <w:lang w:val="es-CO"/>
        </w:rPr>
        <w:t xml:space="preserve"> de 20</w:t>
      </w:r>
      <w:r w:rsidR="00495DFC" w:rsidRPr="00701C21">
        <w:rPr>
          <w:rFonts w:ascii="Bookman Old Style" w:hAnsi="Bookman Old Style"/>
          <w:iCs/>
          <w:szCs w:val="24"/>
          <w:lang w:val="es-CO"/>
        </w:rPr>
        <w:t>10</w:t>
      </w:r>
      <w:r w:rsidR="00713B0E" w:rsidRPr="00701C21">
        <w:rPr>
          <w:rFonts w:ascii="Bookman Old Style" w:hAnsi="Bookman Old Style"/>
          <w:iCs/>
          <w:szCs w:val="24"/>
          <w:lang w:val="es-CO"/>
        </w:rPr>
        <w:t xml:space="preserve">, </w:t>
      </w:r>
      <w:r w:rsidRPr="00701C21">
        <w:rPr>
          <w:rFonts w:ascii="Bookman Old Style" w:hAnsi="Bookman Old Style"/>
          <w:iCs/>
          <w:szCs w:val="24"/>
          <w:lang w:val="es-CO"/>
        </w:rPr>
        <w:t xml:space="preserve">estableció </w:t>
      </w:r>
      <w:r w:rsidR="00495DFC" w:rsidRPr="00701C21">
        <w:rPr>
          <w:rFonts w:ascii="Bookman Old Style" w:hAnsi="Bookman Old Style"/>
          <w:iCs/>
          <w:szCs w:val="24"/>
          <w:lang w:val="es-CO"/>
        </w:rPr>
        <w:t>los criterios generales para la remuneración del servicio de transporte de gas natural y el esquema general de cargos del Sistema Nacional de Transporte, y dictó otras disposiciones en materia de transporte de gas natural.</w:t>
      </w:r>
    </w:p>
    <w:p w:rsidR="00713B0E" w:rsidRPr="004D310F" w:rsidRDefault="00713B0E" w:rsidP="00E47660">
      <w:pPr>
        <w:pStyle w:val="Textodebloque"/>
        <w:spacing w:after="0"/>
        <w:ind w:left="0" w:right="0"/>
        <w:rPr>
          <w:rFonts w:ascii="Bookman Old Style" w:hAnsi="Bookman Old Style"/>
          <w:iCs/>
          <w:sz w:val="28"/>
          <w:szCs w:val="24"/>
          <w:lang w:val="es-CO"/>
        </w:rPr>
      </w:pPr>
    </w:p>
    <w:p w:rsidR="00495DFC" w:rsidRPr="00701C21" w:rsidRDefault="00351D27" w:rsidP="00E47660">
      <w:pPr>
        <w:pStyle w:val="Textodebloque"/>
        <w:spacing w:after="0"/>
        <w:ind w:left="0" w:right="0"/>
        <w:rPr>
          <w:rFonts w:ascii="Bookman Old Style" w:hAnsi="Bookman Old Style"/>
          <w:iCs/>
          <w:szCs w:val="24"/>
          <w:lang w:val="es-CO"/>
        </w:rPr>
      </w:pPr>
      <w:bookmarkStart w:id="1" w:name="3"/>
      <w:bookmarkEnd w:id="1"/>
      <w:r w:rsidRPr="00701C21">
        <w:rPr>
          <w:rFonts w:ascii="Bookman Old Style" w:hAnsi="Bookman Old Style"/>
          <w:iCs/>
          <w:szCs w:val="24"/>
          <w:lang w:val="es-CO"/>
        </w:rPr>
        <w:t>E</w:t>
      </w:r>
      <w:r w:rsidR="0020528A" w:rsidRPr="00701C21">
        <w:rPr>
          <w:rFonts w:ascii="Bookman Old Style" w:hAnsi="Bookman Old Style"/>
          <w:iCs/>
          <w:szCs w:val="24"/>
          <w:lang w:val="es-CO"/>
        </w:rPr>
        <w:t xml:space="preserve">n cumplimiento de lo anterior, la Comisión de Regulación de Energía y Gas, en su sesión No. </w:t>
      </w:r>
      <w:r w:rsidR="000568FF" w:rsidRPr="00701C21">
        <w:rPr>
          <w:rFonts w:ascii="Bookman Old Style" w:hAnsi="Bookman Old Style"/>
          <w:iCs/>
          <w:szCs w:val="24"/>
          <w:lang w:val="es-CO"/>
        </w:rPr>
        <w:t>5</w:t>
      </w:r>
      <w:r w:rsidR="00495DFC" w:rsidRPr="00701C21">
        <w:rPr>
          <w:rFonts w:ascii="Bookman Old Style" w:hAnsi="Bookman Old Style"/>
          <w:iCs/>
          <w:szCs w:val="24"/>
          <w:lang w:val="es-CO"/>
        </w:rPr>
        <w:t>9</w:t>
      </w:r>
      <w:r w:rsidR="004D310F">
        <w:rPr>
          <w:rFonts w:ascii="Bookman Old Style" w:hAnsi="Bookman Old Style"/>
          <w:iCs/>
          <w:szCs w:val="24"/>
          <w:lang w:val="es-CO"/>
        </w:rPr>
        <w:t>9</w:t>
      </w:r>
      <w:r w:rsidR="0020528A" w:rsidRPr="00701C21">
        <w:rPr>
          <w:rFonts w:ascii="Bookman Old Style" w:hAnsi="Bookman Old Style"/>
          <w:iCs/>
          <w:szCs w:val="24"/>
          <w:lang w:val="es-CO"/>
        </w:rPr>
        <w:t xml:space="preserve"> del </w:t>
      </w:r>
      <w:r w:rsidR="004D310F">
        <w:rPr>
          <w:rFonts w:ascii="Bookman Old Style" w:hAnsi="Bookman Old Style"/>
          <w:iCs/>
          <w:szCs w:val="24"/>
          <w:lang w:val="es-CO"/>
        </w:rPr>
        <w:t>4</w:t>
      </w:r>
      <w:r w:rsidR="0020528A" w:rsidRPr="00701C21">
        <w:rPr>
          <w:rFonts w:ascii="Bookman Old Style" w:hAnsi="Bookman Old Style"/>
          <w:iCs/>
          <w:szCs w:val="24"/>
          <w:lang w:val="es-CO"/>
        </w:rPr>
        <w:t xml:space="preserve"> de </w:t>
      </w:r>
      <w:r w:rsidR="004D310F">
        <w:rPr>
          <w:rFonts w:ascii="Bookman Old Style" w:hAnsi="Bookman Old Style"/>
          <w:iCs/>
          <w:szCs w:val="24"/>
          <w:lang w:val="es-CO"/>
        </w:rPr>
        <w:t>abril</w:t>
      </w:r>
      <w:r w:rsidR="008A64E3" w:rsidRPr="00701C21">
        <w:rPr>
          <w:rFonts w:ascii="Bookman Old Style" w:hAnsi="Bookman Old Style"/>
          <w:iCs/>
          <w:szCs w:val="24"/>
          <w:lang w:val="es-CO"/>
        </w:rPr>
        <w:t xml:space="preserve"> </w:t>
      </w:r>
      <w:r w:rsidR="0020528A" w:rsidRPr="00701C21">
        <w:rPr>
          <w:rFonts w:ascii="Bookman Old Style" w:hAnsi="Bookman Old Style"/>
          <w:iCs/>
          <w:szCs w:val="24"/>
          <w:lang w:val="es-CO"/>
        </w:rPr>
        <w:t>de 20</w:t>
      </w:r>
      <w:r w:rsidR="00AB4774" w:rsidRPr="00701C21">
        <w:rPr>
          <w:rFonts w:ascii="Bookman Old Style" w:hAnsi="Bookman Old Style"/>
          <w:iCs/>
          <w:szCs w:val="24"/>
          <w:lang w:val="es-CO"/>
        </w:rPr>
        <w:t>1</w:t>
      </w:r>
      <w:r w:rsidR="00495DFC" w:rsidRPr="00701C21">
        <w:rPr>
          <w:rFonts w:ascii="Bookman Old Style" w:hAnsi="Bookman Old Style"/>
          <w:iCs/>
          <w:szCs w:val="24"/>
          <w:lang w:val="es-CO"/>
        </w:rPr>
        <w:t>4</w:t>
      </w:r>
      <w:r w:rsidR="0020528A" w:rsidRPr="00701C21">
        <w:rPr>
          <w:rFonts w:ascii="Bookman Old Style" w:hAnsi="Bookman Old Style"/>
          <w:iCs/>
          <w:szCs w:val="24"/>
          <w:lang w:val="es-CO"/>
        </w:rPr>
        <w:t xml:space="preserve">, aprobó </w:t>
      </w:r>
      <w:r w:rsidR="00495DFC" w:rsidRPr="00701C21">
        <w:rPr>
          <w:rFonts w:ascii="Bookman Old Style" w:hAnsi="Bookman Old Style"/>
          <w:iCs/>
          <w:szCs w:val="24"/>
          <w:lang w:val="es-CO"/>
        </w:rPr>
        <w:t xml:space="preserve">poner en conocimiento de las empresas prestadoras del servicio de gas natural, los usuarios y demás interesados las bases sobre las cuales se efectuará el estudio para determinar la metodología y el esquema general de cargos para remunerar la actividad de transporte de gas natural en el siguiente </w:t>
      </w:r>
      <w:r w:rsidR="00452777">
        <w:rPr>
          <w:rFonts w:ascii="Bookman Old Style" w:hAnsi="Bookman Old Style"/>
          <w:iCs/>
          <w:szCs w:val="24"/>
          <w:lang w:val="es-CO"/>
        </w:rPr>
        <w:t>período</w:t>
      </w:r>
      <w:r w:rsidR="00495DFC" w:rsidRPr="00701C21">
        <w:rPr>
          <w:rFonts w:ascii="Bookman Old Style" w:hAnsi="Bookman Old Style"/>
          <w:iCs/>
          <w:szCs w:val="24"/>
          <w:lang w:val="es-CO"/>
        </w:rPr>
        <w:t xml:space="preserve"> tarifario.</w:t>
      </w:r>
    </w:p>
    <w:p w:rsidR="00495DFC" w:rsidRPr="004D310F" w:rsidRDefault="00495DFC" w:rsidP="00E47660">
      <w:pPr>
        <w:pStyle w:val="Textodebloque"/>
        <w:spacing w:after="0"/>
        <w:ind w:left="0" w:right="0"/>
        <w:rPr>
          <w:rFonts w:ascii="Bookman Old Style" w:hAnsi="Bookman Old Style"/>
          <w:iCs/>
          <w:sz w:val="28"/>
          <w:szCs w:val="24"/>
          <w:lang w:val="es-CO"/>
        </w:rPr>
      </w:pPr>
    </w:p>
    <w:p w:rsidR="00CD5CEF" w:rsidRPr="004D310F" w:rsidRDefault="00CD5CEF" w:rsidP="00E47660">
      <w:pPr>
        <w:pStyle w:val="Textodebloque"/>
        <w:spacing w:after="0"/>
        <w:ind w:left="0" w:right="0"/>
        <w:rPr>
          <w:rFonts w:ascii="Bookman Old Style" w:hAnsi="Bookman Old Style"/>
          <w:iCs/>
          <w:sz w:val="28"/>
          <w:szCs w:val="24"/>
          <w:lang w:val="es-CO"/>
        </w:rPr>
      </w:pPr>
    </w:p>
    <w:p w:rsidR="0064604D" w:rsidRPr="00701C21" w:rsidRDefault="0064604D" w:rsidP="00E47660">
      <w:pPr>
        <w:pStyle w:val="Textoindependiente2"/>
        <w:spacing w:after="0" w:line="240" w:lineRule="auto"/>
        <w:ind w:left="0"/>
        <w:jc w:val="center"/>
        <w:rPr>
          <w:rFonts w:ascii="Bookman Old Style" w:hAnsi="Bookman Old Style"/>
          <w:b/>
          <w:lang w:val="es-CO"/>
        </w:rPr>
      </w:pPr>
      <w:r w:rsidRPr="00701C21">
        <w:rPr>
          <w:rFonts w:ascii="Bookman Old Style" w:hAnsi="Bookman Old Style"/>
          <w:b/>
          <w:lang w:val="es-CO"/>
        </w:rPr>
        <w:t xml:space="preserve">R E S U E L V </w:t>
      </w:r>
      <w:proofErr w:type="gramStart"/>
      <w:r w:rsidRPr="00701C21">
        <w:rPr>
          <w:rFonts w:ascii="Bookman Old Style" w:hAnsi="Bookman Old Style"/>
          <w:b/>
          <w:lang w:val="es-CO"/>
        </w:rPr>
        <w:t>E</w:t>
      </w:r>
      <w:r w:rsidR="00495DFC" w:rsidRPr="00701C21">
        <w:rPr>
          <w:rFonts w:ascii="Bookman Old Style" w:hAnsi="Bookman Old Style"/>
          <w:b/>
          <w:lang w:val="es-CO"/>
        </w:rPr>
        <w:t xml:space="preserve"> </w:t>
      </w:r>
      <w:r w:rsidRPr="00701C21">
        <w:rPr>
          <w:rFonts w:ascii="Bookman Old Style" w:hAnsi="Bookman Old Style"/>
          <w:b/>
          <w:lang w:val="es-CO"/>
        </w:rPr>
        <w:t>:</w:t>
      </w:r>
      <w:proofErr w:type="gramEnd"/>
    </w:p>
    <w:p w:rsidR="0064604D" w:rsidRPr="004D310F" w:rsidRDefault="0064604D" w:rsidP="00E47660">
      <w:pPr>
        <w:pStyle w:val="Piedepgina"/>
        <w:tabs>
          <w:tab w:val="clear" w:pos="4252"/>
          <w:tab w:val="clear" w:pos="8504"/>
        </w:tabs>
        <w:ind w:left="0"/>
        <w:rPr>
          <w:rFonts w:ascii="Bookman Old Style" w:hAnsi="Bookman Old Style"/>
          <w:sz w:val="28"/>
          <w:lang w:val="es-CO"/>
        </w:rPr>
      </w:pPr>
    </w:p>
    <w:p w:rsidR="00CD5CEF" w:rsidRPr="004D310F" w:rsidRDefault="00CD5CEF" w:rsidP="00E47660">
      <w:pPr>
        <w:pStyle w:val="Piedepgina"/>
        <w:tabs>
          <w:tab w:val="clear" w:pos="4252"/>
          <w:tab w:val="clear" w:pos="8504"/>
        </w:tabs>
        <w:ind w:left="0"/>
        <w:rPr>
          <w:rFonts w:ascii="Bookman Old Style" w:hAnsi="Bookman Old Style"/>
          <w:sz w:val="28"/>
          <w:lang w:val="es-CO"/>
        </w:rPr>
      </w:pPr>
    </w:p>
    <w:p w:rsidR="0064604D" w:rsidRPr="00701C21" w:rsidRDefault="0064604D" w:rsidP="00E47660">
      <w:pPr>
        <w:ind w:left="0"/>
        <w:jc w:val="both"/>
        <w:rPr>
          <w:rFonts w:ascii="Bookman Old Style" w:hAnsi="Bookman Old Style"/>
          <w:lang w:val="es-CO"/>
        </w:rPr>
      </w:pPr>
      <w:r w:rsidRPr="00701C21">
        <w:rPr>
          <w:rFonts w:ascii="Bookman Old Style" w:hAnsi="Bookman Old Style"/>
          <w:b/>
          <w:lang w:val="es-CO"/>
        </w:rPr>
        <w:t xml:space="preserve">Artículo 1. </w:t>
      </w:r>
      <w:r w:rsidR="00657B2C" w:rsidRPr="00701C21">
        <w:rPr>
          <w:rFonts w:ascii="Bookman Old Style" w:hAnsi="Bookman Old Style"/>
          <w:b/>
          <w:lang w:val="es-CO"/>
        </w:rPr>
        <w:t>Objeto.</w:t>
      </w:r>
      <w:r w:rsidR="00AB4774" w:rsidRPr="00701C21">
        <w:rPr>
          <w:rFonts w:ascii="Bookman Old Style" w:hAnsi="Bookman Old Style"/>
          <w:b/>
          <w:lang w:val="es-CO"/>
        </w:rPr>
        <w:t xml:space="preserve"> </w:t>
      </w:r>
      <w:r w:rsidR="00657B2C" w:rsidRPr="00701C21">
        <w:rPr>
          <w:rFonts w:ascii="Bookman Old Style" w:hAnsi="Bookman Old Style"/>
          <w:iCs/>
          <w:lang w:val="es-CO"/>
        </w:rPr>
        <w:t xml:space="preserve">Poner en conocimiento de las empresas prestadoras del servicio de gas natural, los usuarios y demás interesados las bases sobre las cuales se efectuará el estudio para determinar la metodología y el esquema general de cargos para remunerar la actividad de transporte de gas natural en el siguiente </w:t>
      </w:r>
      <w:r w:rsidR="00452777">
        <w:rPr>
          <w:rFonts w:ascii="Bookman Old Style" w:hAnsi="Bookman Old Style"/>
          <w:iCs/>
          <w:lang w:val="es-CO"/>
        </w:rPr>
        <w:t>período</w:t>
      </w:r>
      <w:r w:rsidR="00657B2C" w:rsidRPr="00701C21">
        <w:rPr>
          <w:rFonts w:ascii="Bookman Old Style" w:hAnsi="Bookman Old Style"/>
          <w:iCs/>
          <w:lang w:val="es-CO"/>
        </w:rPr>
        <w:t xml:space="preserve"> tarifario</w:t>
      </w:r>
      <w:r w:rsidRPr="00701C21">
        <w:rPr>
          <w:rFonts w:ascii="Bookman Old Style" w:hAnsi="Bookman Old Style"/>
          <w:lang w:val="es-CO"/>
        </w:rPr>
        <w:t xml:space="preserve">, </w:t>
      </w:r>
      <w:r w:rsidR="00657B2C" w:rsidRPr="00701C21">
        <w:rPr>
          <w:rFonts w:ascii="Bookman Old Style" w:hAnsi="Bookman Old Style"/>
          <w:lang w:val="es-CO"/>
        </w:rPr>
        <w:t xml:space="preserve">las cuales están </w:t>
      </w:r>
      <w:r w:rsidRPr="00701C21">
        <w:rPr>
          <w:rFonts w:ascii="Bookman Old Style" w:hAnsi="Bookman Old Style"/>
          <w:lang w:val="es-CO"/>
        </w:rPr>
        <w:t>contenid</w:t>
      </w:r>
      <w:r w:rsidR="00AB4774" w:rsidRPr="00701C21">
        <w:rPr>
          <w:rFonts w:ascii="Bookman Old Style" w:hAnsi="Bookman Old Style"/>
          <w:lang w:val="es-CO"/>
        </w:rPr>
        <w:t>a</w:t>
      </w:r>
      <w:r w:rsidRPr="00701C21">
        <w:rPr>
          <w:rFonts w:ascii="Bookman Old Style" w:hAnsi="Bookman Old Style"/>
          <w:lang w:val="es-CO"/>
        </w:rPr>
        <w:t xml:space="preserve">s en el </w:t>
      </w:r>
      <w:r w:rsidR="00AB4774" w:rsidRPr="00701C21">
        <w:rPr>
          <w:rFonts w:ascii="Bookman Old Style" w:hAnsi="Bookman Old Style"/>
          <w:lang w:val="es-CO"/>
        </w:rPr>
        <w:t>Anexo General</w:t>
      </w:r>
      <w:r w:rsidR="001721E1" w:rsidRPr="00701C21">
        <w:rPr>
          <w:rFonts w:ascii="Bookman Old Style" w:hAnsi="Bookman Old Style"/>
          <w:lang w:val="es-CO"/>
        </w:rPr>
        <w:t xml:space="preserve"> de esta Resolución</w:t>
      </w:r>
      <w:r w:rsidRPr="00701C21">
        <w:rPr>
          <w:rFonts w:ascii="Bookman Old Style" w:hAnsi="Bookman Old Style"/>
          <w:lang w:val="es-CO"/>
        </w:rPr>
        <w:t>.</w:t>
      </w:r>
    </w:p>
    <w:p w:rsidR="00A966AE" w:rsidRPr="004D310F" w:rsidRDefault="00A966AE" w:rsidP="00E47660">
      <w:pPr>
        <w:ind w:left="0"/>
        <w:jc w:val="both"/>
        <w:rPr>
          <w:rFonts w:ascii="Bookman Old Style" w:hAnsi="Bookman Old Style"/>
          <w:b/>
          <w:sz w:val="28"/>
          <w:lang w:val="es-CO"/>
        </w:rPr>
      </w:pPr>
    </w:p>
    <w:p w:rsidR="00AB4774" w:rsidRPr="00701C21" w:rsidRDefault="0064604D" w:rsidP="00E47660">
      <w:pPr>
        <w:ind w:left="0"/>
        <w:jc w:val="both"/>
        <w:rPr>
          <w:rFonts w:ascii="Bookman Old Style" w:hAnsi="Bookman Old Style"/>
          <w:b/>
          <w:lang w:val="es-CO"/>
        </w:rPr>
      </w:pPr>
      <w:r w:rsidRPr="00701C21">
        <w:rPr>
          <w:rFonts w:ascii="Bookman Old Style" w:hAnsi="Bookman Old Style"/>
          <w:b/>
          <w:lang w:val="es-CO"/>
        </w:rPr>
        <w:t xml:space="preserve">Artículo </w:t>
      </w:r>
      <w:r w:rsidR="00A966AE">
        <w:rPr>
          <w:rFonts w:ascii="Bookman Old Style" w:hAnsi="Bookman Old Style"/>
          <w:b/>
          <w:lang w:val="es-CO"/>
        </w:rPr>
        <w:t>2</w:t>
      </w:r>
      <w:r w:rsidRPr="00701C21">
        <w:rPr>
          <w:rFonts w:ascii="Bookman Old Style" w:hAnsi="Bookman Old Style"/>
          <w:b/>
          <w:lang w:val="es-CO"/>
        </w:rPr>
        <w:t>.</w:t>
      </w:r>
      <w:r w:rsidR="00B821E2" w:rsidRPr="00701C21">
        <w:rPr>
          <w:rFonts w:ascii="Bookman Old Style" w:hAnsi="Bookman Old Style"/>
          <w:b/>
          <w:lang w:val="es-CO"/>
        </w:rPr>
        <w:t xml:space="preserve"> </w:t>
      </w:r>
      <w:r w:rsidR="00AB4774" w:rsidRPr="00701C21">
        <w:rPr>
          <w:rFonts w:ascii="Bookman Old Style" w:hAnsi="Bookman Old Style"/>
          <w:b/>
          <w:bCs/>
          <w:lang w:val="es-CO"/>
        </w:rPr>
        <w:t xml:space="preserve">Inicio del trámite e impulso de la actuación. </w:t>
      </w:r>
      <w:r w:rsidR="00AB4774" w:rsidRPr="00701C21">
        <w:rPr>
          <w:rFonts w:ascii="Bookman Old Style" w:hAnsi="Bookman Old Style"/>
          <w:lang w:val="es-CO"/>
        </w:rPr>
        <w:t xml:space="preserve">Con </w:t>
      </w:r>
      <w:r w:rsidR="00657B2C" w:rsidRPr="00701C21">
        <w:rPr>
          <w:rFonts w:ascii="Bookman Old Style" w:hAnsi="Bookman Old Style"/>
          <w:lang w:val="es-CO"/>
        </w:rPr>
        <w:t xml:space="preserve">esta Resolución </w:t>
      </w:r>
      <w:r w:rsidR="00AB4774" w:rsidRPr="00701C21">
        <w:rPr>
          <w:rFonts w:ascii="Bookman Old Style" w:hAnsi="Bookman Old Style"/>
          <w:lang w:val="es-CO"/>
        </w:rPr>
        <w:t xml:space="preserve">se da inicio al trámite previsto en los </w:t>
      </w:r>
      <w:r w:rsidR="00517202" w:rsidRPr="00701C21">
        <w:rPr>
          <w:rFonts w:ascii="Bookman Old Style" w:hAnsi="Bookman Old Style"/>
          <w:lang w:val="es-CO"/>
        </w:rPr>
        <w:t>a</w:t>
      </w:r>
      <w:r w:rsidR="00AB4774" w:rsidRPr="00701C21">
        <w:rPr>
          <w:rFonts w:ascii="Bookman Old Style" w:hAnsi="Bookman Old Style"/>
          <w:lang w:val="es-CO"/>
        </w:rPr>
        <w:t xml:space="preserve">rtículos 127 de la Ley 142 de 1994 y 11 del Decreto 2696 de 2004, tendiente a aprobar </w:t>
      </w:r>
      <w:r w:rsidR="00657B2C" w:rsidRPr="00701C21">
        <w:rPr>
          <w:rFonts w:ascii="Bookman Old Style" w:hAnsi="Bookman Old Style"/>
          <w:lang w:val="es-CO"/>
        </w:rPr>
        <w:t xml:space="preserve">los criterios generales </w:t>
      </w:r>
      <w:r w:rsidR="00657B2C" w:rsidRPr="00701C21">
        <w:rPr>
          <w:rFonts w:ascii="Bookman Old Style" w:hAnsi="Bookman Old Style" w:cs="Arial"/>
        </w:rPr>
        <w:t>y la metodología para la remuneración de la actividad de transporte de gas natural durante el próximo período tarifario. Le corresponde al Director Ejecutivo el impulso de la respectiva actuación.</w:t>
      </w:r>
    </w:p>
    <w:p w:rsidR="00AB4774" w:rsidRPr="00701C21" w:rsidRDefault="00AB4774" w:rsidP="00E47660">
      <w:pPr>
        <w:ind w:left="0"/>
        <w:jc w:val="both"/>
        <w:rPr>
          <w:rFonts w:ascii="Bookman Old Style" w:hAnsi="Bookman Old Style"/>
          <w:b/>
          <w:lang w:val="es-CO"/>
        </w:rPr>
      </w:pPr>
    </w:p>
    <w:p w:rsidR="0064604D" w:rsidRPr="00701C21" w:rsidRDefault="0064604D" w:rsidP="00E47660">
      <w:pPr>
        <w:ind w:left="0"/>
        <w:jc w:val="both"/>
        <w:rPr>
          <w:rFonts w:ascii="Bookman Old Style" w:hAnsi="Bookman Old Style"/>
          <w:lang w:val="es-CO"/>
        </w:rPr>
      </w:pPr>
      <w:r w:rsidRPr="00701C21">
        <w:rPr>
          <w:rFonts w:ascii="Bookman Old Style" w:hAnsi="Bookman Old Style"/>
          <w:b/>
          <w:bCs/>
          <w:lang w:val="es-CO"/>
        </w:rPr>
        <w:lastRenderedPageBreak/>
        <w:t xml:space="preserve">Artículo </w:t>
      </w:r>
      <w:r w:rsidR="00A966AE">
        <w:rPr>
          <w:rFonts w:ascii="Bookman Old Style" w:hAnsi="Bookman Old Style"/>
          <w:b/>
          <w:bCs/>
          <w:lang w:val="es-CO"/>
        </w:rPr>
        <w:t>3</w:t>
      </w:r>
      <w:r w:rsidRPr="00701C21">
        <w:rPr>
          <w:rFonts w:ascii="Bookman Old Style" w:hAnsi="Bookman Old Style"/>
          <w:b/>
          <w:bCs/>
          <w:lang w:val="es-CO"/>
        </w:rPr>
        <w:t>.</w:t>
      </w:r>
      <w:r w:rsidR="00FD5530" w:rsidRPr="00701C21">
        <w:rPr>
          <w:rFonts w:ascii="Bookman Old Style" w:hAnsi="Bookman Old Style"/>
          <w:b/>
          <w:bCs/>
          <w:lang w:val="es-CO"/>
        </w:rPr>
        <w:t xml:space="preserve"> </w:t>
      </w:r>
      <w:r w:rsidR="00AB4774" w:rsidRPr="00701C21">
        <w:rPr>
          <w:rFonts w:ascii="Bookman Old Style" w:hAnsi="Bookman Old Style"/>
          <w:b/>
          <w:bCs/>
          <w:lang w:val="es-CO"/>
        </w:rPr>
        <w:t>Vigencia</w:t>
      </w:r>
      <w:r w:rsidRPr="00701C21">
        <w:rPr>
          <w:rFonts w:ascii="Bookman Old Style" w:hAnsi="Bookman Old Style"/>
          <w:b/>
          <w:bCs/>
          <w:lang w:val="es-CO"/>
        </w:rPr>
        <w:t>.</w:t>
      </w:r>
      <w:r w:rsidRPr="00701C21">
        <w:rPr>
          <w:rFonts w:ascii="Bookman Old Style" w:hAnsi="Bookman Old Style"/>
          <w:lang w:val="es-CO"/>
        </w:rPr>
        <w:t xml:space="preserve"> Esta Resolución rige a partir de la fecha de su publicación en el </w:t>
      </w:r>
      <w:r w:rsidRPr="00701C21">
        <w:rPr>
          <w:rFonts w:ascii="Bookman Old Style" w:hAnsi="Bookman Old Style"/>
          <w:i/>
          <w:lang w:val="es-CO"/>
        </w:rPr>
        <w:t>Diario Oficial</w:t>
      </w:r>
      <w:r w:rsidRPr="00701C21">
        <w:rPr>
          <w:rFonts w:ascii="Bookman Old Style" w:hAnsi="Bookman Old Style"/>
          <w:lang w:val="es-CO"/>
        </w:rPr>
        <w:t xml:space="preserve"> y</w:t>
      </w:r>
      <w:r w:rsidR="00657B2C" w:rsidRPr="00701C21">
        <w:rPr>
          <w:rFonts w:ascii="Bookman Old Style" w:hAnsi="Bookman Old Style"/>
          <w:lang w:val="es-CO"/>
        </w:rPr>
        <w:t>,</w:t>
      </w:r>
      <w:r w:rsidRPr="00701C21">
        <w:rPr>
          <w:rFonts w:ascii="Bookman Old Style" w:hAnsi="Bookman Old Style"/>
          <w:lang w:val="es-CO"/>
        </w:rPr>
        <w:t xml:space="preserve"> por ser un acto de trámite, no modifica las normas actualmente aplicables sobre las materias a que ella se refiere.</w:t>
      </w:r>
    </w:p>
    <w:p w:rsidR="008613B0" w:rsidRPr="00701C21" w:rsidRDefault="008613B0" w:rsidP="00E47660">
      <w:pPr>
        <w:ind w:left="0"/>
        <w:jc w:val="both"/>
        <w:rPr>
          <w:rFonts w:ascii="Bookman Old Style" w:hAnsi="Bookman Old Style" w:cs="Arial"/>
          <w:spacing w:val="-4"/>
          <w:lang w:val="es-CO"/>
        </w:rPr>
      </w:pPr>
    </w:p>
    <w:p w:rsidR="008613B0" w:rsidRPr="00701C21" w:rsidRDefault="008613B0" w:rsidP="00E47660">
      <w:pPr>
        <w:ind w:left="0"/>
        <w:jc w:val="both"/>
        <w:rPr>
          <w:rFonts w:ascii="Bookman Old Style" w:hAnsi="Bookman Old Style" w:cs="Arial"/>
          <w:spacing w:val="-4"/>
          <w:lang w:val="es-CO"/>
        </w:rPr>
      </w:pPr>
    </w:p>
    <w:p w:rsidR="000B0E98" w:rsidRPr="00701C21" w:rsidRDefault="000B0E98" w:rsidP="00E47660">
      <w:pPr>
        <w:ind w:left="0"/>
        <w:jc w:val="center"/>
        <w:rPr>
          <w:rFonts w:ascii="Bookman Old Style" w:hAnsi="Bookman Old Style" w:cs="Arial"/>
          <w:b/>
          <w:lang w:val="es-CO"/>
        </w:rPr>
      </w:pPr>
      <w:r w:rsidRPr="00701C21">
        <w:rPr>
          <w:rFonts w:ascii="Bookman Old Style" w:hAnsi="Bookman Old Style" w:cs="Arial"/>
          <w:b/>
          <w:lang w:val="es-CO"/>
        </w:rPr>
        <w:t>PUBLÍQUESE Y CÚMPLASE</w:t>
      </w:r>
    </w:p>
    <w:p w:rsidR="00D00E08" w:rsidRPr="00701C21" w:rsidRDefault="00D00E08" w:rsidP="00E47660">
      <w:pPr>
        <w:pStyle w:val="Textoindependiente2"/>
        <w:spacing w:after="0" w:line="240" w:lineRule="auto"/>
        <w:ind w:left="0"/>
        <w:rPr>
          <w:rFonts w:ascii="Bookman Old Style" w:hAnsi="Bookman Old Style" w:cs="Arial"/>
          <w:lang w:val="es-CO"/>
        </w:rPr>
      </w:pPr>
    </w:p>
    <w:p w:rsidR="00CD5CEF" w:rsidRPr="00701C21" w:rsidRDefault="00CD5CEF" w:rsidP="00E47660">
      <w:pPr>
        <w:pStyle w:val="Textoindependiente2"/>
        <w:spacing w:after="0" w:line="240" w:lineRule="auto"/>
        <w:ind w:left="0"/>
        <w:rPr>
          <w:rFonts w:ascii="Bookman Old Style" w:hAnsi="Bookman Old Style" w:cs="Arial"/>
          <w:lang w:val="es-CO"/>
        </w:rPr>
      </w:pPr>
    </w:p>
    <w:p w:rsidR="000B0E98" w:rsidRPr="00701C21" w:rsidRDefault="000B0E98" w:rsidP="00E47660">
      <w:pPr>
        <w:pStyle w:val="Textoindependiente2"/>
        <w:spacing w:after="0" w:line="240" w:lineRule="auto"/>
        <w:ind w:left="0"/>
        <w:rPr>
          <w:rFonts w:ascii="Bookman Old Style" w:hAnsi="Bookman Old Style" w:cs="Arial"/>
          <w:lang w:val="es-CO"/>
        </w:rPr>
      </w:pPr>
      <w:r w:rsidRPr="00701C21">
        <w:rPr>
          <w:rFonts w:ascii="Bookman Old Style" w:hAnsi="Bookman Old Style" w:cs="Arial"/>
          <w:lang w:val="es-CO"/>
        </w:rPr>
        <w:t>Dada en Bogotá, D.C.</w:t>
      </w:r>
    </w:p>
    <w:p w:rsidR="000B0E98" w:rsidRPr="00701C21" w:rsidRDefault="000B0E98" w:rsidP="00E47660">
      <w:pPr>
        <w:tabs>
          <w:tab w:val="left" w:pos="-720"/>
        </w:tabs>
        <w:suppressAutoHyphens/>
        <w:ind w:left="0"/>
        <w:jc w:val="both"/>
        <w:rPr>
          <w:rFonts w:ascii="Bookman Old Style" w:hAnsi="Bookman Old Style" w:cs="Arial"/>
          <w:spacing w:val="-3"/>
          <w:lang w:val="es-CO"/>
        </w:rPr>
      </w:pPr>
    </w:p>
    <w:p w:rsidR="008613B0" w:rsidRDefault="008613B0" w:rsidP="00E47660">
      <w:pPr>
        <w:tabs>
          <w:tab w:val="left" w:pos="-720"/>
        </w:tabs>
        <w:suppressAutoHyphens/>
        <w:ind w:left="0"/>
        <w:jc w:val="both"/>
        <w:rPr>
          <w:rFonts w:ascii="Bookman Old Style" w:hAnsi="Bookman Old Style" w:cs="Arial"/>
          <w:spacing w:val="-3"/>
          <w:lang w:val="es-CO"/>
        </w:rPr>
      </w:pPr>
    </w:p>
    <w:p w:rsidR="00406BB9" w:rsidRPr="00701C21" w:rsidRDefault="00406BB9" w:rsidP="00E47660">
      <w:pPr>
        <w:tabs>
          <w:tab w:val="left" w:pos="-720"/>
        </w:tabs>
        <w:suppressAutoHyphens/>
        <w:ind w:left="0"/>
        <w:jc w:val="both"/>
        <w:rPr>
          <w:rFonts w:ascii="Bookman Old Style" w:hAnsi="Bookman Old Style" w:cs="Arial"/>
          <w:spacing w:val="-3"/>
          <w:lang w:val="es-CO"/>
        </w:rPr>
      </w:pPr>
    </w:p>
    <w:p w:rsidR="000568FF" w:rsidRDefault="000568FF" w:rsidP="00E47660">
      <w:pPr>
        <w:tabs>
          <w:tab w:val="left" w:pos="-720"/>
        </w:tabs>
        <w:suppressAutoHyphens/>
        <w:ind w:left="0"/>
        <w:jc w:val="both"/>
        <w:rPr>
          <w:rFonts w:ascii="Bookman Old Style" w:hAnsi="Bookman Old Style" w:cs="Arial"/>
          <w:spacing w:val="-3"/>
          <w:lang w:val="es-CO"/>
        </w:rPr>
      </w:pPr>
    </w:p>
    <w:p w:rsidR="00406BB9" w:rsidRPr="00701C21" w:rsidRDefault="00406BB9" w:rsidP="00E47660">
      <w:pPr>
        <w:tabs>
          <w:tab w:val="left" w:pos="-720"/>
        </w:tabs>
        <w:suppressAutoHyphens/>
        <w:ind w:left="0"/>
        <w:jc w:val="both"/>
        <w:rPr>
          <w:rFonts w:ascii="Bookman Old Style" w:hAnsi="Bookman Old Style" w:cs="Arial"/>
          <w:spacing w:val="-3"/>
          <w:lang w:val="es-CO"/>
        </w:rPr>
      </w:pPr>
    </w:p>
    <w:p w:rsidR="008613B0" w:rsidRPr="00701C21" w:rsidRDefault="008613B0" w:rsidP="00E47660">
      <w:pPr>
        <w:tabs>
          <w:tab w:val="left" w:pos="-720"/>
        </w:tabs>
        <w:suppressAutoHyphens/>
        <w:ind w:left="0"/>
        <w:jc w:val="both"/>
        <w:rPr>
          <w:rFonts w:ascii="Bookman Old Style" w:hAnsi="Bookman Old Style" w:cs="Arial"/>
          <w:spacing w:val="-3"/>
          <w:lang w:val="es-CO"/>
        </w:rPr>
      </w:pPr>
    </w:p>
    <w:tbl>
      <w:tblPr>
        <w:tblW w:w="9765" w:type="dxa"/>
        <w:jc w:val="right"/>
        <w:tblLayout w:type="fixed"/>
        <w:tblCellMar>
          <w:left w:w="70" w:type="dxa"/>
          <w:right w:w="70" w:type="dxa"/>
        </w:tblCellMar>
        <w:tblLook w:val="04A0" w:firstRow="1" w:lastRow="0" w:firstColumn="1" w:lastColumn="0" w:noHBand="0" w:noVBand="1"/>
      </w:tblPr>
      <w:tblGrid>
        <w:gridCol w:w="4505"/>
        <w:gridCol w:w="5260"/>
      </w:tblGrid>
      <w:tr w:rsidR="00406BB9" w:rsidRPr="00D22E84" w:rsidTr="004233B6">
        <w:trPr>
          <w:jc w:val="right"/>
        </w:trPr>
        <w:tc>
          <w:tcPr>
            <w:tcW w:w="4503" w:type="dxa"/>
            <w:hideMark/>
          </w:tcPr>
          <w:p w:rsidR="00406BB9" w:rsidRPr="00D22E84" w:rsidRDefault="00406BB9" w:rsidP="004233B6">
            <w:pPr>
              <w:widowControl w:val="0"/>
              <w:adjustRightInd w:val="0"/>
              <w:ind w:left="204"/>
              <w:jc w:val="both"/>
              <w:textAlignment w:val="baseline"/>
              <w:rPr>
                <w:rFonts w:ascii="Bookman Old Style" w:hAnsi="Bookman Old Style" w:cs="Arial"/>
                <w:b/>
                <w:spacing w:val="-3"/>
                <w:lang w:val="es-ES_tradnl"/>
              </w:rPr>
            </w:pPr>
            <w:r w:rsidRPr="00D22E84">
              <w:rPr>
                <w:rFonts w:ascii="Bookman Old Style" w:hAnsi="Bookman Old Style" w:cs="Arial"/>
                <w:b/>
                <w:spacing w:val="-3"/>
              </w:rPr>
              <w:t xml:space="preserve">  ORLANDO CABRALES SEGOVIA</w:t>
            </w:r>
          </w:p>
        </w:tc>
        <w:tc>
          <w:tcPr>
            <w:tcW w:w="5258" w:type="dxa"/>
            <w:hideMark/>
          </w:tcPr>
          <w:p w:rsidR="00406BB9" w:rsidRPr="00D22E84" w:rsidRDefault="00406BB9" w:rsidP="004233B6">
            <w:pPr>
              <w:widowControl w:val="0"/>
              <w:adjustRightInd w:val="0"/>
              <w:ind w:left="17"/>
              <w:jc w:val="center"/>
              <w:textAlignment w:val="baseline"/>
              <w:rPr>
                <w:rFonts w:ascii="Bookman Old Style" w:hAnsi="Bookman Old Style" w:cs="Arial"/>
                <w:b/>
                <w:spacing w:val="-3"/>
                <w:u w:val="single"/>
                <w:lang w:val="es-ES_tradnl"/>
              </w:rPr>
            </w:pPr>
            <w:r>
              <w:rPr>
                <w:rFonts w:ascii="Bookman Old Style" w:hAnsi="Bookman Old Style" w:cs="Arial"/>
                <w:b/>
                <w:spacing w:val="-3"/>
                <w:lang w:val="es-ES_tradnl"/>
              </w:rPr>
              <w:t>CARLOS FERNANDO ERASO CALERO</w:t>
            </w:r>
          </w:p>
        </w:tc>
      </w:tr>
      <w:tr w:rsidR="00406BB9" w:rsidRPr="00D22E84" w:rsidTr="004233B6">
        <w:trPr>
          <w:jc w:val="right"/>
        </w:trPr>
        <w:tc>
          <w:tcPr>
            <w:tcW w:w="4503" w:type="dxa"/>
            <w:hideMark/>
          </w:tcPr>
          <w:p w:rsidR="00406BB9" w:rsidRPr="00D22E84" w:rsidRDefault="00406BB9" w:rsidP="004233B6">
            <w:pPr>
              <w:widowControl w:val="0"/>
              <w:adjustRightInd w:val="0"/>
              <w:ind w:left="0"/>
              <w:jc w:val="center"/>
              <w:textAlignment w:val="baseline"/>
              <w:rPr>
                <w:rFonts w:ascii="Bookman Old Style" w:hAnsi="Bookman Old Style" w:cs="Arial"/>
                <w:spacing w:val="-3"/>
                <w:lang w:val="es-ES_tradnl"/>
              </w:rPr>
            </w:pPr>
            <w:r w:rsidRPr="00D22E84">
              <w:rPr>
                <w:rFonts w:ascii="Bookman Old Style" w:hAnsi="Bookman Old Style" w:cs="Arial"/>
                <w:spacing w:val="-3"/>
                <w:lang w:val="es-ES_tradnl"/>
              </w:rPr>
              <w:t>Viceministro de Energía</w:t>
            </w:r>
          </w:p>
          <w:p w:rsidR="00406BB9" w:rsidRPr="00D22E84" w:rsidRDefault="00406BB9" w:rsidP="004233B6">
            <w:pPr>
              <w:widowControl w:val="0"/>
              <w:adjustRightInd w:val="0"/>
              <w:ind w:left="0"/>
              <w:jc w:val="center"/>
              <w:textAlignment w:val="baseline"/>
              <w:rPr>
                <w:rFonts w:ascii="Bookman Old Style" w:hAnsi="Bookman Old Style" w:cs="Arial"/>
                <w:spacing w:val="-3"/>
                <w:lang w:val="es-ES_tradnl"/>
              </w:rPr>
            </w:pPr>
            <w:r w:rsidRPr="00D22E84">
              <w:rPr>
                <w:rFonts w:ascii="Bookman Old Style" w:hAnsi="Bookman Old Style" w:cs="Arial"/>
                <w:spacing w:val="-3"/>
                <w:lang w:val="es-ES_tradnl"/>
              </w:rPr>
              <w:t>Delegado del Ministro de Minas y Energía</w:t>
            </w:r>
          </w:p>
        </w:tc>
        <w:tc>
          <w:tcPr>
            <w:tcW w:w="5258" w:type="dxa"/>
            <w:hideMark/>
          </w:tcPr>
          <w:p w:rsidR="00406BB9" w:rsidRPr="00D22E84" w:rsidRDefault="00406BB9" w:rsidP="004233B6">
            <w:pPr>
              <w:widowControl w:val="0"/>
              <w:adjustRightInd w:val="0"/>
              <w:ind w:left="159"/>
              <w:jc w:val="center"/>
              <w:textAlignment w:val="baseline"/>
              <w:rPr>
                <w:rFonts w:ascii="Bookman Old Style" w:hAnsi="Bookman Old Style" w:cs="Arial"/>
                <w:spacing w:val="-3"/>
                <w:lang w:val="es-ES_tradnl"/>
              </w:rPr>
            </w:pPr>
            <w:r w:rsidRPr="00D22E84">
              <w:rPr>
                <w:rFonts w:ascii="Bookman Old Style" w:hAnsi="Bookman Old Style" w:cs="Arial"/>
                <w:spacing w:val="-3"/>
                <w:lang w:val="es-ES_tradnl"/>
              </w:rPr>
              <w:t>Director Ejecutivo</w:t>
            </w:r>
          </w:p>
        </w:tc>
      </w:tr>
      <w:tr w:rsidR="00406BB9" w:rsidRPr="00D22E84" w:rsidTr="004233B6">
        <w:trPr>
          <w:jc w:val="right"/>
        </w:trPr>
        <w:tc>
          <w:tcPr>
            <w:tcW w:w="4503" w:type="dxa"/>
            <w:hideMark/>
          </w:tcPr>
          <w:p w:rsidR="00406BB9" w:rsidRPr="00D22E84" w:rsidRDefault="00406BB9" w:rsidP="004233B6">
            <w:pPr>
              <w:widowControl w:val="0"/>
              <w:adjustRightInd w:val="0"/>
              <w:jc w:val="both"/>
              <w:textAlignment w:val="baseline"/>
              <w:rPr>
                <w:rFonts w:ascii="Bookman Old Style" w:hAnsi="Bookman Old Style" w:cs="Arial"/>
                <w:spacing w:val="-3"/>
              </w:rPr>
            </w:pPr>
            <w:r w:rsidRPr="00D22E84">
              <w:rPr>
                <w:rFonts w:ascii="Bookman Old Style" w:hAnsi="Bookman Old Style" w:cs="Arial"/>
                <w:spacing w:val="-3"/>
              </w:rPr>
              <w:t xml:space="preserve">             Presidente</w:t>
            </w:r>
          </w:p>
        </w:tc>
        <w:tc>
          <w:tcPr>
            <w:tcW w:w="5258" w:type="dxa"/>
          </w:tcPr>
          <w:p w:rsidR="00406BB9" w:rsidRPr="00D22E84" w:rsidRDefault="00406BB9" w:rsidP="004233B6">
            <w:pPr>
              <w:widowControl w:val="0"/>
              <w:adjustRightInd w:val="0"/>
              <w:jc w:val="both"/>
              <w:textAlignment w:val="baseline"/>
              <w:rPr>
                <w:rFonts w:ascii="Bookman Old Style" w:hAnsi="Bookman Old Style" w:cs="Arial"/>
                <w:spacing w:val="-3"/>
              </w:rPr>
            </w:pPr>
          </w:p>
        </w:tc>
      </w:tr>
    </w:tbl>
    <w:p w:rsidR="008613B0" w:rsidRPr="00701C21" w:rsidRDefault="008613B0" w:rsidP="00E47660">
      <w:pPr>
        <w:tabs>
          <w:tab w:val="left" w:pos="-720"/>
        </w:tabs>
        <w:suppressAutoHyphens/>
        <w:ind w:left="0"/>
        <w:jc w:val="both"/>
        <w:rPr>
          <w:rFonts w:ascii="Bookman Old Style" w:hAnsi="Bookman Old Style" w:cs="Arial"/>
          <w:spacing w:val="-3"/>
          <w:lang w:val="es-CO"/>
        </w:rPr>
      </w:pPr>
    </w:p>
    <w:p w:rsidR="009C31A9" w:rsidRPr="009D3928" w:rsidRDefault="009C31A9" w:rsidP="00C260D2">
      <w:pPr>
        <w:ind w:left="0" w:right="4961"/>
        <w:jc w:val="center"/>
        <w:rPr>
          <w:rFonts w:ascii="Bookman Old Style" w:hAnsi="Bookman Old Style" w:cs="Arial"/>
          <w:lang w:val="es-CO"/>
        </w:rPr>
      </w:pPr>
    </w:p>
    <w:p w:rsidR="008613B0" w:rsidRPr="009D3928" w:rsidRDefault="00B821E2" w:rsidP="00E47660">
      <w:pPr>
        <w:ind w:left="0"/>
        <w:jc w:val="center"/>
        <w:rPr>
          <w:rFonts w:ascii="Bookman Old Style" w:hAnsi="Bookman Old Style" w:cs="Arial"/>
          <w:b/>
          <w:lang w:val="es-CO"/>
        </w:rPr>
      </w:pPr>
      <w:r w:rsidRPr="009D3928">
        <w:rPr>
          <w:rFonts w:ascii="Bookman Old Style" w:hAnsi="Bookman Old Style" w:cs="Arial"/>
          <w:b/>
          <w:lang w:val="es-CO"/>
        </w:rPr>
        <w:br w:type="page"/>
      </w:r>
      <w:r w:rsidR="00AB4774" w:rsidRPr="009D3928">
        <w:rPr>
          <w:rFonts w:ascii="Bookman Old Style" w:hAnsi="Bookman Old Style" w:cs="Arial"/>
          <w:b/>
          <w:lang w:val="es-CO"/>
        </w:rPr>
        <w:lastRenderedPageBreak/>
        <w:t>ANEXO GENERAL</w:t>
      </w:r>
    </w:p>
    <w:p w:rsidR="00B47288" w:rsidRPr="009D3928" w:rsidRDefault="00B47288" w:rsidP="00E47660">
      <w:pPr>
        <w:pStyle w:val="Textodebloque"/>
        <w:spacing w:after="0"/>
        <w:ind w:left="0" w:right="0"/>
        <w:rPr>
          <w:rFonts w:ascii="Bookman Old Style" w:hAnsi="Bookman Old Style"/>
          <w:b/>
          <w:iCs/>
          <w:szCs w:val="24"/>
          <w:lang w:val="es-CO"/>
        </w:rPr>
      </w:pPr>
    </w:p>
    <w:p w:rsidR="003D5AAB" w:rsidRPr="009D3928" w:rsidRDefault="003D5AAB" w:rsidP="00E47660">
      <w:pPr>
        <w:pStyle w:val="Textodebloque"/>
        <w:spacing w:after="0"/>
        <w:ind w:left="0" w:right="0"/>
        <w:jc w:val="center"/>
        <w:rPr>
          <w:rFonts w:ascii="Bookman Old Style" w:hAnsi="Bookman Old Style"/>
          <w:b/>
          <w:iCs/>
          <w:szCs w:val="24"/>
          <w:lang w:val="es-CO"/>
        </w:rPr>
      </w:pPr>
      <w:r w:rsidRPr="009D3928">
        <w:rPr>
          <w:rFonts w:ascii="Bookman Old Style" w:hAnsi="Bookman Old Style"/>
          <w:b/>
          <w:iCs/>
          <w:szCs w:val="24"/>
          <w:lang w:val="es-CO"/>
        </w:rPr>
        <w:t xml:space="preserve">BASES SOBRE LAS CUALES SE EFECTUARÁ EL ESTUDIO PARA DETERMINAR LA METODOLOGÍA Y EL ESQUEMA GENERAL DE CARGOS PARA REMUNERAR LA ACTIVIDAD DE TRANSPORTE DE GAS NATURAL EN EL SIGUIENTE </w:t>
      </w:r>
      <w:r w:rsidR="00452777">
        <w:rPr>
          <w:rFonts w:ascii="Bookman Old Style" w:hAnsi="Bookman Old Style"/>
          <w:b/>
          <w:iCs/>
          <w:szCs w:val="24"/>
          <w:lang w:val="es-CO"/>
        </w:rPr>
        <w:t>PERÍODO</w:t>
      </w:r>
      <w:r w:rsidRPr="009D3928">
        <w:rPr>
          <w:rFonts w:ascii="Bookman Old Style" w:hAnsi="Bookman Old Style"/>
          <w:b/>
          <w:iCs/>
          <w:szCs w:val="24"/>
          <w:lang w:val="es-CO"/>
        </w:rPr>
        <w:t xml:space="preserve"> TARIFARIO</w:t>
      </w:r>
    </w:p>
    <w:p w:rsidR="009D289C" w:rsidRPr="009D3928" w:rsidRDefault="009D289C" w:rsidP="00E47660">
      <w:pPr>
        <w:pStyle w:val="Textodebloque"/>
        <w:spacing w:after="0"/>
        <w:ind w:left="0" w:right="0"/>
        <w:rPr>
          <w:rFonts w:ascii="Bookman Old Style" w:hAnsi="Bookman Old Style"/>
          <w:b/>
          <w:iCs/>
          <w:szCs w:val="24"/>
          <w:lang w:val="es-CO"/>
        </w:rPr>
      </w:pPr>
    </w:p>
    <w:p w:rsidR="00941EEA" w:rsidRPr="009D3928" w:rsidRDefault="00941EEA" w:rsidP="00E47660">
      <w:pPr>
        <w:pStyle w:val="Textodebloque"/>
        <w:spacing w:after="0"/>
        <w:ind w:left="0" w:right="0"/>
        <w:rPr>
          <w:rFonts w:ascii="Bookman Old Style" w:hAnsi="Bookman Old Style"/>
          <w:b/>
          <w:iCs/>
          <w:szCs w:val="24"/>
          <w:lang w:val="es-CO"/>
        </w:rPr>
      </w:pPr>
    </w:p>
    <w:p w:rsidR="00954751" w:rsidRPr="009D3928" w:rsidRDefault="00E876C3" w:rsidP="00E47660">
      <w:pPr>
        <w:ind w:left="0"/>
        <w:jc w:val="both"/>
        <w:rPr>
          <w:rFonts w:ascii="Bookman Old Style" w:hAnsi="Bookman Old Style"/>
          <w:lang w:val="es-CO"/>
        </w:rPr>
      </w:pPr>
      <w:r w:rsidRPr="009D3928">
        <w:rPr>
          <w:rFonts w:ascii="Bookman Old Style" w:hAnsi="Bookman Old Style"/>
          <w:b/>
          <w:lang w:val="es-CO"/>
        </w:rPr>
        <w:t xml:space="preserve">1. </w:t>
      </w:r>
      <w:r w:rsidR="003D5AAB" w:rsidRPr="009D3928">
        <w:rPr>
          <w:rFonts w:ascii="Bookman Old Style" w:hAnsi="Bookman Old Style"/>
          <w:b/>
          <w:lang w:val="es-CO"/>
        </w:rPr>
        <w:t>GENERALIDADES DE LA ACTIVIDAD DE TRANSPORTE DE GAS NATURAL</w:t>
      </w:r>
    </w:p>
    <w:p w:rsidR="0068397B" w:rsidRPr="009D3928" w:rsidRDefault="0068397B" w:rsidP="00E47660">
      <w:pPr>
        <w:ind w:left="0"/>
        <w:rPr>
          <w:rFonts w:ascii="Bookman Old Style" w:hAnsi="Bookman Old Style"/>
          <w:lang w:val="es-CO"/>
        </w:rPr>
      </w:pPr>
    </w:p>
    <w:p w:rsidR="00742E37" w:rsidRDefault="004079D4" w:rsidP="00742E37">
      <w:pPr>
        <w:ind w:left="0"/>
        <w:jc w:val="both"/>
        <w:rPr>
          <w:rFonts w:ascii="Bookman Old Style" w:hAnsi="Bookman Old Style"/>
          <w:lang w:val="es-CO"/>
        </w:rPr>
      </w:pPr>
      <w:r>
        <w:rPr>
          <w:rFonts w:ascii="Bookman Old Style" w:hAnsi="Bookman Old Style"/>
          <w:lang w:val="es-CO"/>
        </w:rPr>
        <w:t>L</w:t>
      </w:r>
      <w:r w:rsidR="00742E37">
        <w:rPr>
          <w:rFonts w:ascii="Bookman Old Style" w:hAnsi="Bookman Old Style"/>
          <w:lang w:val="es-CO"/>
        </w:rPr>
        <w:t>a actividad de transporte de gas natural</w:t>
      </w:r>
      <w:r>
        <w:rPr>
          <w:rFonts w:ascii="Bookman Old Style" w:hAnsi="Bookman Old Style"/>
          <w:lang w:val="es-CO"/>
        </w:rPr>
        <w:t xml:space="preserve"> </w:t>
      </w:r>
      <w:r w:rsidR="00742E37">
        <w:rPr>
          <w:rFonts w:ascii="Bookman Old Style" w:hAnsi="Bookman Old Style"/>
          <w:lang w:val="es-CO"/>
        </w:rPr>
        <w:t>se realiza a través de la red de gasoductos que vinculan los centros de producción de gas con los sistemas de distribución y con las conexiones de los usuarios que se conectan directamente al sistema de transporte.</w:t>
      </w:r>
    </w:p>
    <w:p w:rsidR="00742E37" w:rsidRDefault="00742E37" w:rsidP="00742E37">
      <w:pPr>
        <w:ind w:left="0"/>
        <w:jc w:val="both"/>
        <w:rPr>
          <w:rFonts w:ascii="Bookman Old Style" w:hAnsi="Bookman Old Style"/>
          <w:lang w:val="es-CO"/>
        </w:rPr>
      </w:pPr>
    </w:p>
    <w:p w:rsidR="00954751" w:rsidRPr="009D3928" w:rsidRDefault="00742E37" w:rsidP="004079D4">
      <w:pPr>
        <w:ind w:left="0"/>
        <w:jc w:val="both"/>
        <w:rPr>
          <w:rFonts w:ascii="Bookman Old Style" w:hAnsi="Bookman Old Style"/>
          <w:lang w:val="es-CO"/>
        </w:rPr>
      </w:pPr>
      <w:r>
        <w:rPr>
          <w:rFonts w:ascii="Bookman Old Style" w:hAnsi="Bookman Old Style"/>
          <w:lang w:val="es-CO"/>
        </w:rPr>
        <w:t>A la fecha siete empresas desarrollan esta actividad en Colombia. Para ello cuentan con alrededor de 6.300 km de gasoductos, de 2 a 32 pulgadas de diámetro, y 195.000 caballos de potencia instalada en 18 estaciones de compresión</w:t>
      </w:r>
      <w:r>
        <w:rPr>
          <w:rStyle w:val="Refdenotaalpie"/>
          <w:rFonts w:ascii="Bookman Old Style" w:hAnsi="Bookman Old Style"/>
          <w:lang w:val="es-CO"/>
        </w:rPr>
        <w:footnoteReference w:id="1"/>
      </w:r>
      <w:r>
        <w:rPr>
          <w:rFonts w:ascii="Bookman Old Style" w:hAnsi="Bookman Old Style"/>
          <w:lang w:val="es-CO"/>
        </w:rPr>
        <w:t>. Esta infraestructura conforma el sistema nacional de transporte de gas natural, SNT. En la figura 1 se muestra el esquema del recorrido aproximado de los principales gasoductos del SNT. También se muestra la ubicación de las principales fuentes de producción de gas.</w:t>
      </w:r>
    </w:p>
    <w:p w:rsidR="00765C92" w:rsidRDefault="00765C92" w:rsidP="00E47660">
      <w:pPr>
        <w:ind w:left="0"/>
        <w:rPr>
          <w:rFonts w:ascii="Bookman Old Style" w:hAnsi="Bookman Old Style"/>
          <w:lang w:val="es-CO"/>
        </w:rPr>
      </w:pPr>
    </w:p>
    <w:p w:rsidR="00742E37" w:rsidRDefault="00742E37" w:rsidP="002A6C1E">
      <w:pPr>
        <w:keepNext/>
        <w:ind w:left="0"/>
        <w:jc w:val="center"/>
        <w:rPr>
          <w:rFonts w:ascii="Bookman Old Style" w:hAnsi="Bookman Old Style"/>
          <w:lang w:val="es-CO"/>
        </w:rPr>
      </w:pPr>
      <w:r w:rsidRPr="007025FE">
        <w:rPr>
          <w:rFonts w:ascii="Bookman Old Style" w:hAnsi="Bookman Old Style"/>
          <w:b/>
          <w:lang w:val="es-CO"/>
        </w:rPr>
        <w:t xml:space="preserve">Figura 1. Esquema de </w:t>
      </w:r>
      <w:r>
        <w:rPr>
          <w:rFonts w:ascii="Bookman Old Style" w:hAnsi="Bookman Old Style"/>
          <w:b/>
          <w:lang w:val="es-CO"/>
        </w:rPr>
        <w:t xml:space="preserve">los </w:t>
      </w:r>
      <w:r w:rsidRPr="007025FE">
        <w:rPr>
          <w:rFonts w:ascii="Bookman Old Style" w:hAnsi="Bookman Old Style"/>
          <w:b/>
          <w:lang w:val="es-CO"/>
        </w:rPr>
        <w:t>principales gasoductos del SNT y fuentes de producción</w:t>
      </w:r>
    </w:p>
    <w:p w:rsidR="00742E37" w:rsidRDefault="00742E37" w:rsidP="002A6C1E">
      <w:pPr>
        <w:keepNext/>
        <w:ind w:left="0"/>
        <w:rPr>
          <w:rFonts w:ascii="Bookman Old Style" w:hAnsi="Bookman Old Style"/>
          <w:lang w:val="es-CO"/>
        </w:rPr>
      </w:pPr>
    </w:p>
    <w:p w:rsidR="00742E37" w:rsidRDefault="00B20B22" w:rsidP="004079D4">
      <w:pPr>
        <w:ind w:left="0"/>
        <w:jc w:val="center"/>
        <w:rPr>
          <w:rFonts w:ascii="Bookman Old Style" w:hAnsi="Bookman Old Style"/>
          <w:lang w:val="es-CO"/>
        </w:rPr>
      </w:pPr>
      <w:r w:rsidRPr="00B20B22">
        <w:rPr>
          <w:noProof/>
          <w:lang w:val="es-CO" w:eastAsia="es-CO"/>
        </w:rPr>
        <w:drawing>
          <wp:inline distT="0" distB="0" distL="0" distR="0" wp14:anchorId="1698E381" wp14:editId="025C7CCC">
            <wp:extent cx="4049044" cy="3429000"/>
            <wp:effectExtent l="0" t="0" r="889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055647" cy="3434592"/>
                    </a:xfrm>
                    <a:prstGeom prst="rect">
                      <a:avLst/>
                    </a:prstGeom>
                    <a:noFill/>
                    <a:ln w="0">
                      <a:noFill/>
                    </a:ln>
                    <a:effectLst/>
                  </pic:spPr>
                </pic:pic>
              </a:graphicData>
            </a:graphic>
          </wp:inline>
        </w:drawing>
      </w:r>
    </w:p>
    <w:p w:rsidR="00742E37" w:rsidRDefault="00742E37" w:rsidP="00742E37">
      <w:pPr>
        <w:ind w:left="0"/>
        <w:jc w:val="both"/>
        <w:rPr>
          <w:rFonts w:ascii="Bookman Old Style" w:hAnsi="Bookman Old Style"/>
          <w:lang w:val="es-CO"/>
        </w:rPr>
      </w:pPr>
      <w:r>
        <w:rPr>
          <w:rFonts w:ascii="Bookman Old Style" w:hAnsi="Bookman Old Style"/>
          <w:lang w:val="es-CO"/>
        </w:rPr>
        <w:lastRenderedPageBreak/>
        <w:t>Con esta infraestructura, y de acuerdo con la ubicación de las fuentes de producción y de las demandas, se podría transportar alrededor de 1.100 millones de pies cúbicos por día, MPCD</w:t>
      </w:r>
      <w:r>
        <w:rPr>
          <w:rStyle w:val="Refdenotaalpie"/>
          <w:rFonts w:ascii="Bookman Old Style" w:hAnsi="Bookman Old Style"/>
          <w:lang w:val="es-CO"/>
        </w:rPr>
        <w:footnoteReference w:id="2"/>
      </w:r>
      <w:r>
        <w:rPr>
          <w:rFonts w:ascii="Bookman Old Style" w:hAnsi="Bookman Old Style"/>
          <w:lang w:val="es-CO"/>
        </w:rPr>
        <w:t xml:space="preserve">. </w:t>
      </w:r>
    </w:p>
    <w:p w:rsidR="00742E37" w:rsidRDefault="00742E37" w:rsidP="00E47660">
      <w:pPr>
        <w:ind w:left="0"/>
        <w:rPr>
          <w:rFonts w:ascii="Bookman Old Style" w:hAnsi="Bookman Old Style"/>
          <w:lang w:val="es-CO"/>
        </w:rPr>
      </w:pPr>
    </w:p>
    <w:p w:rsidR="00742E37" w:rsidRPr="009D3928" w:rsidRDefault="00742E37" w:rsidP="00E47660">
      <w:pPr>
        <w:ind w:left="0"/>
        <w:rPr>
          <w:rFonts w:ascii="Bookman Old Style" w:hAnsi="Bookman Old Style"/>
          <w:lang w:val="es-CO"/>
        </w:rPr>
      </w:pPr>
    </w:p>
    <w:p w:rsidR="00954751" w:rsidRPr="009D3928" w:rsidRDefault="00954751" w:rsidP="00E47660">
      <w:pPr>
        <w:ind w:left="0"/>
        <w:rPr>
          <w:rFonts w:ascii="Bookman Old Style" w:hAnsi="Bookman Old Style"/>
          <w:lang w:val="es-CO"/>
        </w:rPr>
      </w:pPr>
      <w:r w:rsidRPr="009D3928">
        <w:rPr>
          <w:rFonts w:ascii="Bookman Old Style" w:hAnsi="Bookman Old Style"/>
          <w:b/>
          <w:lang w:val="es-CO"/>
        </w:rPr>
        <w:t>2.</w:t>
      </w:r>
      <w:r w:rsidR="00B821E2" w:rsidRPr="009D3928">
        <w:rPr>
          <w:rFonts w:ascii="Bookman Old Style" w:hAnsi="Bookman Old Style"/>
          <w:lang w:val="es-CO"/>
        </w:rPr>
        <w:t xml:space="preserve"> </w:t>
      </w:r>
      <w:r w:rsidRPr="009D3928">
        <w:rPr>
          <w:rFonts w:ascii="Bookman Old Style" w:hAnsi="Bookman Old Style"/>
          <w:b/>
          <w:lang w:val="es-CO"/>
        </w:rPr>
        <w:t>R</w:t>
      </w:r>
      <w:r w:rsidR="004108D2" w:rsidRPr="009D3928">
        <w:rPr>
          <w:rFonts w:ascii="Bookman Old Style" w:hAnsi="Bookman Old Style"/>
          <w:b/>
          <w:lang w:val="es-CO"/>
        </w:rPr>
        <w:t>É</w:t>
      </w:r>
      <w:r w:rsidRPr="009D3928">
        <w:rPr>
          <w:rFonts w:ascii="Bookman Old Style" w:hAnsi="Bookman Old Style"/>
          <w:b/>
          <w:lang w:val="es-CO"/>
        </w:rPr>
        <w:t>GIMEN NORMATIVO</w:t>
      </w:r>
    </w:p>
    <w:p w:rsidR="00235844" w:rsidRPr="009D3928" w:rsidRDefault="00235844" w:rsidP="00E47660">
      <w:pPr>
        <w:ind w:left="0"/>
        <w:rPr>
          <w:rFonts w:ascii="Bookman Old Style" w:hAnsi="Bookman Old Style"/>
          <w:b/>
          <w:lang w:val="es-CO"/>
        </w:rPr>
      </w:pPr>
    </w:p>
    <w:p w:rsidR="00355765" w:rsidRPr="009D3928" w:rsidRDefault="00355765" w:rsidP="00E47660">
      <w:pPr>
        <w:ind w:left="0"/>
        <w:rPr>
          <w:rFonts w:ascii="Bookman Old Style" w:hAnsi="Bookman Old Style"/>
          <w:b/>
          <w:lang w:val="es-CO"/>
        </w:rPr>
      </w:pPr>
      <w:r w:rsidRPr="009D3928">
        <w:rPr>
          <w:rFonts w:ascii="Bookman Old Style" w:hAnsi="Bookman Old Style"/>
          <w:b/>
          <w:lang w:val="es-CO"/>
        </w:rPr>
        <w:t>2.1</w:t>
      </w:r>
      <w:r w:rsidR="00E876C3" w:rsidRPr="009D3928">
        <w:rPr>
          <w:rFonts w:ascii="Bookman Old Style" w:hAnsi="Bookman Old Style"/>
          <w:b/>
          <w:lang w:val="es-CO"/>
        </w:rPr>
        <w:t>.</w:t>
      </w:r>
      <w:r w:rsidRPr="009D3928">
        <w:rPr>
          <w:rFonts w:ascii="Bookman Old Style" w:hAnsi="Bookman Old Style"/>
          <w:b/>
          <w:lang w:val="es-CO"/>
        </w:rPr>
        <w:t xml:space="preserve"> COMPETENCIA DE LA CREG</w:t>
      </w:r>
    </w:p>
    <w:p w:rsidR="00355765" w:rsidRPr="009D3928" w:rsidRDefault="00355765" w:rsidP="00E47660">
      <w:pPr>
        <w:ind w:left="0"/>
        <w:rPr>
          <w:rFonts w:ascii="Bookman Old Style" w:hAnsi="Bookman Old Style"/>
          <w:lang w:val="es-CO"/>
        </w:rPr>
      </w:pPr>
    </w:p>
    <w:p w:rsidR="0045552C" w:rsidRPr="009D3928" w:rsidRDefault="0045552C" w:rsidP="00E47660">
      <w:pPr>
        <w:autoSpaceDE w:val="0"/>
        <w:autoSpaceDN w:val="0"/>
        <w:adjustRightInd w:val="0"/>
        <w:ind w:left="0"/>
        <w:jc w:val="both"/>
        <w:rPr>
          <w:rFonts w:ascii="Bookman Old Style" w:hAnsi="Bookman Old Style" w:cs="Bookman Old Style"/>
          <w:color w:val="000000"/>
          <w:lang w:val="es-CO" w:eastAsia="es-CO"/>
        </w:rPr>
      </w:pPr>
      <w:r w:rsidRPr="009D3928">
        <w:rPr>
          <w:rFonts w:ascii="Bookman Old Style" w:hAnsi="Bookman Old Style" w:cs="Bookman Old Style"/>
          <w:color w:val="000000"/>
          <w:lang w:val="es-CO" w:eastAsia="es-CO"/>
        </w:rPr>
        <w:t xml:space="preserve">La </w:t>
      </w:r>
      <w:r w:rsidR="000C5804" w:rsidRPr="009D3928">
        <w:rPr>
          <w:rFonts w:ascii="Bookman Old Style" w:hAnsi="Bookman Old Style" w:cs="Bookman Old Style"/>
          <w:color w:val="000000"/>
          <w:lang w:val="es-CO" w:eastAsia="es-CO"/>
        </w:rPr>
        <w:t xml:space="preserve">actividad de transporte de gas natural </w:t>
      </w:r>
      <w:r w:rsidRPr="009D3928">
        <w:rPr>
          <w:rFonts w:ascii="Bookman Old Style" w:hAnsi="Bookman Old Style" w:cs="Bookman Old Style"/>
          <w:color w:val="000000"/>
          <w:lang w:val="es-CO" w:eastAsia="es-CO"/>
        </w:rPr>
        <w:t xml:space="preserve">se encuentra </w:t>
      </w:r>
      <w:r w:rsidR="00D55FD5">
        <w:rPr>
          <w:rFonts w:ascii="Bookman Old Style" w:hAnsi="Bookman Old Style" w:cs="Bookman Old Style"/>
          <w:color w:val="000000"/>
          <w:lang w:val="es-CO" w:eastAsia="es-CO"/>
        </w:rPr>
        <w:t xml:space="preserve">sujeta </w:t>
      </w:r>
      <w:r w:rsidRPr="009D3928">
        <w:rPr>
          <w:rFonts w:ascii="Bookman Old Style" w:hAnsi="Bookman Old Style" w:cs="Bookman Old Style"/>
          <w:color w:val="000000"/>
          <w:lang w:val="es-CO" w:eastAsia="es-CO"/>
        </w:rPr>
        <w:t>a los mandatos constitucionales</w:t>
      </w:r>
      <w:r w:rsidR="00D55FD5">
        <w:rPr>
          <w:rFonts w:ascii="Bookman Old Style" w:hAnsi="Bookman Old Style" w:cs="Bookman Old Style"/>
          <w:color w:val="000000"/>
          <w:lang w:val="es-CO" w:eastAsia="es-CO"/>
        </w:rPr>
        <w:t xml:space="preserve"> y legales</w:t>
      </w:r>
      <w:r w:rsidRPr="009D3928">
        <w:rPr>
          <w:rFonts w:ascii="Bookman Old Style" w:hAnsi="Bookman Old Style" w:cs="Bookman Old Style"/>
          <w:color w:val="000000"/>
          <w:lang w:val="es-CO" w:eastAsia="es-CO"/>
        </w:rPr>
        <w:t>, l</w:t>
      </w:r>
      <w:r w:rsidR="00A670A5" w:rsidRPr="009D3928">
        <w:rPr>
          <w:rFonts w:ascii="Bookman Old Style" w:hAnsi="Bookman Old Style" w:cs="Bookman Old Style"/>
          <w:color w:val="000000"/>
          <w:lang w:val="es-CO" w:eastAsia="es-CO"/>
        </w:rPr>
        <w:t>o</w:t>
      </w:r>
      <w:r w:rsidRPr="009D3928">
        <w:rPr>
          <w:rFonts w:ascii="Bookman Old Style" w:hAnsi="Bookman Old Style" w:cs="Bookman Old Style"/>
          <w:color w:val="000000"/>
          <w:lang w:val="es-CO" w:eastAsia="es-CO"/>
        </w:rPr>
        <w:t>s cuales han sido puntualizad</w:t>
      </w:r>
      <w:r w:rsidR="00A670A5" w:rsidRPr="009D3928">
        <w:rPr>
          <w:rFonts w:ascii="Bookman Old Style" w:hAnsi="Bookman Old Style" w:cs="Bookman Old Style"/>
          <w:color w:val="000000"/>
          <w:lang w:val="es-CO" w:eastAsia="es-CO"/>
        </w:rPr>
        <w:t>o</w:t>
      </w:r>
      <w:r w:rsidRPr="009D3928">
        <w:rPr>
          <w:rFonts w:ascii="Bookman Old Style" w:hAnsi="Bookman Old Style" w:cs="Bookman Old Style"/>
          <w:color w:val="000000"/>
          <w:lang w:val="es-CO" w:eastAsia="es-CO"/>
        </w:rPr>
        <w:t xml:space="preserve">s </w:t>
      </w:r>
      <w:r w:rsidR="00D55FD5">
        <w:rPr>
          <w:rFonts w:ascii="Bookman Old Style" w:hAnsi="Bookman Old Style" w:cs="Bookman Old Style"/>
          <w:color w:val="000000"/>
          <w:lang w:val="es-CO" w:eastAsia="es-CO"/>
        </w:rPr>
        <w:t>en el artículo 365 de la Constitución Política</w:t>
      </w:r>
      <w:r w:rsidR="00375538">
        <w:rPr>
          <w:rFonts w:ascii="Bookman Old Style" w:hAnsi="Bookman Old Style" w:cs="Bookman Old Style"/>
          <w:color w:val="000000"/>
          <w:lang w:val="es-CO" w:eastAsia="es-CO"/>
        </w:rPr>
        <w:t xml:space="preserve"> y </w:t>
      </w:r>
      <w:r w:rsidRPr="009D3928">
        <w:rPr>
          <w:rFonts w:ascii="Bookman Old Style" w:hAnsi="Bookman Old Style" w:cs="Bookman Old Style"/>
          <w:color w:val="000000"/>
          <w:lang w:val="es-CO" w:eastAsia="es-CO"/>
        </w:rPr>
        <w:t>por el</w:t>
      </w:r>
      <w:r w:rsidR="000C5804" w:rsidRPr="009D3928">
        <w:rPr>
          <w:rFonts w:ascii="Bookman Old Style" w:hAnsi="Bookman Old Style" w:cs="Bookman Old Style"/>
          <w:color w:val="000000"/>
          <w:lang w:val="es-CO" w:eastAsia="es-CO"/>
        </w:rPr>
        <w:t xml:space="preserve"> Congreso de la República en la</w:t>
      </w:r>
      <w:r w:rsidRPr="009D3928">
        <w:rPr>
          <w:rFonts w:ascii="Bookman Old Style" w:hAnsi="Bookman Old Style" w:cs="Bookman Old Style"/>
          <w:color w:val="000000"/>
          <w:lang w:val="es-CO" w:eastAsia="es-CO"/>
        </w:rPr>
        <w:t xml:space="preserve"> </w:t>
      </w:r>
      <w:r w:rsidR="000C5804" w:rsidRPr="009D3928">
        <w:rPr>
          <w:rFonts w:ascii="Bookman Old Style" w:hAnsi="Bookman Old Style" w:cs="Bookman Old Style"/>
          <w:color w:val="000000"/>
          <w:lang w:val="es-CO" w:eastAsia="es-CO"/>
        </w:rPr>
        <w:t>L</w:t>
      </w:r>
      <w:r w:rsidRPr="009D3928">
        <w:rPr>
          <w:rFonts w:ascii="Bookman Old Style" w:hAnsi="Bookman Old Style" w:cs="Bookman Old Style"/>
          <w:color w:val="000000"/>
          <w:lang w:val="es-CO" w:eastAsia="es-CO"/>
        </w:rPr>
        <w:t>ey 142 de 1994.</w:t>
      </w:r>
    </w:p>
    <w:p w:rsidR="0045552C" w:rsidRPr="009D3928" w:rsidRDefault="0045552C" w:rsidP="00E47660">
      <w:pPr>
        <w:autoSpaceDE w:val="0"/>
        <w:autoSpaceDN w:val="0"/>
        <w:adjustRightInd w:val="0"/>
        <w:ind w:left="0"/>
        <w:jc w:val="both"/>
        <w:rPr>
          <w:rFonts w:ascii="Bookman Old Style" w:hAnsi="Bookman Old Style" w:cs="Bookman Old Style"/>
          <w:color w:val="000000"/>
          <w:lang w:val="es-CO" w:eastAsia="es-CO"/>
        </w:rPr>
      </w:pPr>
    </w:p>
    <w:p w:rsidR="0045552C" w:rsidRPr="009D3928" w:rsidRDefault="0045552C" w:rsidP="00E47660">
      <w:pPr>
        <w:autoSpaceDE w:val="0"/>
        <w:autoSpaceDN w:val="0"/>
        <w:adjustRightInd w:val="0"/>
        <w:ind w:left="0"/>
        <w:jc w:val="both"/>
        <w:rPr>
          <w:rFonts w:ascii="Bookman Old Style" w:hAnsi="Bookman Old Style" w:cs="Bookman Old Style"/>
          <w:color w:val="000000"/>
          <w:lang w:val="es-CO" w:eastAsia="es-CO"/>
        </w:rPr>
      </w:pPr>
      <w:r w:rsidRPr="009D3928">
        <w:rPr>
          <w:rFonts w:ascii="Bookman Old Style" w:hAnsi="Bookman Old Style" w:cs="Bookman Old Style"/>
          <w:color w:val="000000"/>
          <w:lang w:val="es-CO" w:eastAsia="es-CO"/>
        </w:rPr>
        <w:t>En virtud de la</w:t>
      </w:r>
      <w:r w:rsidR="000C5804" w:rsidRPr="009D3928">
        <w:rPr>
          <w:rFonts w:ascii="Bookman Old Style" w:hAnsi="Bookman Old Style" w:cs="Bookman Old Style"/>
          <w:color w:val="000000"/>
          <w:lang w:val="es-CO" w:eastAsia="es-CO"/>
        </w:rPr>
        <w:t xml:space="preserve"> ley</w:t>
      </w:r>
      <w:r w:rsidRPr="009D3928">
        <w:rPr>
          <w:rFonts w:ascii="Bookman Old Style" w:hAnsi="Bookman Old Style" w:cs="Bookman Old Style"/>
          <w:color w:val="000000"/>
          <w:lang w:val="es-CO" w:eastAsia="es-CO"/>
        </w:rPr>
        <w:t xml:space="preserve"> en mención, la CREG es la encargada de determinar la regulación </w:t>
      </w:r>
      <w:r w:rsidR="00A670A5" w:rsidRPr="009D3928">
        <w:rPr>
          <w:rFonts w:ascii="Bookman Old Style" w:hAnsi="Bookman Old Style" w:cs="Bookman Old Style"/>
          <w:color w:val="000000"/>
          <w:lang w:val="es-CO" w:eastAsia="es-CO"/>
        </w:rPr>
        <w:t xml:space="preserve">económica </w:t>
      </w:r>
      <w:r w:rsidRPr="009D3928">
        <w:rPr>
          <w:rFonts w:ascii="Bookman Old Style" w:hAnsi="Bookman Old Style" w:cs="Bookman Old Style"/>
          <w:color w:val="000000"/>
          <w:lang w:val="es-CO" w:eastAsia="es-CO"/>
        </w:rPr>
        <w:t xml:space="preserve">del servicio público domiciliario de </w:t>
      </w:r>
      <w:r w:rsidR="000C5804" w:rsidRPr="009D3928">
        <w:rPr>
          <w:rFonts w:ascii="Bookman Old Style" w:hAnsi="Bookman Old Style" w:cs="Bookman Old Style"/>
          <w:color w:val="000000"/>
          <w:lang w:val="es-CO" w:eastAsia="es-CO"/>
        </w:rPr>
        <w:t>distribución de gas combustible y de la actividad complementaria de transporte de gas natural</w:t>
      </w:r>
      <w:r w:rsidRPr="009D3928">
        <w:rPr>
          <w:rFonts w:ascii="Bookman Old Style" w:hAnsi="Bookman Old Style" w:cs="Bookman Old Style"/>
          <w:color w:val="000000"/>
          <w:lang w:val="es-CO" w:eastAsia="es-CO"/>
        </w:rPr>
        <w:t xml:space="preserve">, mereciendo especial mención los artículos 35, 68, 73.11, 73.20, </w:t>
      </w:r>
      <w:r w:rsidR="00F308CE" w:rsidRPr="009D3928">
        <w:rPr>
          <w:rFonts w:ascii="Bookman Old Style" w:hAnsi="Bookman Old Style" w:cs="Bookman Old Style"/>
          <w:color w:val="000000"/>
          <w:lang w:val="es-CO" w:eastAsia="es-CO"/>
        </w:rPr>
        <w:t>73.22</w:t>
      </w:r>
      <w:r w:rsidR="00F308CE" w:rsidRPr="00701C21">
        <w:rPr>
          <w:rFonts w:ascii="Bookman Old Style" w:hAnsi="Bookman Old Style" w:cs="Bookman Old Style"/>
          <w:color w:val="000000"/>
          <w:lang w:val="es-CO" w:eastAsia="es-CO"/>
        </w:rPr>
        <w:t xml:space="preserve">, </w:t>
      </w:r>
      <w:r w:rsidRPr="009D3928">
        <w:rPr>
          <w:rFonts w:ascii="Bookman Old Style" w:hAnsi="Bookman Old Style" w:cs="Bookman Old Style"/>
          <w:color w:val="000000"/>
          <w:lang w:val="es-CO" w:eastAsia="es-CO"/>
        </w:rPr>
        <w:t>74.1, 87, 88.1, 90, 91</w:t>
      </w:r>
      <w:r w:rsidR="00F308CE" w:rsidRPr="009D3928">
        <w:rPr>
          <w:rFonts w:ascii="Bookman Old Style" w:hAnsi="Bookman Old Style" w:cs="Bookman Old Style"/>
          <w:color w:val="000000"/>
          <w:lang w:val="es-CO" w:eastAsia="es-CO"/>
        </w:rPr>
        <w:t>, 92, 126 y 127</w:t>
      </w:r>
      <w:r w:rsidRPr="009D3928">
        <w:rPr>
          <w:rFonts w:ascii="Bookman Old Style" w:hAnsi="Bookman Old Style" w:cs="Bookman Old Style"/>
          <w:color w:val="000000"/>
          <w:lang w:val="es-CO" w:eastAsia="es-CO"/>
        </w:rPr>
        <w:t xml:space="preserve"> de la Ley 142 de 1994.</w:t>
      </w:r>
    </w:p>
    <w:p w:rsidR="0045552C" w:rsidRPr="009D3928" w:rsidRDefault="0045552C" w:rsidP="00E47660">
      <w:pPr>
        <w:autoSpaceDE w:val="0"/>
        <w:autoSpaceDN w:val="0"/>
        <w:adjustRightInd w:val="0"/>
        <w:ind w:left="0"/>
        <w:jc w:val="both"/>
        <w:rPr>
          <w:rFonts w:ascii="Bookman Old Style" w:hAnsi="Bookman Old Style" w:cs="Bookman Old Style"/>
          <w:color w:val="000000"/>
          <w:lang w:val="es-CO" w:eastAsia="es-CO"/>
        </w:rPr>
      </w:pPr>
    </w:p>
    <w:p w:rsidR="0045552C" w:rsidRPr="009D3928" w:rsidRDefault="0045552C" w:rsidP="00E47660">
      <w:pPr>
        <w:ind w:left="0"/>
        <w:jc w:val="both"/>
        <w:rPr>
          <w:rFonts w:ascii="Bookman Old Style" w:hAnsi="Bookman Old Style" w:cs="Bookman Old Style"/>
          <w:color w:val="000000"/>
          <w:lang w:val="es-CO" w:eastAsia="es-CO"/>
        </w:rPr>
      </w:pPr>
      <w:r w:rsidRPr="009D3928">
        <w:rPr>
          <w:rFonts w:ascii="Bookman Old Style" w:hAnsi="Bookman Old Style" w:cs="Bookman Old Style"/>
          <w:color w:val="000000"/>
          <w:lang w:val="es-CO" w:eastAsia="es-CO"/>
        </w:rPr>
        <w:t xml:space="preserve">Por lo anterior, vale la pena mencionar que la regulación de la CREG tiene un marco </w:t>
      </w:r>
      <w:r w:rsidR="00D55FD5">
        <w:rPr>
          <w:rFonts w:ascii="Bookman Old Style" w:hAnsi="Bookman Old Style" w:cs="Bookman Old Style"/>
          <w:color w:val="000000"/>
          <w:lang w:val="es-CO" w:eastAsia="es-CO"/>
        </w:rPr>
        <w:t>normativo</w:t>
      </w:r>
      <w:r w:rsidR="00D55FD5" w:rsidRPr="009D3928">
        <w:rPr>
          <w:rFonts w:ascii="Bookman Old Style" w:hAnsi="Bookman Old Style" w:cs="Bookman Old Style"/>
          <w:color w:val="000000"/>
          <w:lang w:val="es-CO" w:eastAsia="es-CO"/>
        </w:rPr>
        <w:t xml:space="preserve"> </w:t>
      </w:r>
      <w:r w:rsidRPr="009D3928">
        <w:rPr>
          <w:rFonts w:ascii="Bookman Old Style" w:hAnsi="Bookman Old Style" w:cs="Bookman Old Style"/>
          <w:color w:val="000000"/>
          <w:lang w:val="es-CO" w:eastAsia="es-CO"/>
        </w:rPr>
        <w:t xml:space="preserve">superior, el cual </w:t>
      </w:r>
      <w:r w:rsidR="00D55FD5" w:rsidRPr="00D55FD5">
        <w:rPr>
          <w:rFonts w:ascii="Bookman Old Style" w:hAnsi="Bookman Old Style" w:cs="Bookman Old Style"/>
          <w:color w:val="000000"/>
          <w:lang w:val="es-CO" w:eastAsia="es-CO"/>
        </w:rPr>
        <w:t xml:space="preserve">orienta el ejercicio de </w:t>
      </w:r>
      <w:r w:rsidR="00D55FD5">
        <w:rPr>
          <w:rFonts w:ascii="Bookman Old Style" w:hAnsi="Bookman Old Style" w:cs="Bookman Old Style"/>
          <w:color w:val="000000"/>
          <w:lang w:val="es-CO" w:eastAsia="es-CO"/>
        </w:rPr>
        <w:t>la</w:t>
      </w:r>
      <w:r w:rsidR="00D55FD5" w:rsidRPr="00D55FD5">
        <w:rPr>
          <w:rFonts w:ascii="Bookman Old Style" w:hAnsi="Bookman Old Style" w:cs="Bookman Old Style"/>
          <w:color w:val="000000"/>
          <w:lang w:val="es-CO" w:eastAsia="es-CO"/>
        </w:rPr>
        <w:t xml:space="preserve"> facultad regulatoria </w:t>
      </w:r>
      <w:r w:rsidR="00352705">
        <w:rPr>
          <w:rFonts w:ascii="Bookman Old Style" w:hAnsi="Bookman Old Style" w:cs="Bookman Old Style"/>
          <w:color w:val="000000"/>
          <w:lang w:val="es-CO" w:eastAsia="es-CO"/>
        </w:rPr>
        <w:t xml:space="preserve">y </w:t>
      </w:r>
      <w:r w:rsidR="00D55FD5" w:rsidRPr="00D55FD5">
        <w:rPr>
          <w:rFonts w:ascii="Bookman Old Style" w:hAnsi="Bookman Old Style" w:cs="Bookman Old Style"/>
          <w:color w:val="000000"/>
          <w:lang w:val="es-CO" w:eastAsia="es-CO"/>
        </w:rPr>
        <w:t xml:space="preserve">la prestación de los servicios públicos domiciliarios al cumplimiento de </w:t>
      </w:r>
      <w:r w:rsidR="00D55FD5">
        <w:rPr>
          <w:rFonts w:ascii="Bookman Old Style" w:hAnsi="Bookman Old Style" w:cs="Bookman Old Style"/>
          <w:color w:val="000000"/>
          <w:lang w:val="es-CO" w:eastAsia="es-CO"/>
        </w:rPr>
        <w:t>los</w:t>
      </w:r>
      <w:r w:rsidR="00D55FD5" w:rsidRPr="00D55FD5">
        <w:rPr>
          <w:rFonts w:ascii="Bookman Old Style" w:hAnsi="Bookman Old Style" w:cs="Bookman Old Style"/>
          <w:color w:val="000000"/>
          <w:lang w:val="es-CO" w:eastAsia="es-CO"/>
        </w:rPr>
        <w:t xml:space="preserve"> fines constitucionales y legales, siendo esta normativa la que</w:t>
      </w:r>
      <w:r w:rsidR="00A11E04">
        <w:rPr>
          <w:rFonts w:ascii="Bookman Old Style" w:hAnsi="Bookman Old Style" w:cs="Bookman Old Style"/>
          <w:color w:val="000000"/>
          <w:lang w:val="es-CO" w:eastAsia="es-CO"/>
        </w:rPr>
        <w:t xml:space="preserve"> </w:t>
      </w:r>
      <w:r w:rsidRPr="009D3928">
        <w:rPr>
          <w:rFonts w:ascii="Bookman Old Style" w:hAnsi="Bookman Old Style" w:cs="Bookman Old Style"/>
          <w:color w:val="000000"/>
          <w:lang w:val="es-CO" w:eastAsia="es-CO"/>
        </w:rPr>
        <w:t>ordena los contenidos y formas que deben ser adoptados por la Comisión en sus resoluciones.</w:t>
      </w:r>
    </w:p>
    <w:p w:rsidR="00355765" w:rsidRPr="009D3928" w:rsidRDefault="00355765" w:rsidP="00E47660">
      <w:pPr>
        <w:ind w:left="0"/>
        <w:rPr>
          <w:rFonts w:ascii="Bookman Old Style" w:hAnsi="Bookman Old Style"/>
          <w:lang w:val="es-CO"/>
        </w:rPr>
      </w:pPr>
    </w:p>
    <w:p w:rsidR="00355765" w:rsidRPr="009D3928" w:rsidRDefault="00355765" w:rsidP="00E47660">
      <w:pPr>
        <w:ind w:left="0"/>
        <w:rPr>
          <w:rFonts w:ascii="Bookman Old Style" w:hAnsi="Bookman Old Style"/>
          <w:b/>
          <w:lang w:val="es-CO"/>
        </w:rPr>
      </w:pPr>
      <w:r w:rsidRPr="009D3928">
        <w:rPr>
          <w:rFonts w:ascii="Bookman Old Style" w:hAnsi="Bookman Old Style"/>
          <w:b/>
          <w:lang w:val="es-CO"/>
        </w:rPr>
        <w:t>2.</w:t>
      </w:r>
      <w:r w:rsidR="00235844" w:rsidRPr="009D3928">
        <w:rPr>
          <w:rFonts w:ascii="Bookman Old Style" w:hAnsi="Bookman Old Style"/>
          <w:b/>
          <w:lang w:val="es-CO"/>
        </w:rPr>
        <w:t>2</w:t>
      </w:r>
      <w:r w:rsidR="00E876C3" w:rsidRPr="009D3928">
        <w:rPr>
          <w:rFonts w:ascii="Bookman Old Style" w:hAnsi="Bookman Old Style"/>
          <w:b/>
          <w:lang w:val="es-CO"/>
        </w:rPr>
        <w:t>.</w:t>
      </w:r>
      <w:r w:rsidRPr="009D3928">
        <w:rPr>
          <w:rFonts w:ascii="Bookman Old Style" w:hAnsi="Bookman Old Style"/>
          <w:b/>
          <w:lang w:val="es-CO"/>
        </w:rPr>
        <w:t xml:space="preserve"> </w:t>
      </w:r>
      <w:r w:rsidR="002B65EF" w:rsidRPr="009D3928">
        <w:rPr>
          <w:rFonts w:ascii="Bookman Old Style" w:hAnsi="Bookman Old Style"/>
          <w:b/>
          <w:lang w:val="es-CO"/>
        </w:rPr>
        <w:t xml:space="preserve">METODOLOGÍA </w:t>
      </w:r>
      <w:r w:rsidRPr="009D3928">
        <w:rPr>
          <w:rFonts w:ascii="Bookman Old Style" w:hAnsi="Bookman Old Style"/>
          <w:b/>
          <w:lang w:val="es-CO"/>
        </w:rPr>
        <w:t>VIGENTE</w:t>
      </w:r>
    </w:p>
    <w:p w:rsidR="00355765" w:rsidRPr="009D3928" w:rsidRDefault="00355765" w:rsidP="00E47660">
      <w:pPr>
        <w:ind w:left="0"/>
        <w:rPr>
          <w:rFonts w:ascii="Bookman Old Style" w:hAnsi="Bookman Old Style"/>
          <w:lang w:val="es-CO"/>
        </w:rPr>
      </w:pPr>
    </w:p>
    <w:p w:rsidR="00CD7A7E" w:rsidRPr="009D3928" w:rsidRDefault="00355765" w:rsidP="00E47660">
      <w:pPr>
        <w:pStyle w:val="Textodebloque"/>
        <w:spacing w:after="0"/>
        <w:ind w:left="0" w:right="0"/>
        <w:rPr>
          <w:rFonts w:ascii="Bookman Old Style" w:hAnsi="Bookman Old Style"/>
          <w:szCs w:val="24"/>
          <w:lang w:val="es-CO"/>
        </w:rPr>
      </w:pPr>
      <w:r w:rsidRPr="009D3928">
        <w:rPr>
          <w:rFonts w:ascii="Bookman Old Style" w:hAnsi="Bookman Old Style"/>
          <w:szCs w:val="24"/>
          <w:lang w:val="es-CO"/>
        </w:rPr>
        <w:t xml:space="preserve">La </w:t>
      </w:r>
      <w:r w:rsidR="0089263C" w:rsidRPr="009D3928">
        <w:rPr>
          <w:rFonts w:ascii="Bookman Old Style" w:hAnsi="Bookman Old Style"/>
          <w:szCs w:val="24"/>
          <w:lang w:val="es-CO"/>
        </w:rPr>
        <w:t>metodología</w:t>
      </w:r>
      <w:r w:rsidRPr="009D3928">
        <w:rPr>
          <w:rFonts w:ascii="Bookman Old Style" w:hAnsi="Bookman Old Style"/>
          <w:szCs w:val="24"/>
          <w:lang w:val="es-CO"/>
        </w:rPr>
        <w:t xml:space="preserve"> vigente para la </w:t>
      </w:r>
      <w:r w:rsidR="0089263C" w:rsidRPr="009D3928">
        <w:rPr>
          <w:rFonts w:ascii="Bookman Old Style" w:hAnsi="Bookman Old Style"/>
          <w:szCs w:val="24"/>
          <w:lang w:val="es-CO"/>
        </w:rPr>
        <w:t xml:space="preserve">remuneración de la actividad de transporte de gas natural </w:t>
      </w:r>
      <w:r w:rsidRPr="009D3928">
        <w:rPr>
          <w:rFonts w:ascii="Bookman Old Style" w:hAnsi="Bookman Old Style"/>
          <w:szCs w:val="24"/>
          <w:lang w:val="es-CO"/>
        </w:rPr>
        <w:t>es</w:t>
      </w:r>
      <w:r w:rsidR="0089263C" w:rsidRPr="009D3928">
        <w:rPr>
          <w:rFonts w:ascii="Bookman Old Style" w:hAnsi="Bookman Old Style"/>
          <w:szCs w:val="24"/>
          <w:lang w:val="es-CO"/>
        </w:rPr>
        <w:t>tá</w:t>
      </w:r>
      <w:r w:rsidRPr="009D3928">
        <w:rPr>
          <w:rFonts w:ascii="Bookman Old Style" w:hAnsi="Bookman Old Style"/>
          <w:szCs w:val="24"/>
          <w:lang w:val="es-CO"/>
        </w:rPr>
        <w:t xml:space="preserve"> </w:t>
      </w:r>
      <w:r w:rsidR="0089263C" w:rsidRPr="009D3928">
        <w:rPr>
          <w:rFonts w:ascii="Bookman Old Style" w:hAnsi="Bookman Old Style"/>
          <w:szCs w:val="24"/>
          <w:lang w:val="es-CO"/>
        </w:rPr>
        <w:t>establecida</w:t>
      </w:r>
      <w:r w:rsidRPr="009D3928">
        <w:rPr>
          <w:rFonts w:ascii="Bookman Old Style" w:hAnsi="Bookman Old Style"/>
          <w:szCs w:val="24"/>
          <w:lang w:val="es-CO"/>
        </w:rPr>
        <w:t xml:space="preserve"> en la Resolución CREG </w:t>
      </w:r>
      <w:r w:rsidR="0089263C" w:rsidRPr="009D3928">
        <w:rPr>
          <w:rFonts w:ascii="Bookman Old Style" w:hAnsi="Bookman Old Style"/>
          <w:szCs w:val="24"/>
          <w:lang w:val="es-CO"/>
        </w:rPr>
        <w:t>126</w:t>
      </w:r>
      <w:r w:rsidRPr="009D3928">
        <w:rPr>
          <w:rFonts w:ascii="Bookman Old Style" w:hAnsi="Bookman Old Style"/>
          <w:szCs w:val="24"/>
          <w:lang w:val="es-CO"/>
        </w:rPr>
        <w:t xml:space="preserve"> de 20</w:t>
      </w:r>
      <w:r w:rsidR="0089263C" w:rsidRPr="009D3928">
        <w:rPr>
          <w:rFonts w:ascii="Bookman Old Style" w:hAnsi="Bookman Old Style"/>
          <w:szCs w:val="24"/>
          <w:lang w:val="es-CO"/>
        </w:rPr>
        <w:t>1</w:t>
      </w:r>
      <w:r w:rsidRPr="009D3928">
        <w:rPr>
          <w:rFonts w:ascii="Bookman Old Style" w:hAnsi="Bookman Old Style"/>
          <w:szCs w:val="24"/>
          <w:lang w:val="es-CO"/>
        </w:rPr>
        <w:t>0</w:t>
      </w:r>
      <w:r w:rsidR="00CC1B7A" w:rsidRPr="009D3928">
        <w:rPr>
          <w:rFonts w:ascii="Bookman Old Style" w:hAnsi="Bookman Old Style"/>
          <w:szCs w:val="24"/>
          <w:lang w:val="es-CO"/>
        </w:rPr>
        <w:t xml:space="preserve"> y aquellas que la han modificado o complementado</w:t>
      </w:r>
      <w:r w:rsidR="003C60B8" w:rsidRPr="009D3928">
        <w:rPr>
          <w:rFonts w:ascii="Bookman Old Style" w:hAnsi="Bookman Old Style"/>
          <w:szCs w:val="24"/>
          <w:lang w:val="es-CO"/>
        </w:rPr>
        <w:t>.</w:t>
      </w:r>
      <w:r w:rsidR="0089263C" w:rsidRPr="009D3928">
        <w:rPr>
          <w:rFonts w:ascii="Bookman Old Style" w:hAnsi="Bookman Old Style"/>
          <w:szCs w:val="24"/>
          <w:lang w:val="es-CO"/>
        </w:rPr>
        <w:t xml:space="preserve"> </w:t>
      </w:r>
      <w:r w:rsidR="00CD7A7E" w:rsidRPr="009D3928">
        <w:rPr>
          <w:rFonts w:ascii="Bookman Old Style" w:hAnsi="Bookman Old Style"/>
          <w:szCs w:val="24"/>
          <w:lang w:val="es-CO"/>
        </w:rPr>
        <w:t xml:space="preserve">En dicha resolución se definen las variables </w:t>
      </w:r>
      <w:r w:rsidR="0082789D" w:rsidRPr="009D3928">
        <w:rPr>
          <w:rFonts w:ascii="Bookman Old Style" w:hAnsi="Bookman Old Style"/>
          <w:szCs w:val="24"/>
          <w:lang w:val="es-CO"/>
        </w:rPr>
        <w:t>a considerar</w:t>
      </w:r>
      <w:r w:rsidR="00CD7A7E" w:rsidRPr="009D3928">
        <w:rPr>
          <w:rFonts w:ascii="Bookman Old Style" w:hAnsi="Bookman Old Style"/>
          <w:szCs w:val="24"/>
          <w:lang w:val="es-CO"/>
        </w:rPr>
        <w:t xml:space="preserve"> </w:t>
      </w:r>
      <w:r w:rsidR="0082789D" w:rsidRPr="009D3928">
        <w:rPr>
          <w:rFonts w:ascii="Bookman Old Style" w:hAnsi="Bookman Old Style"/>
          <w:szCs w:val="24"/>
          <w:lang w:val="es-CO"/>
        </w:rPr>
        <w:t xml:space="preserve">y </w:t>
      </w:r>
      <w:r w:rsidR="00CD7A7E" w:rsidRPr="009D3928">
        <w:rPr>
          <w:rFonts w:ascii="Bookman Old Style" w:hAnsi="Bookman Old Style"/>
          <w:szCs w:val="24"/>
          <w:lang w:val="es-CO"/>
        </w:rPr>
        <w:t xml:space="preserve">la metodología </w:t>
      </w:r>
      <w:r w:rsidR="0082789D" w:rsidRPr="009D3928">
        <w:rPr>
          <w:rFonts w:ascii="Bookman Old Style" w:hAnsi="Bookman Old Style"/>
          <w:szCs w:val="24"/>
          <w:lang w:val="es-CO"/>
        </w:rPr>
        <w:t>a</w:t>
      </w:r>
      <w:r w:rsidR="00CD7A7E" w:rsidRPr="009D3928">
        <w:rPr>
          <w:rFonts w:ascii="Bookman Old Style" w:hAnsi="Bookman Old Style"/>
          <w:szCs w:val="24"/>
          <w:lang w:val="es-CO"/>
        </w:rPr>
        <w:t xml:space="preserve"> </w:t>
      </w:r>
      <w:r w:rsidR="0082789D" w:rsidRPr="009D3928">
        <w:rPr>
          <w:rFonts w:ascii="Bookman Old Style" w:hAnsi="Bookman Old Style"/>
          <w:szCs w:val="24"/>
          <w:lang w:val="es-CO"/>
        </w:rPr>
        <w:t>aplicar</w:t>
      </w:r>
      <w:r w:rsidR="00CD7A7E" w:rsidRPr="009D3928">
        <w:rPr>
          <w:rFonts w:ascii="Bookman Old Style" w:hAnsi="Bookman Old Style"/>
          <w:szCs w:val="24"/>
          <w:lang w:val="es-CO"/>
        </w:rPr>
        <w:t xml:space="preserve"> </w:t>
      </w:r>
      <w:r w:rsidR="0082789D" w:rsidRPr="009D3928">
        <w:rPr>
          <w:rFonts w:ascii="Bookman Old Style" w:hAnsi="Bookman Old Style"/>
          <w:szCs w:val="24"/>
          <w:lang w:val="es-CO"/>
        </w:rPr>
        <w:t>en el cálculo de</w:t>
      </w:r>
      <w:r w:rsidR="00CD7A7E" w:rsidRPr="009D3928">
        <w:rPr>
          <w:rFonts w:ascii="Bookman Old Style" w:hAnsi="Bookman Old Style"/>
          <w:szCs w:val="24"/>
          <w:lang w:val="es-CO"/>
        </w:rPr>
        <w:t xml:space="preserve"> los cargos regulados por el servicio de transporte, los mecanismos que las partes que intervienen en los contratos de transporte pueden utilizar para determinar los cargos, </w:t>
      </w:r>
      <w:r w:rsidR="0082789D" w:rsidRPr="009D3928">
        <w:rPr>
          <w:rFonts w:ascii="Bookman Old Style" w:hAnsi="Bookman Old Style"/>
          <w:szCs w:val="24"/>
          <w:lang w:val="es-CO"/>
        </w:rPr>
        <w:t>los instrumentos regulatorios disponibles para asegurar la extensión y la expansión del sistema nacional de transporte y disposiciones sobre otros servicios de transporte.</w:t>
      </w:r>
      <w:r w:rsidR="00857804" w:rsidRPr="009D3928">
        <w:rPr>
          <w:rFonts w:ascii="Bookman Old Style" w:hAnsi="Bookman Old Style"/>
          <w:szCs w:val="24"/>
          <w:lang w:val="es-CO"/>
        </w:rPr>
        <w:t xml:space="preserve"> La Resolución CREG 126 de 2010 también contiene otras disposiciones regulatorias en materia de transporte de gas natural, sin que las mismas correspondan a aspectos propios de la metodología de remuneración.</w:t>
      </w:r>
    </w:p>
    <w:p w:rsidR="00CD7A7E" w:rsidRPr="009D3928" w:rsidRDefault="00CD7A7E" w:rsidP="00E47660">
      <w:pPr>
        <w:pStyle w:val="Textodebloque"/>
        <w:spacing w:after="0"/>
        <w:ind w:left="0" w:right="0"/>
        <w:rPr>
          <w:rFonts w:ascii="Bookman Old Style" w:hAnsi="Bookman Old Style"/>
          <w:szCs w:val="24"/>
          <w:lang w:val="es-CO"/>
        </w:rPr>
      </w:pPr>
    </w:p>
    <w:p w:rsidR="00857804" w:rsidRPr="009D3928" w:rsidRDefault="00857804" w:rsidP="00E47660">
      <w:pPr>
        <w:pStyle w:val="Textodebloque"/>
        <w:spacing w:after="0"/>
        <w:ind w:left="0" w:right="0"/>
        <w:rPr>
          <w:rFonts w:ascii="Bookman Old Style" w:hAnsi="Bookman Old Style"/>
          <w:szCs w:val="24"/>
          <w:lang w:val="es-CO"/>
        </w:rPr>
      </w:pPr>
      <w:r w:rsidRPr="009D3928">
        <w:rPr>
          <w:rFonts w:ascii="Bookman Old Style" w:hAnsi="Bookman Old Style"/>
          <w:szCs w:val="24"/>
          <w:lang w:val="es-CO"/>
        </w:rPr>
        <w:t xml:space="preserve">Desde la entrada en vigencia de la Resolución CREG 126 de 2010 ha sido necesario </w:t>
      </w:r>
      <w:r w:rsidR="002F1D6E" w:rsidRPr="009D3928">
        <w:rPr>
          <w:rFonts w:ascii="Bookman Old Style" w:hAnsi="Bookman Old Style"/>
          <w:szCs w:val="24"/>
          <w:lang w:val="es-CO"/>
        </w:rPr>
        <w:t>introducir ajustes a la misma</w:t>
      </w:r>
      <w:r w:rsidRPr="009D3928">
        <w:rPr>
          <w:rFonts w:ascii="Bookman Old Style" w:hAnsi="Bookman Old Style"/>
          <w:szCs w:val="24"/>
          <w:lang w:val="es-CO"/>
        </w:rPr>
        <w:t xml:space="preserve"> mediante las resoluciones 129 de 2010, 079 y 097 de 2011</w:t>
      </w:r>
      <w:r w:rsidR="002F1D6E" w:rsidRPr="009D3928">
        <w:rPr>
          <w:rFonts w:ascii="Bookman Old Style" w:hAnsi="Bookman Old Style"/>
          <w:szCs w:val="24"/>
          <w:lang w:val="es-CO"/>
        </w:rPr>
        <w:t xml:space="preserve">, y 066 y 089 de 2013. Las razones en las que se soportan </w:t>
      </w:r>
      <w:r w:rsidR="002F1D6E" w:rsidRPr="009D3928">
        <w:rPr>
          <w:rFonts w:ascii="Bookman Old Style" w:hAnsi="Bookman Old Style"/>
          <w:szCs w:val="24"/>
          <w:lang w:val="es-CO"/>
        </w:rPr>
        <w:lastRenderedPageBreak/>
        <w:t xml:space="preserve">dichos ajustes están expuestas en los documentos CREG 102 de 2010, 065 y </w:t>
      </w:r>
      <w:r w:rsidR="00FB4046" w:rsidRPr="009D3928">
        <w:rPr>
          <w:rFonts w:ascii="Bookman Old Style" w:hAnsi="Bookman Old Style"/>
          <w:szCs w:val="24"/>
          <w:lang w:val="es-CO"/>
        </w:rPr>
        <w:t xml:space="preserve">076 </w:t>
      </w:r>
      <w:r w:rsidR="002F1D6E" w:rsidRPr="009D3928">
        <w:rPr>
          <w:rFonts w:ascii="Bookman Old Style" w:hAnsi="Bookman Old Style"/>
          <w:szCs w:val="24"/>
          <w:lang w:val="es-CO"/>
        </w:rPr>
        <w:t>de 2011</w:t>
      </w:r>
      <w:r w:rsidR="00FB4046" w:rsidRPr="009D3928">
        <w:rPr>
          <w:rFonts w:ascii="Bookman Old Style" w:hAnsi="Bookman Old Style"/>
          <w:szCs w:val="24"/>
          <w:lang w:val="es-CO"/>
        </w:rPr>
        <w:t xml:space="preserve"> y 045 y 063 2013, respectivamente.</w:t>
      </w:r>
    </w:p>
    <w:p w:rsidR="00787E0C" w:rsidRPr="009D3928" w:rsidRDefault="00787E0C" w:rsidP="00E47660">
      <w:pPr>
        <w:pStyle w:val="Textodebloque"/>
        <w:spacing w:after="0"/>
        <w:ind w:left="0" w:right="0"/>
        <w:rPr>
          <w:rFonts w:ascii="Bookman Old Style" w:hAnsi="Bookman Old Style"/>
          <w:szCs w:val="24"/>
          <w:lang w:val="es-CO"/>
        </w:rPr>
      </w:pPr>
    </w:p>
    <w:p w:rsidR="00355765" w:rsidRPr="009D3928" w:rsidRDefault="00355765" w:rsidP="00E47660">
      <w:pPr>
        <w:ind w:left="0"/>
        <w:rPr>
          <w:rFonts w:ascii="Bookman Old Style" w:hAnsi="Bookman Old Style"/>
          <w:b/>
          <w:lang w:val="es-CO"/>
        </w:rPr>
      </w:pPr>
      <w:r w:rsidRPr="009D3928">
        <w:rPr>
          <w:rFonts w:ascii="Bookman Old Style" w:hAnsi="Bookman Old Style"/>
          <w:b/>
          <w:lang w:val="es-CO"/>
        </w:rPr>
        <w:t>2.</w:t>
      </w:r>
      <w:r w:rsidR="00235844" w:rsidRPr="009D3928">
        <w:rPr>
          <w:rFonts w:ascii="Bookman Old Style" w:hAnsi="Bookman Old Style"/>
          <w:b/>
          <w:lang w:val="es-CO"/>
        </w:rPr>
        <w:t>3.</w:t>
      </w:r>
      <w:r w:rsidRPr="009D3928">
        <w:rPr>
          <w:rFonts w:ascii="Bookman Old Style" w:hAnsi="Bookman Old Style"/>
          <w:b/>
          <w:lang w:val="es-CO"/>
        </w:rPr>
        <w:t xml:space="preserve"> ESTRUCTURA </w:t>
      </w:r>
      <w:r w:rsidR="00FA6DE7" w:rsidRPr="009D3928">
        <w:rPr>
          <w:rFonts w:ascii="Bookman Old Style" w:hAnsi="Bookman Old Style"/>
          <w:b/>
          <w:lang w:val="es-CO"/>
        </w:rPr>
        <w:t>DE CARGOS</w:t>
      </w:r>
      <w:r w:rsidR="00765C92" w:rsidRPr="009D3928">
        <w:rPr>
          <w:rFonts w:ascii="Bookman Old Style" w:hAnsi="Bookman Old Style"/>
          <w:b/>
          <w:lang w:val="es-CO"/>
        </w:rPr>
        <w:t xml:space="preserve"> REGULADOS</w:t>
      </w:r>
    </w:p>
    <w:p w:rsidR="0086768D" w:rsidRPr="009D3928" w:rsidRDefault="0086768D" w:rsidP="006F6D6F">
      <w:pPr>
        <w:pStyle w:val="Textodebloque"/>
        <w:spacing w:after="0"/>
        <w:ind w:left="0" w:right="0"/>
        <w:rPr>
          <w:rFonts w:ascii="Bookman Old Style" w:hAnsi="Bookman Old Style"/>
          <w:szCs w:val="24"/>
          <w:lang w:val="es-CO"/>
        </w:rPr>
      </w:pPr>
    </w:p>
    <w:p w:rsidR="006E1F19" w:rsidRPr="009D3928" w:rsidRDefault="006E1F19" w:rsidP="006F6D6F">
      <w:pPr>
        <w:pStyle w:val="Textodebloque"/>
        <w:spacing w:after="0"/>
        <w:ind w:left="0" w:right="0"/>
        <w:rPr>
          <w:rFonts w:ascii="Bookman Old Style" w:hAnsi="Bookman Old Style"/>
          <w:szCs w:val="24"/>
          <w:lang w:val="es-CO"/>
        </w:rPr>
      </w:pPr>
      <w:r w:rsidRPr="009D3928">
        <w:rPr>
          <w:rFonts w:ascii="Bookman Old Style" w:hAnsi="Bookman Old Style"/>
          <w:szCs w:val="24"/>
          <w:lang w:val="es-CO"/>
        </w:rPr>
        <w:t>L</w:t>
      </w:r>
      <w:r w:rsidR="006018AB" w:rsidRPr="009D3928">
        <w:rPr>
          <w:rFonts w:ascii="Bookman Old Style" w:hAnsi="Bookman Old Style"/>
          <w:szCs w:val="24"/>
          <w:lang w:val="es-CO"/>
        </w:rPr>
        <w:t>a Resolución CREG 1</w:t>
      </w:r>
      <w:r w:rsidR="00FA6DE7" w:rsidRPr="009D3928">
        <w:rPr>
          <w:rFonts w:ascii="Bookman Old Style" w:hAnsi="Bookman Old Style"/>
          <w:szCs w:val="24"/>
          <w:lang w:val="es-CO"/>
        </w:rPr>
        <w:t>26 de 2010</w:t>
      </w:r>
      <w:r w:rsidR="006018AB" w:rsidRPr="009D3928">
        <w:rPr>
          <w:rFonts w:ascii="Bookman Old Style" w:hAnsi="Bookman Old Style"/>
          <w:szCs w:val="24"/>
          <w:lang w:val="es-CO"/>
        </w:rPr>
        <w:t xml:space="preserve"> </w:t>
      </w:r>
      <w:r w:rsidRPr="009D3928">
        <w:rPr>
          <w:rFonts w:ascii="Bookman Old Style" w:hAnsi="Bookman Old Style"/>
          <w:szCs w:val="24"/>
          <w:lang w:val="es-CO"/>
        </w:rPr>
        <w:t>prevé que para cada tramo o grupo de gasoductos se establezcan los siguientes cargos:</w:t>
      </w:r>
    </w:p>
    <w:p w:rsidR="001D53D6" w:rsidRPr="009D3928" w:rsidRDefault="001D53D6" w:rsidP="006F6D6F">
      <w:pPr>
        <w:pStyle w:val="Textodebloque"/>
        <w:spacing w:after="0"/>
        <w:ind w:left="0" w:right="0"/>
        <w:rPr>
          <w:rFonts w:ascii="Bookman Old Style" w:hAnsi="Bookman Old Style"/>
          <w:szCs w:val="24"/>
          <w:lang w:val="es-CO"/>
        </w:rPr>
      </w:pPr>
    </w:p>
    <w:p w:rsidR="001D53D6" w:rsidRPr="009D3928" w:rsidRDefault="006E1F19"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Cargos fijos regulados de referencia para la remuneración de costos de inversión</w:t>
      </w:r>
      <w:r w:rsidR="001D53D6" w:rsidRPr="009D3928">
        <w:rPr>
          <w:rFonts w:ascii="Bookman Old Style" w:hAnsi="Bookman Old Style"/>
          <w:lang w:val="es-CO"/>
        </w:rPr>
        <w:t>.</w:t>
      </w:r>
    </w:p>
    <w:p w:rsidR="001D53D6" w:rsidRPr="009D3928" w:rsidRDefault="006E1F19"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Cargos variables regulados de referencia para la remuneración de costos de inversión</w:t>
      </w:r>
      <w:r w:rsidR="00A8618B" w:rsidRPr="009D3928">
        <w:rPr>
          <w:rFonts w:ascii="Bookman Old Style" w:hAnsi="Bookman Old Style"/>
          <w:lang w:val="es-CO"/>
        </w:rPr>
        <w:t>.</w:t>
      </w:r>
    </w:p>
    <w:p w:rsidR="001D53D6" w:rsidRPr="009D3928" w:rsidRDefault="006F6D6F"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Cargos fijos que remuneran los gastos de administración, operación y mantenimiento, AOM</w:t>
      </w:r>
      <w:r w:rsidR="001D53D6" w:rsidRPr="009D3928">
        <w:rPr>
          <w:rFonts w:ascii="Bookman Old Style" w:hAnsi="Bookman Old Style"/>
          <w:lang w:val="es-CO"/>
        </w:rPr>
        <w:t>.</w:t>
      </w:r>
    </w:p>
    <w:p w:rsidR="00EE5EF8" w:rsidRPr="009D3928" w:rsidRDefault="00EE5EF8" w:rsidP="002A2E44">
      <w:pPr>
        <w:ind w:left="0"/>
        <w:jc w:val="both"/>
        <w:rPr>
          <w:rFonts w:ascii="Bookman Old Style" w:hAnsi="Bookman Old Style" w:cs="Arial"/>
        </w:rPr>
      </w:pPr>
    </w:p>
    <w:p w:rsidR="006F6D6F" w:rsidRPr="009D3928" w:rsidRDefault="006F6D6F" w:rsidP="00E47660">
      <w:pPr>
        <w:ind w:left="0"/>
        <w:jc w:val="both"/>
        <w:rPr>
          <w:rFonts w:ascii="Bookman Old Style" w:hAnsi="Bookman Old Style" w:cs="Arial"/>
        </w:rPr>
      </w:pPr>
      <w:r w:rsidRPr="009D3928">
        <w:rPr>
          <w:rFonts w:ascii="Bookman Old Style" w:hAnsi="Bookman Old Style" w:cs="Arial"/>
        </w:rPr>
        <w:t xml:space="preserve">Con los </w:t>
      </w:r>
      <w:r w:rsidR="00AE65AF">
        <w:rPr>
          <w:rFonts w:ascii="Bookman Old Style" w:hAnsi="Bookman Old Style" w:cs="Arial"/>
        </w:rPr>
        <w:t xml:space="preserve">dos </w:t>
      </w:r>
      <w:r w:rsidRPr="009D3928">
        <w:rPr>
          <w:rFonts w:ascii="Bookman Old Style" w:hAnsi="Bookman Old Style" w:cs="Arial"/>
        </w:rPr>
        <w:t>primeros de estos cargos se conforman parejas de cargos con las que se remuneran las inversiones en la infraestructura de transporte de gas natural, tal como se describe en la sección 4.2.</w:t>
      </w:r>
      <w:r w:rsidR="00573A53">
        <w:rPr>
          <w:rFonts w:ascii="Bookman Old Style" w:hAnsi="Bookman Old Style" w:cs="Arial"/>
        </w:rPr>
        <w:t>2</w:t>
      </w:r>
      <w:r w:rsidRPr="009D3928">
        <w:rPr>
          <w:rFonts w:ascii="Bookman Old Style" w:hAnsi="Bookman Old Style" w:cs="Arial"/>
        </w:rPr>
        <w:t xml:space="preserve"> de este Anexo</w:t>
      </w:r>
      <w:r w:rsidR="006A62EC" w:rsidRPr="009D3928">
        <w:rPr>
          <w:rFonts w:ascii="Bookman Old Style" w:hAnsi="Bookman Old Style" w:cs="Arial"/>
        </w:rPr>
        <w:t>.</w:t>
      </w:r>
    </w:p>
    <w:p w:rsidR="006F6D6F" w:rsidRPr="009D3928" w:rsidRDefault="006F6D6F" w:rsidP="00E47660">
      <w:pPr>
        <w:ind w:left="0"/>
        <w:jc w:val="both"/>
        <w:rPr>
          <w:rFonts w:ascii="Bookman Old Style" w:hAnsi="Bookman Old Style" w:cs="Arial"/>
        </w:rPr>
      </w:pPr>
    </w:p>
    <w:p w:rsidR="006F6D6F" w:rsidRPr="009D3928" w:rsidRDefault="006F6D6F" w:rsidP="00E47660">
      <w:pPr>
        <w:ind w:left="0"/>
        <w:jc w:val="both"/>
        <w:rPr>
          <w:rFonts w:ascii="Bookman Old Style" w:hAnsi="Bookman Old Style" w:cs="Arial"/>
        </w:rPr>
      </w:pPr>
      <w:r w:rsidRPr="009D3928">
        <w:rPr>
          <w:rFonts w:ascii="Bookman Old Style" w:hAnsi="Bookman Old Style" w:cs="Arial"/>
        </w:rPr>
        <w:t xml:space="preserve">Los comercializadores que representan demanda regulada pueden </w:t>
      </w:r>
      <w:r w:rsidR="002A2E44" w:rsidRPr="009D3928">
        <w:rPr>
          <w:rFonts w:ascii="Bookman Old Style" w:hAnsi="Bookman Old Style" w:cs="Arial"/>
        </w:rPr>
        <w:t xml:space="preserve">escoger una </w:t>
      </w:r>
      <w:r w:rsidR="00522E97" w:rsidRPr="009D3928">
        <w:rPr>
          <w:rFonts w:ascii="Bookman Old Style" w:hAnsi="Bookman Old Style" w:cs="Arial"/>
        </w:rPr>
        <w:t xml:space="preserve">de dichas </w:t>
      </w:r>
      <w:r w:rsidR="002A2E44" w:rsidRPr="009D3928">
        <w:rPr>
          <w:rFonts w:ascii="Bookman Old Style" w:hAnsi="Bookman Old Style" w:cs="Arial"/>
        </w:rPr>
        <w:t>pareja</w:t>
      </w:r>
      <w:r w:rsidR="00522E97" w:rsidRPr="009D3928">
        <w:rPr>
          <w:rFonts w:ascii="Bookman Old Style" w:hAnsi="Bookman Old Style" w:cs="Arial"/>
        </w:rPr>
        <w:t>s</w:t>
      </w:r>
      <w:r w:rsidR="002A2E44" w:rsidRPr="009D3928">
        <w:rPr>
          <w:rFonts w:ascii="Bookman Old Style" w:hAnsi="Bookman Old Style" w:cs="Arial"/>
        </w:rPr>
        <w:t xml:space="preserve"> de </w:t>
      </w:r>
      <w:r w:rsidRPr="009D3928">
        <w:rPr>
          <w:rFonts w:ascii="Bookman Old Style" w:hAnsi="Bookman Old Style" w:cs="Arial"/>
        </w:rPr>
        <w:t>cargos regulados por mutuo acuerdo con el transportador. En caso de que no lleguen al mutuo acuerdo, o si las partes lo convienen, deben seguir un procedimiento denominado de aproximación ordinal</w:t>
      </w:r>
      <w:r w:rsidR="006A62EC" w:rsidRPr="009D3928">
        <w:rPr>
          <w:rFonts w:ascii="Bookman Old Style" w:hAnsi="Bookman Old Style" w:cs="Arial"/>
        </w:rPr>
        <w:t xml:space="preserve"> para la escogencia de la pareja de cargos regulados</w:t>
      </w:r>
      <w:r w:rsidRPr="009D3928">
        <w:rPr>
          <w:rFonts w:ascii="Bookman Old Style" w:hAnsi="Bookman Old Style" w:cs="Arial"/>
        </w:rPr>
        <w:t>.</w:t>
      </w:r>
    </w:p>
    <w:p w:rsidR="006F6D6F" w:rsidRPr="009D3928" w:rsidRDefault="006F6D6F" w:rsidP="00E47660">
      <w:pPr>
        <w:ind w:left="0"/>
        <w:jc w:val="both"/>
        <w:rPr>
          <w:rFonts w:ascii="Bookman Old Style" w:hAnsi="Bookman Old Style" w:cs="Arial"/>
        </w:rPr>
      </w:pPr>
    </w:p>
    <w:p w:rsidR="002A2E44" w:rsidRPr="009D3928" w:rsidRDefault="006A62EC" w:rsidP="002A2E44">
      <w:pPr>
        <w:ind w:left="0"/>
        <w:jc w:val="both"/>
        <w:rPr>
          <w:rFonts w:ascii="Bookman Old Style" w:hAnsi="Bookman Old Style" w:cs="Arial"/>
          <w:highlight w:val="green"/>
        </w:rPr>
      </w:pPr>
      <w:r w:rsidRPr="009D3928">
        <w:rPr>
          <w:rFonts w:ascii="Bookman Old Style" w:hAnsi="Bookman Old Style" w:cs="Arial"/>
        </w:rPr>
        <w:t>Por su parte, l</w:t>
      </w:r>
      <w:r w:rsidR="002A2E44" w:rsidRPr="009D3928">
        <w:rPr>
          <w:rFonts w:ascii="Bookman Old Style" w:hAnsi="Bookman Old Style" w:cs="Arial"/>
        </w:rPr>
        <w:t>os comercializadores que representan demanda no regulada y los usuarios no regulados pueden</w:t>
      </w:r>
      <w:r w:rsidR="00522E97" w:rsidRPr="009D3928">
        <w:rPr>
          <w:rFonts w:ascii="Bookman Old Style" w:hAnsi="Bookman Old Style" w:cs="Arial"/>
        </w:rPr>
        <w:t>: i)</w:t>
      </w:r>
      <w:r w:rsidR="002A2E44" w:rsidRPr="009D3928">
        <w:rPr>
          <w:rFonts w:ascii="Bookman Old Style" w:hAnsi="Bookman Old Style" w:cs="Arial"/>
        </w:rPr>
        <w:t xml:space="preserve"> determinar </w:t>
      </w:r>
      <w:r w:rsidRPr="009D3928">
        <w:rPr>
          <w:rFonts w:ascii="Bookman Old Style" w:hAnsi="Bookman Old Style" w:cs="Arial"/>
        </w:rPr>
        <w:t xml:space="preserve">libremente </w:t>
      </w:r>
      <w:r w:rsidR="002A2E44" w:rsidRPr="009D3928">
        <w:rPr>
          <w:rFonts w:ascii="Bookman Old Style" w:hAnsi="Bookman Old Style" w:cs="Arial"/>
        </w:rPr>
        <w:t>los cargos por mutuo acuerdo con el transportador</w:t>
      </w:r>
      <w:r w:rsidR="00522E97" w:rsidRPr="009D3928">
        <w:rPr>
          <w:rFonts w:ascii="Bookman Old Style" w:hAnsi="Bookman Old Style" w:cs="Arial"/>
        </w:rPr>
        <w:t>;</w:t>
      </w:r>
      <w:r w:rsidR="002A2E44" w:rsidRPr="009D3928">
        <w:rPr>
          <w:rFonts w:ascii="Bookman Old Style" w:hAnsi="Bookman Old Style" w:cs="Arial"/>
        </w:rPr>
        <w:t xml:space="preserve"> o </w:t>
      </w:r>
      <w:r w:rsidR="00522E97" w:rsidRPr="009D3928">
        <w:rPr>
          <w:rFonts w:ascii="Bookman Old Style" w:hAnsi="Bookman Old Style" w:cs="Arial"/>
        </w:rPr>
        <w:t xml:space="preserve">ii) </w:t>
      </w:r>
      <w:r w:rsidR="002A2E44" w:rsidRPr="009D3928">
        <w:rPr>
          <w:rFonts w:ascii="Bookman Old Style" w:hAnsi="Bookman Old Style" w:cs="Arial"/>
        </w:rPr>
        <w:t>escoger</w:t>
      </w:r>
      <w:r w:rsidR="00522E97" w:rsidRPr="009D3928">
        <w:rPr>
          <w:rFonts w:ascii="Bookman Old Style" w:hAnsi="Bookman Old Style" w:cs="Arial"/>
        </w:rPr>
        <w:t xml:space="preserve"> una de las mencionadas parejas de cargos regulados por mutuo acuerdo con el transportador</w:t>
      </w:r>
      <w:r w:rsidR="002A2E44" w:rsidRPr="009D3928">
        <w:rPr>
          <w:rFonts w:ascii="Bookman Old Style" w:hAnsi="Bookman Old Style" w:cs="Arial"/>
        </w:rPr>
        <w:t>.</w:t>
      </w:r>
      <w:r w:rsidRPr="009D3928">
        <w:rPr>
          <w:rFonts w:ascii="Bookman Old Style" w:hAnsi="Bookman Old Style" w:cs="Arial"/>
        </w:rPr>
        <w:t xml:space="preserve"> </w:t>
      </w:r>
      <w:r w:rsidR="002A2E44" w:rsidRPr="009D3928">
        <w:rPr>
          <w:rFonts w:ascii="Bookman Old Style" w:hAnsi="Bookman Old Style" w:cs="Arial"/>
        </w:rPr>
        <w:t xml:space="preserve">En caso de que no lleguen al mutuo acuerdo, o si las partes lo convienen, </w:t>
      </w:r>
      <w:r w:rsidRPr="009D3928">
        <w:rPr>
          <w:rFonts w:ascii="Bookman Old Style" w:hAnsi="Bookman Old Style" w:cs="Arial"/>
        </w:rPr>
        <w:t xml:space="preserve">deben seguir </w:t>
      </w:r>
      <w:r w:rsidR="00742E37">
        <w:rPr>
          <w:rFonts w:ascii="Bookman Old Style" w:hAnsi="Bookman Old Style" w:cs="Arial"/>
        </w:rPr>
        <w:t>el</w:t>
      </w:r>
      <w:r w:rsidRPr="009D3928">
        <w:rPr>
          <w:rFonts w:ascii="Bookman Old Style" w:hAnsi="Bookman Old Style" w:cs="Arial"/>
        </w:rPr>
        <w:t xml:space="preserve"> procedimiento de aproximación ordinal para la escogencia de la pareja de cargos regulados.</w:t>
      </w:r>
    </w:p>
    <w:p w:rsidR="002A2E44" w:rsidRPr="009D3928" w:rsidRDefault="002A2E44" w:rsidP="00E47660">
      <w:pPr>
        <w:ind w:left="0"/>
        <w:jc w:val="both"/>
        <w:rPr>
          <w:rFonts w:ascii="Bookman Old Style" w:hAnsi="Bookman Old Style" w:cs="Arial"/>
        </w:rPr>
      </w:pPr>
    </w:p>
    <w:p w:rsidR="002A2E44" w:rsidRPr="00701C21" w:rsidRDefault="00522E97" w:rsidP="00E47660">
      <w:pPr>
        <w:ind w:left="0"/>
        <w:jc w:val="both"/>
        <w:rPr>
          <w:rFonts w:ascii="Bookman Old Style" w:hAnsi="Bookman Old Style" w:cs="Arial"/>
        </w:rPr>
      </w:pPr>
      <w:r w:rsidRPr="009D3928">
        <w:rPr>
          <w:rFonts w:ascii="Bookman Old Style" w:hAnsi="Bookman Old Style" w:cs="Arial"/>
        </w:rPr>
        <w:t>En cualquiera de los escenarios mencionados previamente el remitente</w:t>
      </w:r>
      <w:r w:rsidR="00471A39">
        <w:rPr>
          <w:rFonts w:ascii="Bookman Old Style" w:hAnsi="Bookman Old Style" w:cs="Arial"/>
        </w:rPr>
        <w:t>, definido como</w:t>
      </w:r>
      <w:r w:rsidRPr="009D3928">
        <w:rPr>
          <w:rFonts w:ascii="Bookman Old Style" w:hAnsi="Bookman Old Style" w:cs="Arial"/>
        </w:rPr>
        <w:t xml:space="preserve"> </w:t>
      </w:r>
      <w:r w:rsidR="00742E37" w:rsidRPr="00877873">
        <w:rPr>
          <w:rFonts w:ascii="Bookman Old Style" w:hAnsi="Bookman Old Style" w:cs="Arial"/>
        </w:rPr>
        <w:t>persona jurídica con la cual un transportador celebra un contrato para prestar el servicio de transporte de gas natural</w:t>
      </w:r>
      <w:r w:rsidR="00471A39">
        <w:rPr>
          <w:rFonts w:ascii="Bookman Old Style" w:hAnsi="Bookman Old Style" w:cs="Arial"/>
        </w:rPr>
        <w:t>,</w:t>
      </w:r>
      <w:r w:rsidR="00742E37" w:rsidRPr="009D3928">
        <w:rPr>
          <w:rFonts w:ascii="Bookman Old Style" w:hAnsi="Bookman Old Style" w:cs="Arial"/>
        </w:rPr>
        <w:t xml:space="preserve"> </w:t>
      </w:r>
      <w:r w:rsidRPr="009D3928">
        <w:rPr>
          <w:rFonts w:ascii="Bookman Old Style" w:hAnsi="Bookman Old Style" w:cs="Arial"/>
        </w:rPr>
        <w:t>debe pagar los cargos fijos que remuneran los gastos de AOM.</w:t>
      </w:r>
    </w:p>
    <w:p w:rsidR="002D0737" w:rsidRPr="009D3928" w:rsidRDefault="002D0737" w:rsidP="00E47660">
      <w:pPr>
        <w:ind w:left="0"/>
        <w:rPr>
          <w:rFonts w:ascii="Bookman Old Style" w:hAnsi="Bookman Old Style"/>
          <w:lang w:val="es-CO"/>
        </w:rPr>
      </w:pPr>
    </w:p>
    <w:p w:rsidR="00765C92" w:rsidRPr="009D3928" w:rsidRDefault="00765C92" w:rsidP="00E47660">
      <w:pPr>
        <w:ind w:left="0"/>
        <w:rPr>
          <w:rFonts w:ascii="Bookman Old Style" w:hAnsi="Bookman Old Style"/>
          <w:lang w:val="es-CO"/>
        </w:rPr>
      </w:pPr>
    </w:p>
    <w:p w:rsidR="00954751" w:rsidRPr="009D3928" w:rsidRDefault="00B821E2" w:rsidP="00E47660">
      <w:pPr>
        <w:ind w:left="0"/>
        <w:rPr>
          <w:rFonts w:ascii="Bookman Old Style" w:hAnsi="Bookman Old Style"/>
          <w:lang w:val="es-CO"/>
        </w:rPr>
      </w:pPr>
      <w:r w:rsidRPr="009D3928">
        <w:rPr>
          <w:rFonts w:ascii="Bookman Old Style" w:hAnsi="Bookman Old Style"/>
          <w:b/>
          <w:lang w:val="es-CO"/>
        </w:rPr>
        <w:t xml:space="preserve">3. </w:t>
      </w:r>
      <w:r w:rsidR="00F62C06" w:rsidRPr="009D3928">
        <w:rPr>
          <w:rFonts w:ascii="Bookman Old Style" w:hAnsi="Bookman Old Style"/>
          <w:b/>
          <w:lang w:val="es-CO"/>
        </w:rPr>
        <w:t>RETOS DE LA NUEVA REGULACIÓN</w:t>
      </w:r>
    </w:p>
    <w:p w:rsidR="00954751" w:rsidRPr="00274CEF" w:rsidRDefault="00954751" w:rsidP="00E47660">
      <w:pPr>
        <w:ind w:left="0"/>
        <w:rPr>
          <w:rFonts w:ascii="Bookman Old Style" w:hAnsi="Bookman Old Style"/>
          <w:lang w:val="es-CO"/>
        </w:rPr>
      </w:pPr>
    </w:p>
    <w:p w:rsidR="00742E37" w:rsidRPr="00274CEF" w:rsidRDefault="00742E37" w:rsidP="00742E37">
      <w:pPr>
        <w:ind w:left="0"/>
        <w:jc w:val="both"/>
        <w:rPr>
          <w:rFonts w:ascii="Bookman Old Style" w:hAnsi="Bookman Old Style"/>
          <w:lang w:val="es-CO"/>
        </w:rPr>
      </w:pPr>
      <w:r w:rsidRPr="00274CEF">
        <w:rPr>
          <w:rFonts w:ascii="Bookman Old Style" w:hAnsi="Bookman Old Style"/>
          <w:lang w:val="es-CO"/>
        </w:rPr>
        <w:t xml:space="preserve">En el presente período tarifario, regido por la metodología de la Resolución CREG 126 de 2010, se incorporaron a los cargos regulados inversiones nuevas por USD 860 millones (cifras a diciembre de 2010) principalmente para aumentar la capacidad de transporte del SNT. Gran parte de estas inversiones ya estaban ejecutadas al momento del cálculo tarifario pues los transportadores las realizaron en años anteriores. Algunas de </w:t>
      </w:r>
      <w:r w:rsidR="009632A5" w:rsidRPr="00274CEF">
        <w:rPr>
          <w:rFonts w:ascii="Bookman Old Style" w:hAnsi="Bookman Old Style"/>
          <w:lang w:val="es-CO"/>
        </w:rPr>
        <w:t xml:space="preserve">las otras </w:t>
      </w:r>
      <w:r w:rsidRPr="00274CEF">
        <w:rPr>
          <w:rFonts w:ascii="Bookman Old Style" w:hAnsi="Bookman Old Style"/>
          <w:lang w:val="es-CO"/>
        </w:rPr>
        <w:lastRenderedPageBreak/>
        <w:t>inversiones están en proceso de ejecución y otras no se ejecutarán según lo manifestado por los transportadores.</w:t>
      </w:r>
    </w:p>
    <w:p w:rsidR="00742E37" w:rsidRPr="00274CEF" w:rsidRDefault="00742E37" w:rsidP="00742E37">
      <w:pPr>
        <w:ind w:left="0"/>
        <w:jc w:val="both"/>
        <w:rPr>
          <w:rFonts w:ascii="Bookman Old Style" w:hAnsi="Bookman Old Style"/>
          <w:lang w:val="es-CO"/>
        </w:rPr>
      </w:pPr>
    </w:p>
    <w:p w:rsidR="00742E37" w:rsidRPr="00274CEF" w:rsidRDefault="00742E37" w:rsidP="00742E37">
      <w:pPr>
        <w:ind w:left="0"/>
        <w:jc w:val="both"/>
        <w:rPr>
          <w:rFonts w:ascii="Bookman Old Style" w:hAnsi="Bookman Old Style"/>
          <w:lang w:val="es-CO"/>
        </w:rPr>
      </w:pPr>
      <w:r w:rsidRPr="00274CEF">
        <w:rPr>
          <w:rFonts w:ascii="Bookman Old Style" w:hAnsi="Bookman Old Style"/>
          <w:lang w:val="es-CO"/>
        </w:rPr>
        <w:t xml:space="preserve">De este período tarifario se pueden </w:t>
      </w:r>
      <w:r w:rsidR="009632A5" w:rsidRPr="00274CEF">
        <w:rPr>
          <w:rFonts w:ascii="Bookman Old Style" w:hAnsi="Bookman Old Style"/>
          <w:lang w:val="es-CO"/>
        </w:rPr>
        <w:t xml:space="preserve">resaltar </w:t>
      </w:r>
      <w:r w:rsidRPr="00274CEF">
        <w:rPr>
          <w:rFonts w:ascii="Bookman Old Style" w:hAnsi="Bookman Old Style"/>
          <w:lang w:val="es-CO"/>
        </w:rPr>
        <w:t>las siguientes experiencias:</w:t>
      </w:r>
    </w:p>
    <w:p w:rsidR="00742E37" w:rsidRPr="00274CEF" w:rsidRDefault="00742E37" w:rsidP="00742E37">
      <w:pPr>
        <w:ind w:left="0"/>
        <w:jc w:val="both"/>
        <w:rPr>
          <w:rFonts w:ascii="Bookman Old Style" w:hAnsi="Bookman Old Style"/>
          <w:lang w:val="es-CO"/>
        </w:rPr>
      </w:pPr>
    </w:p>
    <w:p w:rsidR="00742E37" w:rsidRPr="00274CEF" w:rsidRDefault="009632A5" w:rsidP="009632A5">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rPr>
        <w:t xml:space="preserve">Para </w:t>
      </w:r>
      <w:r w:rsidR="00742E37" w:rsidRPr="00274CEF">
        <w:rPr>
          <w:rFonts w:ascii="Bookman Old Style" w:hAnsi="Bookman Old Style"/>
          <w:lang w:val="es-CO"/>
        </w:rPr>
        <w:t xml:space="preserve">los principales sistemas de transporte el trámite administrativo tendiente a fijar los cargos regulados tomó dos años; un año para establecer los cargos y otro </w:t>
      </w:r>
      <w:r w:rsidRPr="00274CEF">
        <w:rPr>
          <w:rFonts w:ascii="Bookman Old Style" w:hAnsi="Bookman Old Style"/>
          <w:lang w:val="es-CO"/>
        </w:rPr>
        <w:t xml:space="preserve">para la </w:t>
      </w:r>
      <w:r w:rsidR="00742E37" w:rsidRPr="00274CEF">
        <w:rPr>
          <w:rFonts w:ascii="Bookman Old Style" w:hAnsi="Bookman Old Style"/>
          <w:lang w:val="es-CO"/>
        </w:rPr>
        <w:t>resolución de recursos de reposición. Este es el tiempo estándar de definición de cargos cuando se realizan auditorías a la información reportada por los agentes y se presentan recursos de reposición a la</w:t>
      </w:r>
      <w:r w:rsidRPr="00274CEF">
        <w:rPr>
          <w:rFonts w:ascii="Bookman Old Style" w:hAnsi="Bookman Old Style"/>
          <w:lang w:val="es-CO"/>
        </w:rPr>
        <w:t>s</w:t>
      </w:r>
      <w:r w:rsidR="00742E37" w:rsidRPr="00274CEF">
        <w:rPr>
          <w:rFonts w:ascii="Bookman Old Style" w:hAnsi="Bookman Old Style"/>
          <w:lang w:val="es-CO"/>
        </w:rPr>
        <w:t xml:space="preserve"> decisi</w:t>
      </w:r>
      <w:r w:rsidRPr="00274CEF">
        <w:rPr>
          <w:rFonts w:ascii="Bookman Old Style" w:hAnsi="Bookman Old Style"/>
          <w:lang w:val="es-CO"/>
        </w:rPr>
        <w:t>o</w:t>
      </w:r>
      <w:r w:rsidR="00742E37" w:rsidRPr="00274CEF">
        <w:rPr>
          <w:rFonts w:ascii="Bookman Old Style" w:hAnsi="Bookman Old Style"/>
          <w:lang w:val="es-CO"/>
        </w:rPr>
        <w:t>n</w:t>
      </w:r>
      <w:r w:rsidRPr="00274CEF">
        <w:rPr>
          <w:rFonts w:ascii="Bookman Old Style" w:hAnsi="Bookman Old Style"/>
          <w:lang w:val="es-CO"/>
        </w:rPr>
        <w:t>es</w:t>
      </w:r>
      <w:r w:rsidR="00742E37" w:rsidRPr="00274CEF">
        <w:rPr>
          <w:rFonts w:ascii="Bookman Old Style" w:hAnsi="Bookman Old Style"/>
          <w:lang w:val="es-CO"/>
        </w:rPr>
        <w:t xml:space="preserve"> de la Comisión. Los recursos de reposición se presentaron principalmente por valoración de inversiones.</w:t>
      </w:r>
    </w:p>
    <w:p w:rsidR="00742E37" w:rsidRPr="00274CEF" w:rsidRDefault="00742E37" w:rsidP="009632A5">
      <w:pPr>
        <w:pStyle w:val="Prrafodelista"/>
        <w:ind w:left="0"/>
        <w:jc w:val="both"/>
        <w:rPr>
          <w:rFonts w:ascii="Bookman Old Style" w:hAnsi="Bookman Old Style"/>
          <w:sz w:val="24"/>
          <w:szCs w:val="24"/>
        </w:rPr>
      </w:pPr>
    </w:p>
    <w:p w:rsidR="00742E37" w:rsidRPr="00274CEF" w:rsidRDefault="00742E37" w:rsidP="009632A5">
      <w:pPr>
        <w:pStyle w:val="Prrafodelista"/>
        <w:ind w:left="0"/>
        <w:jc w:val="both"/>
        <w:rPr>
          <w:rFonts w:ascii="Bookman Old Style" w:hAnsi="Bookman Old Style"/>
          <w:sz w:val="24"/>
          <w:szCs w:val="24"/>
        </w:rPr>
      </w:pPr>
      <w:r w:rsidRPr="00274CEF">
        <w:rPr>
          <w:rFonts w:ascii="Bookman Old Style" w:hAnsi="Bookman Old Style"/>
          <w:sz w:val="24"/>
          <w:szCs w:val="24"/>
        </w:rPr>
        <w:t xml:space="preserve">Buena parte de este tiempo se requirió para el cumplimiento de </w:t>
      </w:r>
      <w:r w:rsidR="009632A5" w:rsidRPr="00274CEF">
        <w:rPr>
          <w:rFonts w:ascii="Bookman Old Style" w:hAnsi="Bookman Old Style"/>
          <w:sz w:val="24"/>
          <w:szCs w:val="24"/>
        </w:rPr>
        <w:t xml:space="preserve">los </w:t>
      </w:r>
      <w:r w:rsidRPr="00274CEF">
        <w:rPr>
          <w:rFonts w:ascii="Bookman Old Style" w:hAnsi="Bookman Old Style"/>
          <w:sz w:val="24"/>
          <w:szCs w:val="24"/>
        </w:rPr>
        <w:t xml:space="preserve">requisitos legales </w:t>
      </w:r>
      <w:r w:rsidR="009632A5" w:rsidRPr="00274CEF">
        <w:rPr>
          <w:rFonts w:ascii="Bookman Old Style" w:hAnsi="Bookman Old Style"/>
          <w:sz w:val="24"/>
          <w:szCs w:val="24"/>
        </w:rPr>
        <w:t>de los procesos de</w:t>
      </w:r>
      <w:r w:rsidRPr="00274CEF">
        <w:rPr>
          <w:rFonts w:ascii="Bookman Old Style" w:hAnsi="Bookman Old Style"/>
          <w:sz w:val="24"/>
          <w:szCs w:val="24"/>
        </w:rPr>
        <w:t xml:space="preserve"> contratación (e.g. auditorías</w:t>
      </w:r>
      <w:r w:rsidR="007F6CE9" w:rsidRPr="00274CEF">
        <w:rPr>
          <w:rFonts w:ascii="Bookman Old Style" w:hAnsi="Bookman Old Style"/>
          <w:sz w:val="24"/>
          <w:szCs w:val="24"/>
        </w:rPr>
        <w:t xml:space="preserve"> y dictámenes periciales</w:t>
      </w:r>
      <w:r w:rsidRPr="00274CEF">
        <w:rPr>
          <w:rFonts w:ascii="Bookman Old Style" w:hAnsi="Bookman Old Style"/>
          <w:sz w:val="24"/>
          <w:szCs w:val="24"/>
        </w:rPr>
        <w:t xml:space="preserve">) y </w:t>
      </w:r>
      <w:r w:rsidR="009632A5" w:rsidRPr="00274CEF">
        <w:rPr>
          <w:rFonts w:ascii="Bookman Old Style" w:hAnsi="Bookman Old Style"/>
          <w:sz w:val="24"/>
          <w:szCs w:val="24"/>
        </w:rPr>
        <w:t xml:space="preserve">para </w:t>
      </w:r>
      <w:r w:rsidRPr="00274CEF">
        <w:rPr>
          <w:rFonts w:ascii="Bookman Old Style" w:hAnsi="Bookman Old Style"/>
          <w:sz w:val="24"/>
          <w:szCs w:val="24"/>
        </w:rPr>
        <w:t xml:space="preserve">el cumplimiento de </w:t>
      </w:r>
      <w:r w:rsidR="00F7606A" w:rsidRPr="00274CEF">
        <w:rPr>
          <w:rFonts w:ascii="Bookman Old Style" w:hAnsi="Bookman Old Style"/>
          <w:sz w:val="24"/>
          <w:szCs w:val="24"/>
        </w:rPr>
        <w:t xml:space="preserve">otros </w:t>
      </w:r>
      <w:r w:rsidRPr="00274CEF">
        <w:rPr>
          <w:rFonts w:ascii="Bookman Old Style" w:hAnsi="Bookman Old Style"/>
          <w:sz w:val="24"/>
          <w:szCs w:val="24"/>
        </w:rPr>
        <w:t xml:space="preserve">términos </w:t>
      </w:r>
      <w:r w:rsidR="00F7606A" w:rsidRPr="00274CEF">
        <w:rPr>
          <w:rFonts w:ascii="Bookman Old Style" w:hAnsi="Bookman Old Style"/>
          <w:sz w:val="24"/>
          <w:szCs w:val="24"/>
        </w:rPr>
        <w:t xml:space="preserve">legales </w:t>
      </w:r>
      <w:r w:rsidRPr="00274CEF">
        <w:rPr>
          <w:rFonts w:ascii="Bookman Old Style" w:hAnsi="Bookman Old Style"/>
          <w:sz w:val="24"/>
          <w:szCs w:val="24"/>
        </w:rPr>
        <w:t>(e.g. traslado de pruebas).</w:t>
      </w:r>
    </w:p>
    <w:p w:rsidR="00742E37" w:rsidRPr="00274CEF" w:rsidRDefault="00742E37" w:rsidP="009632A5">
      <w:pPr>
        <w:ind w:left="0"/>
        <w:jc w:val="both"/>
        <w:rPr>
          <w:rFonts w:ascii="Bookman Old Style" w:hAnsi="Bookman Old Style"/>
          <w:lang w:val="es-CO"/>
        </w:rPr>
      </w:pPr>
    </w:p>
    <w:p w:rsidR="00742E37" w:rsidRPr="00274CEF" w:rsidRDefault="00742E37" w:rsidP="009632A5">
      <w:pPr>
        <w:ind w:left="0"/>
        <w:jc w:val="both"/>
        <w:rPr>
          <w:rFonts w:ascii="Bookman Old Style" w:hAnsi="Bookman Old Style"/>
        </w:rPr>
      </w:pPr>
      <w:r w:rsidRPr="00274CEF">
        <w:rPr>
          <w:rFonts w:ascii="Bookman Old Style" w:hAnsi="Bookman Old Style"/>
        </w:rPr>
        <w:t xml:space="preserve">El tiempo de definición de cargos es de gran relevancia en los casos </w:t>
      </w:r>
      <w:r w:rsidR="00F7606A" w:rsidRPr="00274CEF">
        <w:rPr>
          <w:rFonts w:ascii="Bookman Old Style" w:hAnsi="Bookman Old Style"/>
        </w:rPr>
        <w:t xml:space="preserve">en que </w:t>
      </w:r>
      <w:r w:rsidRPr="00274CEF">
        <w:rPr>
          <w:rFonts w:ascii="Bookman Old Style" w:hAnsi="Bookman Old Style"/>
        </w:rPr>
        <w:t>la ejecución del proyecto depende del cargo aprobado. Un aspecto que contribuye a mejorar este tiempo es la pronta definición del valor eficiente de la inversión.</w:t>
      </w:r>
    </w:p>
    <w:p w:rsidR="00742E37" w:rsidRPr="00274CEF" w:rsidRDefault="00742E37" w:rsidP="009632A5">
      <w:pPr>
        <w:pStyle w:val="Prrafodelista"/>
        <w:ind w:left="0"/>
        <w:jc w:val="both"/>
        <w:rPr>
          <w:rFonts w:ascii="Bookman Old Style" w:hAnsi="Bookman Old Style"/>
          <w:sz w:val="24"/>
          <w:szCs w:val="24"/>
        </w:rPr>
      </w:pPr>
    </w:p>
    <w:p w:rsidR="00742E37" w:rsidRPr="00274CEF" w:rsidRDefault="00742E37" w:rsidP="00F7606A">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rPr>
        <w:t>La asimetría de información no permitió determinar oportunamente la necesidad de expansión en un sistema de transporte. Esto aumentó en ocho meses, adicional</w:t>
      </w:r>
      <w:r w:rsidR="00F7606A" w:rsidRPr="00274CEF">
        <w:rPr>
          <w:rFonts w:ascii="Bookman Old Style" w:hAnsi="Bookman Old Style"/>
          <w:lang w:val="es-CO"/>
        </w:rPr>
        <w:t>es</w:t>
      </w:r>
      <w:r w:rsidRPr="00274CEF">
        <w:rPr>
          <w:rFonts w:ascii="Bookman Old Style" w:hAnsi="Bookman Old Style"/>
          <w:lang w:val="es-CO"/>
        </w:rPr>
        <w:t xml:space="preserve"> a los dos años indicados </w:t>
      </w:r>
      <w:r w:rsidR="00F7606A" w:rsidRPr="00274CEF">
        <w:rPr>
          <w:rFonts w:ascii="Bookman Old Style" w:hAnsi="Bookman Old Style"/>
          <w:lang w:val="es-CO"/>
        </w:rPr>
        <w:t>previamente</w:t>
      </w:r>
      <w:r w:rsidRPr="00274CEF">
        <w:rPr>
          <w:rFonts w:ascii="Bookman Old Style" w:hAnsi="Bookman Old Style"/>
          <w:lang w:val="es-CO"/>
        </w:rPr>
        <w:t>, el tiempo de fijación de cargos para un tramo específico de un sistema de transporte.</w:t>
      </w:r>
    </w:p>
    <w:p w:rsidR="00742E37" w:rsidRPr="00274CEF" w:rsidRDefault="00742E37" w:rsidP="00F7606A">
      <w:pPr>
        <w:pStyle w:val="Prrafodelista"/>
        <w:ind w:left="0"/>
        <w:jc w:val="both"/>
        <w:rPr>
          <w:rFonts w:ascii="Bookman Old Style" w:hAnsi="Bookman Old Style"/>
          <w:sz w:val="24"/>
          <w:szCs w:val="24"/>
        </w:rPr>
      </w:pPr>
    </w:p>
    <w:p w:rsidR="00F33FA3" w:rsidRPr="00274CEF" w:rsidRDefault="00742E37" w:rsidP="00F7606A">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rPr>
        <w:t>En los procesos competitivos para adoptar cargos regulados de nuevos gasoductos de la red tipo II, definidos en la metodología de la Resolución CREG 126 de 2010, siempre se presentó un solo agente. Es decir, en ningún caso se adoptó un cargo por competencia como se esperaba según lo previsto en la metodología de la Resolución CREG 126 de 2010. Los gasoductos que supuestamente no se ejecutarán, según lo informado por los transportadores, corresponden a gasoductos de red tipo II.</w:t>
      </w:r>
    </w:p>
    <w:p w:rsidR="00F33FA3" w:rsidRPr="00274CEF" w:rsidRDefault="00F33FA3" w:rsidP="00F7606A">
      <w:pPr>
        <w:pStyle w:val="Prrafodelista"/>
        <w:ind w:left="0"/>
        <w:jc w:val="both"/>
        <w:rPr>
          <w:rFonts w:ascii="Bookman Old Style" w:hAnsi="Bookman Old Style"/>
          <w:sz w:val="24"/>
          <w:szCs w:val="24"/>
        </w:rPr>
      </w:pPr>
    </w:p>
    <w:p w:rsidR="00742E37" w:rsidRPr="00274CEF" w:rsidRDefault="00F33FA3" w:rsidP="00F7606A">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rPr>
        <w:t>En el caso de algunas empresas de transporte con más de un sistema de transporte no se observó un mecanismo de asignación de gastos de AOM en cada sistema coherente con los gastos contables que efectivamente se debieron haber registrado.</w:t>
      </w:r>
      <w:r w:rsidR="00F61496" w:rsidRPr="00274CEF">
        <w:rPr>
          <w:rFonts w:ascii="Bookman Old Style" w:hAnsi="Bookman Old Style"/>
          <w:lang w:val="es-CO"/>
        </w:rPr>
        <w:t xml:space="preserve"> El criterio de asignación, como se expone más adelante, pudo haber incorporado algún tipo de estrategia comercial.</w:t>
      </w:r>
    </w:p>
    <w:p w:rsidR="00742E37" w:rsidRPr="00274CEF" w:rsidRDefault="00742E37" w:rsidP="00F7606A">
      <w:pPr>
        <w:pStyle w:val="Prrafodelista"/>
        <w:ind w:left="0"/>
        <w:jc w:val="both"/>
        <w:rPr>
          <w:rFonts w:ascii="Bookman Old Style" w:hAnsi="Bookman Old Style"/>
          <w:sz w:val="24"/>
          <w:szCs w:val="24"/>
        </w:rPr>
      </w:pPr>
    </w:p>
    <w:p w:rsidR="00742E37" w:rsidRPr="00274CEF" w:rsidRDefault="00742E37" w:rsidP="00742E37">
      <w:pPr>
        <w:ind w:left="0"/>
        <w:jc w:val="both"/>
        <w:rPr>
          <w:rFonts w:ascii="Bookman Old Style" w:hAnsi="Bookman Old Style"/>
          <w:lang w:val="es-CO"/>
        </w:rPr>
      </w:pPr>
      <w:r w:rsidRPr="00274CEF">
        <w:rPr>
          <w:rFonts w:ascii="Bookman Old Style" w:hAnsi="Bookman Old Style"/>
          <w:lang w:val="es-CO"/>
        </w:rPr>
        <w:t>De lo anterior se puede concluir que:</w:t>
      </w:r>
    </w:p>
    <w:p w:rsidR="00742E37" w:rsidRPr="00274CEF" w:rsidRDefault="00742E37" w:rsidP="00F7606A">
      <w:pPr>
        <w:pStyle w:val="Prrafodelista"/>
        <w:ind w:left="0"/>
        <w:jc w:val="both"/>
        <w:rPr>
          <w:rFonts w:ascii="Bookman Old Style" w:hAnsi="Bookman Old Style"/>
          <w:sz w:val="24"/>
          <w:szCs w:val="24"/>
        </w:rPr>
      </w:pPr>
    </w:p>
    <w:p w:rsidR="00742E37" w:rsidRPr="00274CEF" w:rsidRDefault="00742E37" w:rsidP="00F7606A">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rPr>
        <w:t xml:space="preserve">El tiempo para la fijación de cargos ha sido </w:t>
      </w:r>
      <w:r w:rsidR="00F7606A" w:rsidRPr="00274CEF">
        <w:rPr>
          <w:rFonts w:ascii="Bookman Old Style" w:hAnsi="Bookman Old Style"/>
          <w:lang w:val="es-CO"/>
        </w:rPr>
        <w:t>alto</w:t>
      </w:r>
      <w:r w:rsidRPr="00274CEF">
        <w:rPr>
          <w:rFonts w:ascii="Bookman Old Style" w:hAnsi="Bookman Old Style"/>
          <w:lang w:val="es-CO"/>
        </w:rPr>
        <w:t>. Este tiempo está altamente relacionado con la valoración de los activos y en algunos casos con la determinación de la necesidad del respectivo activo.</w:t>
      </w:r>
    </w:p>
    <w:p w:rsidR="00742E37" w:rsidRPr="00274CEF" w:rsidRDefault="00742E37" w:rsidP="00F7606A">
      <w:pPr>
        <w:pStyle w:val="Prrafodelista"/>
        <w:ind w:left="0"/>
        <w:jc w:val="both"/>
        <w:rPr>
          <w:rFonts w:ascii="Bookman Old Style" w:hAnsi="Bookman Old Style"/>
          <w:sz w:val="24"/>
          <w:szCs w:val="24"/>
        </w:rPr>
      </w:pPr>
    </w:p>
    <w:p w:rsidR="00742E37" w:rsidRPr="00274CEF" w:rsidRDefault="00742E37" w:rsidP="00F7606A">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rPr>
        <w:t>El mecanismo de competencia previsto para las extensiones de gasoductos tipo II no se ha concretado.</w:t>
      </w:r>
    </w:p>
    <w:p w:rsidR="00742E37" w:rsidRPr="00274CEF" w:rsidRDefault="00742E37" w:rsidP="00742E37">
      <w:pPr>
        <w:ind w:left="0"/>
        <w:jc w:val="both"/>
        <w:rPr>
          <w:rFonts w:ascii="Bookman Old Style" w:hAnsi="Bookman Old Style"/>
          <w:lang w:val="es-CO"/>
        </w:rPr>
      </w:pPr>
      <w:r w:rsidRPr="00274CEF">
        <w:rPr>
          <w:rFonts w:ascii="Bookman Old Style" w:hAnsi="Bookman Old Style"/>
          <w:lang w:val="es-CO"/>
        </w:rPr>
        <w:lastRenderedPageBreak/>
        <w:t xml:space="preserve">Lo anterior plantea el reto de buscar nuevos mecanismos regulatorios para: </w:t>
      </w:r>
    </w:p>
    <w:p w:rsidR="00742E37" w:rsidRPr="00274CEF" w:rsidRDefault="00742E37" w:rsidP="00F7606A">
      <w:pPr>
        <w:pStyle w:val="Prrafodelista"/>
        <w:ind w:left="0"/>
        <w:jc w:val="both"/>
        <w:rPr>
          <w:rFonts w:ascii="Bookman Old Style" w:hAnsi="Bookman Old Style"/>
          <w:sz w:val="24"/>
          <w:szCs w:val="24"/>
        </w:rPr>
      </w:pPr>
    </w:p>
    <w:p w:rsidR="00742E37" w:rsidRPr="00274CEF" w:rsidRDefault="00742E37" w:rsidP="00F7606A">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rPr>
        <w:t>Identificar de manera oportuna la necesidad de nuevos proyectos en el SNT.</w:t>
      </w:r>
    </w:p>
    <w:p w:rsidR="00F33FA3" w:rsidRPr="00274CEF" w:rsidRDefault="00F33FA3" w:rsidP="00F7606A">
      <w:pPr>
        <w:pStyle w:val="Prrafodelista"/>
        <w:ind w:left="0"/>
        <w:jc w:val="both"/>
        <w:rPr>
          <w:rFonts w:ascii="Bookman Old Style" w:hAnsi="Bookman Old Style"/>
          <w:sz w:val="24"/>
          <w:szCs w:val="24"/>
        </w:rPr>
      </w:pPr>
    </w:p>
    <w:p w:rsidR="00742E37" w:rsidRPr="00274CEF" w:rsidRDefault="00742E37" w:rsidP="00F7606A">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eastAsia="x-none"/>
        </w:rPr>
        <w:t>Establecer de manera expedita el valor eficiente de los nuevos proyectos</w:t>
      </w:r>
      <w:r w:rsidR="00274CEF">
        <w:rPr>
          <w:rFonts w:ascii="Bookman Old Style" w:hAnsi="Bookman Old Style"/>
          <w:lang w:val="es-CO" w:eastAsia="x-none"/>
        </w:rPr>
        <w:t>,</w:t>
      </w:r>
      <w:r w:rsidRPr="00274CEF">
        <w:rPr>
          <w:rFonts w:ascii="Bookman Old Style" w:hAnsi="Bookman Old Style"/>
          <w:lang w:val="es-CO" w:eastAsia="x-none"/>
        </w:rPr>
        <w:t xml:space="preserve"> lo</w:t>
      </w:r>
      <w:r w:rsidRPr="00274CEF">
        <w:rPr>
          <w:rFonts w:ascii="Bookman Old Style" w:hAnsi="Bookman Old Style"/>
          <w:lang w:val="es-CO"/>
        </w:rPr>
        <w:t xml:space="preserve"> cual mejoraría el tiempo de fijación de cargos.</w:t>
      </w:r>
    </w:p>
    <w:p w:rsidR="00F33FA3" w:rsidRPr="00274CEF" w:rsidRDefault="00F33FA3" w:rsidP="00274CEF">
      <w:pPr>
        <w:pStyle w:val="Prrafodelista"/>
        <w:ind w:left="0"/>
        <w:jc w:val="both"/>
        <w:rPr>
          <w:rFonts w:ascii="Bookman Old Style" w:hAnsi="Bookman Old Style"/>
          <w:sz w:val="24"/>
          <w:szCs w:val="24"/>
        </w:rPr>
      </w:pPr>
    </w:p>
    <w:p w:rsidR="00742E37" w:rsidRPr="00274CEF" w:rsidRDefault="00742E37" w:rsidP="00F7606A">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rPr>
        <w:t xml:space="preserve">Incentivar la competencia </w:t>
      </w:r>
      <w:r w:rsidR="00274CEF">
        <w:rPr>
          <w:rFonts w:ascii="Bookman Old Style" w:hAnsi="Bookman Old Style"/>
          <w:lang w:val="es-CO"/>
        </w:rPr>
        <w:t>para</w:t>
      </w:r>
      <w:r w:rsidR="00274CEF" w:rsidRPr="00274CEF">
        <w:rPr>
          <w:rFonts w:ascii="Bookman Old Style" w:hAnsi="Bookman Old Style"/>
          <w:lang w:val="es-CO"/>
        </w:rPr>
        <w:t xml:space="preserve"> </w:t>
      </w:r>
      <w:r w:rsidRPr="00274CEF">
        <w:rPr>
          <w:rFonts w:ascii="Bookman Old Style" w:hAnsi="Bookman Old Style"/>
          <w:lang w:val="es-CO"/>
        </w:rPr>
        <w:t xml:space="preserve">el desarrollo de </w:t>
      </w:r>
      <w:r w:rsidR="00274CEF">
        <w:rPr>
          <w:rFonts w:ascii="Bookman Old Style" w:hAnsi="Bookman Old Style"/>
          <w:lang w:val="es-CO"/>
        </w:rPr>
        <w:t>proyectos,</w:t>
      </w:r>
      <w:r w:rsidRPr="00274CEF">
        <w:rPr>
          <w:rFonts w:ascii="Bookman Old Style" w:hAnsi="Bookman Old Style"/>
          <w:lang w:val="es-CO"/>
        </w:rPr>
        <w:t xml:space="preserve"> de tal manera que el valor eficiente de estos proyectos se obtenga por mecanismos de mercado.</w:t>
      </w:r>
    </w:p>
    <w:p w:rsidR="00EE7F66" w:rsidRPr="00274CEF" w:rsidRDefault="00EE7F66" w:rsidP="00274CEF">
      <w:pPr>
        <w:pStyle w:val="Prrafodelista"/>
        <w:ind w:left="0"/>
        <w:jc w:val="both"/>
        <w:rPr>
          <w:rFonts w:ascii="Bookman Old Style" w:hAnsi="Bookman Old Style"/>
          <w:sz w:val="24"/>
          <w:szCs w:val="24"/>
        </w:rPr>
      </w:pPr>
    </w:p>
    <w:p w:rsidR="00EE7F66" w:rsidRPr="00274CEF" w:rsidRDefault="00EE7F66" w:rsidP="00274CEF">
      <w:pPr>
        <w:numPr>
          <w:ilvl w:val="0"/>
          <w:numId w:val="33"/>
        </w:numPr>
        <w:tabs>
          <w:tab w:val="left" w:pos="284"/>
        </w:tabs>
        <w:ind w:left="0" w:firstLine="0"/>
        <w:jc w:val="both"/>
        <w:rPr>
          <w:rFonts w:ascii="Bookman Old Style" w:hAnsi="Bookman Old Style"/>
          <w:lang w:val="es-CO"/>
        </w:rPr>
      </w:pPr>
      <w:r w:rsidRPr="00274CEF">
        <w:rPr>
          <w:rFonts w:ascii="Bookman Old Style" w:hAnsi="Bookman Old Style"/>
          <w:lang w:val="es-CO"/>
        </w:rPr>
        <w:t>Evaluar diferentes mecanismos para generar señales de eficiencia en los gastos de AOM que se reconocen.</w:t>
      </w:r>
    </w:p>
    <w:p w:rsidR="00742AA6" w:rsidRPr="00274CEF" w:rsidRDefault="00742AA6" w:rsidP="00274CEF">
      <w:pPr>
        <w:pStyle w:val="Prrafodelista"/>
        <w:ind w:left="0"/>
        <w:jc w:val="both"/>
        <w:rPr>
          <w:rFonts w:ascii="Bookman Old Style" w:hAnsi="Bookman Old Style"/>
          <w:sz w:val="24"/>
          <w:szCs w:val="24"/>
        </w:rPr>
      </w:pPr>
    </w:p>
    <w:p w:rsidR="00274CEF" w:rsidRPr="00274CEF" w:rsidRDefault="00274CEF" w:rsidP="00274CEF">
      <w:pPr>
        <w:pStyle w:val="Prrafodelista"/>
        <w:ind w:left="0"/>
        <w:jc w:val="both"/>
        <w:rPr>
          <w:rFonts w:ascii="Bookman Old Style" w:hAnsi="Bookman Old Style"/>
          <w:sz w:val="24"/>
          <w:szCs w:val="24"/>
        </w:rPr>
      </w:pPr>
    </w:p>
    <w:p w:rsidR="00954751" w:rsidRPr="009D3928" w:rsidRDefault="002B1C91" w:rsidP="00E47660">
      <w:pPr>
        <w:ind w:left="0"/>
        <w:rPr>
          <w:rFonts w:ascii="Bookman Old Style" w:hAnsi="Bookman Old Style"/>
          <w:b/>
          <w:lang w:val="es-CO"/>
        </w:rPr>
      </w:pPr>
      <w:r w:rsidRPr="009D3928">
        <w:rPr>
          <w:rFonts w:ascii="Bookman Old Style" w:hAnsi="Bookman Old Style"/>
          <w:b/>
          <w:lang w:val="es-CO"/>
        </w:rPr>
        <w:t xml:space="preserve">4. </w:t>
      </w:r>
      <w:r w:rsidR="00954751" w:rsidRPr="009D3928">
        <w:rPr>
          <w:rFonts w:ascii="Bookman Old Style" w:hAnsi="Bookman Old Style"/>
          <w:b/>
          <w:lang w:val="es-CO"/>
        </w:rPr>
        <w:t xml:space="preserve">PROPUESTA DE </w:t>
      </w:r>
      <w:r w:rsidR="003C66E1" w:rsidRPr="009D3928">
        <w:rPr>
          <w:rFonts w:ascii="Bookman Old Style" w:hAnsi="Bookman Old Style"/>
          <w:b/>
          <w:lang w:val="es-CO"/>
        </w:rPr>
        <w:t xml:space="preserve">NUEVO </w:t>
      </w:r>
      <w:r w:rsidR="00954751" w:rsidRPr="009D3928">
        <w:rPr>
          <w:rFonts w:ascii="Bookman Old Style" w:hAnsi="Bookman Old Style"/>
          <w:b/>
          <w:lang w:val="es-CO"/>
        </w:rPr>
        <w:t>R</w:t>
      </w:r>
      <w:r w:rsidR="005E50D2" w:rsidRPr="009D3928">
        <w:rPr>
          <w:rFonts w:ascii="Bookman Old Style" w:hAnsi="Bookman Old Style"/>
          <w:b/>
          <w:lang w:val="es-CO"/>
        </w:rPr>
        <w:t>É</w:t>
      </w:r>
      <w:r w:rsidR="00954751" w:rsidRPr="009D3928">
        <w:rPr>
          <w:rFonts w:ascii="Bookman Old Style" w:hAnsi="Bookman Old Style"/>
          <w:b/>
          <w:lang w:val="es-CO"/>
        </w:rPr>
        <w:t>GIMEN REGULATORIO</w:t>
      </w:r>
    </w:p>
    <w:p w:rsidR="00954751" w:rsidRPr="009D3928" w:rsidRDefault="00954751" w:rsidP="00E47660">
      <w:pPr>
        <w:ind w:left="0"/>
        <w:rPr>
          <w:rFonts w:ascii="Bookman Old Style" w:hAnsi="Bookman Old Style"/>
          <w:b/>
          <w:lang w:val="es-CO"/>
        </w:rPr>
      </w:pPr>
    </w:p>
    <w:p w:rsidR="007E07FB" w:rsidRPr="009D3928" w:rsidRDefault="00B821E2" w:rsidP="00E47660">
      <w:pPr>
        <w:ind w:left="0"/>
        <w:rPr>
          <w:rFonts w:ascii="Bookman Old Style" w:hAnsi="Bookman Old Style"/>
          <w:b/>
          <w:lang w:val="es-CO"/>
        </w:rPr>
      </w:pPr>
      <w:r w:rsidRPr="009D3928">
        <w:rPr>
          <w:rFonts w:ascii="Bookman Old Style" w:hAnsi="Bookman Old Style"/>
          <w:b/>
          <w:lang w:val="es-CO"/>
        </w:rPr>
        <w:t>4.1</w:t>
      </w:r>
      <w:r w:rsidR="007D1F63" w:rsidRPr="009D3928">
        <w:rPr>
          <w:rFonts w:ascii="Bookman Old Style" w:hAnsi="Bookman Old Style"/>
          <w:b/>
          <w:lang w:val="es-CO"/>
        </w:rPr>
        <w:t>.</w:t>
      </w:r>
      <w:r w:rsidRPr="009D3928">
        <w:rPr>
          <w:rFonts w:ascii="Bookman Old Style" w:hAnsi="Bookman Old Style"/>
          <w:b/>
          <w:lang w:val="es-CO"/>
        </w:rPr>
        <w:t xml:space="preserve"> </w:t>
      </w:r>
      <w:r w:rsidR="008E2A44" w:rsidRPr="009D3928">
        <w:rPr>
          <w:rFonts w:ascii="Bookman Old Style" w:hAnsi="Bookman Old Style"/>
          <w:b/>
          <w:lang w:val="es-CO"/>
        </w:rPr>
        <w:t>ESQUEMA</w:t>
      </w:r>
      <w:r w:rsidR="008A6F66" w:rsidRPr="009D3928">
        <w:rPr>
          <w:rFonts w:ascii="Bookman Old Style" w:hAnsi="Bookman Old Style"/>
          <w:b/>
          <w:lang w:val="es-CO"/>
        </w:rPr>
        <w:t xml:space="preserve"> DE TRANSPORTADOR</w:t>
      </w:r>
    </w:p>
    <w:p w:rsidR="007E07FB" w:rsidRPr="009D3928" w:rsidRDefault="007E07FB" w:rsidP="00E47660">
      <w:pPr>
        <w:pStyle w:val="Textoindependiente"/>
        <w:ind w:left="0"/>
        <w:jc w:val="both"/>
        <w:rPr>
          <w:rFonts w:ascii="Bookman Old Style" w:hAnsi="Bookman Old Style"/>
          <w:b w:val="0"/>
          <w:lang w:val="es-CO"/>
        </w:rPr>
      </w:pPr>
    </w:p>
    <w:p w:rsidR="00690060" w:rsidRPr="009D3928" w:rsidRDefault="00780330" w:rsidP="00E47660">
      <w:pPr>
        <w:pStyle w:val="Textoindependiente"/>
        <w:ind w:left="0"/>
        <w:jc w:val="both"/>
        <w:rPr>
          <w:rFonts w:ascii="Bookman Old Style" w:hAnsi="Bookman Old Style"/>
          <w:b w:val="0"/>
          <w:lang w:val="es-CO"/>
        </w:rPr>
      </w:pPr>
      <w:r w:rsidRPr="009D3928">
        <w:rPr>
          <w:rFonts w:ascii="Bookman Old Style" w:hAnsi="Bookman Old Style"/>
          <w:b w:val="0"/>
          <w:lang w:val="es-CO"/>
        </w:rPr>
        <w:t xml:space="preserve">El transporte de gas natural en Colombia se realiza bajo el esquema de transportador por contrato. Es decir, el transportador garantiza el servicio de transporte a aquellos remitentes que hayan suscrito un contrato firme con </w:t>
      </w:r>
      <w:r w:rsidR="00690060" w:rsidRPr="009D3928">
        <w:rPr>
          <w:rFonts w:ascii="Bookman Old Style" w:hAnsi="Bookman Old Style"/>
          <w:b w:val="0"/>
          <w:lang w:val="es-CO"/>
        </w:rPr>
        <w:t>é</w:t>
      </w:r>
      <w:r w:rsidRPr="009D3928">
        <w:rPr>
          <w:rFonts w:ascii="Bookman Old Style" w:hAnsi="Bookman Old Style"/>
          <w:b w:val="0"/>
          <w:lang w:val="es-CO"/>
        </w:rPr>
        <w:t>l.</w:t>
      </w:r>
      <w:r w:rsidR="003C1B40" w:rsidRPr="009D3928">
        <w:rPr>
          <w:rFonts w:ascii="Bookman Old Style" w:hAnsi="Bookman Old Style"/>
          <w:b w:val="0"/>
          <w:lang w:val="es-CO"/>
        </w:rPr>
        <w:t xml:space="preserve"> En consecuencia, e</w:t>
      </w:r>
      <w:r w:rsidRPr="009D3928">
        <w:rPr>
          <w:rFonts w:ascii="Bookman Old Style" w:hAnsi="Bookman Old Style"/>
          <w:b w:val="0"/>
          <w:lang w:val="es-CO"/>
        </w:rPr>
        <w:t>l transportador define la</w:t>
      </w:r>
      <w:r w:rsidR="003C1B40" w:rsidRPr="009D3928">
        <w:rPr>
          <w:rFonts w:ascii="Bookman Old Style" w:hAnsi="Bookman Old Style"/>
          <w:b w:val="0"/>
          <w:lang w:val="es-CO"/>
        </w:rPr>
        <w:t>s expansio</w:t>
      </w:r>
      <w:r w:rsidRPr="009D3928">
        <w:rPr>
          <w:rFonts w:ascii="Bookman Old Style" w:hAnsi="Bookman Old Style"/>
          <w:b w:val="0"/>
          <w:lang w:val="es-CO"/>
        </w:rPr>
        <w:t>n</w:t>
      </w:r>
      <w:r w:rsidR="003C1B40" w:rsidRPr="009D3928">
        <w:rPr>
          <w:rFonts w:ascii="Bookman Old Style" w:hAnsi="Bookman Old Style"/>
          <w:b w:val="0"/>
          <w:lang w:val="es-CO"/>
        </w:rPr>
        <w:t>es</w:t>
      </w:r>
      <w:r w:rsidRPr="009D3928">
        <w:rPr>
          <w:rFonts w:ascii="Bookman Old Style" w:hAnsi="Bookman Old Style"/>
          <w:b w:val="0"/>
          <w:lang w:val="es-CO"/>
        </w:rPr>
        <w:t xml:space="preserve"> a ejecutar con base en </w:t>
      </w:r>
      <w:r w:rsidR="003C1B40" w:rsidRPr="009D3928">
        <w:rPr>
          <w:rFonts w:ascii="Bookman Old Style" w:hAnsi="Bookman Old Style"/>
          <w:b w:val="0"/>
          <w:lang w:val="es-CO"/>
        </w:rPr>
        <w:t xml:space="preserve">la </w:t>
      </w:r>
      <w:r w:rsidRPr="009D3928">
        <w:rPr>
          <w:rFonts w:ascii="Bookman Old Style" w:hAnsi="Bookman Old Style"/>
          <w:b w:val="0"/>
          <w:lang w:val="es-CO"/>
        </w:rPr>
        <w:t>demanda comercial (i.e. contratos)</w:t>
      </w:r>
      <w:r w:rsidR="003C1B40" w:rsidRPr="009D3928">
        <w:rPr>
          <w:rFonts w:ascii="Bookman Old Style" w:hAnsi="Bookman Old Style"/>
          <w:b w:val="0"/>
          <w:lang w:val="es-CO"/>
        </w:rPr>
        <w:t xml:space="preserve"> y</w:t>
      </w:r>
      <w:r w:rsidRPr="009D3928">
        <w:rPr>
          <w:rFonts w:ascii="Bookman Old Style" w:hAnsi="Bookman Old Style"/>
          <w:b w:val="0"/>
          <w:lang w:val="es-CO"/>
        </w:rPr>
        <w:t xml:space="preserve"> </w:t>
      </w:r>
      <w:r w:rsidR="003C1B40" w:rsidRPr="009D3928">
        <w:rPr>
          <w:rFonts w:ascii="Bookman Old Style" w:hAnsi="Bookman Old Style"/>
          <w:b w:val="0"/>
          <w:lang w:val="es-CO"/>
        </w:rPr>
        <w:t>n</w:t>
      </w:r>
      <w:r w:rsidRPr="009D3928">
        <w:rPr>
          <w:rFonts w:ascii="Bookman Old Style" w:hAnsi="Bookman Old Style"/>
          <w:b w:val="0"/>
          <w:lang w:val="es-CO"/>
        </w:rPr>
        <w:t xml:space="preserve">o </w:t>
      </w:r>
      <w:r w:rsidR="003C1B40" w:rsidRPr="009D3928">
        <w:rPr>
          <w:rFonts w:ascii="Bookman Old Style" w:hAnsi="Bookman Old Style"/>
          <w:b w:val="0"/>
          <w:lang w:val="es-CO"/>
        </w:rPr>
        <w:t>tiene la</w:t>
      </w:r>
      <w:r w:rsidRPr="009D3928">
        <w:rPr>
          <w:rFonts w:ascii="Bookman Old Style" w:hAnsi="Bookman Old Style"/>
          <w:b w:val="0"/>
          <w:lang w:val="es-CO"/>
        </w:rPr>
        <w:t xml:space="preserve"> obligación de </w:t>
      </w:r>
      <w:r w:rsidR="003C1B40" w:rsidRPr="009D3928">
        <w:rPr>
          <w:rFonts w:ascii="Bookman Old Style" w:hAnsi="Bookman Old Style"/>
          <w:b w:val="0"/>
          <w:lang w:val="es-CO"/>
        </w:rPr>
        <w:t>realizar expansiones cuando las mismas no están amparadas en contratos</w:t>
      </w:r>
      <w:r w:rsidRPr="009D3928">
        <w:rPr>
          <w:rFonts w:ascii="Bookman Old Style" w:hAnsi="Bookman Old Style"/>
          <w:b w:val="0"/>
          <w:lang w:val="es-CO"/>
        </w:rPr>
        <w:t>.</w:t>
      </w:r>
      <w:r w:rsidR="00690060" w:rsidRPr="009D3928">
        <w:rPr>
          <w:rFonts w:ascii="Bookman Old Style" w:hAnsi="Bookman Old Style"/>
          <w:b w:val="0"/>
          <w:lang w:val="es-CO"/>
        </w:rPr>
        <w:t xml:space="preserve"> En línea con lo anterior, la capacidad no utilizada corresponde a un costo hundido para el transportador.</w:t>
      </w:r>
    </w:p>
    <w:p w:rsidR="00690060" w:rsidRPr="009D3928" w:rsidRDefault="00690060" w:rsidP="00E47660">
      <w:pPr>
        <w:pStyle w:val="Textoindependiente"/>
        <w:ind w:left="0"/>
        <w:jc w:val="both"/>
        <w:rPr>
          <w:rFonts w:ascii="Bookman Old Style" w:hAnsi="Bookman Old Style"/>
          <w:b w:val="0"/>
          <w:lang w:val="es-CO"/>
        </w:rPr>
      </w:pPr>
    </w:p>
    <w:p w:rsidR="003C1B40" w:rsidRPr="009D3928" w:rsidRDefault="00690060" w:rsidP="00E47660">
      <w:pPr>
        <w:pStyle w:val="Textoindependiente"/>
        <w:ind w:left="0"/>
        <w:jc w:val="both"/>
        <w:rPr>
          <w:rFonts w:ascii="Bookman Old Style" w:hAnsi="Bookman Old Style"/>
          <w:b w:val="0"/>
          <w:lang w:val="es-CO"/>
        </w:rPr>
      </w:pPr>
      <w:r w:rsidRPr="009D3928">
        <w:rPr>
          <w:rFonts w:ascii="Bookman Old Style" w:hAnsi="Bookman Old Style"/>
          <w:b w:val="0"/>
          <w:lang w:val="es-CO"/>
        </w:rPr>
        <w:t>L</w:t>
      </w:r>
      <w:r w:rsidR="00986E64" w:rsidRPr="009D3928">
        <w:rPr>
          <w:rFonts w:ascii="Bookman Old Style" w:hAnsi="Bookman Old Style"/>
          <w:b w:val="0"/>
          <w:lang w:val="es-CO"/>
        </w:rPr>
        <w:t xml:space="preserve">a asignación de la capacidad disponible primaria se realiza bajo el </w:t>
      </w:r>
      <w:r w:rsidR="00A11E04">
        <w:rPr>
          <w:rFonts w:ascii="Bookman Old Style" w:hAnsi="Bookman Old Style"/>
          <w:b w:val="0"/>
          <w:lang w:val="es-CO"/>
        </w:rPr>
        <w:t>principio general de derecho relativo</w:t>
      </w:r>
      <w:r w:rsidR="00A11E04" w:rsidRPr="009D3928">
        <w:rPr>
          <w:rFonts w:ascii="Bookman Old Style" w:hAnsi="Bookman Old Style"/>
          <w:b w:val="0"/>
          <w:lang w:val="es-CO"/>
        </w:rPr>
        <w:t xml:space="preserve"> </w:t>
      </w:r>
      <w:r w:rsidR="00986E64" w:rsidRPr="009D3928">
        <w:rPr>
          <w:rFonts w:ascii="Bookman Old Style" w:hAnsi="Bookman Old Style"/>
          <w:b w:val="0"/>
          <w:lang w:val="es-CO"/>
        </w:rPr>
        <w:t xml:space="preserve">de primero en el tiempo, primero en derecho. </w:t>
      </w:r>
      <w:r w:rsidR="00780330" w:rsidRPr="009D3928">
        <w:rPr>
          <w:rFonts w:ascii="Bookman Old Style" w:hAnsi="Bookman Old Style"/>
          <w:b w:val="0"/>
          <w:lang w:val="es-CO"/>
        </w:rPr>
        <w:t>L</w:t>
      </w:r>
      <w:r w:rsidR="003C1B40" w:rsidRPr="009D3928">
        <w:rPr>
          <w:rFonts w:ascii="Bookman Old Style" w:hAnsi="Bookman Old Style"/>
          <w:b w:val="0"/>
          <w:lang w:val="es-CO"/>
        </w:rPr>
        <w:t>a titularidad de l</w:t>
      </w:r>
      <w:r w:rsidR="00780330" w:rsidRPr="009D3928">
        <w:rPr>
          <w:rFonts w:ascii="Bookman Old Style" w:hAnsi="Bookman Old Style"/>
          <w:b w:val="0"/>
          <w:lang w:val="es-CO"/>
        </w:rPr>
        <w:t xml:space="preserve">os derechos de </w:t>
      </w:r>
      <w:r w:rsidR="003C1B40" w:rsidRPr="009D3928">
        <w:rPr>
          <w:rFonts w:ascii="Bookman Old Style" w:hAnsi="Bookman Old Style"/>
          <w:b w:val="0"/>
          <w:lang w:val="es-CO"/>
        </w:rPr>
        <w:t xml:space="preserve">la </w:t>
      </w:r>
      <w:r w:rsidR="00780330" w:rsidRPr="009D3928">
        <w:rPr>
          <w:rFonts w:ascii="Bookman Old Style" w:hAnsi="Bookman Old Style"/>
          <w:b w:val="0"/>
          <w:lang w:val="es-CO"/>
        </w:rPr>
        <w:t xml:space="preserve">capacidad </w:t>
      </w:r>
      <w:r w:rsidR="003C1B40" w:rsidRPr="009D3928">
        <w:rPr>
          <w:rFonts w:ascii="Bookman Old Style" w:hAnsi="Bookman Old Style"/>
          <w:b w:val="0"/>
          <w:lang w:val="es-CO"/>
        </w:rPr>
        <w:t xml:space="preserve">contratada </w:t>
      </w:r>
      <w:r w:rsidR="00780330" w:rsidRPr="009D3928">
        <w:rPr>
          <w:rFonts w:ascii="Bookman Old Style" w:hAnsi="Bookman Old Style"/>
          <w:b w:val="0"/>
          <w:lang w:val="es-CO"/>
        </w:rPr>
        <w:t xml:space="preserve">permanece en el </w:t>
      </w:r>
      <w:r w:rsidR="003C1B40" w:rsidRPr="009D3928">
        <w:rPr>
          <w:rFonts w:ascii="Bookman Old Style" w:hAnsi="Bookman Old Style"/>
          <w:b w:val="0"/>
          <w:lang w:val="es-CO"/>
        </w:rPr>
        <w:t>último remitente en haber suscrito la compraventa o la cesión de dicha capacidad</w:t>
      </w:r>
      <w:r w:rsidR="00780330" w:rsidRPr="009D3928">
        <w:rPr>
          <w:rFonts w:ascii="Bookman Old Style" w:hAnsi="Bookman Old Style"/>
          <w:b w:val="0"/>
          <w:lang w:val="es-CO"/>
        </w:rPr>
        <w:t xml:space="preserve">. </w:t>
      </w:r>
      <w:r w:rsidR="003C1B40" w:rsidRPr="009D3928">
        <w:rPr>
          <w:rFonts w:ascii="Bookman Old Style" w:hAnsi="Bookman Old Style"/>
          <w:b w:val="0"/>
          <w:lang w:val="es-CO"/>
        </w:rPr>
        <w:t>En caso de restricciones la capacidad disponible es asignada de acuerdo con la jerarquía de los contratos</w:t>
      </w:r>
      <w:r w:rsidR="0031611F" w:rsidRPr="009D3928">
        <w:rPr>
          <w:rFonts w:ascii="Bookman Old Style" w:hAnsi="Bookman Old Style"/>
          <w:b w:val="0"/>
          <w:lang w:val="es-CO"/>
        </w:rPr>
        <w:t xml:space="preserve">, siendo los contratos firmes </w:t>
      </w:r>
      <w:r w:rsidR="00A51FE0" w:rsidRPr="009D3928">
        <w:rPr>
          <w:rFonts w:ascii="Bookman Old Style" w:hAnsi="Bookman Old Style"/>
          <w:b w:val="0"/>
          <w:lang w:val="es-CO"/>
        </w:rPr>
        <w:t xml:space="preserve">destinados a la atención de la demanda esencial </w:t>
      </w:r>
      <w:r w:rsidR="0031611F" w:rsidRPr="009D3928">
        <w:rPr>
          <w:rFonts w:ascii="Bookman Old Style" w:hAnsi="Bookman Old Style"/>
          <w:b w:val="0"/>
          <w:lang w:val="es-CO"/>
        </w:rPr>
        <w:t>los últimos en ser interrumpidos</w:t>
      </w:r>
      <w:r w:rsidR="003C1B40" w:rsidRPr="009D3928">
        <w:rPr>
          <w:rFonts w:ascii="Bookman Old Style" w:hAnsi="Bookman Old Style"/>
          <w:b w:val="0"/>
          <w:lang w:val="es-CO"/>
        </w:rPr>
        <w:t>.</w:t>
      </w:r>
    </w:p>
    <w:p w:rsidR="00780330" w:rsidRPr="009D3928" w:rsidRDefault="00780330" w:rsidP="00E47660">
      <w:pPr>
        <w:pStyle w:val="Textoindependiente"/>
        <w:ind w:left="0"/>
        <w:jc w:val="both"/>
        <w:rPr>
          <w:rFonts w:ascii="Bookman Old Style" w:hAnsi="Bookman Old Style"/>
          <w:b w:val="0"/>
          <w:lang w:val="es-CO"/>
        </w:rPr>
      </w:pPr>
    </w:p>
    <w:p w:rsidR="00F63212" w:rsidRPr="009D3928" w:rsidRDefault="00F63212" w:rsidP="00E47660">
      <w:pPr>
        <w:pStyle w:val="Textoindependiente"/>
        <w:ind w:left="0"/>
        <w:jc w:val="both"/>
        <w:rPr>
          <w:rFonts w:ascii="Bookman Old Style" w:hAnsi="Bookman Old Style"/>
          <w:b w:val="0"/>
          <w:lang w:val="es-CO"/>
        </w:rPr>
      </w:pPr>
      <w:r w:rsidRPr="009D3928">
        <w:rPr>
          <w:rFonts w:ascii="Bookman Old Style" w:hAnsi="Bookman Old Style"/>
          <w:b w:val="0"/>
          <w:lang w:val="es-CO"/>
        </w:rPr>
        <w:t xml:space="preserve">Este esquema es diferente al de transportador común, caracterizado por la existencia de un planeador central que define las expansiones a ejecutar con base en </w:t>
      </w:r>
      <w:r w:rsidR="003651A4" w:rsidRPr="009D3928">
        <w:rPr>
          <w:rFonts w:ascii="Bookman Old Style" w:hAnsi="Bookman Old Style"/>
          <w:b w:val="0"/>
          <w:lang w:val="es-CO"/>
        </w:rPr>
        <w:t>un</w:t>
      </w:r>
      <w:r w:rsidRPr="009D3928">
        <w:rPr>
          <w:rFonts w:ascii="Bookman Old Style" w:hAnsi="Bookman Old Style"/>
          <w:b w:val="0"/>
          <w:lang w:val="es-CO"/>
        </w:rPr>
        <w:t xml:space="preserve">a demanda proyectada. </w:t>
      </w:r>
      <w:r w:rsidR="00E33178" w:rsidRPr="009D3928">
        <w:rPr>
          <w:rFonts w:ascii="Bookman Old Style" w:hAnsi="Bookman Old Style"/>
          <w:b w:val="0"/>
          <w:lang w:val="es-CO"/>
        </w:rPr>
        <w:t xml:space="preserve">Bajo este esquema el transportador tiene la obligación de realizar las expansiones previstas por el planeador y debe </w:t>
      </w:r>
      <w:r w:rsidRPr="009D3928">
        <w:rPr>
          <w:rFonts w:ascii="Bookman Old Style" w:hAnsi="Bookman Old Style"/>
          <w:b w:val="0"/>
          <w:lang w:val="es-CO"/>
        </w:rPr>
        <w:t>garantizar el servicio de transporte a todos los usuarios</w:t>
      </w:r>
      <w:r w:rsidR="00E33178" w:rsidRPr="009D3928">
        <w:rPr>
          <w:rFonts w:ascii="Bookman Old Style" w:hAnsi="Bookman Old Style"/>
          <w:b w:val="0"/>
          <w:lang w:val="es-CO"/>
        </w:rPr>
        <w:t>,</w:t>
      </w:r>
      <w:r w:rsidRPr="009D3928">
        <w:rPr>
          <w:rFonts w:ascii="Bookman Old Style" w:hAnsi="Bookman Old Style"/>
          <w:b w:val="0"/>
          <w:lang w:val="es-CO"/>
        </w:rPr>
        <w:t xml:space="preserve"> sin que medie </w:t>
      </w:r>
      <w:r w:rsidR="00E33178" w:rsidRPr="009D3928">
        <w:rPr>
          <w:rFonts w:ascii="Bookman Old Style" w:hAnsi="Bookman Old Style"/>
          <w:b w:val="0"/>
          <w:lang w:val="es-CO"/>
        </w:rPr>
        <w:t>una relación contractual</w:t>
      </w:r>
      <w:r w:rsidR="002C0980">
        <w:rPr>
          <w:rFonts w:ascii="Bookman Old Style" w:hAnsi="Bookman Old Style"/>
          <w:b w:val="0"/>
          <w:lang w:val="es-CO"/>
        </w:rPr>
        <w:t xml:space="preserve"> entre el transportador y los remitentes</w:t>
      </w:r>
      <w:r w:rsidRPr="009D3928">
        <w:rPr>
          <w:rFonts w:ascii="Bookman Old Style" w:hAnsi="Bookman Old Style"/>
          <w:b w:val="0"/>
          <w:lang w:val="es-CO"/>
        </w:rPr>
        <w:t xml:space="preserve">. </w:t>
      </w:r>
      <w:r w:rsidR="00E33178" w:rsidRPr="009D3928">
        <w:rPr>
          <w:rFonts w:ascii="Bookman Old Style" w:hAnsi="Bookman Old Style"/>
          <w:b w:val="0"/>
          <w:lang w:val="es-CO"/>
        </w:rPr>
        <w:t>La capacidad no utilizada es un costo hundido para los usuarios</w:t>
      </w:r>
      <w:r w:rsidR="008E2A44" w:rsidRPr="009D3928">
        <w:rPr>
          <w:rFonts w:ascii="Bookman Old Style" w:hAnsi="Bookman Old Style"/>
          <w:b w:val="0"/>
          <w:lang w:val="es-CO"/>
        </w:rPr>
        <w:t xml:space="preserve"> y l</w:t>
      </w:r>
      <w:r w:rsidRPr="009D3928">
        <w:rPr>
          <w:rFonts w:ascii="Bookman Old Style" w:hAnsi="Bookman Old Style"/>
          <w:b w:val="0"/>
          <w:lang w:val="es-CO"/>
        </w:rPr>
        <w:t>os derechos de explotar comercialmente la capacidad de transporte permanecen en el transportador.</w:t>
      </w:r>
      <w:r w:rsidR="003651A4" w:rsidRPr="009D3928">
        <w:rPr>
          <w:rFonts w:ascii="Bookman Old Style" w:hAnsi="Bookman Old Style"/>
          <w:b w:val="0"/>
          <w:lang w:val="es-CO"/>
        </w:rPr>
        <w:t xml:space="preserve"> E</w:t>
      </w:r>
      <w:r w:rsidRPr="009D3928">
        <w:rPr>
          <w:rFonts w:ascii="Bookman Old Style" w:hAnsi="Bookman Old Style"/>
          <w:b w:val="0"/>
          <w:lang w:val="es-CO"/>
        </w:rPr>
        <w:t>n caso de restricciones</w:t>
      </w:r>
      <w:r w:rsidR="00E012E9" w:rsidRPr="009D3928">
        <w:rPr>
          <w:rFonts w:ascii="Bookman Old Style" w:hAnsi="Bookman Old Style"/>
          <w:b w:val="0"/>
          <w:lang w:val="es-CO"/>
        </w:rPr>
        <w:t>,</w:t>
      </w:r>
      <w:r w:rsidRPr="009D3928">
        <w:rPr>
          <w:rFonts w:ascii="Bookman Old Style" w:hAnsi="Bookman Old Style"/>
          <w:b w:val="0"/>
          <w:lang w:val="es-CO"/>
        </w:rPr>
        <w:t xml:space="preserve"> la capacidad es asignada a prorrata</w:t>
      </w:r>
      <w:r w:rsidR="00E012E9" w:rsidRPr="009D3928">
        <w:rPr>
          <w:rFonts w:ascii="Bookman Old Style" w:hAnsi="Bookman Old Style"/>
          <w:b w:val="0"/>
          <w:lang w:val="es-CO"/>
        </w:rPr>
        <w:t xml:space="preserve"> de la demanda</w:t>
      </w:r>
      <w:r w:rsidR="002C0980">
        <w:rPr>
          <w:rFonts w:ascii="Bookman Old Style" w:hAnsi="Bookman Old Style"/>
          <w:b w:val="0"/>
          <w:lang w:val="es-CO"/>
        </w:rPr>
        <w:t xml:space="preserve"> o según las prioridades que determine la política pública</w:t>
      </w:r>
      <w:r w:rsidRPr="009D3928">
        <w:rPr>
          <w:rFonts w:ascii="Bookman Old Style" w:hAnsi="Bookman Old Style"/>
          <w:b w:val="0"/>
          <w:lang w:val="es-CO"/>
        </w:rPr>
        <w:t>.</w:t>
      </w:r>
    </w:p>
    <w:p w:rsidR="00F63212" w:rsidRPr="009D3928" w:rsidRDefault="00F63212" w:rsidP="00E47660">
      <w:pPr>
        <w:pStyle w:val="Textoindependiente"/>
        <w:ind w:left="0"/>
        <w:jc w:val="both"/>
        <w:rPr>
          <w:rFonts w:ascii="Bookman Old Style" w:hAnsi="Bookman Old Style"/>
          <w:b w:val="0"/>
          <w:lang w:val="es-CO"/>
        </w:rPr>
      </w:pPr>
    </w:p>
    <w:p w:rsidR="008A6F66" w:rsidRPr="009D3928" w:rsidRDefault="00EE28AD" w:rsidP="00E47660">
      <w:pPr>
        <w:pStyle w:val="Textoindependiente"/>
        <w:ind w:left="0"/>
        <w:jc w:val="both"/>
        <w:rPr>
          <w:rFonts w:ascii="Bookman Old Style" w:hAnsi="Bookman Old Style"/>
          <w:b w:val="0"/>
          <w:lang w:val="es-CO"/>
        </w:rPr>
      </w:pPr>
      <w:r w:rsidRPr="009D3928">
        <w:rPr>
          <w:rFonts w:ascii="Bookman Old Style" w:hAnsi="Bookman Old Style"/>
          <w:b w:val="0"/>
          <w:lang w:val="es-CO"/>
        </w:rPr>
        <w:lastRenderedPageBreak/>
        <w:t>La</w:t>
      </w:r>
      <w:r w:rsidR="008641E2" w:rsidRPr="009D3928">
        <w:rPr>
          <w:rFonts w:ascii="Bookman Old Style" w:hAnsi="Bookman Old Style"/>
          <w:b w:val="0"/>
          <w:lang w:val="es-CO"/>
        </w:rPr>
        <w:t>s</w:t>
      </w:r>
      <w:r w:rsidRPr="009D3928">
        <w:rPr>
          <w:rFonts w:ascii="Bookman Old Style" w:hAnsi="Bookman Old Style"/>
          <w:b w:val="0"/>
          <w:lang w:val="es-CO"/>
        </w:rPr>
        <w:t xml:space="preserve"> experiencia</w:t>
      </w:r>
      <w:r w:rsidR="008641E2" w:rsidRPr="009D3928">
        <w:rPr>
          <w:rFonts w:ascii="Bookman Old Style" w:hAnsi="Bookman Old Style"/>
          <w:b w:val="0"/>
          <w:lang w:val="es-CO"/>
        </w:rPr>
        <w:t>s</w:t>
      </w:r>
      <w:r w:rsidRPr="009D3928">
        <w:rPr>
          <w:rFonts w:ascii="Bookman Old Style" w:hAnsi="Bookman Old Style"/>
          <w:b w:val="0"/>
          <w:lang w:val="es-CO"/>
        </w:rPr>
        <w:t xml:space="preserve"> del mercado colombiano y de los mercados de otros países, en los que impera el esquema de transportador de gas natural por contrato</w:t>
      </w:r>
      <w:r w:rsidR="00A51FE0" w:rsidRPr="009D3928">
        <w:rPr>
          <w:rStyle w:val="Refdenotaalpie"/>
          <w:rFonts w:ascii="Bookman Old Style" w:hAnsi="Bookman Old Style"/>
          <w:b w:val="0"/>
          <w:lang w:val="es-CO"/>
        </w:rPr>
        <w:footnoteReference w:id="3"/>
      </w:r>
      <w:r w:rsidRPr="009D3928">
        <w:rPr>
          <w:rFonts w:ascii="Bookman Old Style" w:hAnsi="Bookman Old Style"/>
          <w:b w:val="0"/>
          <w:lang w:val="es-CO"/>
        </w:rPr>
        <w:t xml:space="preserve">, permiten concluir que el esquema vigente </w:t>
      </w:r>
      <w:r w:rsidR="00A35A94" w:rsidRPr="009D3928">
        <w:rPr>
          <w:rFonts w:ascii="Bookman Old Style" w:hAnsi="Bookman Old Style"/>
          <w:b w:val="0"/>
          <w:lang w:val="es-CO"/>
        </w:rPr>
        <w:t>hace posible</w:t>
      </w:r>
      <w:r w:rsidRPr="009D3928">
        <w:rPr>
          <w:rFonts w:ascii="Bookman Old Style" w:hAnsi="Bookman Old Style"/>
          <w:b w:val="0"/>
          <w:lang w:val="es-CO"/>
        </w:rPr>
        <w:t xml:space="preserve"> la </w:t>
      </w:r>
      <w:r w:rsidR="00A35A94" w:rsidRPr="009D3928">
        <w:rPr>
          <w:rFonts w:ascii="Bookman Old Style" w:hAnsi="Bookman Old Style"/>
          <w:b w:val="0"/>
          <w:lang w:val="es-CO"/>
        </w:rPr>
        <w:t xml:space="preserve">adecuada </w:t>
      </w:r>
      <w:r w:rsidRPr="009D3928">
        <w:rPr>
          <w:rFonts w:ascii="Bookman Old Style" w:hAnsi="Bookman Old Style"/>
          <w:b w:val="0"/>
          <w:lang w:val="es-CO"/>
        </w:rPr>
        <w:t xml:space="preserve">expansión del sistema nacional de transporte </w:t>
      </w:r>
      <w:r w:rsidR="00A35A94" w:rsidRPr="009D3928">
        <w:rPr>
          <w:rFonts w:ascii="Bookman Old Style" w:hAnsi="Bookman Old Style"/>
          <w:b w:val="0"/>
          <w:lang w:val="es-CO"/>
        </w:rPr>
        <w:t>en respuesta a</w:t>
      </w:r>
      <w:r w:rsidR="008641E2" w:rsidRPr="009D3928">
        <w:rPr>
          <w:rFonts w:ascii="Bookman Old Style" w:hAnsi="Bookman Old Style"/>
          <w:b w:val="0"/>
          <w:lang w:val="es-CO"/>
        </w:rPr>
        <w:t xml:space="preserve"> las necesidades de la demanda. </w:t>
      </w:r>
      <w:r w:rsidR="00A35A94" w:rsidRPr="009D3928">
        <w:rPr>
          <w:rFonts w:ascii="Bookman Old Style" w:hAnsi="Bookman Old Style"/>
          <w:b w:val="0"/>
          <w:lang w:val="es-CO"/>
        </w:rPr>
        <w:t>Así, el nuevo régimen regulatorio se estructurará sobre la base de un esquema de transportador por contrato.</w:t>
      </w:r>
    </w:p>
    <w:p w:rsidR="008641E2" w:rsidRPr="009D3928" w:rsidRDefault="008641E2" w:rsidP="00E47660">
      <w:pPr>
        <w:pStyle w:val="Textoindependiente"/>
        <w:ind w:left="0"/>
        <w:jc w:val="both"/>
        <w:rPr>
          <w:rFonts w:ascii="Bookman Old Style" w:hAnsi="Bookman Old Style"/>
          <w:b w:val="0"/>
          <w:lang w:val="es-CO"/>
        </w:rPr>
      </w:pPr>
    </w:p>
    <w:p w:rsidR="008641E2" w:rsidRPr="009D3928" w:rsidRDefault="008641E2" w:rsidP="00E47660">
      <w:pPr>
        <w:pStyle w:val="Textoindependiente"/>
        <w:ind w:left="0"/>
        <w:jc w:val="both"/>
        <w:rPr>
          <w:rFonts w:ascii="Bookman Old Style" w:hAnsi="Bookman Old Style"/>
          <w:b w:val="0"/>
          <w:lang w:val="es-CO"/>
        </w:rPr>
      </w:pPr>
      <w:r w:rsidRPr="009D3928">
        <w:rPr>
          <w:rFonts w:ascii="Bookman Old Style" w:hAnsi="Bookman Old Style"/>
          <w:b w:val="0"/>
          <w:lang w:val="es-CO"/>
        </w:rPr>
        <w:t xml:space="preserve">Lo anterior no impide que en el nuevo marco regulatorio se </w:t>
      </w:r>
      <w:r w:rsidR="004224EE" w:rsidRPr="009D3928">
        <w:rPr>
          <w:rFonts w:ascii="Bookman Old Style" w:hAnsi="Bookman Old Style"/>
          <w:b w:val="0"/>
          <w:lang w:val="es-CO"/>
        </w:rPr>
        <w:t>dé</w:t>
      </w:r>
      <w:r w:rsidR="00A35A94" w:rsidRPr="009D3928">
        <w:rPr>
          <w:rFonts w:ascii="Bookman Old Style" w:hAnsi="Bookman Old Style"/>
          <w:b w:val="0"/>
          <w:lang w:val="es-CO"/>
        </w:rPr>
        <w:t xml:space="preserve"> continuidad a los mecanismos de competencia para la determinación de los cargos aplicables en las extensiones del sistema nacional de transporte, los cuales fueron introducidos en la Resolución CREG 126 de 2010. Tampoco impide que ahora se </w:t>
      </w:r>
      <w:r w:rsidRPr="009D3928">
        <w:rPr>
          <w:rFonts w:ascii="Bookman Old Style" w:hAnsi="Bookman Old Style"/>
          <w:b w:val="0"/>
          <w:lang w:val="es-CO"/>
        </w:rPr>
        <w:t>prevea la posibilidad de que</w:t>
      </w:r>
      <w:r w:rsidR="000C732B">
        <w:rPr>
          <w:rFonts w:ascii="Bookman Old Style" w:hAnsi="Bookman Old Style"/>
          <w:b w:val="0"/>
          <w:lang w:val="es-CO"/>
        </w:rPr>
        <w:t xml:space="preserve"> la Nación, a través de</w:t>
      </w:r>
      <w:r w:rsidRPr="009D3928">
        <w:rPr>
          <w:rFonts w:ascii="Bookman Old Style" w:hAnsi="Bookman Old Style"/>
          <w:b w:val="0"/>
          <w:lang w:val="es-CO"/>
        </w:rPr>
        <w:t xml:space="preserve"> la UPME, como órgano responsable de la planeación</w:t>
      </w:r>
      <w:r w:rsidR="002C0980">
        <w:rPr>
          <w:rFonts w:ascii="Bookman Old Style" w:hAnsi="Bookman Old Style"/>
          <w:b w:val="0"/>
          <w:lang w:val="es-CO"/>
        </w:rPr>
        <w:t>,</w:t>
      </w:r>
      <w:r w:rsidRPr="009D3928">
        <w:rPr>
          <w:rFonts w:ascii="Bookman Old Style" w:hAnsi="Bookman Old Style"/>
          <w:b w:val="0"/>
          <w:lang w:val="es-CO"/>
        </w:rPr>
        <w:t xml:space="preserve"> </w:t>
      </w:r>
      <w:r w:rsidR="00EC5A59">
        <w:rPr>
          <w:rFonts w:ascii="Bookman Old Style" w:hAnsi="Bookman Old Style"/>
          <w:b w:val="0"/>
          <w:lang w:val="es-CO"/>
        </w:rPr>
        <w:t xml:space="preserve">en este caso </w:t>
      </w:r>
      <w:r w:rsidRPr="009D3928">
        <w:rPr>
          <w:rFonts w:ascii="Bookman Old Style" w:hAnsi="Bookman Old Style"/>
          <w:b w:val="0"/>
          <w:lang w:val="es-CO"/>
        </w:rPr>
        <w:t xml:space="preserve">indicativa </w:t>
      </w:r>
      <w:r w:rsidR="00EC5A59">
        <w:rPr>
          <w:rFonts w:ascii="Bookman Old Style" w:hAnsi="Bookman Old Style"/>
          <w:b w:val="0"/>
          <w:lang w:val="es-CO"/>
        </w:rPr>
        <w:t>y coordinada</w:t>
      </w:r>
      <w:r w:rsidR="002C0980">
        <w:rPr>
          <w:rFonts w:ascii="Bookman Old Style" w:hAnsi="Bookman Old Style"/>
          <w:b w:val="0"/>
          <w:lang w:val="es-CO"/>
        </w:rPr>
        <w:t>,</w:t>
      </w:r>
      <w:r w:rsidR="00EC5A59">
        <w:rPr>
          <w:rFonts w:ascii="Bookman Old Style" w:hAnsi="Bookman Old Style"/>
          <w:b w:val="0"/>
          <w:lang w:val="es-CO"/>
        </w:rPr>
        <w:t xml:space="preserve"> </w:t>
      </w:r>
      <w:r w:rsidRPr="009D3928">
        <w:rPr>
          <w:rFonts w:ascii="Bookman Old Style" w:hAnsi="Bookman Old Style"/>
          <w:b w:val="0"/>
          <w:lang w:val="es-CO"/>
        </w:rPr>
        <w:t>del sector de minas y energía</w:t>
      </w:r>
      <w:r w:rsidR="002C0980">
        <w:rPr>
          <w:rFonts w:ascii="Bookman Old Style" w:hAnsi="Bookman Old Style"/>
          <w:b w:val="0"/>
          <w:lang w:val="es-CO"/>
        </w:rPr>
        <w:t>,</w:t>
      </w:r>
      <w:r w:rsidR="000C732B">
        <w:rPr>
          <w:rFonts w:ascii="Bookman Old Style" w:hAnsi="Bookman Old Style"/>
          <w:b w:val="0"/>
          <w:lang w:val="es-CO"/>
        </w:rPr>
        <w:t xml:space="preserve"> de acuerdo con las funciones previstas en el Decreto 1258 de 2013</w:t>
      </w:r>
      <w:r w:rsidR="000C732B">
        <w:rPr>
          <w:rStyle w:val="Refdenotaalpie"/>
          <w:rFonts w:ascii="Bookman Old Style" w:hAnsi="Bookman Old Style"/>
          <w:b w:val="0"/>
          <w:lang w:val="es-CO"/>
        </w:rPr>
        <w:footnoteReference w:id="4"/>
      </w:r>
      <w:r w:rsidRPr="009D3928">
        <w:rPr>
          <w:rFonts w:ascii="Bookman Old Style" w:hAnsi="Bookman Old Style"/>
          <w:b w:val="0"/>
          <w:lang w:val="es-CO"/>
        </w:rPr>
        <w:t>, identifique e impulse el desarrollo de algunas expansiones o extensiones</w:t>
      </w:r>
      <w:r w:rsidR="002C0980">
        <w:rPr>
          <w:rFonts w:ascii="Bookman Old Style" w:hAnsi="Bookman Old Style"/>
          <w:b w:val="0"/>
          <w:lang w:val="es-CO"/>
        </w:rPr>
        <w:t>.</w:t>
      </w:r>
      <w:r w:rsidR="000C732B">
        <w:rPr>
          <w:rFonts w:ascii="Bookman Old Style" w:hAnsi="Bookman Old Style"/>
          <w:b w:val="0"/>
          <w:lang w:val="es-CO"/>
        </w:rPr>
        <w:t xml:space="preserve"> </w:t>
      </w:r>
      <w:r w:rsidR="002C0980">
        <w:rPr>
          <w:rFonts w:ascii="Bookman Old Style" w:hAnsi="Bookman Old Style"/>
          <w:b w:val="0"/>
          <w:lang w:val="es-CO"/>
        </w:rPr>
        <w:t>E</w:t>
      </w:r>
      <w:r w:rsidR="000C732B">
        <w:rPr>
          <w:rFonts w:ascii="Bookman Old Style" w:hAnsi="Bookman Old Style"/>
          <w:b w:val="0"/>
          <w:lang w:val="es-CO"/>
        </w:rPr>
        <w:t xml:space="preserve">sto de forma concordante con lo dispuesto en el artículo 67.2 de la Ley 142 de 1994 en materia de expansión </w:t>
      </w:r>
      <w:r w:rsidR="00EC5A59">
        <w:rPr>
          <w:rFonts w:ascii="Bookman Old Style" w:hAnsi="Bookman Old Style"/>
          <w:b w:val="0"/>
          <w:lang w:val="es-CO"/>
        </w:rPr>
        <w:t>dentro de las funciones asignadas a</w:t>
      </w:r>
      <w:r w:rsidR="000C732B">
        <w:rPr>
          <w:rFonts w:ascii="Bookman Old Style" w:hAnsi="Bookman Old Style"/>
          <w:b w:val="0"/>
          <w:lang w:val="es-CO"/>
        </w:rPr>
        <w:t>l Ministerio de Minas y Energía</w:t>
      </w:r>
      <w:r w:rsidR="00C42AF4" w:rsidRPr="009D3928">
        <w:rPr>
          <w:rFonts w:ascii="Bookman Old Style" w:hAnsi="Bookman Old Style"/>
          <w:b w:val="0"/>
          <w:lang w:val="es-CO"/>
        </w:rPr>
        <w:t>.</w:t>
      </w:r>
      <w:r w:rsidR="00A35A94" w:rsidRPr="009D3928">
        <w:rPr>
          <w:rFonts w:ascii="Bookman Old Style" w:hAnsi="Bookman Old Style"/>
          <w:b w:val="0"/>
          <w:lang w:val="es-CO"/>
        </w:rPr>
        <w:t xml:space="preserve"> En la sección </w:t>
      </w:r>
      <w:r w:rsidR="00991873" w:rsidRPr="009D3928">
        <w:rPr>
          <w:rFonts w:ascii="Bookman Old Style" w:hAnsi="Bookman Old Style"/>
          <w:b w:val="0"/>
          <w:lang w:val="es-CO"/>
        </w:rPr>
        <w:t>4.2.</w:t>
      </w:r>
      <w:r w:rsidR="00573A53">
        <w:rPr>
          <w:rFonts w:ascii="Bookman Old Style" w:hAnsi="Bookman Old Style"/>
          <w:b w:val="0"/>
          <w:lang w:val="es-CO"/>
        </w:rPr>
        <w:t>4</w:t>
      </w:r>
      <w:r w:rsidR="00573A53" w:rsidRPr="009D3928">
        <w:rPr>
          <w:rFonts w:ascii="Bookman Old Style" w:hAnsi="Bookman Old Style"/>
          <w:b w:val="0"/>
          <w:lang w:val="es-CO"/>
        </w:rPr>
        <w:t xml:space="preserve"> </w:t>
      </w:r>
      <w:r w:rsidR="00A35A94" w:rsidRPr="009D3928">
        <w:rPr>
          <w:rFonts w:ascii="Bookman Old Style" w:hAnsi="Bookman Old Style"/>
          <w:b w:val="0"/>
          <w:lang w:val="es-CO"/>
        </w:rPr>
        <w:t>de este anexo se amplía este análisis.</w:t>
      </w:r>
    </w:p>
    <w:p w:rsidR="008A6F66" w:rsidRPr="009D3928" w:rsidRDefault="008A6F66" w:rsidP="00E47660">
      <w:pPr>
        <w:pStyle w:val="Textoindependiente"/>
        <w:ind w:left="0"/>
        <w:jc w:val="both"/>
        <w:rPr>
          <w:rFonts w:ascii="Bookman Old Style" w:hAnsi="Bookman Old Style"/>
          <w:b w:val="0"/>
          <w:lang w:val="es-CO"/>
        </w:rPr>
      </w:pPr>
    </w:p>
    <w:p w:rsidR="003100CC" w:rsidRPr="009D3928" w:rsidRDefault="000669FD" w:rsidP="00E47660">
      <w:pPr>
        <w:ind w:left="0"/>
        <w:rPr>
          <w:rFonts w:ascii="Bookman Old Style" w:hAnsi="Bookman Old Style"/>
          <w:b/>
          <w:lang w:val="es-CO"/>
        </w:rPr>
      </w:pPr>
      <w:r w:rsidRPr="009D3928">
        <w:rPr>
          <w:rFonts w:ascii="Bookman Old Style" w:hAnsi="Bookman Old Style"/>
          <w:b/>
          <w:lang w:val="es-CO"/>
        </w:rPr>
        <w:t>4.2. INCENTIVOS PARA LA AMPLIACIÓN DE LA INFRAESTRUCTURA</w:t>
      </w:r>
    </w:p>
    <w:p w:rsidR="000669FD" w:rsidRPr="009D3928" w:rsidRDefault="000669FD" w:rsidP="00E47660">
      <w:pPr>
        <w:ind w:left="0"/>
        <w:jc w:val="both"/>
        <w:rPr>
          <w:rFonts w:ascii="Bookman Old Style" w:hAnsi="Bookman Old Style" w:cs="Arial"/>
          <w:bCs/>
          <w:lang w:val="es-CO"/>
        </w:rPr>
      </w:pPr>
    </w:p>
    <w:p w:rsidR="00DA3B24" w:rsidRPr="009D3928" w:rsidRDefault="00547962" w:rsidP="00E47660">
      <w:pPr>
        <w:ind w:left="0"/>
        <w:jc w:val="both"/>
        <w:rPr>
          <w:rFonts w:ascii="Bookman Old Style" w:hAnsi="Bookman Old Style" w:cs="Arial"/>
          <w:bCs/>
          <w:lang w:val="es-CO"/>
        </w:rPr>
      </w:pPr>
      <w:r w:rsidRPr="009D3928">
        <w:rPr>
          <w:rFonts w:ascii="Bookman Old Style" w:hAnsi="Bookman Old Style" w:cs="Arial"/>
          <w:bCs/>
          <w:lang w:val="es-CO"/>
        </w:rPr>
        <w:t xml:space="preserve">Dado </w:t>
      </w:r>
      <w:r w:rsidR="00DA3B24" w:rsidRPr="009D3928">
        <w:rPr>
          <w:rFonts w:ascii="Bookman Old Style" w:hAnsi="Bookman Old Style" w:cs="Arial"/>
          <w:bCs/>
          <w:lang w:val="es-CO"/>
        </w:rPr>
        <w:t xml:space="preserve">que </w:t>
      </w:r>
      <w:r w:rsidRPr="009D3928">
        <w:rPr>
          <w:rFonts w:ascii="Bookman Old Style" w:hAnsi="Bookman Old Style" w:cs="Arial"/>
          <w:bCs/>
          <w:lang w:val="es-CO"/>
        </w:rPr>
        <w:t xml:space="preserve">los campos productores de gas natural y la infraestructura utilizada para su </w:t>
      </w:r>
      <w:r w:rsidR="00DA3B24" w:rsidRPr="009D3928">
        <w:rPr>
          <w:rFonts w:ascii="Bookman Old Style" w:hAnsi="Bookman Old Style" w:cs="Arial"/>
          <w:bCs/>
          <w:lang w:val="es-CO"/>
        </w:rPr>
        <w:t xml:space="preserve">tratamiento </w:t>
      </w:r>
      <w:r w:rsidRPr="009D3928">
        <w:rPr>
          <w:rFonts w:ascii="Bookman Old Style" w:hAnsi="Bookman Old Style" w:cs="Arial"/>
          <w:bCs/>
          <w:lang w:val="es-CO"/>
        </w:rPr>
        <w:t>pueden</w:t>
      </w:r>
      <w:r w:rsidR="00DA3B24" w:rsidRPr="009D3928">
        <w:rPr>
          <w:rFonts w:ascii="Bookman Old Style" w:hAnsi="Bookman Old Style" w:cs="Arial"/>
          <w:bCs/>
          <w:lang w:val="es-CO"/>
        </w:rPr>
        <w:t xml:space="preserve"> estar localiza</w:t>
      </w:r>
      <w:r w:rsidRPr="009D3928">
        <w:rPr>
          <w:rFonts w:ascii="Bookman Old Style" w:hAnsi="Bookman Old Style" w:cs="Arial"/>
          <w:bCs/>
          <w:lang w:val="es-CO"/>
        </w:rPr>
        <w:t>dos</w:t>
      </w:r>
      <w:r w:rsidR="00DA3B24" w:rsidRPr="009D3928">
        <w:rPr>
          <w:rFonts w:ascii="Bookman Old Style" w:hAnsi="Bookman Old Style" w:cs="Arial"/>
          <w:bCs/>
          <w:lang w:val="es-CO"/>
        </w:rPr>
        <w:t xml:space="preserve"> en lugares diferentes a los de los </w:t>
      </w:r>
      <w:r w:rsidRPr="009D3928">
        <w:rPr>
          <w:rFonts w:ascii="Bookman Old Style" w:hAnsi="Bookman Old Style" w:cs="Arial"/>
          <w:bCs/>
          <w:lang w:val="es-CO"/>
        </w:rPr>
        <w:t>sitios</w:t>
      </w:r>
      <w:r w:rsidR="00DA3B24" w:rsidRPr="009D3928">
        <w:rPr>
          <w:rFonts w:ascii="Bookman Old Style" w:hAnsi="Bookman Old Style" w:cs="Arial"/>
          <w:bCs/>
          <w:lang w:val="es-CO"/>
        </w:rPr>
        <w:t xml:space="preserve"> de consumo, la infraestructura de transporte de gas natural es un elemento indispensable para asegurar el abastecimiento de este hidrocarburo.</w:t>
      </w:r>
      <w:r w:rsidR="00453D39" w:rsidRPr="009D3928">
        <w:rPr>
          <w:rFonts w:ascii="Bookman Old Style" w:hAnsi="Bookman Old Style" w:cs="Arial"/>
          <w:bCs/>
          <w:lang w:val="es-CO"/>
        </w:rPr>
        <w:t xml:space="preserve"> </w:t>
      </w:r>
      <w:r w:rsidR="00DA3B24" w:rsidRPr="009D3928">
        <w:rPr>
          <w:rFonts w:ascii="Bookman Old Style" w:hAnsi="Bookman Old Style" w:cs="Arial"/>
          <w:bCs/>
          <w:lang w:val="es-CO"/>
        </w:rPr>
        <w:t xml:space="preserve">Esta es la razón por la cual </w:t>
      </w:r>
      <w:r w:rsidR="00453D39" w:rsidRPr="009D3928">
        <w:rPr>
          <w:rFonts w:ascii="Bookman Old Style" w:hAnsi="Bookman Old Style" w:cs="Arial"/>
          <w:bCs/>
          <w:lang w:val="es-CO"/>
        </w:rPr>
        <w:t xml:space="preserve">la metodología para la remuneración de la actividad de transporte de gas natural debe contener </w:t>
      </w:r>
      <w:r w:rsidR="007C0DDD" w:rsidRPr="009D3928">
        <w:rPr>
          <w:rFonts w:ascii="Bookman Old Style" w:hAnsi="Bookman Old Style" w:cs="Arial"/>
          <w:bCs/>
          <w:color w:val="000000" w:themeColor="text1"/>
          <w:lang w:val="es-CO"/>
        </w:rPr>
        <w:t>instrumentos</w:t>
      </w:r>
      <w:r w:rsidR="00453D39" w:rsidRPr="009D3928">
        <w:rPr>
          <w:rFonts w:ascii="Bookman Old Style" w:hAnsi="Bookman Old Style" w:cs="Arial"/>
          <w:bCs/>
          <w:color w:val="FF0000"/>
          <w:lang w:val="es-CO"/>
        </w:rPr>
        <w:t xml:space="preserve"> </w:t>
      </w:r>
      <w:r w:rsidR="00453D39" w:rsidRPr="009D3928">
        <w:rPr>
          <w:rFonts w:ascii="Bookman Old Style" w:hAnsi="Bookman Old Style" w:cs="Arial"/>
          <w:bCs/>
          <w:lang w:val="es-CO"/>
        </w:rPr>
        <w:t>orientados a procurar la expansión y extensión oportuna de la infraestructura de transporte.</w:t>
      </w:r>
    </w:p>
    <w:p w:rsidR="00453D39" w:rsidRPr="009D3928" w:rsidRDefault="00453D39" w:rsidP="00E47660">
      <w:pPr>
        <w:ind w:left="0"/>
        <w:jc w:val="both"/>
        <w:rPr>
          <w:rFonts w:ascii="Bookman Old Style" w:hAnsi="Bookman Old Style" w:cs="Arial"/>
          <w:bCs/>
          <w:lang w:val="es-CO"/>
        </w:rPr>
      </w:pPr>
    </w:p>
    <w:p w:rsidR="00453D39" w:rsidRPr="009D3928" w:rsidRDefault="002E10B8" w:rsidP="00E47660">
      <w:pPr>
        <w:ind w:left="0"/>
        <w:jc w:val="both"/>
        <w:rPr>
          <w:rFonts w:ascii="Bookman Old Style" w:hAnsi="Bookman Old Style" w:cs="Arial"/>
          <w:bCs/>
          <w:lang w:val="es-CO"/>
        </w:rPr>
      </w:pPr>
      <w:r w:rsidRPr="009D3928">
        <w:rPr>
          <w:rFonts w:ascii="Bookman Old Style" w:hAnsi="Bookman Old Style" w:cs="Arial"/>
          <w:bCs/>
          <w:lang w:val="es-CO"/>
        </w:rPr>
        <w:t xml:space="preserve">En este sentido, a continuación se presentan las bases sobre las cuales se determinarán dichos </w:t>
      </w:r>
      <w:r w:rsidR="007C0DDD" w:rsidRPr="009D3928">
        <w:rPr>
          <w:rFonts w:ascii="Bookman Old Style" w:hAnsi="Bookman Old Style" w:cs="Arial"/>
          <w:bCs/>
          <w:lang w:val="es-CO"/>
        </w:rPr>
        <w:t>instrumentos</w:t>
      </w:r>
      <w:r w:rsidRPr="009D3928">
        <w:rPr>
          <w:rFonts w:ascii="Bookman Old Style" w:hAnsi="Bookman Old Style" w:cs="Arial"/>
          <w:bCs/>
          <w:lang w:val="es-CO"/>
        </w:rPr>
        <w:t xml:space="preserve">: i) regulación de nivel </w:t>
      </w:r>
      <w:r w:rsidR="009E1A0B" w:rsidRPr="009D3928">
        <w:rPr>
          <w:rFonts w:ascii="Bookman Old Style" w:hAnsi="Bookman Old Style" w:cs="Arial"/>
          <w:bCs/>
          <w:lang w:val="es-CO"/>
        </w:rPr>
        <w:t>de precio</w:t>
      </w:r>
      <w:r w:rsidR="001736CA" w:rsidRPr="009D3928">
        <w:rPr>
          <w:rFonts w:ascii="Bookman Old Style" w:hAnsi="Bookman Old Style" w:cs="Arial"/>
          <w:bCs/>
          <w:lang w:val="es-CO"/>
        </w:rPr>
        <w:t>s</w:t>
      </w:r>
      <w:r w:rsidR="00F7158A" w:rsidRPr="009D3928">
        <w:rPr>
          <w:rFonts w:ascii="Bookman Old Style" w:hAnsi="Bookman Old Style" w:cs="Arial"/>
          <w:bCs/>
          <w:lang w:val="es-CO"/>
        </w:rPr>
        <w:t xml:space="preserve"> </w:t>
      </w:r>
      <w:r w:rsidRPr="009D3928">
        <w:rPr>
          <w:rFonts w:ascii="Bookman Old Style" w:hAnsi="Bookman Old Style" w:cs="Arial"/>
          <w:bCs/>
          <w:lang w:val="es-CO"/>
        </w:rPr>
        <w:t xml:space="preserve">y de estructura </w:t>
      </w:r>
      <w:r w:rsidR="009E1A0B" w:rsidRPr="009D3928">
        <w:rPr>
          <w:rFonts w:ascii="Bookman Old Style" w:hAnsi="Bookman Old Style" w:cs="Arial"/>
          <w:bCs/>
          <w:lang w:val="es-CO"/>
        </w:rPr>
        <w:t>de precio</w:t>
      </w:r>
      <w:r w:rsidR="001736CA" w:rsidRPr="009D3928">
        <w:rPr>
          <w:rFonts w:ascii="Bookman Old Style" w:hAnsi="Bookman Old Style" w:cs="Arial"/>
          <w:bCs/>
          <w:lang w:val="es-CO"/>
        </w:rPr>
        <w:t>s</w:t>
      </w:r>
      <w:r w:rsidRPr="009D3928">
        <w:rPr>
          <w:rFonts w:ascii="Bookman Old Style" w:hAnsi="Bookman Old Style" w:cs="Arial"/>
          <w:bCs/>
          <w:lang w:val="es-CO"/>
        </w:rPr>
        <w:t xml:space="preserve">; ii) </w:t>
      </w:r>
      <w:r w:rsidR="005752EB" w:rsidRPr="009D3928">
        <w:rPr>
          <w:rFonts w:ascii="Bookman Old Style" w:hAnsi="Bookman Old Style" w:cs="Arial"/>
          <w:bCs/>
          <w:lang w:val="es-CO"/>
        </w:rPr>
        <w:t xml:space="preserve">esquema </w:t>
      </w:r>
      <w:r w:rsidRPr="009D3928">
        <w:rPr>
          <w:rFonts w:ascii="Bookman Old Style" w:hAnsi="Bookman Old Style" w:cs="Arial"/>
          <w:bCs/>
          <w:lang w:val="es-CO"/>
        </w:rPr>
        <w:t xml:space="preserve">de </w:t>
      </w:r>
      <w:r w:rsidR="00A516FB" w:rsidRPr="009D3928">
        <w:rPr>
          <w:rFonts w:ascii="Bookman Old Style" w:hAnsi="Bookman Old Style" w:cs="Arial"/>
          <w:bCs/>
          <w:lang w:val="es-CO"/>
        </w:rPr>
        <w:t>cargos</w:t>
      </w:r>
      <w:r w:rsidRPr="009D3928">
        <w:rPr>
          <w:rFonts w:ascii="Bookman Old Style" w:hAnsi="Bookman Old Style" w:cs="Arial"/>
          <w:bCs/>
          <w:lang w:val="es-CO"/>
        </w:rPr>
        <w:t xml:space="preserve">; </w:t>
      </w:r>
      <w:r w:rsidR="007C0DDD" w:rsidRPr="009D3928">
        <w:rPr>
          <w:rFonts w:ascii="Bookman Old Style" w:hAnsi="Bookman Old Style" w:cs="Arial"/>
          <w:bCs/>
          <w:lang w:val="es-CO"/>
        </w:rPr>
        <w:t xml:space="preserve">y </w:t>
      </w:r>
      <w:r w:rsidRPr="009D3928">
        <w:rPr>
          <w:rFonts w:ascii="Bookman Old Style" w:hAnsi="Bookman Old Style" w:cs="Arial"/>
          <w:bCs/>
          <w:lang w:val="es-CO"/>
        </w:rPr>
        <w:t xml:space="preserve">iii) </w:t>
      </w:r>
      <w:r w:rsidR="007C0DDD" w:rsidRPr="009D3928">
        <w:rPr>
          <w:rFonts w:ascii="Bookman Old Style" w:hAnsi="Bookman Old Style" w:cs="Arial"/>
          <w:bCs/>
          <w:lang w:val="es-CO"/>
        </w:rPr>
        <w:t>mecanismos para la expansión y la extensión del sistema nacional de transporte.</w:t>
      </w:r>
    </w:p>
    <w:p w:rsidR="004108C0" w:rsidRPr="009D3928" w:rsidRDefault="004108C0" w:rsidP="00E47660">
      <w:pPr>
        <w:ind w:left="0"/>
        <w:jc w:val="both"/>
        <w:rPr>
          <w:rFonts w:ascii="Bookman Old Style" w:hAnsi="Bookman Old Style" w:cs="Arial"/>
          <w:b/>
          <w:bCs/>
          <w:lang w:val="es-CO"/>
        </w:rPr>
      </w:pPr>
    </w:p>
    <w:p w:rsidR="00226483" w:rsidRPr="009D3928" w:rsidRDefault="007C0DDD" w:rsidP="00E47660">
      <w:pPr>
        <w:ind w:left="0"/>
        <w:rPr>
          <w:rFonts w:ascii="Bookman Old Style" w:hAnsi="Bookman Old Style"/>
          <w:b/>
          <w:lang w:val="es-CO"/>
        </w:rPr>
      </w:pPr>
      <w:r w:rsidRPr="009D3928">
        <w:rPr>
          <w:rFonts w:ascii="Bookman Old Style" w:hAnsi="Bookman Old Style"/>
          <w:b/>
          <w:lang w:val="es-CO"/>
        </w:rPr>
        <w:t xml:space="preserve">4.2.1. NIVEL </w:t>
      </w:r>
      <w:r w:rsidR="009E1A0B" w:rsidRPr="009D3928">
        <w:rPr>
          <w:rFonts w:ascii="Bookman Old Style" w:hAnsi="Bookman Old Style"/>
          <w:b/>
          <w:lang w:val="es-CO"/>
        </w:rPr>
        <w:t>DE PRECIO</w:t>
      </w:r>
      <w:r w:rsidR="001736CA" w:rsidRPr="009D3928">
        <w:rPr>
          <w:rFonts w:ascii="Bookman Old Style" w:hAnsi="Bookman Old Style"/>
          <w:b/>
          <w:lang w:val="es-CO"/>
        </w:rPr>
        <w:t>S</w:t>
      </w:r>
    </w:p>
    <w:p w:rsidR="00226483" w:rsidRDefault="00226483" w:rsidP="00E47660">
      <w:pPr>
        <w:ind w:left="0"/>
        <w:jc w:val="both"/>
        <w:rPr>
          <w:rFonts w:ascii="Bookman Old Style" w:hAnsi="Bookman Old Style"/>
          <w:lang w:val="es-CO"/>
        </w:rPr>
      </w:pPr>
    </w:p>
    <w:p w:rsidR="00DD4D23" w:rsidRPr="00F2640D" w:rsidRDefault="00DD4D23" w:rsidP="00DD4D23">
      <w:pPr>
        <w:ind w:left="0"/>
        <w:jc w:val="both"/>
        <w:rPr>
          <w:rFonts w:ascii="Bookman Old Style" w:hAnsi="Bookman Old Style" w:cs="Arial"/>
          <w:lang w:val="es-CO"/>
        </w:rPr>
      </w:pPr>
      <w:r w:rsidRPr="00F2640D">
        <w:rPr>
          <w:rFonts w:ascii="Bookman Old Style" w:hAnsi="Bookman Old Style" w:cs="Arial"/>
          <w:lang w:val="es-CO"/>
        </w:rPr>
        <w:t xml:space="preserve">En la regulación </w:t>
      </w:r>
      <w:r>
        <w:rPr>
          <w:rFonts w:ascii="Bookman Old Style" w:hAnsi="Bookman Old Style" w:cs="Arial"/>
          <w:lang w:val="es-CO"/>
        </w:rPr>
        <w:t xml:space="preserve">económica </w:t>
      </w:r>
      <w:r w:rsidRPr="00F2640D">
        <w:rPr>
          <w:rFonts w:ascii="Bookman Old Style" w:hAnsi="Bookman Old Style" w:cs="Arial"/>
          <w:lang w:val="es-CO"/>
        </w:rPr>
        <w:t>de redes, como es el caso de</w:t>
      </w:r>
      <w:r>
        <w:rPr>
          <w:rFonts w:ascii="Bookman Old Style" w:hAnsi="Bookman Old Style" w:cs="Arial"/>
          <w:lang w:val="es-CO"/>
        </w:rPr>
        <w:t>l</w:t>
      </w:r>
      <w:r w:rsidRPr="00F2640D">
        <w:rPr>
          <w:rFonts w:ascii="Bookman Old Style" w:hAnsi="Bookman Old Style" w:cs="Arial"/>
          <w:lang w:val="es-CO"/>
        </w:rPr>
        <w:t xml:space="preserve"> transporte de gas, la regulación de nivel de precios hace referencia a la</w:t>
      </w:r>
      <w:r>
        <w:rPr>
          <w:rFonts w:ascii="Bookman Old Style" w:hAnsi="Bookman Old Style" w:cs="Arial"/>
          <w:lang w:val="es-CO"/>
        </w:rPr>
        <w:t>s</w:t>
      </w:r>
      <w:r w:rsidRPr="00F2640D">
        <w:rPr>
          <w:rFonts w:ascii="Bookman Old Style" w:hAnsi="Bookman Old Style" w:cs="Arial"/>
          <w:lang w:val="es-CO"/>
        </w:rPr>
        <w:t xml:space="preserve"> </w:t>
      </w:r>
      <w:r>
        <w:rPr>
          <w:rFonts w:ascii="Bookman Old Style" w:hAnsi="Bookman Old Style" w:cs="Arial"/>
          <w:lang w:val="es-CO"/>
        </w:rPr>
        <w:t xml:space="preserve">siguientes </w:t>
      </w:r>
      <w:r w:rsidRPr="00F2640D">
        <w:rPr>
          <w:rFonts w:ascii="Bookman Old Style" w:hAnsi="Bookman Old Style" w:cs="Arial"/>
          <w:lang w:val="es-CO"/>
        </w:rPr>
        <w:t>forma</w:t>
      </w:r>
      <w:r>
        <w:rPr>
          <w:rFonts w:ascii="Bookman Old Style" w:hAnsi="Bookman Old Style" w:cs="Arial"/>
          <w:lang w:val="es-CO"/>
        </w:rPr>
        <w:t>s</w:t>
      </w:r>
      <w:r w:rsidRPr="00F2640D">
        <w:rPr>
          <w:rFonts w:ascii="Bookman Old Style" w:hAnsi="Bookman Old Style" w:cs="Arial"/>
          <w:lang w:val="es-CO"/>
        </w:rPr>
        <w:t xml:space="preserve"> de regulación</w:t>
      </w:r>
      <w:r>
        <w:rPr>
          <w:rStyle w:val="Refdenotaalpie"/>
          <w:rFonts w:ascii="Bookman Old Style" w:hAnsi="Bookman Old Style" w:cs="Arial"/>
          <w:lang w:val="es-CO"/>
        </w:rPr>
        <w:footnoteReference w:id="5"/>
      </w:r>
      <w:r w:rsidRPr="00F2640D">
        <w:rPr>
          <w:rFonts w:ascii="Bookman Old Style" w:hAnsi="Bookman Old Style" w:cs="Arial"/>
          <w:lang w:val="es-CO"/>
        </w:rPr>
        <w:t>:</w:t>
      </w:r>
    </w:p>
    <w:p w:rsidR="007B4DF0" w:rsidRPr="00F2640D" w:rsidRDefault="007B4DF0" w:rsidP="00F2640D">
      <w:pPr>
        <w:numPr>
          <w:ilvl w:val="0"/>
          <w:numId w:val="33"/>
        </w:numPr>
        <w:tabs>
          <w:tab w:val="left" w:pos="284"/>
        </w:tabs>
        <w:ind w:left="0" w:firstLine="0"/>
        <w:jc w:val="both"/>
        <w:rPr>
          <w:rFonts w:ascii="Bookman Old Style" w:hAnsi="Bookman Old Style"/>
          <w:lang w:val="es-CO"/>
        </w:rPr>
      </w:pPr>
      <w:r w:rsidRPr="00F2640D">
        <w:rPr>
          <w:rFonts w:ascii="Bookman Old Style" w:hAnsi="Bookman Old Style"/>
          <w:lang w:val="es-CO"/>
        </w:rPr>
        <w:lastRenderedPageBreak/>
        <w:t>Las que están basadas en el costo del servicio:</w:t>
      </w:r>
    </w:p>
    <w:p w:rsidR="007B4DF0" w:rsidRPr="004D310F" w:rsidRDefault="007B4DF0" w:rsidP="007B4DF0">
      <w:pPr>
        <w:pStyle w:val="Prrafodelista"/>
        <w:ind w:left="510"/>
        <w:jc w:val="both"/>
        <w:rPr>
          <w:rFonts w:ascii="Bookman Old Style" w:hAnsi="Bookman Old Style" w:cs="Arial"/>
          <w:sz w:val="28"/>
          <w:szCs w:val="24"/>
        </w:rPr>
      </w:pPr>
    </w:p>
    <w:p w:rsidR="007B4DF0" w:rsidRPr="00F2640D" w:rsidRDefault="007B4DF0" w:rsidP="00F2640D">
      <w:pPr>
        <w:pStyle w:val="Prrafodelista"/>
        <w:numPr>
          <w:ilvl w:val="0"/>
          <w:numId w:val="42"/>
        </w:numPr>
        <w:ind w:left="567" w:hanging="283"/>
        <w:jc w:val="both"/>
        <w:rPr>
          <w:rFonts w:ascii="Bookman Old Style" w:hAnsi="Bookman Old Style" w:cs="Arial"/>
          <w:sz w:val="24"/>
          <w:szCs w:val="24"/>
        </w:rPr>
      </w:pPr>
      <w:r w:rsidRPr="00F2640D">
        <w:rPr>
          <w:rFonts w:ascii="Bookman Old Style" w:hAnsi="Bookman Old Style" w:cs="Arial"/>
          <w:sz w:val="24"/>
          <w:szCs w:val="24"/>
        </w:rPr>
        <w:t>Tasa de retorno o costo del servicio</w:t>
      </w:r>
      <w:r w:rsidRPr="00F2640D">
        <w:rPr>
          <w:rStyle w:val="Refdenotaalpie"/>
          <w:rFonts w:ascii="Bookman Old Style" w:hAnsi="Bookman Old Style" w:cs="Arial"/>
          <w:sz w:val="24"/>
          <w:szCs w:val="24"/>
        </w:rPr>
        <w:footnoteReference w:id="6"/>
      </w:r>
      <w:r w:rsidRPr="00F2640D">
        <w:rPr>
          <w:rFonts w:ascii="Bookman Old Style" w:hAnsi="Bookman Old Style" w:cs="Arial"/>
          <w:sz w:val="24"/>
          <w:szCs w:val="24"/>
        </w:rPr>
        <w:t xml:space="preserve"> (</w:t>
      </w:r>
      <w:r w:rsidRPr="00F2640D">
        <w:rPr>
          <w:rFonts w:ascii="Bookman Old Style" w:hAnsi="Bookman Old Style" w:cs="Arial"/>
          <w:i/>
          <w:sz w:val="24"/>
          <w:szCs w:val="24"/>
        </w:rPr>
        <w:t>rate of return o cost of service</w:t>
      </w:r>
      <w:r w:rsidRPr="00F2640D">
        <w:rPr>
          <w:rFonts w:ascii="Bookman Old Style" w:hAnsi="Bookman Old Style" w:cs="Arial"/>
          <w:sz w:val="24"/>
          <w:szCs w:val="24"/>
        </w:rPr>
        <w:t>).</w:t>
      </w:r>
    </w:p>
    <w:p w:rsidR="007B4DF0" w:rsidRPr="004D310F" w:rsidRDefault="007B4DF0" w:rsidP="007B4DF0">
      <w:pPr>
        <w:pStyle w:val="Prrafodelista"/>
        <w:ind w:left="510"/>
        <w:jc w:val="both"/>
        <w:rPr>
          <w:rFonts w:ascii="Bookman Old Style" w:hAnsi="Bookman Old Style" w:cs="Arial"/>
          <w:sz w:val="28"/>
          <w:szCs w:val="24"/>
        </w:rPr>
      </w:pPr>
    </w:p>
    <w:p w:rsidR="007B4DF0" w:rsidRPr="00F2640D" w:rsidRDefault="007B4DF0" w:rsidP="00F2640D">
      <w:pPr>
        <w:numPr>
          <w:ilvl w:val="0"/>
          <w:numId w:val="33"/>
        </w:numPr>
        <w:tabs>
          <w:tab w:val="left" w:pos="284"/>
        </w:tabs>
        <w:ind w:left="0" w:firstLine="0"/>
        <w:jc w:val="both"/>
        <w:rPr>
          <w:rFonts w:ascii="Bookman Old Style" w:hAnsi="Bookman Old Style"/>
          <w:lang w:val="es-CO"/>
        </w:rPr>
      </w:pPr>
      <w:r w:rsidRPr="00F2640D">
        <w:rPr>
          <w:rFonts w:ascii="Bookman Old Style" w:hAnsi="Bookman Old Style"/>
          <w:lang w:val="es-CO"/>
        </w:rPr>
        <w:t>Las que están basadas en incentivos:</w:t>
      </w:r>
    </w:p>
    <w:p w:rsidR="007B4DF0" w:rsidRPr="004D310F" w:rsidRDefault="007B4DF0" w:rsidP="007B4DF0">
      <w:pPr>
        <w:pStyle w:val="Prrafodelista"/>
        <w:ind w:left="510"/>
        <w:jc w:val="both"/>
        <w:rPr>
          <w:rFonts w:ascii="Bookman Old Style" w:hAnsi="Bookman Old Style" w:cs="Arial"/>
          <w:sz w:val="28"/>
          <w:szCs w:val="24"/>
        </w:rPr>
      </w:pPr>
    </w:p>
    <w:p w:rsidR="007B4DF0" w:rsidRPr="00F2640D" w:rsidRDefault="007B4DF0" w:rsidP="00F2640D">
      <w:pPr>
        <w:pStyle w:val="Prrafodelista"/>
        <w:numPr>
          <w:ilvl w:val="0"/>
          <w:numId w:val="42"/>
        </w:numPr>
        <w:ind w:left="567" w:hanging="283"/>
        <w:jc w:val="both"/>
        <w:rPr>
          <w:rFonts w:ascii="Bookman Old Style" w:hAnsi="Bookman Old Style" w:cs="Arial"/>
          <w:sz w:val="24"/>
          <w:szCs w:val="24"/>
        </w:rPr>
      </w:pPr>
      <w:r w:rsidRPr="00F2640D">
        <w:rPr>
          <w:rFonts w:ascii="Bookman Old Style" w:hAnsi="Bookman Old Style" w:cs="Arial"/>
          <w:sz w:val="24"/>
          <w:szCs w:val="24"/>
        </w:rPr>
        <w:t xml:space="preserve">Precio </w:t>
      </w:r>
      <w:r w:rsidR="009906EC">
        <w:rPr>
          <w:rFonts w:ascii="Bookman Old Style" w:hAnsi="Bookman Old Style" w:cs="Arial"/>
          <w:sz w:val="24"/>
          <w:szCs w:val="24"/>
        </w:rPr>
        <w:t>máximo</w:t>
      </w:r>
      <w:r w:rsidRPr="00F2640D">
        <w:rPr>
          <w:rStyle w:val="Refdenotaalpie"/>
          <w:rFonts w:ascii="Bookman Old Style" w:hAnsi="Bookman Old Style" w:cs="Arial"/>
          <w:sz w:val="24"/>
          <w:szCs w:val="24"/>
        </w:rPr>
        <w:footnoteReference w:id="7"/>
      </w:r>
      <w:r w:rsidRPr="00F2640D">
        <w:rPr>
          <w:rFonts w:ascii="Bookman Old Style" w:hAnsi="Bookman Old Style" w:cs="Arial"/>
          <w:sz w:val="24"/>
          <w:szCs w:val="24"/>
        </w:rPr>
        <w:t xml:space="preserve"> (</w:t>
      </w:r>
      <w:r w:rsidRPr="001630C2">
        <w:rPr>
          <w:rFonts w:ascii="Bookman Old Style" w:hAnsi="Bookman Old Style" w:cs="Arial"/>
          <w:i/>
          <w:sz w:val="24"/>
          <w:szCs w:val="24"/>
        </w:rPr>
        <w:t>price cap</w:t>
      </w:r>
      <w:r w:rsidRPr="00F2640D">
        <w:rPr>
          <w:rFonts w:ascii="Bookman Old Style" w:hAnsi="Bookman Old Style" w:cs="Arial"/>
          <w:sz w:val="24"/>
          <w:szCs w:val="24"/>
        </w:rPr>
        <w:t>).</w:t>
      </w:r>
    </w:p>
    <w:p w:rsidR="007B4DF0" w:rsidRPr="00F2640D" w:rsidRDefault="007B4DF0" w:rsidP="00F2640D">
      <w:pPr>
        <w:pStyle w:val="Prrafodelista"/>
        <w:numPr>
          <w:ilvl w:val="0"/>
          <w:numId w:val="42"/>
        </w:numPr>
        <w:ind w:left="567" w:hanging="283"/>
        <w:jc w:val="both"/>
        <w:rPr>
          <w:rFonts w:ascii="Bookman Old Style" w:hAnsi="Bookman Old Style" w:cs="Arial"/>
          <w:sz w:val="24"/>
          <w:szCs w:val="24"/>
        </w:rPr>
      </w:pPr>
      <w:r w:rsidRPr="00F2640D">
        <w:rPr>
          <w:rFonts w:ascii="Bookman Old Style" w:hAnsi="Bookman Old Style" w:cs="Arial"/>
          <w:sz w:val="24"/>
          <w:szCs w:val="24"/>
        </w:rPr>
        <w:t xml:space="preserve">Ingreso </w:t>
      </w:r>
      <w:r w:rsidR="009906EC">
        <w:rPr>
          <w:rFonts w:ascii="Bookman Old Style" w:hAnsi="Bookman Old Style" w:cs="Arial"/>
          <w:sz w:val="24"/>
          <w:szCs w:val="24"/>
        </w:rPr>
        <w:t>máximo</w:t>
      </w:r>
      <w:r w:rsidRPr="00F2640D">
        <w:rPr>
          <w:rStyle w:val="Refdenotaalpie"/>
          <w:rFonts w:ascii="Bookman Old Style" w:hAnsi="Bookman Old Style" w:cs="Arial"/>
          <w:sz w:val="24"/>
          <w:szCs w:val="24"/>
        </w:rPr>
        <w:footnoteReference w:id="8"/>
      </w:r>
      <w:r w:rsidRPr="00F2640D">
        <w:rPr>
          <w:rFonts w:ascii="Bookman Old Style" w:hAnsi="Bookman Old Style" w:cs="Arial"/>
          <w:sz w:val="24"/>
          <w:szCs w:val="24"/>
        </w:rPr>
        <w:t xml:space="preserve"> (</w:t>
      </w:r>
      <w:r w:rsidRPr="001630C2">
        <w:rPr>
          <w:rFonts w:ascii="Bookman Old Style" w:hAnsi="Bookman Old Style" w:cs="Arial"/>
          <w:i/>
          <w:sz w:val="24"/>
          <w:szCs w:val="24"/>
        </w:rPr>
        <w:t>revenue cap</w:t>
      </w:r>
      <w:r w:rsidRPr="00F2640D">
        <w:rPr>
          <w:rFonts w:ascii="Bookman Old Style" w:hAnsi="Bookman Old Style" w:cs="Arial"/>
          <w:sz w:val="24"/>
          <w:szCs w:val="24"/>
        </w:rPr>
        <w:t>).</w:t>
      </w:r>
    </w:p>
    <w:p w:rsidR="007B4DF0" w:rsidRPr="00F2640D" w:rsidRDefault="007B4DF0" w:rsidP="00F2640D">
      <w:pPr>
        <w:pStyle w:val="Prrafodelista"/>
        <w:numPr>
          <w:ilvl w:val="0"/>
          <w:numId w:val="42"/>
        </w:numPr>
        <w:ind w:left="567" w:hanging="283"/>
        <w:jc w:val="both"/>
        <w:rPr>
          <w:rFonts w:ascii="Bookman Old Style" w:hAnsi="Bookman Old Style" w:cs="Arial"/>
          <w:sz w:val="24"/>
          <w:szCs w:val="24"/>
          <w:lang w:val="en-US"/>
        </w:rPr>
      </w:pPr>
      <w:r w:rsidRPr="00F2640D">
        <w:rPr>
          <w:rFonts w:ascii="Bookman Old Style" w:hAnsi="Bookman Old Style" w:cs="Arial"/>
          <w:sz w:val="24"/>
          <w:szCs w:val="24"/>
          <w:lang w:val="en-US"/>
        </w:rPr>
        <w:t xml:space="preserve">Competencia referencial </w:t>
      </w:r>
      <w:r w:rsidR="0006590A">
        <w:rPr>
          <w:rFonts w:ascii="Bookman Old Style" w:hAnsi="Bookman Old Style" w:cs="Arial"/>
          <w:sz w:val="24"/>
          <w:szCs w:val="24"/>
          <w:lang w:val="en-US"/>
        </w:rPr>
        <w:t>(</w:t>
      </w:r>
      <w:r w:rsidR="0006590A" w:rsidRPr="001630C2">
        <w:rPr>
          <w:rFonts w:ascii="Bookman Old Style" w:hAnsi="Bookman Old Style" w:cs="Arial"/>
          <w:i/>
          <w:sz w:val="24"/>
          <w:szCs w:val="24"/>
          <w:lang w:val="en-US"/>
        </w:rPr>
        <w:t>benchmarking</w:t>
      </w:r>
      <w:r w:rsidR="0006590A">
        <w:rPr>
          <w:rFonts w:ascii="Bookman Old Style" w:hAnsi="Bookman Old Style" w:cs="Arial"/>
          <w:sz w:val="24"/>
          <w:szCs w:val="24"/>
          <w:lang w:val="en-US"/>
        </w:rPr>
        <w:t xml:space="preserve"> o </w:t>
      </w:r>
      <w:r w:rsidR="0006590A" w:rsidRPr="001630C2">
        <w:rPr>
          <w:rFonts w:ascii="Bookman Old Style" w:hAnsi="Bookman Old Style" w:cs="Arial"/>
          <w:i/>
          <w:sz w:val="24"/>
          <w:szCs w:val="24"/>
          <w:lang w:val="en-US"/>
        </w:rPr>
        <w:t>yardstick regulation</w:t>
      </w:r>
      <w:r w:rsidR="0006590A">
        <w:rPr>
          <w:rFonts w:ascii="Bookman Old Style" w:hAnsi="Bookman Old Style" w:cs="Arial"/>
          <w:sz w:val="24"/>
          <w:szCs w:val="24"/>
          <w:lang w:val="en-US"/>
        </w:rPr>
        <w:t>)</w:t>
      </w:r>
      <w:r w:rsidR="001630C2">
        <w:rPr>
          <w:rFonts w:ascii="Bookman Old Style" w:hAnsi="Bookman Old Style" w:cs="Arial"/>
          <w:sz w:val="24"/>
          <w:szCs w:val="24"/>
          <w:lang w:val="en-US"/>
        </w:rPr>
        <w:t>.</w:t>
      </w:r>
    </w:p>
    <w:p w:rsidR="007B4DF0" w:rsidRPr="00F2640D" w:rsidRDefault="007B4DF0" w:rsidP="00F2640D">
      <w:pPr>
        <w:pStyle w:val="Prrafodelista"/>
        <w:numPr>
          <w:ilvl w:val="0"/>
          <w:numId w:val="42"/>
        </w:numPr>
        <w:ind w:left="567" w:hanging="283"/>
        <w:jc w:val="both"/>
        <w:rPr>
          <w:rFonts w:ascii="Bookman Old Style" w:hAnsi="Bookman Old Style" w:cs="Arial"/>
          <w:sz w:val="24"/>
          <w:szCs w:val="24"/>
        </w:rPr>
      </w:pPr>
      <w:r w:rsidRPr="00F2640D">
        <w:rPr>
          <w:rFonts w:ascii="Bookman Old Style" w:hAnsi="Bookman Old Style" w:cs="Arial"/>
          <w:sz w:val="24"/>
          <w:szCs w:val="24"/>
        </w:rPr>
        <w:t>Participación en los beneficios o en los ingresos</w:t>
      </w:r>
      <w:r w:rsidRPr="00F2640D">
        <w:rPr>
          <w:rStyle w:val="Refdenotaalpie"/>
          <w:rFonts w:ascii="Bookman Old Style" w:hAnsi="Bookman Old Style" w:cs="Arial"/>
          <w:sz w:val="24"/>
          <w:szCs w:val="24"/>
        </w:rPr>
        <w:footnoteReference w:id="9"/>
      </w:r>
      <w:r w:rsidRPr="00F2640D">
        <w:rPr>
          <w:rFonts w:ascii="Bookman Old Style" w:hAnsi="Bookman Old Style" w:cs="Arial"/>
          <w:sz w:val="24"/>
          <w:szCs w:val="24"/>
        </w:rPr>
        <w:t>.</w:t>
      </w:r>
    </w:p>
    <w:p w:rsidR="007B4DF0" w:rsidRPr="004D310F" w:rsidRDefault="007B4DF0" w:rsidP="007B4DF0">
      <w:pPr>
        <w:ind w:left="0"/>
        <w:jc w:val="both"/>
        <w:rPr>
          <w:rFonts w:ascii="Bookman Old Style" w:hAnsi="Bookman Old Style" w:cs="Arial"/>
          <w:sz w:val="28"/>
          <w:lang w:val="es-CO"/>
        </w:rPr>
      </w:pPr>
    </w:p>
    <w:p w:rsidR="00803496" w:rsidRPr="009D3928" w:rsidRDefault="007B4DF0" w:rsidP="007B4DF0">
      <w:pPr>
        <w:ind w:left="0"/>
        <w:jc w:val="both"/>
        <w:rPr>
          <w:rFonts w:ascii="Bookman Old Style" w:hAnsi="Bookman Old Style" w:cs="Arial"/>
          <w:lang w:val="es-CO"/>
        </w:rPr>
      </w:pPr>
      <w:r w:rsidRPr="00F2640D">
        <w:rPr>
          <w:rFonts w:ascii="Bookman Old Style" w:hAnsi="Bookman Old Style" w:cs="Arial"/>
          <w:lang w:val="es-CO"/>
        </w:rPr>
        <w:t>Dependiendo de la forma de regulación que se escoja, la distribución de riesgos entre empresa y usuarios varía</w:t>
      </w:r>
      <w:r w:rsidRPr="00701C21">
        <w:rPr>
          <w:rFonts w:ascii="Bookman Old Style" w:hAnsi="Bookman Old Style" w:cs="Arial"/>
          <w:lang w:val="es-CO"/>
        </w:rPr>
        <w:t xml:space="preserve"> y</w:t>
      </w:r>
      <w:r w:rsidR="00803496" w:rsidRPr="009906EC">
        <w:rPr>
          <w:rFonts w:ascii="Bookman Old Style" w:hAnsi="Bookman Old Style" w:cs="Arial"/>
          <w:lang w:val="es-CO"/>
        </w:rPr>
        <w:t xml:space="preserve"> </w:t>
      </w:r>
      <w:r w:rsidR="00803496" w:rsidRPr="009D3928">
        <w:rPr>
          <w:rFonts w:ascii="Bookman Old Style" w:hAnsi="Bookman Old Style" w:cs="Arial"/>
          <w:lang w:val="es-CO"/>
        </w:rPr>
        <w:t>los efectos en el</w:t>
      </w:r>
      <w:r w:rsidRPr="009D3928">
        <w:rPr>
          <w:rFonts w:ascii="Bookman Old Style" w:hAnsi="Bookman Old Style" w:cs="Arial"/>
          <w:lang w:val="es-CO"/>
        </w:rPr>
        <w:t xml:space="preserve"> largo plazo</w:t>
      </w:r>
      <w:r w:rsidR="00803496" w:rsidRPr="009D3928">
        <w:rPr>
          <w:rFonts w:ascii="Bookman Old Style" w:hAnsi="Bookman Old Style" w:cs="Arial"/>
          <w:lang w:val="es-CO"/>
        </w:rPr>
        <w:t xml:space="preserve"> son diferentes</w:t>
      </w:r>
      <w:r w:rsidR="008C7AC6" w:rsidRPr="009D3928">
        <w:rPr>
          <w:rStyle w:val="Refdenotaalpie"/>
          <w:rFonts w:ascii="Bookman Old Style" w:hAnsi="Bookman Old Style" w:cs="Arial"/>
          <w:lang w:val="es-CO"/>
        </w:rPr>
        <w:footnoteReference w:id="10"/>
      </w:r>
      <w:r w:rsidR="00803496" w:rsidRPr="009D3928">
        <w:rPr>
          <w:rFonts w:ascii="Bookman Old Style" w:hAnsi="Bookman Old Style" w:cs="Arial"/>
          <w:lang w:val="es-CO"/>
        </w:rPr>
        <w:t>.</w:t>
      </w:r>
    </w:p>
    <w:p w:rsidR="00803496" w:rsidRPr="004D310F" w:rsidRDefault="00803496" w:rsidP="007B4DF0">
      <w:pPr>
        <w:ind w:left="0"/>
        <w:jc w:val="both"/>
        <w:rPr>
          <w:rFonts w:ascii="Bookman Old Style" w:hAnsi="Bookman Old Style" w:cs="Arial"/>
          <w:sz w:val="28"/>
          <w:lang w:val="es-CO"/>
        </w:rPr>
      </w:pPr>
    </w:p>
    <w:p w:rsidR="007B4DF0" w:rsidRPr="00F2640D" w:rsidRDefault="009906EC" w:rsidP="007B4DF0">
      <w:pPr>
        <w:ind w:left="0"/>
        <w:jc w:val="both"/>
        <w:rPr>
          <w:rFonts w:ascii="Bookman Old Style" w:hAnsi="Bookman Old Style" w:cs="Arial"/>
          <w:lang w:val="es-CO"/>
        </w:rPr>
      </w:pPr>
      <w:r>
        <w:rPr>
          <w:rFonts w:ascii="Bookman Old Style" w:hAnsi="Bookman Old Style" w:cs="Arial"/>
          <w:lang w:val="es-CO"/>
        </w:rPr>
        <w:t>E</w:t>
      </w:r>
      <w:r w:rsidR="007B4DF0" w:rsidRPr="00F2640D">
        <w:rPr>
          <w:rFonts w:ascii="Bookman Old Style" w:hAnsi="Bookman Old Style" w:cs="Arial"/>
          <w:lang w:val="es-CO"/>
        </w:rPr>
        <w:t xml:space="preserve">n las regulaciones de tasa de retorno o costo del servicio las empresas no asumen riesgos asociados a </w:t>
      </w:r>
      <w:r w:rsidR="001630C2">
        <w:rPr>
          <w:rFonts w:ascii="Bookman Old Style" w:hAnsi="Bookman Old Style" w:cs="Arial"/>
          <w:lang w:val="es-CO"/>
        </w:rPr>
        <w:t>disminuciones</w:t>
      </w:r>
      <w:r w:rsidR="001630C2" w:rsidRPr="00F2640D">
        <w:rPr>
          <w:rFonts w:ascii="Bookman Old Style" w:hAnsi="Bookman Old Style" w:cs="Arial"/>
          <w:lang w:val="es-CO"/>
        </w:rPr>
        <w:t xml:space="preserve"> </w:t>
      </w:r>
      <w:r w:rsidR="001630C2">
        <w:rPr>
          <w:rFonts w:ascii="Bookman Old Style" w:hAnsi="Bookman Old Style" w:cs="Arial"/>
          <w:lang w:val="es-CO"/>
        </w:rPr>
        <w:t>de</w:t>
      </w:r>
      <w:r w:rsidR="001630C2" w:rsidRPr="00F2640D">
        <w:rPr>
          <w:rFonts w:ascii="Bookman Old Style" w:hAnsi="Bookman Old Style" w:cs="Arial"/>
          <w:lang w:val="es-CO"/>
        </w:rPr>
        <w:t xml:space="preserve"> </w:t>
      </w:r>
      <w:r w:rsidR="001630C2">
        <w:rPr>
          <w:rFonts w:ascii="Bookman Old Style" w:hAnsi="Bookman Old Style" w:cs="Arial"/>
          <w:lang w:val="es-CO"/>
        </w:rPr>
        <w:t xml:space="preserve">la </w:t>
      </w:r>
      <w:r w:rsidR="007B4DF0" w:rsidRPr="00F2640D">
        <w:rPr>
          <w:rFonts w:ascii="Bookman Old Style" w:hAnsi="Bookman Old Style" w:cs="Arial"/>
          <w:lang w:val="es-CO"/>
        </w:rPr>
        <w:t xml:space="preserve">demanda o aumentos </w:t>
      </w:r>
      <w:r w:rsidR="001630C2">
        <w:rPr>
          <w:rFonts w:ascii="Bookman Old Style" w:hAnsi="Bookman Old Style" w:cs="Arial"/>
          <w:lang w:val="es-CO"/>
        </w:rPr>
        <w:t>de</w:t>
      </w:r>
      <w:r w:rsidR="001630C2" w:rsidRPr="00F2640D">
        <w:rPr>
          <w:rFonts w:ascii="Bookman Old Style" w:hAnsi="Bookman Old Style" w:cs="Arial"/>
          <w:lang w:val="es-CO"/>
        </w:rPr>
        <w:t xml:space="preserve"> </w:t>
      </w:r>
      <w:r w:rsidR="001630C2">
        <w:rPr>
          <w:rFonts w:ascii="Bookman Old Style" w:hAnsi="Bookman Old Style" w:cs="Arial"/>
          <w:lang w:val="es-CO"/>
        </w:rPr>
        <w:t xml:space="preserve">los </w:t>
      </w:r>
      <w:r w:rsidR="007B4DF0" w:rsidRPr="00F2640D">
        <w:rPr>
          <w:rFonts w:ascii="Bookman Old Style" w:hAnsi="Bookman Old Style" w:cs="Arial"/>
          <w:lang w:val="es-CO"/>
        </w:rPr>
        <w:t>costos. Las tarifas varían periódicamente para que la</w:t>
      </w:r>
      <w:r w:rsidR="007B4DF0" w:rsidRPr="00701C21">
        <w:rPr>
          <w:rFonts w:ascii="Bookman Old Style" w:hAnsi="Bookman Old Style" w:cs="Arial"/>
          <w:lang w:val="es-CO"/>
        </w:rPr>
        <w:t>s</w:t>
      </w:r>
      <w:r w:rsidR="007B4DF0" w:rsidRPr="00F2640D">
        <w:rPr>
          <w:rFonts w:ascii="Bookman Old Style" w:hAnsi="Bookman Old Style" w:cs="Arial"/>
          <w:lang w:val="es-CO"/>
        </w:rPr>
        <w:t xml:space="preserve"> empresa</w:t>
      </w:r>
      <w:r w:rsidR="007B4DF0" w:rsidRPr="00701C21">
        <w:rPr>
          <w:rFonts w:ascii="Bookman Old Style" w:hAnsi="Bookman Old Style" w:cs="Arial"/>
          <w:lang w:val="es-CO"/>
        </w:rPr>
        <w:t>s</w:t>
      </w:r>
      <w:r w:rsidR="007B4DF0" w:rsidRPr="00F2640D">
        <w:rPr>
          <w:rFonts w:ascii="Bookman Old Style" w:hAnsi="Bookman Old Style" w:cs="Arial"/>
          <w:lang w:val="es-CO"/>
        </w:rPr>
        <w:t xml:space="preserve"> recupere</w:t>
      </w:r>
      <w:r w:rsidR="007B4DF0" w:rsidRPr="00701C21">
        <w:rPr>
          <w:rFonts w:ascii="Bookman Old Style" w:hAnsi="Bookman Old Style" w:cs="Arial"/>
          <w:lang w:val="es-CO"/>
        </w:rPr>
        <w:t>n</w:t>
      </w:r>
      <w:r w:rsidR="007B4DF0" w:rsidRPr="00F2640D">
        <w:rPr>
          <w:rFonts w:ascii="Bookman Old Style" w:hAnsi="Bookman Old Style" w:cs="Arial"/>
          <w:lang w:val="es-CO"/>
        </w:rPr>
        <w:t xml:space="preserve"> siempre el costo del servicio. En el caso de las regulaciones de precios </w:t>
      </w:r>
      <w:r w:rsidR="00583CEE">
        <w:rPr>
          <w:rFonts w:ascii="Bookman Old Style" w:hAnsi="Bookman Old Style" w:cs="Arial"/>
          <w:lang w:val="es-CO"/>
        </w:rPr>
        <w:t>máximos</w:t>
      </w:r>
      <w:r w:rsidR="007B4DF0" w:rsidRPr="00F2640D">
        <w:rPr>
          <w:rFonts w:ascii="Bookman Old Style" w:hAnsi="Bookman Old Style" w:cs="Arial"/>
          <w:lang w:val="es-CO"/>
        </w:rPr>
        <w:t xml:space="preserve"> las empresas asumen en los </w:t>
      </w:r>
      <w:r w:rsidR="00452777">
        <w:rPr>
          <w:rFonts w:ascii="Bookman Old Style" w:hAnsi="Bookman Old Style" w:cs="Arial"/>
          <w:lang w:val="es-CO"/>
        </w:rPr>
        <w:t>período</w:t>
      </w:r>
      <w:r w:rsidR="007B4DF0" w:rsidRPr="00F2640D">
        <w:rPr>
          <w:rFonts w:ascii="Bookman Old Style" w:hAnsi="Bookman Old Style" w:cs="Arial"/>
          <w:lang w:val="es-CO"/>
        </w:rPr>
        <w:t xml:space="preserve">s tarifarios los riesgos de </w:t>
      </w:r>
      <w:r w:rsidR="001630C2">
        <w:rPr>
          <w:rFonts w:ascii="Bookman Old Style" w:hAnsi="Bookman Old Style" w:cs="Arial"/>
          <w:lang w:val="es-CO"/>
        </w:rPr>
        <w:t>disminuciones</w:t>
      </w:r>
      <w:r w:rsidR="001630C2" w:rsidRPr="00F2640D">
        <w:rPr>
          <w:rFonts w:ascii="Bookman Old Style" w:hAnsi="Bookman Old Style" w:cs="Arial"/>
          <w:lang w:val="es-CO"/>
        </w:rPr>
        <w:t xml:space="preserve"> </w:t>
      </w:r>
      <w:r w:rsidR="007B4DF0" w:rsidRPr="00F2640D">
        <w:rPr>
          <w:rFonts w:ascii="Bookman Old Style" w:hAnsi="Bookman Old Style" w:cs="Arial"/>
          <w:lang w:val="es-CO"/>
        </w:rPr>
        <w:t xml:space="preserve">de </w:t>
      </w:r>
      <w:r w:rsidR="001630C2">
        <w:rPr>
          <w:rFonts w:ascii="Bookman Old Style" w:hAnsi="Bookman Old Style" w:cs="Arial"/>
          <w:lang w:val="es-CO"/>
        </w:rPr>
        <w:t>la</w:t>
      </w:r>
      <w:r w:rsidR="001630C2" w:rsidRPr="00F2640D">
        <w:rPr>
          <w:rFonts w:ascii="Bookman Old Style" w:hAnsi="Bookman Old Style" w:cs="Arial"/>
          <w:lang w:val="es-CO"/>
        </w:rPr>
        <w:t xml:space="preserve"> </w:t>
      </w:r>
      <w:r w:rsidR="007B4DF0" w:rsidRPr="00F2640D">
        <w:rPr>
          <w:rFonts w:ascii="Bookman Old Style" w:hAnsi="Bookman Old Style" w:cs="Arial"/>
          <w:lang w:val="es-CO"/>
        </w:rPr>
        <w:t>demanda o aumento</w:t>
      </w:r>
      <w:r w:rsidR="007B4DF0" w:rsidRPr="00701C21">
        <w:rPr>
          <w:rFonts w:ascii="Bookman Old Style" w:hAnsi="Bookman Old Style" w:cs="Arial"/>
          <w:lang w:val="es-CO"/>
        </w:rPr>
        <w:t>s</w:t>
      </w:r>
      <w:r w:rsidR="007B4DF0" w:rsidRPr="00F2640D">
        <w:rPr>
          <w:rFonts w:ascii="Bookman Old Style" w:hAnsi="Bookman Old Style" w:cs="Arial"/>
          <w:lang w:val="es-CO"/>
        </w:rPr>
        <w:t xml:space="preserve"> de </w:t>
      </w:r>
      <w:r w:rsidR="001630C2">
        <w:rPr>
          <w:rFonts w:ascii="Bookman Old Style" w:hAnsi="Bookman Old Style" w:cs="Arial"/>
          <w:lang w:val="es-CO"/>
        </w:rPr>
        <w:t xml:space="preserve">los </w:t>
      </w:r>
      <w:r w:rsidR="007B4DF0" w:rsidRPr="00F2640D">
        <w:rPr>
          <w:rFonts w:ascii="Bookman Old Style" w:hAnsi="Bookman Old Style" w:cs="Arial"/>
          <w:lang w:val="es-CO"/>
        </w:rPr>
        <w:t>costos.</w:t>
      </w:r>
    </w:p>
    <w:p w:rsidR="007B4DF0" w:rsidRPr="004D310F" w:rsidRDefault="007B4DF0" w:rsidP="00E47660">
      <w:pPr>
        <w:ind w:left="0"/>
        <w:jc w:val="both"/>
        <w:rPr>
          <w:rFonts w:ascii="Bookman Old Style" w:hAnsi="Bookman Old Style"/>
          <w:sz w:val="28"/>
          <w:lang w:val="es-CO"/>
        </w:rPr>
      </w:pPr>
    </w:p>
    <w:p w:rsidR="007C0DDD" w:rsidRDefault="00816268" w:rsidP="00E47660">
      <w:pPr>
        <w:ind w:left="0"/>
        <w:jc w:val="both"/>
        <w:rPr>
          <w:rFonts w:ascii="Bookman Old Style" w:hAnsi="Bookman Old Style"/>
          <w:lang w:val="es-CO"/>
        </w:rPr>
      </w:pPr>
      <w:r w:rsidRPr="009D3928">
        <w:rPr>
          <w:rFonts w:ascii="Bookman Old Style" w:hAnsi="Bookman Old Style"/>
          <w:lang w:val="es-CO"/>
        </w:rPr>
        <w:t xml:space="preserve">La regulación de nivel de precios que se viene aplicando a la actividad de transporte de gas natural corresponde a una regulación de precios </w:t>
      </w:r>
      <w:r w:rsidR="00583CEE">
        <w:rPr>
          <w:rFonts w:ascii="Bookman Old Style" w:hAnsi="Bookman Old Style"/>
          <w:lang w:val="es-CO"/>
        </w:rPr>
        <w:t>máximos</w:t>
      </w:r>
      <w:r w:rsidRPr="009906EC">
        <w:rPr>
          <w:rFonts w:ascii="Bookman Old Style" w:hAnsi="Bookman Old Style"/>
          <w:lang w:val="es-CO"/>
        </w:rPr>
        <w:t xml:space="preserve">. La Comisión considera apropiado </w:t>
      </w:r>
      <w:r w:rsidR="00433856" w:rsidRPr="009D3928">
        <w:rPr>
          <w:rFonts w:ascii="Bookman Old Style" w:hAnsi="Bookman Old Style"/>
          <w:lang w:val="es-CO"/>
        </w:rPr>
        <w:t xml:space="preserve">dar continuidad a </w:t>
      </w:r>
      <w:r w:rsidRPr="009D3928">
        <w:rPr>
          <w:rFonts w:ascii="Bookman Old Style" w:hAnsi="Bookman Old Style"/>
          <w:lang w:val="es-CO"/>
        </w:rPr>
        <w:t xml:space="preserve">esta forma de regulación </w:t>
      </w:r>
      <w:r w:rsidR="00433856" w:rsidRPr="009D3928">
        <w:rPr>
          <w:rFonts w:ascii="Bookman Old Style" w:hAnsi="Bookman Old Style"/>
          <w:lang w:val="es-CO"/>
        </w:rPr>
        <w:t>pues, además de haberse probado que incentiva el desarrollo de inversiones eficientes, mantiene los riesgos en cabeza de quien toma las decisiones de ampliación de la infraestructura.</w:t>
      </w:r>
    </w:p>
    <w:p w:rsidR="009906EC" w:rsidRPr="004D310F" w:rsidRDefault="009906EC" w:rsidP="00E47660">
      <w:pPr>
        <w:ind w:left="0"/>
        <w:jc w:val="both"/>
        <w:rPr>
          <w:rFonts w:ascii="Bookman Old Style" w:hAnsi="Bookman Old Style"/>
          <w:sz w:val="28"/>
          <w:lang w:val="es-CO"/>
        </w:rPr>
      </w:pPr>
    </w:p>
    <w:p w:rsidR="007C0DDD" w:rsidRDefault="00991873" w:rsidP="00E47660">
      <w:pPr>
        <w:ind w:left="0"/>
        <w:jc w:val="both"/>
        <w:rPr>
          <w:rFonts w:ascii="Bookman Old Style" w:hAnsi="Bookman Old Style"/>
          <w:lang w:val="es-CO"/>
        </w:rPr>
      </w:pPr>
      <w:r w:rsidRPr="009D3928">
        <w:rPr>
          <w:rFonts w:ascii="Bookman Old Style" w:hAnsi="Bookman Old Style"/>
          <w:lang w:val="es-CO"/>
        </w:rPr>
        <w:t xml:space="preserve">No obstante lo anterior, la Comisión evaluará la conveniencia de implementar un esquema de </w:t>
      </w:r>
      <w:r w:rsidR="007E4967" w:rsidRPr="009D3928">
        <w:rPr>
          <w:rFonts w:ascii="Bookman Old Style" w:hAnsi="Bookman Old Style"/>
          <w:lang w:val="es-CO"/>
        </w:rPr>
        <w:t>precio máximo</w:t>
      </w:r>
      <w:r w:rsidR="00447B7D" w:rsidRPr="009D3928">
        <w:rPr>
          <w:rFonts w:ascii="Bookman Old Style" w:hAnsi="Bookman Old Style"/>
          <w:lang w:val="es-CO"/>
        </w:rPr>
        <w:t xml:space="preserve"> o uno de </w:t>
      </w:r>
      <w:r w:rsidRPr="009D3928">
        <w:rPr>
          <w:rFonts w:ascii="Bookman Old Style" w:hAnsi="Bookman Old Style"/>
          <w:lang w:val="es-CO"/>
        </w:rPr>
        <w:t>ingreso máximo para las expansiones o las extensiones impulsadas por la UPME, en caso de que se adopte la figura prevista en la sección 4.2.</w:t>
      </w:r>
      <w:r w:rsidR="00573A53">
        <w:rPr>
          <w:rFonts w:ascii="Bookman Old Style" w:hAnsi="Bookman Old Style"/>
          <w:lang w:val="es-CO"/>
        </w:rPr>
        <w:t>4</w:t>
      </w:r>
      <w:r w:rsidR="00573A53" w:rsidRPr="009D3928">
        <w:rPr>
          <w:rFonts w:ascii="Bookman Old Style" w:hAnsi="Bookman Old Style"/>
          <w:lang w:val="es-CO"/>
        </w:rPr>
        <w:t xml:space="preserve"> </w:t>
      </w:r>
      <w:r w:rsidRPr="009D3928">
        <w:rPr>
          <w:rFonts w:ascii="Bookman Old Style" w:hAnsi="Bookman Old Style"/>
          <w:lang w:val="es-CO"/>
        </w:rPr>
        <w:t>de este anexo.</w:t>
      </w:r>
    </w:p>
    <w:p w:rsidR="00CF109B" w:rsidRDefault="00CF109B" w:rsidP="00E47660">
      <w:pPr>
        <w:ind w:left="0"/>
        <w:jc w:val="both"/>
        <w:rPr>
          <w:rFonts w:ascii="Bookman Old Style" w:hAnsi="Bookman Old Style"/>
          <w:sz w:val="28"/>
          <w:lang w:val="es-CO"/>
        </w:rPr>
      </w:pPr>
    </w:p>
    <w:p w:rsidR="00E5049A" w:rsidRPr="004D310F" w:rsidRDefault="00E5049A" w:rsidP="00E47660">
      <w:pPr>
        <w:ind w:left="0"/>
        <w:jc w:val="both"/>
        <w:rPr>
          <w:rFonts w:ascii="Bookman Old Style" w:hAnsi="Bookman Old Style"/>
          <w:sz w:val="28"/>
          <w:lang w:val="es-CO"/>
        </w:rPr>
      </w:pPr>
    </w:p>
    <w:p w:rsidR="007B4DF0" w:rsidRPr="009D3928" w:rsidRDefault="002539D4" w:rsidP="00E47660">
      <w:pPr>
        <w:ind w:left="0"/>
        <w:rPr>
          <w:rFonts w:ascii="Bookman Old Style" w:hAnsi="Bookman Old Style"/>
          <w:b/>
          <w:lang w:val="es-CO"/>
        </w:rPr>
      </w:pPr>
      <w:r w:rsidRPr="009D3928">
        <w:rPr>
          <w:rFonts w:ascii="Bookman Old Style" w:hAnsi="Bookman Old Style"/>
          <w:b/>
          <w:lang w:val="es-CO"/>
        </w:rPr>
        <w:lastRenderedPageBreak/>
        <w:t xml:space="preserve">4.2.2. </w:t>
      </w:r>
      <w:r w:rsidR="007B4DF0" w:rsidRPr="009D3928">
        <w:rPr>
          <w:rFonts w:ascii="Bookman Old Style" w:hAnsi="Bookman Old Style"/>
          <w:b/>
          <w:lang w:val="es-CO"/>
        </w:rPr>
        <w:t>ESTRUCTURA DE PRECIOS</w:t>
      </w:r>
    </w:p>
    <w:p w:rsidR="007B4DF0" w:rsidRDefault="007B4DF0" w:rsidP="00E47660">
      <w:pPr>
        <w:ind w:left="0"/>
        <w:rPr>
          <w:rFonts w:ascii="Bookman Old Style" w:hAnsi="Bookman Old Style"/>
          <w:b/>
          <w:lang w:val="es-CO"/>
        </w:rPr>
      </w:pPr>
    </w:p>
    <w:p w:rsidR="004A6DE1" w:rsidRDefault="00435F2F">
      <w:pPr>
        <w:ind w:left="0"/>
        <w:jc w:val="both"/>
        <w:rPr>
          <w:rFonts w:ascii="Bookman Old Style" w:hAnsi="Bookman Old Style"/>
          <w:lang w:val="es-CO"/>
        </w:rPr>
      </w:pPr>
      <w:r>
        <w:rPr>
          <w:rFonts w:ascii="Bookman Old Style" w:hAnsi="Bookman Old Style"/>
          <w:lang w:val="es-CO"/>
        </w:rPr>
        <w:t>Una vez se sel</w:t>
      </w:r>
      <w:r w:rsidR="00CF109B">
        <w:rPr>
          <w:rFonts w:ascii="Bookman Old Style" w:hAnsi="Bookman Old Style"/>
          <w:lang w:val="es-CO"/>
        </w:rPr>
        <w:t>e</w:t>
      </w:r>
      <w:r>
        <w:rPr>
          <w:rFonts w:ascii="Bookman Old Style" w:hAnsi="Bookman Old Style"/>
          <w:lang w:val="es-CO"/>
        </w:rPr>
        <w:t>cciona alguna de las formas de regulación expuestas en l</w:t>
      </w:r>
      <w:r w:rsidR="00573A53">
        <w:rPr>
          <w:rFonts w:ascii="Bookman Old Style" w:hAnsi="Bookman Old Style"/>
          <w:lang w:val="es-CO"/>
        </w:rPr>
        <w:t>a</w:t>
      </w:r>
      <w:r>
        <w:rPr>
          <w:rFonts w:ascii="Bookman Old Style" w:hAnsi="Bookman Old Style"/>
          <w:lang w:val="es-CO"/>
        </w:rPr>
        <w:t xml:space="preserve"> </w:t>
      </w:r>
      <w:r w:rsidR="00573A53">
        <w:rPr>
          <w:rFonts w:ascii="Bookman Old Style" w:hAnsi="Bookman Old Style"/>
          <w:lang w:val="es-CO"/>
        </w:rPr>
        <w:t>sección</w:t>
      </w:r>
      <w:r w:rsidR="00CF109B" w:rsidRPr="00CF109B">
        <w:rPr>
          <w:rFonts w:ascii="Bookman Old Style" w:hAnsi="Bookman Old Style"/>
          <w:lang w:val="es-CO"/>
        </w:rPr>
        <w:t xml:space="preserve"> </w:t>
      </w:r>
      <w:r w:rsidR="00CF109B">
        <w:rPr>
          <w:rFonts w:ascii="Bookman Old Style" w:hAnsi="Bookman Old Style"/>
          <w:lang w:val="es-CO"/>
        </w:rPr>
        <w:t>anterior</w:t>
      </w:r>
      <w:r>
        <w:rPr>
          <w:rFonts w:ascii="Bookman Old Style" w:hAnsi="Bookman Old Style"/>
          <w:lang w:val="es-CO"/>
        </w:rPr>
        <w:t>, e</w:t>
      </w:r>
      <w:r w:rsidR="009D3928">
        <w:rPr>
          <w:rFonts w:ascii="Bookman Old Style" w:hAnsi="Bookman Old Style"/>
          <w:lang w:val="es-CO"/>
        </w:rPr>
        <w:t xml:space="preserve">n la regulación de estructura de precios </w:t>
      </w:r>
      <w:r w:rsidR="004460A5">
        <w:rPr>
          <w:rFonts w:ascii="Bookman Old Style" w:hAnsi="Bookman Old Style"/>
          <w:lang w:val="es-CO"/>
        </w:rPr>
        <w:t>e</w:t>
      </w:r>
      <w:r w:rsidR="009D3928">
        <w:rPr>
          <w:rFonts w:ascii="Bookman Old Style" w:hAnsi="Bookman Old Style"/>
          <w:lang w:val="es-CO"/>
        </w:rPr>
        <w:t xml:space="preserve">l regulador escoge </w:t>
      </w:r>
      <w:r w:rsidR="004A6DE1">
        <w:rPr>
          <w:rFonts w:ascii="Bookman Old Style" w:hAnsi="Bookman Old Style"/>
          <w:lang w:val="es-CO"/>
        </w:rPr>
        <w:t xml:space="preserve">el tipo de tarifas (i.e. en una parte, en dos partes, </w:t>
      </w:r>
      <w:r w:rsidR="00C67018">
        <w:rPr>
          <w:rFonts w:ascii="Bookman Old Style" w:hAnsi="Bookman Old Style"/>
          <w:lang w:val="es-CO"/>
        </w:rPr>
        <w:t>etc.)</w:t>
      </w:r>
      <w:r w:rsidR="004A6DE1">
        <w:rPr>
          <w:rFonts w:ascii="Bookman Old Style" w:hAnsi="Bookman Old Style"/>
          <w:lang w:val="es-CO"/>
        </w:rPr>
        <w:t xml:space="preserve"> y su forma de cálculo para expresarla en moneda (i.e. </w:t>
      </w:r>
      <w:r w:rsidR="00C67018">
        <w:rPr>
          <w:rFonts w:ascii="Bookman Old Style" w:hAnsi="Bookman Old Style"/>
          <w:lang w:val="es-CO"/>
        </w:rPr>
        <w:t>dólares o</w:t>
      </w:r>
      <w:r w:rsidR="004A6DE1">
        <w:rPr>
          <w:rFonts w:ascii="Bookman Old Style" w:hAnsi="Bookman Old Style"/>
          <w:lang w:val="es-CO"/>
        </w:rPr>
        <w:t xml:space="preserve"> pesos) por energía (i.e. kWh, kpcd, </w:t>
      </w:r>
      <w:r w:rsidR="00C67018">
        <w:rPr>
          <w:rFonts w:ascii="Bookman Old Style" w:hAnsi="Bookman Old Style"/>
          <w:lang w:val="es-CO"/>
        </w:rPr>
        <w:t>etc</w:t>
      </w:r>
      <w:r w:rsidR="004A6DE1">
        <w:rPr>
          <w:rFonts w:ascii="Bookman Old Style" w:hAnsi="Bookman Old Style"/>
          <w:lang w:val="es-CO"/>
        </w:rPr>
        <w:t>)</w:t>
      </w:r>
      <w:r w:rsidR="00603C3B">
        <w:rPr>
          <w:rStyle w:val="Refdenotaalpie"/>
          <w:rFonts w:ascii="Bookman Old Style" w:hAnsi="Bookman Old Style"/>
          <w:lang w:val="es-CO"/>
        </w:rPr>
        <w:footnoteReference w:id="11"/>
      </w:r>
      <w:r w:rsidR="007F6CE9">
        <w:rPr>
          <w:rFonts w:ascii="Bookman Old Style" w:hAnsi="Bookman Old Style"/>
          <w:lang w:val="es-CO"/>
        </w:rPr>
        <w:t>.</w:t>
      </w:r>
    </w:p>
    <w:p w:rsidR="004A6DE1" w:rsidRDefault="004A6DE1" w:rsidP="009906EC">
      <w:pPr>
        <w:ind w:left="0"/>
        <w:jc w:val="both"/>
        <w:rPr>
          <w:rFonts w:ascii="Bookman Old Style" w:hAnsi="Bookman Old Style"/>
          <w:lang w:val="es-CO"/>
        </w:rPr>
      </w:pPr>
    </w:p>
    <w:p w:rsidR="009906EC" w:rsidRDefault="009906EC" w:rsidP="009906EC">
      <w:pPr>
        <w:ind w:left="0"/>
        <w:jc w:val="both"/>
        <w:rPr>
          <w:rFonts w:ascii="Bookman Old Style" w:hAnsi="Bookman Old Style"/>
          <w:lang w:val="es-CO"/>
        </w:rPr>
      </w:pPr>
      <w:r w:rsidRPr="003C42F9">
        <w:rPr>
          <w:rFonts w:ascii="Bookman Old Style" w:hAnsi="Bookman Old Style"/>
          <w:lang w:val="es-CO"/>
        </w:rPr>
        <w:t>La elección de la estructura de precios tiene implícita la escogencia entre eficiencia económica y equilibrio presupuestal de la firma</w:t>
      </w:r>
      <w:r w:rsidRPr="003C42F9">
        <w:rPr>
          <w:rStyle w:val="Refdenotaalpie"/>
          <w:rFonts w:ascii="Bookman Old Style" w:hAnsi="Bookman Old Style"/>
          <w:bCs/>
          <w:lang w:val="es-CO" w:eastAsia="x-none"/>
        </w:rPr>
        <w:footnoteReference w:id="12"/>
      </w:r>
      <w:r w:rsidRPr="003C42F9">
        <w:rPr>
          <w:rFonts w:ascii="Bookman Old Style" w:hAnsi="Bookman Old Style"/>
          <w:lang w:val="es-CO"/>
        </w:rPr>
        <w:t>.</w:t>
      </w:r>
    </w:p>
    <w:p w:rsidR="00B51A88" w:rsidRDefault="00B51A88" w:rsidP="009906EC">
      <w:pPr>
        <w:ind w:left="0"/>
        <w:jc w:val="both"/>
        <w:rPr>
          <w:rFonts w:ascii="Bookman Old Style" w:hAnsi="Bookman Old Style"/>
          <w:lang w:val="es-CO"/>
        </w:rPr>
      </w:pPr>
    </w:p>
    <w:p w:rsidR="000006B9" w:rsidRDefault="00B51A88" w:rsidP="009906EC">
      <w:pPr>
        <w:ind w:left="0"/>
        <w:jc w:val="both"/>
        <w:rPr>
          <w:rFonts w:ascii="Bookman Old Style" w:hAnsi="Bookman Old Style"/>
          <w:lang w:val="es-CO"/>
        </w:rPr>
      </w:pPr>
      <w:r>
        <w:rPr>
          <w:rFonts w:ascii="Bookman Old Style" w:hAnsi="Bookman Old Style"/>
          <w:lang w:val="es-CO"/>
        </w:rPr>
        <w:t>L</w:t>
      </w:r>
      <w:r w:rsidR="009906EC" w:rsidRPr="003C42F9">
        <w:rPr>
          <w:rFonts w:ascii="Bookman Old Style" w:hAnsi="Bookman Old Style"/>
          <w:lang w:val="es-CO"/>
        </w:rPr>
        <w:t>a regulación de estructura de precios que se viene aplicando a la actividad de transporte de gas natural corresponde a una regulación de costos medios</w:t>
      </w:r>
      <w:r w:rsidR="009906EC" w:rsidRPr="003C42F9">
        <w:rPr>
          <w:rStyle w:val="Refdenotaalpie"/>
          <w:rFonts w:ascii="Bookman Old Style" w:hAnsi="Bookman Old Style"/>
          <w:lang w:val="es-CO"/>
        </w:rPr>
        <w:footnoteReference w:id="13"/>
      </w:r>
      <w:r w:rsidR="009906EC" w:rsidRPr="003C42F9">
        <w:rPr>
          <w:rFonts w:ascii="Bookman Old Style" w:hAnsi="Bookman Old Style"/>
          <w:lang w:val="es-CO"/>
        </w:rPr>
        <w:t xml:space="preserve"> que se complementa con un esquema de negociación de parejas de cargos </w:t>
      </w:r>
      <w:r>
        <w:rPr>
          <w:rFonts w:ascii="Bookman Old Style" w:hAnsi="Bookman Old Style"/>
          <w:lang w:val="es-CO"/>
        </w:rPr>
        <w:t>fijos y variables para remunerar la inversión</w:t>
      </w:r>
      <w:r w:rsidR="000B2B90">
        <w:rPr>
          <w:rStyle w:val="Refdenotaalpie"/>
          <w:rFonts w:ascii="Bookman Old Style" w:hAnsi="Bookman Old Style"/>
          <w:lang w:val="es-CO"/>
        </w:rPr>
        <w:footnoteReference w:id="14"/>
      </w:r>
      <w:r>
        <w:rPr>
          <w:rFonts w:ascii="Bookman Old Style" w:hAnsi="Bookman Old Style"/>
          <w:lang w:val="es-CO"/>
        </w:rPr>
        <w:t xml:space="preserve"> y un cargo fijo para remunerar los gastos de AOM</w:t>
      </w:r>
      <w:r w:rsidR="00FC1A14">
        <w:rPr>
          <w:rFonts w:ascii="Bookman Old Style" w:hAnsi="Bookman Old Style"/>
          <w:lang w:val="es-CO"/>
        </w:rPr>
        <w:t>.</w:t>
      </w:r>
    </w:p>
    <w:p w:rsidR="000006B9" w:rsidRDefault="000006B9" w:rsidP="009906EC">
      <w:pPr>
        <w:ind w:left="0"/>
        <w:jc w:val="both"/>
        <w:rPr>
          <w:rFonts w:ascii="Bookman Old Style" w:hAnsi="Bookman Old Style"/>
          <w:lang w:val="es-CO"/>
        </w:rPr>
      </w:pPr>
    </w:p>
    <w:p w:rsidR="009906EC" w:rsidRPr="003C42F9" w:rsidRDefault="009906EC" w:rsidP="009906EC">
      <w:pPr>
        <w:ind w:left="0"/>
        <w:jc w:val="both"/>
        <w:rPr>
          <w:rFonts w:ascii="Bookman Old Style" w:hAnsi="Bookman Old Style"/>
          <w:lang w:val="es-CO"/>
        </w:rPr>
      </w:pPr>
      <w:r w:rsidRPr="00701C21">
        <w:rPr>
          <w:rFonts w:ascii="Bookman Old Style" w:hAnsi="Bookman Old Style"/>
          <w:lang w:val="es-CO"/>
        </w:rPr>
        <w:t>Adicionalmente, tal como se expone en la sección 4.2.4 de este anexo, la metodología vigente contempla mecanismos de com</w:t>
      </w:r>
      <w:r w:rsidRPr="003C42F9">
        <w:rPr>
          <w:rFonts w:ascii="Bookman Old Style" w:hAnsi="Bookman Old Style"/>
          <w:lang w:val="es-CO"/>
        </w:rPr>
        <w:t>petencia por el mercado para el desarrollo de las extensiones.</w:t>
      </w:r>
    </w:p>
    <w:p w:rsidR="009906EC" w:rsidRPr="004D310F" w:rsidRDefault="009906EC" w:rsidP="009906EC">
      <w:pPr>
        <w:ind w:left="0"/>
        <w:jc w:val="both"/>
        <w:rPr>
          <w:rFonts w:ascii="Bookman Old Style" w:hAnsi="Bookman Old Style"/>
          <w:sz w:val="28"/>
          <w:lang w:val="es-CO"/>
        </w:rPr>
      </w:pPr>
    </w:p>
    <w:p w:rsidR="009906EC" w:rsidRPr="003C42F9" w:rsidRDefault="009906EC" w:rsidP="009906EC">
      <w:pPr>
        <w:ind w:left="0"/>
        <w:jc w:val="both"/>
        <w:rPr>
          <w:rFonts w:ascii="Bookman Old Style" w:hAnsi="Bookman Old Style"/>
          <w:lang w:val="es-CO"/>
        </w:rPr>
      </w:pPr>
      <w:r w:rsidRPr="003C42F9">
        <w:rPr>
          <w:rFonts w:ascii="Bookman Old Style" w:hAnsi="Bookman Old Style"/>
          <w:lang w:val="es-CO"/>
        </w:rPr>
        <w:t>La Comisión considera apropiado dar continuidad a esta forma de regulación. Por una parte, la regulación de costos medios procura el equilibrio presupuestal de la firma regulada. Por otra parte, las tarifas no lineales hacen posible que para la asignación de un servicio prestado por un monopolio natural se cobre a cada consumidor un precio diferente por cada unidad, de tal manera que el precio varíe con la cantidad total comprada, lo cual aumenta la eficiencia económica de un equilibrio de segundo mejor.</w:t>
      </w:r>
    </w:p>
    <w:p w:rsidR="009906EC" w:rsidRPr="004D310F" w:rsidRDefault="009906EC" w:rsidP="009906EC">
      <w:pPr>
        <w:ind w:left="0"/>
        <w:jc w:val="both"/>
        <w:rPr>
          <w:rFonts w:ascii="Bookman Old Style" w:hAnsi="Bookman Old Style"/>
          <w:sz w:val="28"/>
          <w:lang w:val="es-CO"/>
        </w:rPr>
      </w:pPr>
    </w:p>
    <w:p w:rsidR="009906EC" w:rsidRPr="003C42F9" w:rsidRDefault="009906EC" w:rsidP="009906EC">
      <w:pPr>
        <w:ind w:left="0"/>
        <w:jc w:val="both"/>
        <w:rPr>
          <w:rFonts w:ascii="Bookman Old Style" w:hAnsi="Bookman Old Style"/>
          <w:lang w:val="es-CO"/>
        </w:rPr>
      </w:pPr>
      <w:r w:rsidRPr="003C42F9">
        <w:rPr>
          <w:rFonts w:ascii="Bookman Old Style" w:hAnsi="Bookman Old Style"/>
          <w:lang w:val="es-CO"/>
        </w:rPr>
        <w:t>Ahora bien, la regulación vigente contempla que para la estimación del costo medio se deben considerar no únicamente los valores eficientes de las inversiones y de los gastos de administración, operación y mantenimiento en lo</w:t>
      </w:r>
      <w:r w:rsidR="00FC1A14">
        <w:rPr>
          <w:rFonts w:ascii="Bookman Old Style" w:hAnsi="Bookman Old Style"/>
          <w:lang w:val="es-CO"/>
        </w:rPr>
        <w:t>s</w:t>
      </w:r>
      <w:r w:rsidRPr="003C42F9">
        <w:rPr>
          <w:rFonts w:ascii="Bookman Old Style" w:hAnsi="Bookman Old Style"/>
          <w:lang w:val="es-CO"/>
        </w:rPr>
        <w:t xml:space="preserve"> que ha incurrido el transportador, sino también los de aquellos en los que el transportador prevé incurrir durante el nuevo período tarifario. Así mismo contempla que se deben considerar las demandas esperadas de capacidad y de volumen correspondientes al horizonte de proyección. Esto obedece a que la regulación ha procurado el desarrollo de nuevas inversiones asociadas a un servicio público domiciliario en etapa de expansión.</w:t>
      </w:r>
    </w:p>
    <w:p w:rsidR="009906EC" w:rsidRPr="004D310F" w:rsidRDefault="009906EC" w:rsidP="009906EC">
      <w:pPr>
        <w:ind w:left="0"/>
        <w:jc w:val="both"/>
        <w:rPr>
          <w:rFonts w:ascii="Bookman Old Style" w:hAnsi="Bookman Old Style"/>
          <w:sz w:val="28"/>
          <w:lang w:val="es-CO"/>
        </w:rPr>
      </w:pPr>
    </w:p>
    <w:p w:rsidR="009906EC" w:rsidRPr="003C42F9" w:rsidRDefault="009906EC" w:rsidP="009906EC">
      <w:pPr>
        <w:ind w:left="0"/>
        <w:jc w:val="both"/>
        <w:rPr>
          <w:rFonts w:ascii="Bookman Old Style" w:hAnsi="Bookman Old Style"/>
          <w:lang w:val="es-CO"/>
        </w:rPr>
      </w:pPr>
      <w:r w:rsidRPr="003C42F9">
        <w:rPr>
          <w:rFonts w:ascii="Bookman Old Style" w:hAnsi="Bookman Old Style"/>
          <w:lang w:val="es-CO"/>
        </w:rPr>
        <w:t>Al respecto se recomienda analizar la conveniencia de reemplazar este esquema de costo medio de mediano plazo por uno de costo medio con corte transversal. Esto debido a que:</w:t>
      </w:r>
    </w:p>
    <w:p w:rsidR="009906EC" w:rsidRPr="003C42F9" w:rsidRDefault="009906EC" w:rsidP="009906EC">
      <w:pPr>
        <w:numPr>
          <w:ilvl w:val="0"/>
          <w:numId w:val="33"/>
        </w:numPr>
        <w:tabs>
          <w:tab w:val="left" w:pos="284"/>
        </w:tabs>
        <w:ind w:left="0" w:firstLine="0"/>
        <w:jc w:val="both"/>
        <w:rPr>
          <w:rFonts w:ascii="Bookman Old Style" w:hAnsi="Bookman Old Style"/>
          <w:lang w:val="es-CO"/>
        </w:rPr>
      </w:pPr>
      <w:r w:rsidRPr="003C42F9">
        <w:rPr>
          <w:rFonts w:ascii="Bookman Old Style" w:hAnsi="Bookman Old Style"/>
          <w:lang w:val="es-CO"/>
        </w:rPr>
        <w:lastRenderedPageBreak/>
        <w:t>Las proyecciones de demanda presentadas por los transportadores dentro del marco de las anteriores actuaciones administrativas tendientes a la determinación de los cargos máximos regulados permiten observar que en la mayoría de los tramos del sistema nacional de transporte se prevén consumos estables, similares a los atendidos con la infraestructura existente.</w:t>
      </w:r>
    </w:p>
    <w:p w:rsidR="009906EC" w:rsidRPr="004D310F" w:rsidRDefault="009906EC" w:rsidP="009906EC">
      <w:pPr>
        <w:ind w:left="0"/>
        <w:jc w:val="both"/>
        <w:rPr>
          <w:rFonts w:ascii="Bookman Old Style" w:hAnsi="Bookman Old Style"/>
          <w:sz w:val="28"/>
          <w:lang w:val="es-CO"/>
        </w:rPr>
      </w:pPr>
    </w:p>
    <w:p w:rsidR="009906EC" w:rsidRDefault="009906EC" w:rsidP="009906EC">
      <w:pPr>
        <w:numPr>
          <w:ilvl w:val="0"/>
          <w:numId w:val="33"/>
        </w:numPr>
        <w:tabs>
          <w:tab w:val="left" w:pos="284"/>
        </w:tabs>
        <w:ind w:left="0" w:firstLine="0"/>
        <w:jc w:val="both"/>
        <w:rPr>
          <w:rFonts w:ascii="Bookman Old Style" w:hAnsi="Bookman Old Style"/>
          <w:lang w:val="es-CO"/>
        </w:rPr>
      </w:pPr>
      <w:r w:rsidRPr="003C42F9">
        <w:rPr>
          <w:rFonts w:ascii="Bookman Old Style" w:hAnsi="Bookman Old Style"/>
          <w:lang w:val="es-CO"/>
        </w:rPr>
        <w:t>El regulador se enfrenta una marcada asimetría de información al momento de determinar las demandas futuras de capacidad y de volumen. Si bien varios transportadores han adoptado como práctica comercial la contratación a largo plazo, lo cual facilita el análisis de las proyecciones de demanda de capacidad, algunos mantienen como práctica comercial la contratación a corto plazo. Además, en cualquiera de estas circunstancias resulta difícil el análisis de las proyecciones de demanda de volumen. De esta manera, las proyecciones de demanda pueden ser utilizadas como una herramienta para trasladarle el riesgo de demanda a los usuarios.</w:t>
      </w:r>
    </w:p>
    <w:p w:rsidR="00FC1A14" w:rsidRPr="004D310F" w:rsidRDefault="00FC1A14" w:rsidP="00CF109B">
      <w:pPr>
        <w:tabs>
          <w:tab w:val="left" w:pos="284"/>
        </w:tabs>
        <w:ind w:left="0"/>
        <w:jc w:val="both"/>
        <w:rPr>
          <w:rFonts w:ascii="Bookman Old Style" w:hAnsi="Bookman Old Style"/>
          <w:sz w:val="28"/>
          <w:lang w:val="es-CO"/>
        </w:rPr>
      </w:pPr>
    </w:p>
    <w:p w:rsidR="00FC1A14" w:rsidRPr="004D310F" w:rsidRDefault="00FC1A14" w:rsidP="00CF109B">
      <w:pPr>
        <w:numPr>
          <w:ilvl w:val="0"/>
          <w:numId w:val="33"/>
        </w:numPr>
        <w:tabs>
          <w:tab w:val="left" w:pos="284"/>
        </w:tabs>
        <w:ind w:left="0" w:firstLine="0"/>
        <w:jc w:val="both"/>
        <w:rPr>
          <w:rFonts w:ascii="Bookman Old Style" w:hAnsi="Bookman Old Style"/>
        </w:rPr>
      </w:pPr>
      <w:r w:rsidRPr="004D310F">
        <w:rPr>
          <w:rFonts w:ascii="Bookman Old Style" w:hAnsi="Bookman Old Style"/>
          <w:lang w:val="es-CO"/>
        </w:rPr>
        <w:t>A partir del 1 de julio de 2014, según lo establecido en la Resolución CREG 204 de 2013, los remitentes que requieran capacidad de transporte deberán contratarla para poder nominarla. Es decir, a partir de esa fecha las nominaciones no podrán superar la capacidad contratada.</w:t>
      </w:r>
    </w:p>
    <w:p w:rsidR="009906EC" w:rsidRPr="004D310F" w:rsidRDefault="009906EC" w:rsidP="009906EC">
      <w:pPr>
        <w:ind w:left="0"/>
        <w:jc w:val="both"/>
        <w:rPr>
          <w:rFonts w:ascii="Bookman Old Style" w:hAnsi="Bookman Old Style"/>
          <w:sz w:val="28"/>
          <w:lang w:val="es-CO"/>
        </w:rPr>
      </w:pPr>
    </w:p>
    <w:p w:rsidR="009906EC" w:rsidRPr="004D310F" w:rsidRDefault="009906EC" w:rsidP="009906EC">
      <w:pPr>
        <w:numPr>
          <w:ilvl w:val="0"/>
          <w:numId w:val="33"/>
        </w:numPr>
        <w:tabs>
          <w:tab w:val="left" w:pos="284"/>
        </w:tabs>
        <w:ind w:left="0" w:firstLine="0"/>
        <w:jc w:val="both"/>
        <w:rPr>
          <w:rFonts w:ascii="Bookman Old Style" w:hAnsi="Bookman Old Style"/>
          <w:lang w:val="es-CO"/>
        </w:rPr>
      </w:pPr>
      <w:r w:rsidRPr="004D310F">
        <w:rPr>
          <w:rFonts w:ascii="Bookman Old Style" w:hAnsi="Bookman Old Style"/>
          <w:lang w:val="es-CO"/>
        </w:rPr>
        <w:t xml:space="preserve">Contrario a lo sucedido en el pasado, con posterioridad a la entrada en vigencia de la Resolución CREG 126 de 2010 se materializó al menos un evento en que inversiones en expansiones asociadas a valores considerados en los cargos regulados no se ejecutaron en la medida en que no resultaron necesarias. Los análisis de la Comisión llevan a concluir que una situación como ésta </w:t>
      </w:r>
      <w:r w:rsidR="0037528B" w:rsidRPr="004D310F">
        <w:rPr>
          <w:rFonts w:ascii="Bookman Old Style" w:hAnsi="Bookman Old Style"/>
          <w:lang w:val="es-CO"/>
        </w:rPr>
        <w:t>es posible</w:t>
      </w:r>
      <w:r w:rsidR="00BD11A8" w:rsidRPr="004D310F">
        <w:rPr>
          <w:rFonts w:ascii="Bookman Old Style" w:hAnsi="Bookman Old Style"/>
          <w:lang w:val="es-CO"/>
        </w:rPr>
        <w:t xml:space="preserve"> y realizable dentro la actividad de transporte</w:t>
      </w:r>
      <w:r w:rsidR="000413D7" w:rsidRPr="004D310F">
        <w:rPr>
          <w:rFonts w:ascii="Bookman Old Style" w:hAnsi="Bookman Old Style"/>
          <w:lang w:val="es-CO"/>
        </w:rPr>
        <w:t>,</w:t>
      </w:r>
      <w:r w:rsidR="0037528B" w:rsidRPr="004D310F">
        <w:rPr>
          <w:rFonts w:ascii="Bookman Old Style" w:hAnsi="Bookman Old Style"/>
          <w:lang w:val="es-CO"/>
        </w:rPr>
        <w:t xml:space="preserve"> al ser propia de</w:t>
      </w:r>
      <w:r w:rsidRPr="004D310F">
        <w:rPr>
          <w:rFonts w:ascii="Bookman Old Style" w:hAnsi="Bookman Old Style"/>
          <w:lang w:val="es-CO"/>
        </w:rPr>
        <w:t xml:space="preserve"> la asignación de riesgos, en particular el de demanda, contemplada en la metodología tarifaria. No obstante lo anterior, el que ésta asignación sea </w:t>
      </w:r>
      <w:r w:rsidR="00BD11A8" w:rsidRPr="004D310F">
        <w:rPr>
          <w:rFonts w:ascii="Bookman Old Style" w:hAnsi="Bookman Old Style"/>
          <w:lang w:val="es-CO"/>
        </w:rPr>
        <w:t>posible y realizable</w:t>
      </w:r>
      <w:r w:rsidRPr="004D310F">
        <w:rPr>
          <w:rFonts w:ascii="Bookman Old Style" w:hAnsi="Bookman Old Style"/>
          <w:lang w:val="es-CO"/>
        </w:rPr>
        <w:t xml:space="preserve"> no es sinónimo de que la misma sea deseable.</w:t>
      </w:r>
    </w:p>
    <w:p w:rsidR="00FC1A14" w:rsidRPr="004D310F" w:rsidRDefault="00FC1A14" w:rsidP="004D310F">
      <w:pPr>
        <w:ind w:left="0"/>
        <w:rPr>
          <w:rFonts w:ascii="Bookman Old Style" w:hAnsi="Bookman Old Style"/>
          <w:sz w:val="28"/>
        </w:rPr>
      </w:pPr>
    </w:p>
    <w:p w:rsidR="009906EC" w:rsidRPr="004D310F" w:rsidRDefault="009906EC" w:rsidP="009906EC">
      <w:pPr>
        <w:numPr>
          <w:ilvl w:val="0"/>
          <w:numId w:val="33"/>
        </w:numPr>
        <w:tabs>
          <w:tab w:val="left" w:pos="284"/>
        </w:tabs>
        <w:ind w:left="0" w:firstLine="0"/>
        <w:jc w:val="both"/>
        <w:rPr>
          <w:rFonts w:ascii="Bookman Old Style" w:hAnsi="Bookman Old Style"/>
          <w:lang w:val="es-CO"/>
        </w:rPr>
      </w:pPr>
      <w:r w:rsidRPr="004D310F">
        <w:rPr>
          <w:rFonts w:ascii="Bookman Old Style" w:hAnsi="Bookman Old Style"/>
          <w:lang w:val="es-CO"/>
        </w:rPr>
        <w:t>Como ya se ha mencionado, y como se expone en la sección 4.2.</w:t>
      </w:r>
      <w:r w:rsidR="00573A53" w:rsidRPr="004D310F">
        <w:rPr>
          <w:rFonts w:ascii="Bookman Old Style" w:hAnsi="Bookman Old Style"/>
          <w:lang w:val="es-CO"/>
        </w:rPr>
        <w:t xml:space="preserve">4 </w:t>
      </w:r>
      <w:r w:rsidRPr="004D310F">
        <w:rPr>
          <w:rFonts w:ascii="Bookman Old Style" w:hAnsi="Bookman Old Style"/>
          <w:lang w:val="es-CO"/>
        </w:rPr>
        <w:t>de este anexo, se propone que la nueva metodología de continuidad a los mecanismos de competencia para la determinación de los cargos aplicables en las extensiones del sistema nacional de transporte, los cuales fueron introducidos en la Resolución CREG 126 de 2010. Además, se propone que la nueva metodología prevea que la UPME identifique e impulse el desarrollo de algunas expansiones o extensiones.</w:t>
      </w:r>
    </w:p>
    <w:p w:rsidR="009906EC" w:rsidRPr="004D310F" w:rsidRDefault="009906EC" w:rsidP="009906EC">
      <w:pPr>
        <w:ind w:left="0"/>
        <w:rPr>
          <w:rFonts w:ascii="Bookman Old Style" w:hAnsi="Bookman Old Style"/>
          <w:sz w:val="28"/>
          <w:lang w:val="es-CO"/>
        </w:rPr>
      </w:pPr>
    </w:p>
    <w:p w:rsidR="009906EC" w:rsidRPr="003C42F9" w:rsidRDefault="009906EC" w:rsidP="009906EC">
      <w:pPr>
        <w:ind w:left="0"/>
        <w:jc w:val="both"/>
        <w:rPr>
          <w:rFonts w:ascii="Bookman Old Style" w:hAnsi="Bookman Old Style"/>
          <w:lang w:val="es-CO"/>
        </w:rPr>
      </w:pPr>
      <w:r w:rsidRPr="003C42F9">
        <w:rPr>
          <w:rFonts w:ascii="Bookman Old Style" w:hAnsi="Bookman Old Style"/>
          <w:lang w:val="es-CO"/>
        </w:rPr>
        <w:t>Finalmente, la Comisión considera pertinente mantener vigentes las diferentes opciones para la determinación de los cargos que remuneran inversiones. Sin embargo, con base en las comunicaciones recibidas por la Comisión tras la expedición de la Resolución CREG 126 de 2010, se observa la necesidad de revisar las condiciones en que se debe dar aplicación al procedimiento de aproximación ordinal en función del factor de carga del remitente.</w:t>
      </w:r>
    </w:p>
    <w:p w:rsidR="009906EC" w:rsidRDefault="009906EC" w:rsidP="00E47660">
      <w:pPr>
        <w:ind w:left="0"/>
        <w:rPr>
          <w:rFonts w:ascii="Bookman Old Style" w:hAnsi="Bookman Old Style"/>
          <w:b/>
          <w:sz w:val="28"/>
          <w:lang w:val="es-CO"/>
        </w:rPr>
      </w:pPr>
    </w:p>
    <w:p w:rsidR="00E5049A" w:rsidRPr="00726B28" w:rsidRDefault="00E5049A" w:rsidP="00E47660">
      <w:pPr>
        <w:ind w:left="0"/>
        <w:rPr>
          <w:rFonts w:ascii="Bookman Old Style" w:hAnsi="Bookman Old Style"/>
          <w:b/>
          <w:sz w:val="28"/>
          <w:lang w:val="es-CO"/>
        </w:rPr>
      </w:pPr>
    </w:p>
    <w:p w:rsidR="002539D4" w:rsidRPr="004D310F" w:rsidRDefault="007B4DF0" w:rsidP="00E47660">
      <w:pPr>
        <w:ind w:left="0"/>
        <w:rPr>
          <w:rFonts w:ascii="Bookman Old Style" w:hAnsi="Bookman Old Style"/>
          <w:b/>
          <w:lang w:val="es-CO"/>
        </w:rPr>
      </w:pPr>
      <w:r w:rsidRPr="004D310F">
        <w:rPr>
          <w:rFonts w:ascii="Bookman Old Style" w:hAnsi="Bookman Old Style"/>
          <w:b/>
          <w:lang w:val="es-CO"/>
        </w:rPr>
        <w:t>4.2.3. ESQUEMA DE CARGOS</w:t>
      </w:r>
    </w:p>
    <w:p w:rsidR="002539D4" w:rsidRPr="00726B28" w:rsidRDefault="002539D4" w:rsidP="00E47660">
      <w:pPr>
        <w:ind w:left="0"/>
        <w:jc w:val="both"/>
        <w:rPr>
          <w:rFonts w:ascii="Bookman Old Style" w:hAnsi="Bookman Old Style"/>
          <w:sz w:val="28"/>
          <w:lang w:val="es-CO"/>
        </w:rPr>
      </w:pPr>
    </w:p>
    <w:p w:rsidR="0064699E" w:rsidRPr="004D310F" w:rsidRDefault="00C47FEF" w:rsidP="00E47660">
      <w:pPr>
        <w:ind w:left="0"/>
        <w:jc w:val="both"/>
        <w:rPr>
          <w:rFonts w:ascii="Bookman Old Style" w:hAnsi="Bookman Old Style"/>
          <w:lang w:val="es-CO"/>
        </w:rPr>
      </w:pPr>
      <w:r w:rsidRPr="004D310F">
        <w:rPr>
          <w:rFonts w:ascii="Bookman Old Style" w:hAnsi="Bookman Old Style"/>
          <w:lang w:val="es-CO"/>
        </w:rPr>
        <w:t xml:space="preserve">Otro elemento relevante de la metodología es el </w:t>
      </w:r>
      <w:r w:rsidR="00A516FB" w:rsidRPr="004D310F">
        <w:rPr>
          <w:rFonts w:ascii="Bookman Old Style" w:hAnsi="Bookman Old Style"/>
          <w:lang w:val="es-CO"/>
        </w:rPr>
        <w:t>esquema de cargos</w:t>
      </w:r>
      <w:r w:rsidRPr="004D310F">
        <w:rPr>
          <w:rFonts w:ascii="Bookman Old Style" w:hAnsi="Bookman Old Style"/>
          <w:lang w:val="es-CO"/>
        </w:rPr>
        <w:t>, entend</w:t>
      </w:r>
      <w:r w:rsidR="00B4241F" w:rsidRPr="004D310F">
        <w:rPr>
          <w:rFonts w:ascii="Bookman Old Style" w:hAnsi="Bookman Old Style"/>
          <w:lang w:val="es-CO"/>
        </w:rPr>
        <w:t xml:space="preserve">ido </w:t>
      </w:r>
      <w:r w:rsidRPr="004D310F">
        <w:rPr>
          <w:rFonts w:ascii="Bookman Old Style" w:hAnsi="Bookman Old Style"/>
          <w:lang w:val="es-CO"/>
        </w:rPr>
        <w:t xml:space="preserve">como la forma </w:t>
      </w:r>
      <w:r w:rsidR="00E5567E" w:rsidRPr="004D310F">
        <w:rPr>
          <w:rFonts w:ascii="Bookman Old Style" w:hAnsi="Bookman Old Style"/>
          <w:lang w:val="es-CO"/>
        </w:rPr>
        <w:t>como</w:t>
      </w:r>
      <w:r w:rsidR="00B4241F" w:rsidRPr="004D310F">
        <w:rPr>
          <w:rFonts w:ascii="Bookman Old Style" w:hAnsi="Bookman Old Style"/>
          <w:lang w:val="es-CO"/>
        </w:rPr>
        <w:t xml:space="preserve"> se establecen</w:t>
      </w:r>
      <w:r w:rsidRPr="004D310F">
        <w:rPr>
          <w:rFonts w:ascii="Bookman Old Style" w:hAnsi="Bookman Old Style"/>
          <w:lang w:val="es-CO"/>
        </w:rPr>
        <w:t xml:space="preserve"> los cargos </w:t>
      </w:r>
      <w:r w:rsidR="00B4241F" w:rsidRPr="004D310F">
        <w:rPr>
          <w:rFonts w:ascii="Bookman Old Style" w:hAnsi="Bookman Old Style"/>
          <w:lang w:val="es-CO"/>
        </w:rPr>
        <w:t>mediante los cuales se remuneran</w:t>
      </w:r>
      <w:r w:rsidRPr="004D310F">
        <w:rPr>
          <w:rFonts w:ascii="Bookman Old Style" w:hAnsi="Bookman Old Style"/>
          <w:lang w:val="es-CO"/>
        </w:rPr>
        <w:t xml:space="preserve"> las inversiones y los gastos de administración, operación y mantenimiento </w:t>
      </w:r>
      <w:r w:rsidR="0064699E" w:rsidRPr="004D310F">
        <w:rPr>
          <w:rFonts w:ascii="Bookman Old Style" w:hAnsi="Bookman Old Style"/>
          <w:lang w:val="es-CO"/>
        </w:rPr>
        <w:t xml:space="preserve">en que incurre </w:t>
      </w:r>
      <w:r w:rsidRPr="004D310F">
        <w:rPr>
          <w:rFonts w:ascii="Bookman Old Style" w:hAnsi="Bookman Old Style"/>
          <w:lang w:val="es-CO"/>
        </w:rPr>
        <w:t>el transportador.</w:t>
      </w:r>
      <w:r w:rsidR="00E5567E" w:rsidRPr="004D310F">
        <w:rPr>
          <w:rFonts w:ascii="Bookman Old Style" w:hAnsi="Bookman Old Style"/>
          <w:lang w:val="es-CO"/>
        </w:rPr>
        <w:t xml:space="preserve"> </w:t>
      </w:r>
      <w:r w:rsidR="0064699E" w:rsidRPr="004D310F">
        <w:rPr>
          <w:rFonts w:ascii="Bookman Old Style" w:hAnsi="Bookman Old Style"/>
          <w:lang w:val="es-CO"/>
        </w:rPr>
        <w:t>Para l</w:t>
      </w:r>
      <w:r w:rsidR="00E5567E" w:rsidRPr="004D310F">
        <w:rPr>
          <w:rFonts w:ascii="Bookman Old Style" w:hAnsi="Bookman Old Style"/>
          <w:lang w:val="es-CO"/>
        </w:rPr>
        <w:t xml:space="preserve">a definición del </w:t>
      </w:r>
      <w:r w:rsidR="00742E37" w:rsidRPr="004D310F">
        <w:rPr>
          <w:rFonts w:ascii="Bookman Old Style" w:hAnsi="Bookman Old Style"/>
          <w:lang w:val="es-CO"/>
        </w:rPr>
        <w:t xml:space="preserve">esquema </w:t>
      </w:r>
      <w:r w:rsidR="00E5567E" w:rsidRPr="004D310F">
        <w:rPr>
          <w:rFonts w:ascii="Bookman Old Style" w:hAnsi="Bookman Old Style"/>
          <w:lang w:val="es-CO"/>
        </w:rPr>
        <w:t xml:space="preserve">de </w:t>
      </w:r>
      <w:r w:rsidR="00742E37" w:rsidRPr="004D310F">
        <w:rPr>
          <w:rFonts w:ascii="Bookman Old Style" w:hAnsi="Bookman Old Style"/>
          <w:lang w:val="es-CO"/>
        </w:rPr>
        <w:t xml:space="preserve">cargos </w:t>
      </w:r>
      <w:r w:rsidR="00E5567E" w:rsidRPr="004D310F">
        <w:rPr>
          <w:rFonts w:ascii="Bookman Old Style" w:hAnsi="Bookman Old Style"/>
          <w:lang w:val="es-CO"/>
        </w:rPr>
        <w:t xml:space="preserve">a aplicar </w:t>
      </w:r>
      <w:r w:rsidR="0064699E" w:rsidRPr="004D310F">
        <w:rPr>
          <w:rFonts w:ascii="Bookman Old Style" w:hAnsi="Bookman Old Style"/>
          <w:lang w:val="es-CO"/>
        </w:rPr>
        <w:t xml:space="preserve">es necesario evaluar las alternativas de cargos por distancia, cargos de entrada y </w:t>
      </w:r>
      <w:r w:rsidR="00F5463F" w:rsidRPr="004D310F">
        <w:rPr>
          <w:rFonts w:ascii="Bookman Old Style" w:hAnsi="Bookman Old Style"/>
          <w:lang w:val="es-CO"/>
        </w:rPr>
        <w:t xml:space="preserve">de </w:t>
      </w:r>
      <w:r w:rsidR="0064699E" w:rsidRPr="004D310F">
        <w:rPr>
          <w:rFonts w:ascii="Bookman Old Style" w:hAnsi="Bookman Old Style"/>
          <w:lang w:val="es-CO"/>
        </w:rPr>
        <w:t>salida y cargos estampilla. También es posible considerar una combinación entre cargos por distancia y cargos estampilla.</w:t>
      </w:r>
    </w:p>
    <w:p w:rsidR="0064699E" w:rsidRPr="00726B28" w:rsidRDefault="0064699E" w:rsidP="00E47660">
      <w:pPr>
        <w:ind w:left="0"/>
        <w:jc w:val="both"/>
        <w:rPr>
          <w:rFonts w:ascii="Bookman Old Style" w:hAnsi="Bookman Old Style"/>
          <w:sz w:val="28"/>
          <w:lang w:val="es-CO"/>
        </w:rPr>
      </w:pPr>
    </w:p>
    <w:p w:rsidR="002539D4" w:rsidRPr="004D310F" w:rsidRDefault="004819CA" w:rsidP="00E47660">
      <w:pPr>
        <w:ind w:left="0"/>
        <w:jc w:val="both"/>
        <w:rPr>
          <w:rFonts w:ascii="Bookman Old Style" w:hAnsi="Bookman Old Style"/>
          <w:lang w:val="es-CO"/>
        </w:rPr>
      </w:pPr>
      <w:r w:rsidRPr="004D310F">
        <w:rPr>
          <w:rFonts w:ascii="Bookman Old Style" w:hAnsi="Bookman Old Style"/>
          <w:lang w:val="es-CO"/>
        </w:rPr>
        <w:t>En el caso colombiano precisamente se viene aplicando una combinación de cargos por distancia y cargos estampilla. El primero de est</w:t>
      </w:r>
      <w:r w:rsidR="004F0ABE" w:rsidRPr="004D310F">
        <w:rPr>
          <w:rFonts w:ascii="Bookman Old Style" w:hAnsi="Bookman Old Style"/>
          <w:lang w:val="es-CO"/>
        </w:rPr>
        <w:t>os</w:t>
      </w:r>
      <w:r w:rsidRPr="004D310F">
        <w:rPr>
          <w:rFonts w:ascii="Bookman Old Style" w:hAnsi="Bookman Old Style"/>
          <w:lang w:val="es-CO"/>
        </w:rPr>
        <w:t xml:space="preserve"> </w:t>
      </w:r>
      <w:r w:rsidR="00963F93" w:rsidRPr="004D310F">
        <w:rPr>
          <w:rFonts w:ascii="Bookman Old Style" w:hAnsi="Bookman Old Style"/>
          <w:lang w:val="es-CO"/>
        </w:rPr>
        <w:t xml:space="preserve">esquemas </w:t>
      </w:r>
      <w:r w:rsidRPr="004D310F">
        <w:rPr>
          <w:rFonts w:ascii="Bookman Old Style" w:hAnsi="Bookman Old Style"/>
          <w:lang w:val="es-CO"/>
        </w:rPr>
        <w:t xml:space="preserve">de </w:t>
      </w:r>
      <w:r w:rsidR="00963F93" w:rsidRPr="004D310F">
        <w:rPr>
          <w:rFonts w:ascii="Bookman Old Style" w:hAnsi="Bookman Old Style"/>
          <w:lang w:val="es-CO"/>
        </w:rPr>
        <w:t xml:space="preserve">cargos </w:t>
      </w:r>
      <w:r w:rsidRPr="004D310F">
        <w:rPr>
          <w:rFonts w:ascii="Bookman Old Style" w:hAnsi="Bookman Old Style"/>
          <w:lang w:val="es-CO"/>
        </w:rPr>
        <w:t>se aplica en el caso de los gasoductos principales</w:t>
      </w:r>
      <w:r w:rsidR="004F0ABE" w:rsidRPr="004D310F">
        <w:rPr>
          <w:rFonts w:ascii="Bookman Old Style" w:hAnsi="Bookman Old Style"/>
          <w:lang w:val="es-CO"/>
        </w:rPr>
        <w:t xml:space="preserve">, tras el desmonte de los cargos estampilla que estuvieron vigentes por unos años. El segundo de estos </w:t>
      </w:r>
      <w:r w:rsidR="00963F93" w:rsidRPr="004D310F">
        <w:rPr>
          <w:rFonts w:ascii="Bookman Old Style" w:hAnsi="Bookman Old Style"/>
          <w:lang w:val="es-CO"/>
        </w:rPr>
        <w:t xml:space="preserve">esquemas </w:t>
      </w:r>
      <w:r w:rsidR="004F0ABE" w:rsidRPr="004D310F">
        <w:rPr>
          <w:rFonts w:ascii="Bookman Old Style" w:hAnsi="Bookman Old Style"/>
          <w:lang w:val="es-CO"/>
        </w:rPr>
        <w:t xml:space="preserve">de </w:t>
      </w:r>
      <w:r w:rsidR="00963F93" w:rsidRPr="004D310F">
        <w:rPr>
          <w:rFonts w:ascii="Bookman Old Style" w:hAnsi="Bookman Old Style"/>
          <w:lang w:val="es-CO"/>
        </w:rPr>
        <w:t xml:space="preserve">cargos </w:t>
      </w:r>
      <w:r w:rsidR="004F0ABE" w:rsidRPr="004D310F">
        <w:rPr>
          <w:rFonts w:ascii="Bookman Old Style" w:hAnsi="Bookman Old Style"/>
          <w:lang w:val="es-CO"/>
        </w:rPr>
        <w:t>se aplica exclusivamente a los gasoductos ramales y a los gasoductos aislados.</w:t>
      </w:r>
    </w:p>
    <w:p w:rsidR="00E5567E" w:rsidRPr="00726B28" w:rsidRDefault="00E5567E" w:rsidP="00E47660">
      <w:pPr>
        <w:ind w:left="0"/>
        <w:jc w:val="both"/>
        <w:rPr>
          <w:rFonts w:ascii="Bookman Old Style" w:hAnsi="Bookman Old Style"/>
          <w:sz w:val="28"/>
          <w:lang w:val="es-CO"/>
        </w:rPr>
      </w:pPr>
    </w:p>
    <w:p w:rsidR="00E02335" w:rsidRPr="004D310F" w:rsidRDefault="00E02335" w:rsidP="00E47660">
      <w:pPr>
        <w:ind w:left="0"/>
        <w:jc w:val="both"/>
        <w:rPr>
          <w:rFonts w:ascii="Bookman Old Style" w:hAnsi="Bookman Old Style"/>
          <w:lang w:val="es-CO"/>
        </w:rPr>
      </w:pPr>
      <w:r w:rsidRPr="004D310F">
        <w:rPr>
          <w:rFonts w:ascii="Bookman Old Style" w:hAnsi="Bookman Old Style"/>
          <w:lang w:val="es-CO"/>
        </w:rPr>
        <w:t>L</w:t>
      </w:r>
      <w:r w:rsidR="004F0ABE" w:rsidRPr="004D310F">
        <w:rPr>
          <w:rFonts w:ascii="Bookman Old Style" w:hAnsi="Bookman Old Style"/>
          <w:lang w:val="es-CO"/>
        </w:rPr>
        <w:t>a Comisión considera pertinente</w:t>
      </w:r>
      <w:r w:rsidRPr="004D310F">
        <w:rPr>
          <w:rFonts w:ascii="Bookman Old Style" w:hAnsi="Bookman Old Style"/>
          <w:lang w:val="es-CO"/>
        </w:rPr>
        <w:t xml:space="preserve">: </w:t>
      </w:r>
    </w:p>
    <w:p w:rsidR="00E02335" w:rsidRPr="00726B28" w:rsidRDefault="00E02335" w:rsidP="00E47660">
      <w:pPr>
        <w:ind w:left="0"/>
        <w:jc w:val="both"/>
        <w:rPr>
          <w:rFonts w:ascii="Bookman Old Style" w:hAnsi="Bookman Old Style"/>
          <w:sz w:val="28"/>
          <w:lang w:val="es-CO"/>
        </w:rPr>
      </w:pPr>
    </w:p>
    <w:p w:rsidR="00E02335" w:rsidRPr="004D310F" w:rsidRDefault="00E02335" w:rsidP="004D310F">
      <w:pPr>
        <w:numPr>
          <w:ilvl w:val="0"/>
          <w:numId w:val="33"/>
        </w:numPr>
        <w:tabs>
          <w:tab w:val="left" w:pos="284"/>
        </w:tabs>
        <w:ind w:left="0" w:firstLine="0"/>
        <w:jc w:val="both"/>
        <w:rPr>
          <w:rFonts w:ascii="Bookman Old Style" w:hAnsi="Bookman Old Style"/>
          <w:lang w:val="es-CO"/>
        </w:rPr>
      </w:pPr>
      <w:r w:rsidRPr="004D310F">
        <w:rPr>
          <w:rFonts w:ascii="Bookman Old Style" w:hAnsi="Bookman Old Style"/>
          <w:lang w:val="es-CO"/>
        </w:rPr>
        <w:t>Dar</w:t>
      </w:r>
      <w:r w:rsidR="004F0ABE" w:rsidRPr="004D310F">
        <w:rPr>
          <w:rFonts w:ascii="Bookman Old Style" w:hAnsi="Bookman Old Style"/>
          <w:lang w:val="es-CO"/>
        </w:rPr>
        <w:t xml:space="preserve"> continuidad a la utilización de</w:t>
      </w:r>
      <w:r w:rsidRPr="004D310F">
        <w:rPr>
          <w:rFonts w:ascii="Bookman Old Style" w:hAnsi="Bookman Old Style"/>
          <w:lang w:val="es-CO"/>
        </w:rPr>
        <w:t>l</w:t>
      </w:r>
      <w:r w:rsidR="004F0ABE" w:rsidRPr="004D310F">
        <w:rPr>
          <w:rFonts w:ascii="Bookman Old Style" w:hAnsi="Bookman Old Style"/>
          <w:lang w:val="es-CO"/>
        </w:rPr>
        <w:t xml:space="preserve"> </w:t>
      </w:r>
      <w:r w:rsidRPr="004D310F">
        <w:rPr>
          <w:rFonts w:ascii="Bookman Old Style" w:hAnsi="Bookman Old Style"/>
          <w:lang w:val="es-CO"/>
        </w:rPr>
        <w:t>esquema distancia</w:t>
      </w:r>
      <w:r w:rsidR="002A6C1E" w:rsidRPr="004D310F">
        <w:rPr>
          <w:rFonts w:ascii="Bookman Old Style" w:hAnsi="Bookman Old Style"/>
          <w:lang w:val="es-CO"/>
        </w:rPr>
        <w:t xml:space="preserve"> y </w:t>
      </w:r>
      <w:r w:rsidRPr="004D310F">
        <w:rPr>
          <w:rFonts w:ascii="Bookman Old Style" w:hAnsi="Bookman Old Style"/>
          <w:lang w:val="es-CO"/>
        </w:rPr>
        <w:t xml:space="preserve">estampilla </w:t>
      </w:r>
      <w:r w:rsidR="004F0ABE" w:rsidRPr="004D310F">
        <w:rPr>
          <w:rFonts w:ascii="Bookman Old Style" w:hAnsi="Bookman Old Style"/>
          <w:lang w:val="es-CO"/>
        </w:rPr>
        <w:t>en las mismas circunstancias en que se aplica en la actualidad</w:t>
      </w:r>
      <w:r w:rsidR="00741646" w:rsidRPr="004D310F">
        <w:rPr>
          <w:rFonts w:ascii="Bookman Old Style" w:hAnsi="Bookman Old Style"/>
          <w:lang w:val="es-CO"/>
        </w:rPr>
        <w:t>, con la posibilidad de adoptar e implementar gradualmente un esquema de entrada y salida si es del caso</w:t>
      </w:r>
      <w:r w:rsidR="002A6C1E" w:rsidRPr="004D310F">
        <w:rPr>
          <w:rFonts w:ascii="Bookman Old Style" w:hAnsi="Bookman Old Style"/>
          <w:lang w:val="es-CO"/>
        </w:rPr>
        <w:t>.</w:t>
      </w:r>
    </w:p>
    <w:p w:rsidR="00E02335" w:rsidRPr="00726B28" w:rsidRDefault="00E02335" w:rsidP="004D310F">
      <w:pPr>
        <w:tabs>
          <w:tab w:val="left" w:pos="284"/>
        </w:tabs>
        <w:ind w:left="0"/>
        <w:jc w:val="both"/>
        <w:rPr>
          <w:rFonts w:ascii="Bookman Old Style" w:hAnsi="Bookman Old Style"/>
          <w:sz w:val="28"/>
          <w:lang w:val="es-CO"/>
        </w:rPr>
      </w:pPr>
    </w:p>
    <w:p w:rsidR="004F0ABE" w:rsidRPr="004D310F" w:rsidRDefault="002A6C1E" w:rsidP="004D310F">
      <w:pPr>
        <w:numPr>
          <w:ilvl w:val="0"/>
          <w:numId w:val="33"/>
        </w:numPr>
        <w:tabs>
          <w:tab w:val="left" w:pos="284"/>
        </w:tabs>
        <w:ind w:left="0" w:firstLine="0"/>
        <w:jc w:val="both"/>
        <w:rPr>
          <w:rFonts w:ascii="Bookman Old Style" w:hAnsi="Bookman Old Style"/>
          <w:lang w:val="es-CO"/>
        </w:rPr>
      </w:pPr>
      <w:r w:rsidRPr="004D310F">
        <w:rPr>
          <w:rFonts w:ascii="Bookman Old Style" w:hAnsi="Bookman Old Style"/>
          <w:lang w:val="es-CO"/>
        </w:rPr>
        <w:t>M</w:t>
      </w:r>
      <w:r w:rsidR="004F0ABE" w:rsidRPr="004D310F">
        <w:rPr>
          <w:rFonts w:ascii="Bookman Old Style" w:hAnsi="Bookman Old Style"/>
          <w:lang w:val="es-CO"/>
        </w:rPr>
        <w:t>antener la comparación entre el costo unitario de prestación del servicio de gas natural y el costo unitario de prestación del servicio de gas licuado del petróleo como criterio para decidir las solicitudes para estampillar las inversiones de las extensiones de los gasoductos de la denominada red tipo II</w:t>
      </w:r>
      <w:r w:rsidR="00F5463F" w:rsidRPr="004D310F">
        <w:rPr>
          <w:rFonts w:ascii="Bookman Old Style" w:hAnsi="Bookman Old Style"/>
          <w:lang w:val="es-CO"/>
        </w:rPr>
        <w:t>. Lo anterior en los términos establecidos en la Resolución CREG 141 de 2011.</w:t>
      </w:r>
    </w:p>
    <w:p w:rsidR="004F0ABE" w:rsidRPr="00726B28" w:rsidRDefault="004F0ABE" w:rsidP="004D310F">
      <w:pPr>
        <w:tabs>
          <w:tab w:val="left" w:pos="284"/>
        </w:tabs>
        <w:ind w:left="0"/>
        <w:jc w:val="both"/>
        <w:rPr>
          <w:rFonts w:ascii="Bookman Old Style" w:hAnsi="Bookman Old Style"/>
          <w:sz w:val="28"/>
          <w:lang w:val="es-CO"/>
        </w:rPr>
      </w:pPr>
    </w:p>
    <w:p w:rsidR="00F5463F" w:rsidRPr="004D310F" w:rsidRDefault="00E02335" w:rsidP="004D310F">
      <w:pPr>
        <w:numPr>
          <w:ilvl w:val="0"/>
          <w:numId w:val="33"/>
        </w:numPr>
        <w:tabs>
          <w:tab w:val="left" w:pos="284"/>
        </w:tabs>
        <w:ind w:left="0" w:firstLine="0"/>
        <w:jc w:val="both"/>
        <w:rPr>
          <w:rFonts w:ascii="Bookman Old Style" w:hAnsi="Bookman Old Style"/>
          <w:lang w:val="es-CO"/>
        </w:rPr>
      </w:pPr>
      <w:r w:rsidRPr="004D310F">
        <w:rPr>
          <w:rFonts w:ascii="Bookman Old Style" w:hAnsi="Bookman Old Style"/>
          <w:lang w:val="es-CO"/>
        </w:rPr>
        <w:t>I</w:t>
      </w:r>
      <w:r w:rsidR="00F5463F" w:rsidRPr="004D310F">
        <w:rPr>
          <w:rFonts w:ascii="Bookman Old Style" w:hAnsi="Bookman Old Style"/>
          <w:lang w:val="es-CO"/>
        </w:rPr>
        <w:t xml:space="preserve">niciar el estudio de la conveniencia de adoptar cargos de entrada y de salida. Esto teniendo en cuenta que: i) el desarrollo de nuevas fuentes de producción de gas natural </w:t>
      </w:r>
      <w:r w:rsidR="001C127B" w:rsidRPr="004D310F">
        <w:rPr>
          <w:rFonts w:ascii="Bookman Old Style" w:hAnsi="Bookman Old Style"/>
          <w:lang w:val="es-CO"/>
        </w:rPr>
        <w:t xml:space="preserve">ha llevado a que en algunos sistemas de transporte existan </w:t>
      </w:r>
      <w:r w:rsidR="00A516FB" w:rsidRPr="004D310F">
        <w:rPr>
          <w:rFonts w:ascii="Bookman Old Style" w:hAnsi="Bookman Old Style"/>
          <w:lang w:val="es-CO"/>
        </w:rPr>
        <w:t xml:space="preserve">varios </w:t>
      </w:r>
      <w:r w:rsidR="001C127B" w:rsidRPr="004D310F">
        <w:rPr>
          <w:rFonts w:ascii="Bookman Old Style" w:hAnsi="Bookman Old Style"/>
          <w:lang w:val="es-CO"/>
        </w:rPr>
        <w:t xml:space="preserve">puntos de entrada, con lo cual puede resultar más difícil de prever la ruta a ser utilizada para transportar el gas hasta el lugar de consumo; </w:t>
      </w:r>
      <w:r w:rsidR="00A516FB" w:rsidRPr="004D310F">
        <w:rPr>
          <w:rFonts w:ascii="Bookman Old Style" w:hAnsi="Bookman Old Style"/>
          <w:lang w:val="es-CO"/>
        </w:rPr>
        <w:t xml:space="preserve">y </w:t>
      </w:r>
      <w:r w:rsidR="001C127B" w:rsidRPr="004D310F">
        <w:rPr>
          <w:rFonts w:ascii="Bookman Old Style" w:hAnsi="Bookman Old Style"/>
          <w:lang w:val="es-CO"/>
        </w:rPr>
        <w:t>ii) se ha venido insistiendo en las bondades de los cargos de entrada y de salida como herramienta para aumentar la liquidez del mercado de gas natural, que es precisamente uno de los objetivos de la regulación adoptada mediante las resoluciones CREG 088 y 089 de 2013.</w:t>
      </w:r>
    </w:p>
    <w:p w:rsidR="001C127B" w:rsidRPr="00726B28" w:rsidRDefault="001C127B" w:rsidP="00E47660">
      <w:pPr>
        <w:ind w:left="0"/>
        <w:jc w:val="both"/>
        <w:rPr>
          <w:rFonts w:ascii="Bookman Old Style" w:hAnsi="Bookman Old Style"/>
          <w:sz w:val="28"/>
          <w:lang w:val="es-CO"/>
        </w:rPr>
      </w:pPr>
    </w:p>
    <w:p w:rsidR="004F0ABE" w:rsidRPr="004D310F" w:rsidRDefault="001C127B" w:rsidP="00E47660">
      <w:pPr>
        <w:ind w:left="0"/>
        <w:jc w:val="both"/>
        <w:rPr>
          <w:rFonts w:ascii="Bookman Old Style" w:hAnsi="Bookman Old Style"/>
          <w:lang w:val="es-CO"/>
        </w:rPr>
      </w:pPr>
      <w:r w:rsidRPr="004D310F">
        <w:rPr>
          <w:rFonts w:ascii="Bookman Old Style" w:hAnsi="Bookman Old Style"/>
          <w:lang w:val="es-CO"/>
        </w:rPr>
        <w:t>En caso de que la Comisión encuentre conveniente adoptar cargos de entrada y de salida, será necesario definir la gradualidad con que se adoptaría una forma de regulación de este tipo.</w:t>
      </w:r>
    </w:p>
    <w:p w:rsidR="002740F7" w:rsidRPr="00726B28" w:rsidRDefault="002740F7" w:rsidP="00E47660">
      <w:pPr>
        <w:ind w:left="0"/>
        <w:jc w:val="both"/>
        <w:rPr>
          <w:rFonts w:ascii="Bookman Old Style" w:hAnsi="Bookman Old Style"/>
          <w:sz w:val="48"/>
          <w:lang w:val="es-CO"/>
        </w:rPr>
      </w:pPr>
    </w:p>
    <w:p w:rsidR="001C127B" w:rsidRPr="004D310F" w:rsidRDefault="001C127B" w:rsidP="00E47660">
      <w:pPr>
        <w:ind w:left="0"/>
        <w:rPr>
          <w:rFonts w:ascii="Bookman Old Style" w:hAnsi="Bookman Old Style"/>
          <w:b/>
          <w:lang w:val="es-CO"/>
        </w:rPr>
      </w:pPr>
      <w:r w:rsidRPr="004D310F">
        <w:rPr>
          <w:rFonts w:ascii="Bookman Old Style" w:hAnsi="Bookman Old Style"/>
          <w:b/>
          <w:lang w:val="es-CO"/>
        </w:rPr>
        <w:lastRenderedPageBreak/>
        <w:t>4.2.</w:t>
      </w:r>
      <w:r w:rsidR="007B4DF0" w:rsidRPr="004D310F">
        <w:rPr>
          <w:rFonts w:ascii="Bookman Old Style" w:hAnsi="Bookman Old Style"/>
          <w:b/>
          <w:lang w:val="es-CO"/>
        </w:rPr>
        <w:t>4</w:t>
      </w:r>
      <w:r w:rsidRPr="004D310F">
        <w:rPr>
          <w:rFonts w:ascii="Bookman Old Style" w:hAnsi="Bookman Old Style"/>
          <w:b/>
          <w:lang w:val="es-CO"/>
        </w:rPr>
        <w:t>. MECANISMOS PARA LA EXPANSIÓN Y LA EXTENSIÓN</w:t>
      </w:r>
    </w:p>
    <w:p w:rsidR="001C127B" w:rsidRPr="004D310F" w:rsidRDefault="001C127B" w:rsidP="00E47660">
      <w:pPr>
        <w:ind w:left="0"/>
        <w:jc w:val="both"/>
        <w:rPr>
          <w:rFonts w:ascii="Bookman Old Style" w:hAnsi="Bookman Old Style"/>
          <w:sz w:val="22"/>
          <w:lang w:val="es-CO"/>
        </w:rPr>
      </w:pPr>
    </w:p>
    <w:p w:rsidR="00174222" w:rsidRPr="009D3928" w:rsidRDefault="00A65633" w:rsidP="00E47660">
      <w:pPr>
        <w:ind w:left="0"/>
        <w:jc w:val="both"/>
        <w:rPr>
          <w:rFonts w:ascii="Bookman Old Style" w:hAnsi="Bookman Old Style"/>
          <w:lang w:val="es-CO"/>
        </w:rPr>
      </w:pPr>
      <w:r w:rsidRPr="009D3928">
        <w:rPr>
          <w:rFonts w:ascii="Bookman Old Style" w:hAnsi="Bookman Old Style"/>
          <w:lang w:val="es-CO"/>
        </w:rPr>
        <w:t>Desde el punto de vista de la regulación, la ampliación de la infraestructura de transporte de gas natural se puede separar en dos dimensiones, como en efecto lo hizo la Comisión en la metodología tarifaria vigente.</w:t>
      </w:r>
    </w:p>
    <w:p w:rsidR="00174222" w:rsidRPr="009D3928" w:rsidRDefault="00174222" w:rsidP="00E47660">
      <w:pPr>
        <w:ind w:left="0"/>
        <w:jc w:val="both"/>
        <w:rPr>
          <w:rFonts w:ascii="Bookman Old Style" w:hAnsi="Bookman Old Style"/>
          <w:lang w:val="es-CO"/>
        </w:rPr>
      </w:pPr>
    </w:p>
    <w:p w:rsidR="00C53B15" w:rsidRPr="009D3928" w:rsidRDefault="00174222" w:rsidP="00E47660">
      <w:pPr>
        <w:ind w:left="0"/>
        <w:jc w:val="both"/>
        <w:rPr>
          <w:rFonts w:ascii="Bookman Old Style" w:hAnsi="Bookman Old Style"/>
          <w:lang w:val="es-CO"/>
        </w:rPr>
      </w:pPr>
      <w:r w:rsidRPr="009D3928">
        <w:rPr>
          <w:rFonts w:ascii="Bookman Old Style" w:hAnsi="Bookman Old Style"/>
          <w:lang w:val="es-CO"/>
        </w:rPr>
        <w:t>Así</w:t>
      </w:r>
      <w:r w:rsidR="00A65633" w:rsidRPr="009D3928">
        <w:rPr>
          <w:rFonts w:ascii="Bookman Old Style" w:hAnsi="Bookman Old Style"/>
          <w:lang w:val="es-CO"/>
        </w:rPr>
        <w:t xml:space="preserve">, en la regulación se entiende por expansión </w:t>
      </w:r>
      <w:r w:rsidRPr="009D3928">
        <w:rPr>
          <w:rFonts w:ascii="Bookman Old Style" w:hAnsi="Bookman Old Style"/>
          <w:lang w:val="es-CO"/>
        </w:rPr>
        <w:t>el</w:t>
      </w:r>
      <w:r w:rsidR="00A65633" w:rsidRPr="009D3928">
        <w:rPr>
          <w:rFonts w:ascii="Bookman Old Style" w:hAnsi="Bookman Old Style"/>
          <w:lang w:val="es-CO"/>
        </w:rPr>
        <w:t xml:space="preserve"> </w:t>
      </w:r>
      <w:r w:rsidRPr="009D3928">
        <w:rPr>
          <w:rFonts w:ascii="Bookman Old Style" w:hAnsi="Bookman Old Style"/>
          <w:lang w:val="es-CO"/>
        </w:rPr>
        <w:t>aumento</w:t>
      </w:r>
      <w:r w:rsidR="00A65633" w:rsidRPr="009D3928">
        <w:rPr>
          <w:rFonts w:ascii="Bookman Old Style" w:hAnsi="Bookman Old Style"/>
          <w:lang w:val="es-CO"/>
        </w:rPr>
        <w:t xml:space="preserve"> en la capacidad de un sistema de transporte mediante </w:t>
      </w:r>
      <w:r w:rsidRPr="009D3928">
        <w:rPr>
          <w:rFonts w:ascii="Bookman Old Style" w:hAnsi="Bookman Old Style"/>
          <w:lang w:val="es-CO"/>
        </w:rPr>
        <w:t xml:space="preserve">la construcción de </w:t>
      </w:r>
      <w:r w:rsidR="00A65633" w:rsidRPr="009D3928">
        <w:rPr>
          <w:rFonts w:ascii="Bookman Old Style" w:hAnsi="Bookman Old Style"/>
          <w:i/>
          <w:lang w:val="es-CO"/>
        </w:rPr>
        <w:t>loops</w:t>
      </w:r>
      <w:r w:rsidR="00A65633" w:rsidRPr="009D3928">
        <w:rPr>
          <w:rFonts w:ascii="Bookman Old Style" w:hAnsi="Bookman Old Style"/>
          <w:lang w:val="es-CO"/>
        </w:rPr>
        <w:t xml:space="preserve"> y </w:t>
      </w:r>
      <w:r w:rsidRPr="009D3928">
        <w:rPr>
          <w:rFonts w:ascii="Bookman Old Style" w:hAnsi="Bookman Old Style"/>
          <w:lang w:val="es-CO"/>
        </w:rPr>
        <w:t xml:space="preserve">la instalación de </w:t>
      </w:r>
      <w:r w:rsidR="00A65633" w:rsidRPr="009D3928">
        <w:rPr>
          <w:rFonts w:ascii="Bookman Old Style" w:hAnsi="Bookman Old Style"/>
          <w:lang w:val="es-CO"/>
        </w:rPr>
        <w:t>compresores</w:t>
      </w:r>
      <w:r w:rsidRPr="009D3928">
        <w:rPr>
          <w:rFonts w:ascii="Bookman Old Style" w:hAnsi="Bookman Old Style"/>
          <w:lang w:val="es-CO"/>
        </w:rPr>
        <w:t>. La regulación prevé que est</w:t>
      </w:r>
      <w:r w:rsidR="001737AF" w:rsidRPr="009D3928">
        <w:rPr>
          <w:rFonts w:ascii="Bookman Old Style" w:hAnsi="Bookman Old Style"/>
          <w:lang w:val="es-CO"/>
        </w:rPr>
        <w:t>os proyectos son de responsabilidad exclusiva del transportador incumbente</w:t>
      </w:r>
      <w:r w:rsidRPr="009D3928">
        <w:rPr>
          <w:rFonts w:ascii="Bookman Old Style" w:hAnsi="Bookman Old Style"/>
          <w:lang w:val="es-CO"/>
        </w:rPr>
        <w:t xml:space="preserve"> </w:t>
      </w:r>
      <w:r w:rsidR="001737AF" w:rsidRPr="009D3928">
        <w:rPr>
          <w:rFonts w:ascii="Bookman Old Style" w:hAnsi="Bookman Old Style"/>
          <w:lang w:val="es-CO"/>
        </w:rPr>
        <w:t>y, en consonancia con lo expuesto en la sección 4.2.</w:t>
      </w:r>
      <w:r w:rsidR="00556A6F">
        <w:rPr>
          <w:rFonts w:ascii="Bookman Old Style" w:hAnsi="Bookman Old Style"/>
          <w:lang w:val="es-CO"/>
        </w:rPr>
        <w:t>2</w:t>
      </w:r>
      <w:r w:rsidR="00556A6F" w:rsidRPr="009D3928">
        <w:rPr>
          <w:rFonts w:ascii="Bookman Old Style" w:hAnsi="Bookman Old Style"/>
          <w:lang w:val="es-CO"/>
        </w:rPr>
        <w:t xml:space="preserve"> </w:t>
      </w:r>
      <w:r w:rsidR="001737AF" w:rsidRPr="009D3928">
        <w:rPr>
          <w:rFonts w:ascii="Bookman Old Style" w:hAnsi="Bookman Old Style"/>
          <w:lang w:val="es-CO"/>
        </w:rPr>
        <w:t>de este anexo, los valores eficientes de dichos activos son incorporados en el cálculo de los costos medios de mediano plazo.</w:t>
      </w:r>
    </w:p>
    <w:p w:rsidR="00C53B15" w:rsidRPr="009D3928" w:rsidRDefault="00C53B15" w:rsidP="00E47660">
      <w:pPr>
        <w:ind w:left="0"/>
        <w:jc w:val="both"/>
        <w:rPr>
          <w:rFonts w:ascii="Bookman Old Style" w:hAnsi="Bookman Old Style"/>
          <w:lang w:val="es-CO"/>
        </w:rPr>
      </w:pPr>
    </w:p>
    <w:p w:rsidR="003B18C1" w:rsidRPr="009D3928" w:rsidRDefault="00442BAD" w:rsidP="00E47660">
      <w:pPr>
        <w:ind w:left="0"/>
        <w:jc w:val="both"/>
        <w:rPr>
          <w:rFonts w:ascii="Bookman Old Style" w:hAnsi="Bookman Old Style"/>
          <w:lang w:val="es-CO"/>
        </w:rPr>
      </w:pPr>
      <w:r w:rsidRPr="009D3928">
        <w:rPr>
          <w:rFonts w:ascii="Bookman Old Style" w:hAnsi="Bookman Old Style"/>
          <w:lang w:val="es-CO"/>
        </w:rPr>
        <w:t xml:space="preserve">De otro lado, en la regulación se entiende por extensión la prolongación de un sistema de transporte mediante la construcción de gasoductos y de otros activos </w:t>
      </w:r>
      <w:r w:rsidR="00931BEF" w:rsidRPr="009D3928">
        <w:rPr>
          <w:rFonts w:ascii="Bookman Old Style" w:hAnsi="Bookman Old Style"/>
          <w:lang w:val="es-CO"/>
        </w:rPr>
        <w:t>asociados a los mismos</w:t>
      </w:r>
      <w:r w:rsidRPr="009D3928">
        <w:rPr>
          <w:rFonts w:ascii="Bookman Old Style" w:hAnsi="Bookman Old Style"/>
          <w:lang w:val="es-CO"/>
        </w:rPr>
        <w:t xml:space="preserve">. </w:t>
      </w:r>
      <w:r w:rsidR="00894EDD" w:rsidRPr="009D3928">
        <w:rPr>
          <w:rFonts w:ascii="Bookman Old Style" w:hAnsi="Bookman Old Style"/>
          <w:lang w:val="es-CO"/>
        </w:rPr>
        <w:t xml:space="preserve">A diferencia de lo previsto para las expansiones, la regulación contempla que cualquier transportador puede acometer una extensión. Incluso la Resolución CREG 126 de 2010 introdujo ajustes a las normas sobre integración vertical, de forma tal que un distribuidor puede realizar una extensión cuando la misma corresponde a un gasoducto de la </w:t>
      </w:r>
      <w:r w:rsidR="00894EDD" w:rsidRPr="009D3928">
        <w:rPr>
          <w:rFonts w:ascii="Bookman Old Style" w:hAnsi="Bookman Old Style" w:cs="Arial"/>
          <w:color w:val="000000"/>
          <w:lang w:val="es-ES_tradnl"/>
        </w:rPr>
        <w:t>red tipo II.</w:t>
      </w:r>
    </w:p>
    <w:p w:rsidR="003B18C1" w:rsidRPr="009D3928" w:rsidRDefault="003B18C1" w:rsidP="00E47660">
      <w:pPr>
        <w:ind w:left="0"/>
        <w:jc w:val="both"/>
        <w:rPr>
          <w:rFonts w:ascii="Bookman Old Style" w:hAnsi="Bookman Old Style"/>
          <w:lang w:val="es-CO"/>
        </w:rPr>
      </w:pPr>
    </w:p>
    <w:p w:rsidR="00F81D5E" w:rsidRPr="009D3928" w:rsidRDefault="00F81D5E" w:rsidP="00E47660">
      <w:pPr>
        <w:ind w:left="0"/>
        <w:jc w:val="both"/>
        <w:rPr>
          <w:rFonts w:ascii="Bookman Old Style" w:hAnsi="Bookman Old Style"/>
          <w:lang w:val="es-CO"/>
        </w:rPr>
      </w:pPr>
      <w:r w:rsidRPr="009D3928">
        <w:rPr>
          <w:rFonts w:ascii="Bookman Old Style" w:hAnsi="Bookman Old Style"/>
          <w:lang w:val="es-CO"/>
        </w:rPr>
        <w:t>Como en el caso de los demás temas expuestos en este Anexo, para plantear los asuntos que deben ser objeto de análisis dentro del marco de la nueva metodología tarifaria, resulta imperativo analizar las fortalezas y las debilidades del marco regulatorio vigente:</w:t>
      </w:r>
    </w:p>
    <w:p w:rsidR="00F81D5E" w:rsidRPr="009D3928" w:rsidRDefault="00F81D5E" w:rsidP="00E47660">
      <w:pPr>
        <w:ind w:left="0"/>
        <w:jc w:val="both"/>
        <w:rPr>
          <w:rFonts w:ascii="Bookman Old Style" w:hAnsi="Bookman Old Style"/>
          <w:lang w:val="es-CO"/>
        </w:rPr>
      </w:pPr>
    </w:p>
    <w:p w:rsidR="00F81D5E" w:rsidRPr="009D3928" w:rsidRDefault="00EB6B89"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 xml:space="preserve">La metodología tarifaria vigente tiene un efecto positivo en materia de coordinación en la operación de la infraestructura de transporte. Lo anterior en la medida en que </w:t>
      </w:r>
      <w:r w:rsidR="000C2F0C" w:rsidRPr="009D3928">
        <w:rPr>
          <w:rFonts w:ascii="Bookman Old Style" w:hAnsi="Bookman Old Style"/>
          <w:lang w:val="es-CO"/>
        </w:rPr>
        <w:t xml:space="preserve">el desarrollo de las expansiones </w:t>
      </w:r>
      <w:r w:rsidRPr="009D3928">
        <w:rPr>
          <w:rFonts w:ascii="Bookman Old Style" w:hAnsi="Bookman Old Style"/>
          <w:lang w:val="es-CO"/>
        </w:rPr>
        <w:t xml:space="preserve">es una responsabilidad exclusiva del transportador incumbente, razón por la cual éste no debe hacer esfuerzos adicionales en la coordinación con otros agentes responsables de la operación de estaciones de compresión o </w:t>
      </w:r>
      <w:r w:rsidRPr="009D3928">
        <w:rPr>
          <w:rFonts w:ascii="Bookman Old Style" w:hAnsi="Bookman Old Style"/>
          <w:i/>
          <w:lang w:val="es-CO"/>
        </w:rPr>
        <w:t>loops</w:t>
      </w:r>
      <w:r w:rsidRPr="009D3928">
        <w:rPr>
          <w:rFonts w:ascii="Bookman Old Style" w:hAnsi="Bookman Old Style"/>
          <w:lang w:val="es-CO"/>
        </w:rPr>
        <w:t xml:space="preserve"> inmersos en su sistema de transporte.</w:t>
      </w:r>
    </w:p>
    <w:p w:rsidR="00DC4CC1" w:rsidRPr="009D3928" w:rsidRDefault="00DC4CC1" w:rsidP="00E47660">
      <w:pPr>
        <w:ind w:left="0"/>
        <w:jc w:val="both"/>
        <w:rPr>
          <w:rFonts w:ascii="Bookman Old Style" w:hAnsi="Bookman Old Style"/>
          <w:lang w:val="es-CO"/>
        </w:rPr>
      </w:pPr>
    </w:p>
    <w:p w:rsidR="00DC4CC1" w:rsidRPr="009D3928" w:rsidRDefault="00DC4CC1"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Algo similar puede afirmarse para los aspectos comerciales, pues no se requieren mecanismos adicionales para asegurar la remuneración de inversiones acometidas por terceros e inmersas en un sistema de transporte existente, bien sea mediante pagos hechos por los remitentes o por el transportador incumbente.</w:t>
      </w:r>
    </w:p>
    <w:p w:rsidR="00DC4CC1" w:rsidRPr="009D3928" w:rsidRDefault="00DC4CC1" w:rsidP="00E47660">
      <w:pPr>
        <w:ind w:left="0"/>
        <w:jc w:val="both"/>
        <w:rPr>
          <w:rFonts w:ascii="Bookman Old Style" w:hAnsi="Bookman Old Style"/>
          <w:lang w:val="es-CO"/>
        </w:rPr>
      </w:pPr>
    </w:p>
    <w:p w:rsidR="00DC4CC1" w:rsidRPr="009D3928" w:rsidRDefault="00DC4CC1"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Además tiene la ventaja de dejar las decisiones de expansión en cabeza del agente que tiene el mejor conocimiento de las condiciones operativas y comerciales de un sistema de transporte existente.</w:t>
      </w:r>
    </w:p>
    <w:p w:rsidR="00DC4CC1" w:rsidRPr="009D3928" w:rsidRDefault="00DC4CC1" w:rsidP="00E47660">
      <w:pPr>
        <w:ind w:left="0"/>
        <w:jc w:val="both"/>
        <w:rPr>
          <w:rFonts w:ascii="Bookman Old Style" w:hAnsi="Bookman Old Style"/>
          <w:lang w:val="es-CO"/>
        </w:rPr>
      </w:pPr>
    </w:p>
    <w:p w:rsidR="00DC4CC1" w:rsidRPr="009D3928" w:rsidRDefault="00DC4CC1"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 xml:space="preserve">Sin embargo, </w:t>
      </w:r>
      <w:r w:rsidR="00B35C75" w:rsidRPr="009D3928">
        <w:rPr>
          <w:rFonts w:ascii="Bookman Old Style" w:hAnsi="Bookman Old Style"/>
          <w:lang w:val="es-CO"/>
        </w:rPr>
        <w:t>el</w:t>
      </w:r>
      <w:r w:rsidRPr="009D3928">
        <w:rPr>
          <w:rFonts w:ascii="Bookman Old Style" w:hAnsi="Bookman Old Style"/>
          <w:lang w:val="es-CO"/>
        </w:rPr>
        <w:t xml:space="preserve"> </w:t>
      </w:r>
      <w:r w:rsidR="00B35C75" w:rsidRPr="009D3928">
        <w:rPr>
          <w:rFonts w:ascii="Bookman Old Style" w:hAnsi="Bookman Old Style"/>
          <w:lang w:val="es-CO"/>
        </w:rPr>
        <w:t xml:space="preserve">hecho de que el transportador incumbente sea el único responsable de acometer este tipo de inversiones trae como inconveniente que este transportador puede posponer o incluso dejar de llevar a cabo expansiones </w:t>
      </w:r>
      <w:r w:rsidR="00B35C75" w:rsidRPr="009D3928">
        <w:rPr>
          <w:rFonts w:ascii="Bookman Old Style" w:hAnsi="Bookman Old Style"/>
          <w:lang w:val="es-CO"/>
        </w:rPr>
        <w:lastRenderedPageBreak/>
        <w:t xml:space="preserve">requeridas. Por ejemplo, esta situación se puede dar cuando se desarrolla una nueva fuente de suministro de gas natural en un punto medio o en la </w:t>
      </w:r>
      <w:r w:rsidR="00963F93">
        <w:rPr>
          <w:rFonts w:ascii="Bookman Old Style" w:hAnsi="Bookman Old Style"/>
          <w:lang w:val="es-CO"/>
        </w:rPr>
        <w:t xml:space="preserve">parte final </w:t>
      </w:r>
      <w:r w:rsidR="00B35C75" w:rsidRPr="009D3928">
        <w:rPr>
          <w:rFonts w:ascii="Bookman Old Style" w:hAnsi="Bookman Old Style"/>
          <w:lang w:val="es-CO"/>
        </w:rPr>
        <w:t>de un sistema de transporte.</w:t>
      </w:r>
      <w:r w:rsidR="00BE08BF" w:rsidRPr="009D3928">
        <w:rPr>
          <w:rFonts w:ascii="Bookman Old Style" w:hAnsi="Bookman Old Style"/>
          <w:lang w:val="es-CO"/>
        </w:rPr>
        <w:t xml:space="preserve"> Est</w:t>
      </w:r>
      <w:r w:rsidR="009F65FF">
        <w:rPr>
          <w:rFonts w:ascii="Bookman Old Style" w:hAnsi="Bookman Old Style"/>
          <w:lang w:val="es-CO"/>
        </w:rPr>
        <w:t>as</w:t>
      </w:r>
      <w:r w:rsidR="00BE08BF" w:rsidRPr="009D3928">
        <w:rPr>
          <w:rFonts w:ascii="Bookman Old Style" w:hAnsi="Bookman Old Style"/>
          <w:lang w:val="es-CO"/>
        </w:rPr>
        <w:t xml:space="preserve"> circunstancias no necesariamente </w:t>
      </w:r>
      <w:r w:rsidR="00C25452">
        <w:rPr>
          <w:rFonts w:ascii="Bookman Old Style" w:hAnsi="Bookman Old Style"/>
          <w:lang w:val="es-CO"/>
        </w:rPr>
        <w:t>son</w:t>
      </w:r>
      <w:r w:rsidR="00C25452" w:rsidRPr="009D3928">
        <w:rPr>
          <w:rFonts w:ascii="Bookman Old Style" w:hAnsi="Bookman Old Style"/>
          <w:lang w:val="es-CO"/>
        </w:rPr>
        <w:t xml:space="preserve"> </w:t>
      </w:r>
      <w:r w:rsidR="00BE08BF" w:rsidRPr="009D3928">
        <w:rPr>
          <w:rFonts w:ascii="Bookman Old Style" w:hAnsi="Bookman Old Style"/>
          <w:lang w:val="es-CO"/>
        </w:rPr>
        <w:t>evidente</w:t>
      </w:r>
      <w:r w:rsidR="00C25452">
        <w:rPr>
          <w:rFonts w:ascii="Bookman Old Style" w:hAnsi="Bookman Old Style"/>
          <w:lang w:val="es-CO"/>
        </w:rPr>
        <w:t>s</w:t>
      </w:r>
      <w:r w:rsidR="00BE08BF" w:rsidRPr="009D3928">
        <w:rPr>
          <w:rFonts w:ascii="Bookman Old Style" w:hAnsi="Bookman Old Style"/>
          <w:lang w:val="es-CO"/>
        </w:rPr>
        <w:t xml:space="preserve"> para los órganos de inspección, vigilancia y control, como tampoco para los demás participantes del mercado, pues el transportador se puede escudar en una supuesta insuficiencia financiera por los valores eficientes</w:t>
      </w:r>
      <w:r w:rsidR="009321FF" w:rsidRPr="009D3928">
        <w:rPr>
          <w:rFonts w:ascii="Bookman Old Style" w:hAnsi="Bookman Old Style"/>
          <w:lang w:val="es-CO"/>
        </w:rPr>
        <w:t xml:space="preserve"> de las inversiones que son</w:t>
      </w:r>
      <w:r w:rsidR="00BE08BF" w:rsidRPr="009D3928">
        <w:rPr>
          <w:rFonts w:ascii="Bookman Old Style" w:hAnsi="Bookman Old Style"/>
          <w:lang w:val="es-CO"/>
        </w:rPr>
        <w:t xml:space="preserve"> determinados por el regulador.</w:t>
      </w:r>
    </w:p>
    <w:p w:rsidR="009321FF" w:rsidRPr="009D3928" w:rsidRDefault="009321FF" w:rsidP="00E47660">
      <w:pPr>
        <w:ind w:left="0"/>
        <w:jc w:val="both"/>
        <w:rPr>
          <w:rFonts w:ascii="Bookman Old Style" w:hAnsi="Bookman Old Style"/>
          <w:lang w:val="es-CO"/>
        </w:rPr>
      </w:pPr>
    </w:p>
    <w:p w:rsidR="009321FF" w:rsidRPr="009D3928" w:rsidRDefault="000D3A15"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En el caso de las extensiones se debe decir que si bien hasta el momento no se ha concretado la ejecución de las que han sido propuestas por los transportadores, no se encuentra motivo para considerar que esto obedezca al mecanismo de convocatorias implementado en la Resolución CREG 126 de 2010.</w:t>
      </w:r>
    </w:p>
    <w:p w:rsidR="00BE08BF" w:rsidRPr="009D3928" w:rsidRDefault="00BE08BF" w:rsidP="00E47660">
      <w:pPr>
        <w:ind w:left="0"/>
        <w:jc w:val="both"/>
        <w:rPr>
          <w:rFonts w:ascii="Bookman Old Style" w:hAnsi="Bookman Old Style"/>
          <w:lang w:val="es-CO"/>
        </w:rPr>
      </w:pPr>
    </w:p>
    <w:p w:rsidR="00C855E1" w:rsidRDefault="000D3A15" w:rsidP="00E47660">
      <w:pPr>
        <w:ind w:left="0"/>
        <w:jc w:val="both"/>
        <w:rPr>
          <w:rFonts w:ascii="Bookman Old Style" w:hAnsi="Bookman Old Style"/>
          <w:lang w:val="es-CO"/>
        </w:rPr>
      </w:pPr>
      <w:r w:rsidRPr="009D3928">
        <w:rPr>
          <w:rFonts w:ascii="Bookman Old Style" w:hAnsi="Bookman Old Style"/>
          <w:lang w:val="es-CO"/>
        </w:rPr>
        <w:t xml:space="preserve">Con fundamento en lo anterior, la Comisión considera necesario estudiar la posibilidad de que terceros </w:t>
      </w:r>
      <w:r w:rsidR="00556A6F">
        <w:rPr>
          <w:rFonts w:ascii="Bookman Old Style" w:hAnsi="Bookman Old Style"/>
          <w:lang w:val="es-CO"/>
        </w:rPr>
        <w:t xml:space="preserve">puedan </w:t>
      </w:r>
      <w:r w:rsidR="00556A6F" w:rsidRPr="009D3928">
        <w:rPr>
          <w:rFonts w:ascii="Bookman Old Style" w:hAnsi="Bookman Old Style"/>
          <w:lang w:val="es-CO"/>
        </w:rPr>
        <w:t>emprend</w:t>
      </w:r>
      <w:r w:rsidR="00556A6F">
        <w:rPr>
          <w:rFonts w:ascii="Bookman Old Style" w:hAnsi="Bookman Old Style"/>
          <w:lang w:val="es-CO"/>
        </w:rPr>
        <w:t>er</w:t>
      </w:r>
      <w:r w:rsidR="00556A6F" w:rsidRPr="009D3928">
        <w:rPr>
          <w:rFonts w:ascii="Bookman Old Style" w:hAnsi="Bookman Old Style"/>
          <w:lang w:val="es-CO"/>
        </w:rPr>
        <w:t xml:space="preserve"> </w:t>
      </w:r>
      <w:r w:rsidRPr="009D3928">
        <w:rPr>
          <w:rFonts w:ascii="Bookman Old Style" w:hAnsi="Bookman Old Style"/>
          <w:lang w:val="es-CO"/>
        </w:rPr>
        <w:t>inversiones en expansiones</w:t>
      </w:r>
      <w:r w:rsidR="00556A6F">
        <w:rPr>
          <w:rFonts w:ascii="Bookman Old Style" w:hAnsi="Bookman Old Style"/>
          <w:lang w:val="es-CO"/>
        </w:rPr>
        <w:t xml:space="preserve"> (i.e. </w:t>
      </w:r>
      <w:r w:rsidR="00556A6F">
        <w:rPr>
          <w:rFonts w:ascii="Bookman Old Style" w:hAnsi="Bookman Old Style"/>
          <w:i/>
          <w:lang w:val="es-CO"/>
        </w:rPr>
        <w:t>loops</w:t>
      </w:r>
      <w:r w:rsidR="00556A6F">
        <w:rPr>
          <w:rFonts w:ascii="Bookman Old Style" w:hAnsi="Bookman Old Style"/>
          <w:lang w:val="es-CO"/>
        </w:rPr>
        <w:t xml:space="preserve"> o compresores)</w:t>
      </w:r>
      <w:r w:rsidRPr="009D3928">
        <w:rPr>
          <w:rFonts w:ascii="Bookman Old Style" w:hAnsi="Bookman Old Style"/>
          <w:lang w:val="es-CO"/>
        </w:rPr>
        <w:t xml:space="preserve"> </w:t>
      </w:r>
      <w:r w:rsidR="00556A6F">
        <w:rPr>
          <w:rFonts w:ascii="Bookman Old Style" w:hAnsi="Bookman Old Style"/>
          <w:lang w:val="es-CO"/>
        </w:rPr>
        <w:t xml:space="preserve">o extensiones (i.e. un nuevo gasoducto para atender un nuevo mercado) </w:t>
      </w:r>
      <w:r w:rsidRPr="009D3928">
        <w:rPr>
          <w:rFonts w:ascii="Bookman Old Style" w:hAnsi="Bookman Old Style"/>
          <w:lang w:val="es-CO"/>
        </w:rPr>
        <w:t xml:space="preserve">consideradas necesarias por la UPME, </w:t>
      </w:r>
      <w:r w:rsidR="0066568E">
        <w:rPr>
          <w:rFonts w:ascii="Bookman Old Style" w:hAnsi="Bookman Old Style"/>
          <w:lang w:val="es-CO"/>
        </w:rPr>
        <w:t xml:space="preserve">como </w:t>
      </w:r>
      <w:r w:rsidRPr="009D3928">
        <w:rPr>
          <w:rFonts w:ascii="Bookman Old Style" w:hAnsi="Bookman Old Style"/>
          <w:lang w:val="es-CO"/>
        </w:rPr>
        <w:t>órgano responsable de la planeación indicativa</w:t>
      </w:r>
      <w:r w:rsidR="0066568E">
        <w:rPr>
          <w:rFonts w:ascii="Bookman Old Style" w:hAnsi="Bookman Old Style"/>
          <w:lang w:val="es-CO"/>
        </w:rPr>
        <w:t xml:space="preserve"> y coordinada</w:t>
      </w:r>
      <w:r w:rsidRPr="009D3928">
        <w:rPr>
          <w:rFonts w:ascii="Bookman Old Style" w:hAnsi="Bookman Old Style"/>
          <w:lang w:val="es-CO"/>
        </w:rPr>
        <w:t xml:space="preserve"> del sector de minas y energía</w:t>
      </w:r>
      <w:r w:rsidR="0066568E">
        <w:rPr>
          <w:rFonts w:ascii="Bookman Old Style" w:hAnsi="Bookman Old Style"/>
        </w:rPr>
        <w:t xml:space="preserve"> de acuerdo con lo previsto en el Decreto 1258 de 2013</w:t>
      </w:r>
      <w:r w:rsidR="000340F0" w:rsidRPr="009D3928">
        <w:rPr>
          <w:rFonts w:ascii="Bookman Old Style" w:hAnsi="Bookman Old Style"/>
          <w:lang w:val="es-CO"/>
        </w:rPr>
        <w:t xml:space="preserve">, </w:t>
      </w:r>
      <w:r w:rsidR="0066568E">
        <w:rPr>
          <w:rFonts w:ascii="Bookman Old Style" w:hAnsi="Bookman Old Style"/>
          <w:lang w:val="es-CO"/>
        </w:rPr>
        <w:t>en concordancia con las funciones atribuidas en esta materia al Ministerio de Minas y Energía en virtud de lo previsto en el artículo 67.2 de la Ley 142 de 1994</w:t>
      </w:r>
      <w:r w:rsidRPr="009D3928">
        <w:rPr>
          <w:rFonts w:ascii="Bookman Old Style" w:hAnsi="Bookman Old Style"/>
          <w:lang w:val="es-CO"/>
        </w:rPr>
        <w:t>.</w:t>
      </w:r>
    </w:p>
    <w:p w:rsidR="00C855E1" w:rsidRDefault="00C855E1" w:rsidP="00E47660">
      <w:pPr>
        <w:ind w:left="0"/>
        <w:jc w:val="both"/>
        <w:rPr>
          <w:rFonts w:ascii="Bookman Old Style" w:hAnsi="Bookman Old Style"/>
          <w:lang w:val="es-CO"/>
        </w:rPr>
      </w:pPr>
    </w:p>
    <w:p w:rsidR="000D3A15" w:rsidRPr="00701C21" w:rsidRDefault="000340F0" w:rsidP="00E47660">
      <w:pPr>
        <w:ind w:left="0"/>
        <w:jc w:val="both"/>
        <w:rPr>
          <w:rFonts w:ascii="Bookman Old Style" w:hAnsi="Bookman Old Style"/>
          <w:lang w:val="es-CO"/>
        </w:rPr>
      </w:pPr>
      <w:r w:rsidRPr="009D3928">
        <w:rPr>
          <w:rFonts w:ascii="Bookman Old Style" w:hAnsi="Bookman Old Style"/>
          <w:lang w:val="es-CO"/>
        </w:rPr>
        <w:t xml:space="preserve">En estos casos la UPME </w:t>
      </w:r>
      <w:r w:rsidR="00963F93">
        <w:rPr>
          <w:rFonts w:ascii="Bookman Old Style" w:hAnsi="Bookman Old Style"/>
          <w:lang w:val="es-CO"/>
        </w:rPr>
        <w:t xml:space="preserve">identificaría </w:t>
      </w:r>
      <w:r w:rsidRPr="009D3928">
        <w:rPr>
          <w:rFonts w:ascii="Bookman Old Style" w:hAnsi="Bookman Old Style"/>
          <w:lang w:val="es-CO"/>
        </w:rPr>
        <w:t>las posibles expansiones</w:t>
      </w:r>
      <w:r w:rsidR="00C855E1">
        <w:rPr>
          <w:rFonts w:ascii="Bookman Old Style" w:hAnsi="Bookman Old Style"/>
          <w:lang w:val="es-CO"/>
        </w:rPr>
        <w:t xml:space="preserve"> y extensiones</w:t>
      </w:r>
      <w:r w:rsidR="00963F93">
        <w:rPr>
          <w:rFonts w:ascii="Bookman Old Style" w:hAnsi="Bookman Old Style"/>
          <w:lang w:val="es-CO"/>
        </w:rPr>
        <w:t xml:space="preserve"> con base en los criterios que defina la CREG e</w:t>
      </w:r>
      <w:r w:rsidRPr="009D3928">
        <w:rPr>
          <w:rFonts w:ascii="Bookman Old Style" w:hAnsi="Bookman Old Style"/>
          <w:lang w:val="es-CO"/>
        </w:rPr>
        <w:t xml:space="preserve"> impulsar</w:t>
      </w:r>
      <w:r w:rsidR="00963F93">
        <w:rPr>
          <w:rFonts w:ascii="Bookman Old Style" w:hAnsi="Bookman Old Style"/>
          <w:lang w:val="es-CO"/>
        </w:rPr>
        <w:t>ía</w:t>
      </w:r>
      <w:r w:rsidRPr="009D3928">
        <w:rPr>
          <w:rFonts w:ascii="Bookman Old Style" w:hAnsi="Bookman Old Style"/>
          <w:lang w:val="es-CO"/>
        </w:rPr>
        <w:t xml:space="preserve"> su desarrollo mediante </w:t>
      </w:r>
      <w:r w:rsidR="0066568E">
        <w:rPr>
          <w:rFonts w:ascii="Bookman Old Style" w:hAnsi="Bookman Old Style"/>
          <w:lang w:val="es-CO"/>
        </w:rPr>
        <w:t xml:space="preserve">los </w:t>
      </w:r>
      <w:r w:rsidRPr="009D3928">
        <w:rPr>
          <w:rFonts w:ascii="Bookman Old Style" w:hAnsi="Bookman Old Style"/>
          <w:lang w:val="es-CO"/>
        </w:rPr>
        <w:t xml:space="preserve">mecanismos que </w:t>
      </w:r>
      <w:r w:rsidR="0066568E">
        <w:rPr>
          <w:rFonts w:ascii="Bookman Old Style" w:hAnsi="Bookman Old Style"/>
          <w:lang w:val="es-CO"/>
        </w:rPr>
        <w:t>se</w:t>
      </w:r>
      <w:r w:rsidR="0066568E" w:rsidRPr="009D3928">
        <w:rPr>
          <w:rFonts w:ascii="Bookman Old Style" w:hAnsi="Bookman Old Style"/>
          <w:lang w:val="es-CO"/>
        </w:rPr>
        <w:t xml:space="preserve"> </w:t>
      </w:r>
      <w:r w:rsidRPr="009D3928">
        <w:rPr>
          <w:rFonts w:ascii="Bookman Old Style" w:hAnsi="Bookman Old Style"/>
          <w:lang w:val="es-CO"/>
        </w:rPr>
        <w:t>estable</w:t>
      </w:r>
      <w:r w:rsidR="0066568E">
        <w:rPr>
          <w:rFonts w:ascii="Bookman Old Style" w:hAnsi="Bookman Old Style"/>
          <w:lang w:val="es-CO"/>
        </w:rPr>
        <w:t>zcan</w:t>
      </w:r>
      <w:r w:rsidRPr="009D3928">
        <w:rPr>
          <w:rFonts w:ascii="Bookman Old Style" w:hAnsi="Bookman Old Style"/>
          <w:lang w:val="es-CO"/>
        </w:rPr>
        <w:t xml:space="preserve"> </w:t>
      </w:r>
      <w:r w:rsidR="0066568E">
        <w:rPr>
          <w:rFonts w:ascii="Bookman Old Style" w:hAnsi="Bookman Old Style"/>
          <w:lang w:val="es-CO"/>
        </w:rPr>
        <w:t>por parte de</w:t>
      </w:r>
      <w:r w:rsidR="00C855E1">
        <w:rPr>
          <w:rFonts w:ascii="Bookman Old Style" w:hAnsi="Bookman Old Style"/>
          <w:lang w:val="es-CO"/>
        </w:rPr>
        <w:t xml:space="preserve"> </w:t>
      </w:r>
      <w:r w:rsidR="0066568E">
        <w:rPr>
          <w:rFonts w:ascii="Bookman Old Style" w:hAnsi="Bookman Old Style"/>
          <w:lang w:val="es-CO"/>
        </w:rPr>
        <w:t xml:space="preserve">la CREG </w:t>
      </w:r>
      <w:r w:rsidRPr="009D3928">
        <w:rPr>
          <w:rFonts w:ascii="Bookman Old Style" w:hAnsi="Bookman Old Style"/>
          <w:lang w:val="es-CO"/>
        </w:rPr>
        <w:t xml:space="preserve">en la regulación y que tomen como referencia las experiencias nacionales e internacionales de los denominados </w:t>
      </w:r>
      <w:r w:rsidRPr="009D3928">
        <w:rPr>
          <w:rFonts w:ascii="Bookman Old Style" w:hAnsi="Bookman Old Style"/>
          <w:i/>
          <w:lang w:val="es-CO"/>
        </w:rPr>
        <w:t>open seasons</w:t>
      </w:r>
      <w:r w:rsidR="003E6BE5">
        <w:rPr>
          <w:rFonts w:ascii="Bookman Old Style" w:hAnsi="Bookman Old Style"/>
          <w:i/>
          <w:lang w:val="es-CO"/>
        </w:rPr>
        <w:t xml:space="preserve"> </w:t>
      </w:r>
      <w:r w:rsidR="003E6BE5" w:rsidRPr="002A6C1E">
        <w:rPr>
          <w:rFonts w:ascii="Bookman Old Style" w:hAnsi="Bookman Old Style"/>
          <w:lang w:val="es-CO"/>
        </w:rPr>
        <w:t xml:space="preserve">donde interactúan tanto la oferta </w:t>
      </w:r>
      <w:r w:rsidR="00635F9C" w:rsidRPr="002A6C1E">
        <w:rPr>
          <w:rFonts w:ascii="Bookman Old Style" w:hAnsi="Bookman Old Style"/>
          <w:lang w:val="es-CO"/>
        </w:rPr>
        <w:t xml:space="preserve">de capacidad </w:t>
      </w:r>
      <w:r w:rsidR="00635F9C">
        <w:rPr>
          <w:rFonts w:ascii="Bookman Old Style" w:hAnsi="Bookman Old Style"/>
          <w:lang w:val="es-CO"/>
        </w:rPr>
        <w:t xml:space="preserve">de transporte </w:t>
      </w:r>
      <w:r w:rsidR="00635F9C" w:rsidRPr="002A6C1E">
        <w:rPr>
          <w:rFonts w:ascii="Bookman Old Style" w:hAnsi="Bookman Old Style"/>
          <w:lang w:val="es-CO"/>
        </w:rPr>
        <w:t>como la demanda interesada en esa capacidad</w:t>
      </w:r>
      <w:r w:rsidR="00963F93" w:rsidRPr="00F30E98">
        <w:rPr>
          <w:rStyle w:val="Refdenotaalpie"/>
          <w:rFonts w:ascii="Bookman Old Style" w:hAnsi="Bookman Old Style"/>
          <w:lang w:val="es-CO"/>
        </w:rPr>
        <w:footnoteReference w:id="15"/>
      </w:r>
      <w:r w:rsidRPr="009D3928">
        <w:rPr>
          <w:rFonts w:ascii="Bookman Old Style" w:hAnsi="Bookman Old Style"/>
          <w:lang w:val="es-CO"/>
        </w:rPr>
        <w:t>.</w:t>
      </w:r>
    </w:p>
    <w:p w:rsidR="0066568E" w:rsidRDefault="0066568E" w:rsidP="00E47660">
      <w:pPr>
        <w:ind w:left="0"/>
        <w:jc w:val="both"/>
        <w:rPr>
          <w:rFonts w:ascii="Bookman Old Style" w:hAnsi="Bookman Old Style"/>
          <w:lang w:val="es-CO"/>
        </w:rPr>
      </w:pPr>
    </w:p>
    <w:p w:rsidR="00D33044" w:rsidRPr="009D3928" w:rsidRDefault="002740F7" w:rsidP="00E47660">
      <w:pPr>
        <w:ind w:left="0"/>
        <w:jc w:val="both"/>
        <w:rPr>
          <w:rFonts w:ascii="Bookman Old Style" w:hAnsi="Bookman Old Style"/>
          <w:lang w:val="es-CO"/>
        </w:rPr>
      </w:pPr>
      <w:r w:rsidRPr="009D3928">
        <w:rPr>
          <w:rFonts w:ascii="Bookman Old Style" w:hAnsi="Bookman Old Style"/>
          <w:lang w:val="es-CO"/>
        </w:rPr>
        <w:t xml:space="preserve">Adicionalmente, la Comisión considera </w:t>
      </w:r>
      <w:r w:rsidR="000D3A15" w:rsidRPr="009D3928">
        <w:rPr>
          <w:rFonts w:ascii="Bookman Old Style" w:hAnsi="Bookman Old Style"/>
          <w:lang w:val="es-CO"/>
        </w:rPr>
        <w:t xml:space="preserve">prudente darle continuidad al mecanismo de convocatorias </w:t>
      </w:r>
      <w:r w:rsidRPr="009D3928">
        <w:rPr>
          <w:rFonts w:ascii="Bookman Old Style" w:hAnsi="Bookman Old Style"/>
          <w:lang w:val="es-CO"/>
        </w:rPr>
        <w:t xml:space="preserve">para el desarrollo de extensiones que fue </w:t>
      </w:r>
      <w:r w:rsidR="000D3A15" w:rsidRPr="009D3928">
        <w:rPr>
          <w:rFonts w:ascii="Bookman Old Style" w:hAnsi="Bookman Old Style"/>
          <w:lang w:val="es-CO"/>
        </w:rPr>
        <w:t xml:space="preserve">implementado </w:t>
      </w:r>
      <w:r w:rsidRPr="009D3928">
        <w:rPr>
          <w:rFonts w:ascii="Bookman Old Style" w:hAnsi="Bookman Old Style"/>
          <w:lang w:val="es-CO"/>
        </w:rPr>
        <w:t xml:space="preserve">en </w:t>
      </w:r>
      <w:r w:rsidR="000D3A15" w:rsidRPr="009D3928">
        <w:rPr>
          <w:rFonts w:ascii="Bookman Old Style" w:hAnsi="Bookman Old Style"/>
          <w:lang w:val="es-CO"/>
        </w:rPr>
        <w:t xml:space="preserve">la </w:t>
      </w:r>
      <w:r w:rsidRPr="009D3928">
        <w:rPr>
          <w:rFonts w:ascii="Bookman Old Style" w:hAnsi="Bookman Old Style"/>
          <w:lang w:val="es-CO"/>
        </w:rPr>
        <w:t xml:space="preserve">Resolución CREG 126 de 2010. </w:t>
      </w:r>
      <w:r w:rsidR="00D33044" w:rsidRPr="009D3928">
        <w:rPr>
          <w:rFonts w:ascii="Bookman Old Style" w:hAnsi="Bookman Old Style"/>
          <w:lang w:val="es-CO"/>
        </w:rPr>
        <w:t>Sin embargo, se observa la necesidad de introducir mejoras al mecanismo, de forma tal que sea más expedito.</w:t>
      </w:r>
    </w:p>
    <w:p w:rsidR="00D33044" w:rsidRPr="009D3928" w:rsidRDefault="00D33044" w:rsidP="00E47660">
      <w:pPr>
        <w:ind w:left="0"/>
        <w:jc w:val="both"/>
        <w:rPr>
          <w:rFonts w:ascii="Bookman Old Style" w:hAnsi="Bookman Old Style"/>
          <w:lang w:val="es-CO"/>
        </w:rPr>
      </w:pPr>
    </w:p>
    <w:p w:rsidR="000D3A15" w:rsidRPr="009D3928" w:rsidRDefault="00057E91" w:rsidP="00E47660">
      <w:pPr>
        <w:ind w:left="0"/>
        <w:jc w:val="both"/>
        <w:rPr>
          <w:rFonts w:ascii="Bookman Old Style" w:hAnsi="Bookman Old Style"/>
          <w:lang w:val="es-CO"/>
        </w:rPr>
      </w:pPr>
      <w:r>
        <w:rPr>
          <w:rFonts w:ascii="Bookman Old Style" w:hAnsi="Bookman Old Style"/>
          <w:lang w:val="es-CO"/>
        </w:rPr>
        <w:t>Los</w:t>
      </w:r>
      <w:r w:rsidRPr="009D3928">
        <w:rPr>
          <w:rFonts w:ascii="Bookman Old Style" w:hAnsi="Bookman Old Style"/>
          <w:lang w:val="es-CO"/>
        </w:rPr>
        <w:t xml:space="preserve"> </w:t>
      </w:r>
      <w:r w:rsidR="00465F53" w:rsidRPr="009D3928">
        <w:rPr>
          <w:rFonts w:ascii="Bookman Old Style" w:hAnsi="Bookman Old Style"/>
          <w:lang w:val="es-CO"/>
        </w:rPr>
        <w:t xml:space="preserve">dos instrumentos </w:t>
      </w:r>
      <w:r>
        <w:rPr>
          <w:rFonts w:ascii="Bookman Old Style" w:hAnsi="Bookman Old Style"/>
          <w:lang w:val="es-CO"/>
        </w:rPr>
        <w:t xml:space="preserve">anteriores (i.e. los </w:t>
      </w:r>
      <w:r>
        <w:rPr>
          <w:rFonts w:ascii="Bookman Old Style" w:hAnsi="Bookman Old Style"/>
          <w:i/>
          <w:lang w:val="es-CO"/>
        </w:rPr>
        <w:t xml:space="preserve">open </w:t>
      </w:r>
      <w:r w:rsidRPr="002A6C1E">
        <w:rPr>
          <w:rFonts w:ascii="Bookman Old Style" w:hAnsi="Bookman Old Style"/>
          <w:i/>
          <w:lang w:val="es-CO"/>
        </w:rPr>
        <w:t>seasons</w:t>
      </w:r>
      <w:r>
        <w:rPr>
          <w:rFonts w:ascii="Bookman Old Style" w:hAnsi="Bookman Old Style"/>
          <w:lang w:val="es-CO"/>
        </w:rPr>
        <w:t xml:space="preserve"> y las convocatorias) </w:t>
      </w:r>
      <w:r w:rsidR="00465F53" w:rsidRPr="00057E91">
        <w:rPr>
          <w:rFonts w:ascii="Bookman Old Style" w:hAnsi="Bookman Old Style"/>
          <w:lang w:val="es-CO"/>
        </w:rPr>
        <w:t>tienen</w:t>
      </w:r>
      <w:r>
        <w:rPr>
          <w:rFonts w:ascii="Bookman Old Style" w:hAnsi="Bookman Old Style"/>
          <w:lang w:val="es-CO"/>
        </w:rPr>
        <w:t xml:space="preserve"> </w:t>
      </w:r>
      <w:r w:rsidR="00465F53" w:rsidRPr="009D3928">
        <w:rPr>
          <w:rFonts w:ascii="Bookman Old Style" w:hAnsi="Bookman Old Style"/>
          <w:lang w:val="es-CO"/>
        </w:rPr>
        <w:t xml:space="preserve">la bondad de permitir que a través de mecanismos de mercado se revelen los costos eficientes de las inversiones, </w:t>
      </w:r>
      <w:r w:rsidR="00236AC4" w:rsidRPr="009D3928">
        <w:rPr>
          <w:rFonts w:ascii="Bookman Old Style" w:hAnsi="Bookman Old Style"/>
          <w:lang w:val="es-CO"/>
        </w:rPr>
        <w:t>asunto</w:t>
      </w:r>
      <w:r w:rsidR="00465F53" w:rsidRPr="009D3928">
        <w:rPr>
          <w:rFonts w:ascii="Bookman Old Style" w:hAnsi="Bookman Old Style"/>
          <w:lang w:val="es-CO"/>
        </w:rPr>
        <w:t xml:space="preserve"> </w:t>
      </w:r>
      <w:r w:rsidR="00236AC4" w:rsidRPr="009D3928">
        <w:rPr>
          <w:rFonts w:ascii="Bookman Old Style" w:hAnsi="Bookman Old Style"/>
          <w:lang w:val="es-CO"/>
        </w:rPr>
        <w:t>de gran relevancia dada la asimetría de información a la que se enfrenta el regulador.</w:t>
      </w:r>
    </w:p>
    <w:p w:rsidR="003C421E" w:rsidRPr="009D3928" w:rsidRDefault="003C421E" w:rsidP="00E47660">
      <w:pPr>
        <w:ind w:left="0"/>
        <w:rPr>
          <w:rFonts w:ascii="Bookman Old Style" w:hAnsi="Bookman Old Style"/>
          <w:b/>
          <w:lang w:val="es-CO"/>
        </w:rPr>
      </w:pPr>
      <w:r w:rsidRPr="009D3928">
        <w:rPr>
          <w:rFonts w:ascii="Bookman Old Style" w:hAnsi="Bookman Old Style"/>
          <w:b/>
          <w:lang w:val="es-CO"/>
        </w:rPr>
        <w:lastRenderedPageBreak/>
        <w:t>4.3. INCENTIVOS PARA EL DESARROLLO DE OBRAS DE CONFIABILIDAD</w:t>
      </w:r>
    </w:p>
    <w:p w:rsidR="00F81D5E" w:rsidRPr="009D3928" w:rsidRDefault="00F81D5E" w:rsidP="00E47660">
      <w:pPr>
        <w:ind w:left="0"/>
        <w:jc w:val="both"/>
        <w:rPr>
          <w:rFonts w:ascii="Bookman Old Style" w:hAnsi="Bookman Old Style"/>
          <w:lang w:val="es-CO"/>
        </w:rPr>
      </w:pPr>
    </w:p>
    <w:p w:rsidR="00EF77F8" w:rsidRPr="009D3928" w:rsidRDefault="00EF77F8" w:rsidP="00E47660">
      <w:pPr>
        <w:ind w:left="0"/>
        <w:jc w:val="both"/>
        <w:rPr>
          <w:rFonts w:ascii="Bookman Old Style" w:hAnsi="Bookman Old Style"/>
          <w:lang w:val="es-CO"/>
        </w:rPr>
      </w:pPr>
      <w:r w:rsidRPr="009D3928">
        <w:rPr>
          <w:rFonts w:ascii="Bookman Old Style" w:hAnsi="Bookman Old Style"/>
          <w:lang w:val="es-CO"/>
        </w:rPr>
        <w:t>La Comisión viene analizando los aspectos relacionados con la confiabilidad del sistema nacional de transporte de gas natural de forma independiente a la metodología de remuneración de la actividad de transporte. Teniendo en cuenta el grado de avance de dichos análisis, se considera conveniente desarrollar la regulación correspondiente en una resolución independiente. Lo anterior considerando en todo caso la necesidad de que haya coherencia entre los mecanismos de remuneración de las inversiones en confiabilidad y los destinados a la remuneración de los demás aspectos de la actividad.</w:t>
      </w:r>
    </w:p>
    <w:p w:rsidR="00EF77F8" w:rsidRPr="009D3928" w:rsidRDefault="00EF77F8" w:rsidP="00E47660">
      <w:pPr>
        <w:ind w:left="0"/>
        <w:jc w:val="both"/>
        <w:rPr>
          <w:rFonts w:ascii="Bookman Old Style" w:hAnsi="Bookman Old Style"/>
          <w:lang w:val="es-CO"/>
        </w:rPr>
      </w:pPr>
    </w:p>
    <w:p w:rsidR="0008307A" w:rsidRPr="009D3928" w:rsidRDefault="0008307A" w:rsidP="00E47660">
      <w:pPr>
        <w:ind w:left="0"/>
        <w:rPr>
          <w:rFonts w:ascii="Bookman Old Style" w:hAnsi="Bookman Old Style"/>
          <w:b/>
          <w:lang w:val="es-CO"/>
        </w:rPr>
      </w:pPr>
      <w:r w:rsidRPr="009D3928">
        <w:rPr>
          <w:rFonts w:ascii="Bookman Old Style" w:hAnsi="Bookman Old Style"/>
          <w:b/>
          <w:lang w:val="es-CO"/>
        </w:rPr>
        <w:t>4.4. VARIABLES CONSIDERA</w:t>
      </w:r>
      <w:r w:rsidR="002054E6" w:rsidRPr="009D3928">
        <w:rPr>
          <w:rFonts w:ascii="Bookman Old Style" w:hAnsi="Bookman Old Style"/>
          <w:b/>
          <w:lang w:val="es-CO"/>
        </w:rPr>
        <w:t>DA</w:t>
      </w:r>
      <w:r w:rsidRPr="009D3928">
        <w:rPr>
          <w:rFonts w:ascii="Bookman Old Style" w:hAnsi="Bookman Old Style"/>
          <w:b/>
          <w:lang w:val="es-CO"/>
        </w:rPr>
        <w:t xml:space="preserve">S EN EL CÁLCULO TARIFARIO </w:t>
      </w:r>
    </w:p>
    <w:p w:rsidR="00931BEF" w:rsidRPr="009D3928" w:rsidRDefault="00931BEF" w:rsidP="00E47660">
      <w:pPr>
        <w:ind w:left="0"/>
        <w:jc w:val="both"/>
        <w:rPr>
          <w:rFonts w:ascii="Bookman Old Style" w:hAnsi="Bookman Old Style"/>
          <w:lang w:val="es-CO"/>
        </w:rPr>
      </w:pPr>
    </w:p>
    <w:p w:rsidR="002054E6" w:rsidRPr="009D3928" w:rsidRDefault="002A2270" w:rsidP="00E47660">
      <w:pPr>
        <w:ind w:left="0"/>
        <w:jc w:val="both"/>
        <w:rPr>
          <w:rFonts w:ascii="Bookman Old Style" w:hAnsi="Bookman Old Style"/>
          <w:lang w:val="es-CO"/>
        </w:rPr>
      </w:pPr>
      <w:r w:rsidRPr="009D3928">
        <w:rPr>
          <w:rFonts w:ascii="Bookman Old Style" w:hAnsi="Bookman Old Style"/>
          <w:lang w:val="es-CO"/>
        </w:rPr>
        <w:t>Las principales variables consideradas en el cálculo tarifario son: i) los valores eficientes de la</w:t>
      </w:r>
      <w:r w:rsidR="00465F53" w:rsidRPr="009D3928">
        <w:rPr>
          <w:rFonts w:ascii="Bookman Old Style" w:hAnsi="Bookman Old Style"/>
          <w:lang w:val="es-CO"/>
        </w:rPr>
        <w:t>s inversiones</w:t>
      </w:r>
      <w:r w:rsidRPr="009D3928">
        <w:rPr>
          <w:rFonts w:ascii="Bookman Old Style" w:hAnsi="Bookman Old Style"/>
          <w:lang w:val="es-CO"/>
        </w:rPr>
        <w:t xml:space="preserve">; ii) los valores eficientes de los gastos de administración, operación y mantenimiento; iii) las demandas; y iv) la tasa de descuento. Resulta necesario, entonces, </w:t>
      </w:r>
      <w:r w:rsidR="002054E6" w:rsidRPr="009D3928">
        <w:rPr>
          <w:rFonts w:ascii="Bookman Old Style" w:hAnsi="Bookman Old Style"/>
          <w:lang w:val="es-CO"/>
        </w:rPr>
        <w:t xml:space="preserve">extender </w:t>
      </w:r>
      <w:r w:rsidRPr="009D3928">
        <w:rPr>
          <w:rFonts w:ascii="Bookman Old Style" w:hAnsi="Bookman Old Style"/>
          <w:lang w:val="es-CO"/>
        </w:rPr>
        <w:t>l</w:t>
      </w:r>
      <w:r w:rsidR="00465F53" w:rsidRPr="009D3928">
        <w:rPr>
          <w:rFonts w:ascii="Bookman Old Style" w:hAnsi="Bookman Old Style"/>
          <w:lang w:val="es-CO"/>
        </w:rPr>
        <w:t>os</w:t>
      </w:r>
      <w:r w:rsidRPr="009D3928">
        <w:rPr>
          <w:rFonts w:ascii="Bookman Old Style" w:hAnsi="Bookman Old Style"/>
          <w:lang w:val="es-CO"/>
        </w:rPr>
        <w:t xml:space="preserve"> análisis presentado</w:t>
      </w:r>
      <w:r w:rsidR="00465F53" w:rsidRPr="009D3928">
        <w:rPr>
          <w:rFonts w:ascii="Bookman Old Style" w:hAnsi="Bookman Old Style"/>
          <w:lang w:val="es-CO"/>
        </w:rPr>
        <w:t>s</w:t>
      </w:r>
      <w:r w:rsidRPr="009D3928">
        <w:rPr>
          <w:rFonts w:ascii="Bookman Old Style" w:hAnsi="Bookman Old Style"/>
          <w:lang w:val="es-CO"/>
        </w:rPr>
        <w:t xml:space="preserve"> en este Anexo </w:t>
      </w:r>
      <w:r w:rsidR="00465F53" w:rsidRPr="009D3928">
        <w:rPr>
          <w:rFonts w:ascii="Bookman Old Style" w:hAnsi="Bookman Old Style"/>
          <w:lang w:val="es-CO"/>
        </w:rPr>
        <w:t>para</w:t>
      </w:r>
      <w:r w:rsidR="00562B4E" w:rsidRPr="009D3928">
        <w:rPr>
          <w:rFonts w:ascii="Bookman Old Style" w:hAnsi="Bookman Old Style"/>
          <w:lang w:val="es-CO"/>
        </w:rPr>
        <w:t xml:space="preserve"> exponer las bases sobre las cuales la Comisión efectuará el estudio para determinar la forma como determinará los valores de estas variables.</w:t>
      </w:r>
    </w:p>
    <w:p w:rsidR="0008307A" w:rsidRPr="009D3928" w:rsidRDefault="0008307A" w:rsidP="00E47660">
      <w:pPr>
        <w:ind w:left="0"/>
        <w:jc w:val="both"/>
        <w:rPr>
          <w:rFonts w:ascii="Bookman Old Style" w:hAnsi="Bookman Old Style"/>
          <w:lang w:val="es-CO"/>
        </w:rPr>
      </w:pPr>
    </w:p>
    <w:p w:rsidR="0008307A" w:rsidRPr="00701C21" w:rsidRDefault="0008307A" w:rsidP="00E47660">
      <w:pPr>
        <w:ind w:left="0"/>
        <w:rPr>
          <w:rFonts w:ascii="Bookman Old Style" w:hAnsi="Bookman Old Style"/>
          <w:b/>
          <w:lang w:val="es-CO"/>
        </w:rPr>
      </w:pPr>
      <w:r w:rsidRPr="009D3928">
        <w:rPr>
          <w:rFonts w:ascii="Bookman Old Style" w:hAnsi="Bookman Old Style"/>
          <w:b/>
          <w:lang w:val="es-CO"/>
        </w:rPr>
        <w:t>4.4.1. INVERSIÓN</w:t>
      </w:r>
    </w:p>
    <w:p w:rsidR="0008307A" w:rsidRPr="009906EC" w:rsidRDefault="0008307A" w:rsidP="00E47660">
      <w:pPr>
        <w:ind w:left="0"/>
        <w:jc w:val="both"/>
        <w:rPr>
          <w:rFonts w:ascii="Bookman Old Style" w:hAnsi="Bookman Old Style"/>
          <w:lang w:val="es-CO"/>
        </w:rPr>
      </w:pPr>
    </w:p>
    <w:p w:rsidR="006B5B53" w:rsidRPr="009D3928" w:rsidRDefault="00236AC4" w:rsidP="00E47660">
      <w:pPr>
        <w:ind w:left="0"/>
        <w:jc w:val="both"/>
        <w:rPr>
          <w:rFonts w:ascii="Bookman Old Style" w:hAnsi="Bookman Old Style"/>
          <w:lang w:val="es-CO"/>
        </w:rPr>
      </w:pPr>
      <w:r w:rsidRPr="009D3928">
        <w:rPr>
          <w:rFonts w:ascii="Bookman Old Style" w:hAnsi="Bookman Old Style"/>
          <w:lang w:val="es-CO"/>
        </w:rPr>
        <w:t>Como se expone en la sección 4.2.</w:t>
      </w:r>
      <w:r w:rsidR="00503319">
        <w:rPr>
          <w:rFonts w:ascii="Bookman Old Style" w:hAnsi="Bookman Old Style"/>
          <w:lang w:val="es-CO"/>
        </w:rPr>
        <w:t>2</w:t>
      </w:r>
      <w:r w:rsidR="00503319" w:rsidRPr="009D3928">
        <w:rPr>
          <w:rFonts w:ascii="Bookman Old Style" w:hAnsi="Bookman Old Style"/>
          <w:lang w:val="es-CO"/>
        </w:rPr>
        <w:t xml:space="preserve"> </w:t>
      </w:r>
      <w:r w:rsidRPr="009D3928">
        <w:rPr>
          <w:rFonts w:ascii="Bookman Old Style" w:hAnsi="Bookman Old Style"/>
          <w:lang w:val="es-CO"/>
        </w:rPr>
        <w:t xml:space="preserve">de </w:t>
      </w:r>
      <w:r w:rsidR="006B5B53" w:rsidRPr="009D3928">
        <w:rPr>
          <w:rFonts w:ascii="Bookman Old Style" w:hAnsi="Bookman Old Style"/>
          <w:lang w:val="es-CO"/>
        </w:rPr>
        <w:t xml:space="preserve">este </w:t>
      </w:r>
      <w:r w:rsidRPr="009D3928">
        <w:rPr>
          <w:rFonts w:ascii="Bookman Old Style" w:hAnsi="Bookman Old Style"/>
          <w:lang w:val="es-CO"/>
        </w:rPr>
        <w:t xml:space="preserve">Anexo, en la actualidad el cálculo tarifario se realiza considerando un esquema de costo medio de mediano plazo. En este sentido, para el cálculo tarifario se requiere determinar: </w:t>
      </w:r>
      <w:r w:rsidR="006B5B53" w:rsidRPr="009D3928">
        <w:rPr>
          <w:rFonts w:ascii="Bookman Old Style" w:hAnsi="Bookman Old Style"/>
          <w:lang w:val="es-CO"/>
        </w:rPr>
        <w:t>i) el valor eficiente de la inversión existente para el período tarifario regido por la metodología vigente</w:t>
      </w:r>
      <w:r w:rsidR="00A35F95" w:rsidRPr="009D3928">
        <w:rPr>
          <w:rStyle w:val="Refdenotaalpie"/>
          <w:rFonts w:ascii="Bookman Old Style" w:hAnsi="Bookman Old Style"/>
          <w:lang w:val="es-CO"/>
        </w:rPr>
        <w:footnoteReference w:id="16"/>
      </w:r>
      <w:r w:rsidR="00B52C75" w:rsidRPr="009D3928">
        <w:rPr>
          <w:rFonts w:ascii="Bookman Old Style" w:hAnsi="Bookman Old Style"/>
          <w:lang w:val="es-CO"/>
        </w:rPr>
        <w:t xml:space="preserve">; ii) </w:t>
      </w:r>
      <w:r w:rsidR="00A35F95" w:rsidRPr="009D3928">
        <w:rPr>
          <w:rFonts w:ascii="Bookman Old Style" w:hAnsi="Bookman Old Style"/>
          <w:lang w:val="es-CO"/>
        </w:rPr>
        <w:t>los valores eficientes de los proyectos del programa de nuevas inversiones regido por la metodología vigente</w:t>
      </w:r>
      <w:r w:rsidR="00A35F95" w:rsidRPr="009D3928">
        <w:rPr>
          <w:rStyle w:val="Refdenotaalpie"/>
          <w:rFonts w:ascii="Bookman Old Style" w:hAnsi="Bookman Old Style"/>
          <w:lang w:val="es-CO"/>
        </w:rPr>
        <w:footnoteReference w:id="17"/>
      </w:r>
      <w:r w:rsidR="00A35F95" w:rsidRPr="009D3928">
        <w:rPr>
          <w:rFonts w:ascii="Bookman Old Style" w:hAnsi="Bookman Old Style"/>
          <w:lang w:val="es-CO"/>
        </w:rPr>
        <w:t>; y iii) los valores eficientes de las inversiones en aumento de capacidad regidas por la metodología vigente</w:t>
      </w:r>
      <w:r w:rsidR="00A35F95" w:rsidRPr="009D3928">
        <w:rPr>
          <w:rStyle w:val="Refdenotaalpie"/>
          <w:rFonts w:ascii="Bookman Old Style" w:hAnsi="Bookman Old Style"/>
          <w:lang w:val="es-CO"/>
        </w:rPr>
        <w:footnoteReference w:id="18"/>
      </w:r>
      <w:r w:rsidR="00A35F95" w:rsidRPr="009D3928">
        <w:rPr>
          <w:rFonts w:ascii="Bookman Old Style" w:hAnsi="Bookman Old Style"/>
          <w:lang w:val="es-CO"/>
        </w:rPr>
        <w:t>.</w:t>
      </w:r>
    </w:p>
    <w:p w:rsidR="006B5B53" w:rsidRPr="009D3928" w:rsidRDefault="006B5B53" w:rsidP="00E47660">
      <w:pPr>
        <w:ind w:left="0"/>
        <w:jc w:val="both"/>
        <w:rPr>
          <w:rFonts w:ascii="Bookman Old Style" w:hAnsi="Bookman Old Style"/>
          <w:lang w:val="es-CO"/>
        </w:rPr>
      </w:pPr>
    </w:p>
    <w:p w:rsidR="009B2FC5" w:rsidRPr="009D3928" w:rsidRDefault="009B2FC5" w:rsidP="00E47660">
      <w:pPr>
        <w:ind w:left="0"/>
        <w:jc w:val="both"/>
        <w:rPr>
          <w:rFonts w:ascii="Bookman Old Style" w:hAnsi="Bookman Old Style"/>
          <w:lang w:val="es-CO"/>
        </w:rPr>
      </w:pPr>
      <w:r w:rsidRPr="009D3928">
        <w:rPr>
          <w:rFonts w:ascii="Bookman Old Style" w:hAnsi="Bookman Old Style"/>
          <w:lang w:val="es-CO"/>
        </w:rPr>
        <w:t>Ahora, si los análisis que se realicen según lo planteado en la sección 4.2.</w:t>
      </w:r>
      <w:r w:rsidR="00503319">
        <w:rPr>
          <w:rFonts w:ascii="Bookman Old Style" w:hAnsi="Bookman Old Style"/>
          <w:lang w:val="es-CO"/>
        </w:rPr>
        <w:t>2</w:t>
      </w:r>
      <w:r w:rsidR="00503319" w:rsidRPr="009D3928">
        <w:rPr>
          <w:rFonts w:ascii="Bookman Old Style" w:hAnsi="Bookman Old Style"/>
          <w:lang w:val="es-CO"/>
        </w:rPr>
        <w:t xml:space="preserve"> </w:t>
      </w:r>
      <w:r w:rsidRPr="009D3928">
        <w:rPr>
          <w:rFonts w:ascii="Bookman Old Style" w:hAnsi="Bookman Old Style"/>
          <w:lang w:val="es-CO"/>
        </w:rPr>
        <w:t>de este Anexo llevan a concluir que es conveniente reemplazar el esquema de costo medio de mediano plazo por uno de costo medio con corte transversal, para el cálculo tarifario sólo sería necesario determinar</w:t>
      </w:r>
      <w:r w:rsidR="00F92C22" w:rsidRPr="009D3928">
        <w:rPr>
          <w:rFonts w:ascii="Bookman Old Style" w:hAnsi="Bookman Old Style"/>
          <w:lang w:val="es-CO"/>
        </w:rPr>
        <w:t xml:space="preserve"> el valor eficiente de la inversión existente para el período tarifario regido por la metodología vigente</w:t>
      </w:r>
      <w:r w:rsidRPr="009D3928">
        <w:rPr>
          <w:rFonts w:ascii="Bookman Old Style" w:hAnsi="Bookman Old Style"/>
          <w:lang w:val="es-CO"/>
        </w:rPr>
        <w:t>.</w:t>
      </w:r>
    </w:p>
    <w:p w:rsidR="009B2FC5" w:rsidRPr="009D3928" w:rsidRDefault="009B2FC5" w:rsidP="00E47660">
      <w:pPr>
        <w:ind w:left="0"/>
        <w:jc w:val="both"/>
        <w:rPr>
          <w:rFonts w:ascii="Bookman Old Style" w:hAnsi="Bookman Old Style"/>
          <w:lang w:val="es-CO"/>
        </w:rPr>
      </w:pPr>
    </w:p>
    <w:p w:rsidR="00F92C22" w:rsidRPr="009D3928" w:rsidRDefault="00F92C22" w:rsidP="00E47660">
      <w:pPr>
        <w:ind w:left="0"/>
        <w:jc w:val="both"/>
        <w:rPr>
          <w:rFonts w:ascii="Bookman Old Style" w:hAnsi="Bookman Old Style"/>
          <w:lang w:val="es-CO"/>
        </w:rPr>
      </w:pPr>
      <w:r w:rsidRPr="009D3928">
        <w:rPr>
          <w:rFonts w:ascii="Bookman Old Style" w:hAnsi="Bookman Old Style"/>
          <w:lang w:val="es-CO"/>
        </w:rPr>
        <w:t>Al respecto se debe recordar que la regulación reconoce un valor eficiente de inversiones durante la vida útil normativa de un activo</w:t>
      </w:r>
      <w:r w:rsidR="00DF1B2C" w:rsidRPr="009D3928">
        <w:rPr>
          <w:rStyle w:val="Refdenotaalpie"/>
          <w:rFonts w:ascii="Bookman Old Style" w:hAnsi="Bookman Old Style"/>
          <w:lang w:val="es-CO"/>
        </w:rPr>
        <w:footnoteReference w:id="19"/>
      </w:r>
      <w:r w:rsidRPr="009D3928">
        <w:rPr>
          <w:rFonts w:ascii="Bookman Old Style" w:hAnsi="Bookman Old Style"/>
          <w:lang w:val="es-CO"/>
        </w:rPr>
        <w:t xml:space="preserve">, siempre y cuando el mismo esté instalado y disponible para la operación. Las diferentes </w:t>
      </w:r>
      <w:r w:rsidRPr="009D3928">
        <w:rPr>
          <w:rFonts w:ascii="Bookman Old Style" w:hAnsi="Bookman Old Style"/>
          <w:lang w:val="es-CO"/>
        </w:rPr>
        <w:lastRenderedPageBreak/>
        <w:t xml:space="preserve">metodologías tarifarias que han definido la </w:t>
      </w:r>
      <w:r w:rsidR="00DF1B2C" w:rsidRPr="009D3928">
        <w:rPr>
          <w:rFonts w:ascii="Bookman Old Style" w:hAnsi="Bookman Old Style"/>
          <w:lang w:val="es-CO"/>
        </w:rPr>
        <w:t xml:space="preserve">forma de </w:t>
      </w:r>
      <w:r w:rsidRPr="009D3928">
        <w:rPr>
          <w:rFonts w:ascii="Bookman Old Style" w:hAnsi="Bookman Old Style"/>
          <w:lang w:val="es-CO"/>
        </w:rPr>
        <w:t>remuneración de la actividad de transporte de gas natural no han contemplado la modificación del valor eficiente reconocido por activos de transporte durante su vida útil normativa.</w:t>
      </w:r>
    </w:p>
    <w:p w:rsidR="00F92C22" w:rsidRPr="009D3928" w:rsidRDefault="00F92C22" w:rsidP="00E47660">
      <w:pPr>
        <w:ind w:left="0"/>
        <w:jc w:val="both"/>
        <w:rPr>
          <w:rFonts w:ascii="Bookman Old Style" w:hAnsi="Bookman Old Style"/>
          <w:lang w:val="es-CO"/>
        </w:rPr>
      </w:pPr>
    </w:p>
    <w:p w:rsidR="00F92C22" w:rsidRPr="009D3928" w:rsidRDefault="00F92C22" w:rsidP="00E47660">
      <w:pPr>
        <w:ind w:left="0"/>
        <w:jc w:val="both"/>
        <w:rPr>
          <w:rFonts w:ascii="Bookman Old Style" w:hAnsi="Bookman Old Style"/>
          <w:lang w:val="es-CO"/>
        </w:rPr>
      </w:pPr>
      <w:r w:rsidRPr="009D3928">
        <w:rPr>
          <w:rFonts w:ascii="Bookman Old Style" w:hAnsi="Bookman Old Style"/>
          <w:lang w:val="es-CO"/>
        </w:rPr>
        <w:t>Conforme a dichas metodologías tarifarias, una vez termina la vida útil normativa del activo, la empresa tiene la opción de reponerlo o continuar operándolo.</w:t>
      </w:r>
    </w:p>
    <w:p w:rsidR="00F92C22" w:rsidRPr="009D3928" w:rsidRDefault="00F92C22" w:rsidP="00E47660">
      <w:pPr>
        <w:ind w:left="0"/>
        <w:jc w:val="both"/>
        <w:rPr>
          <w:rFonts w:ascii="Bookman Old Style" w:hAnsi="Bookman Old Style"/>
          <w:lang w:val="es-CO"/>
        </w:rPr>
      </w:pPr>
    </w:p>
    <w:p w:rsidR="00DF1B2C" w:rsidRPr="009D3928" w:rsidRDefault="00DF1B2C" w:rsidP="00E47660">
      <w:pPr>
        <w:ind w:left="0"/>
        <w:jc w:val="both"/>
        <w:rPr>
          <w:rFonts w:ascii="Bookman Old Style" w:hAnsi="Bookman Old Style"/>
          <w:lang w:val="es-CO"/>
        </w:rPr>
      </w:pPr>
      <w:r w:rsidRPr="009D3928">
        <w:rPr>
          <w:rFonts w:ascii="Bookman Old Style" w:hAnsi="Bookman Old Style"/>
          <w:lang w:val="es-CO"/>
        </w:rPr>
        <w:t>Así las cosas, en caso de que se adopte un esquema de costo medio con corte transversal, al momento de la aprobación de l</w:t>
      </w:r>
      <w:r w:rsidR="001F0BD2">
        <w:rPr>
          <w:rFonts w:ascii="Bookman Old Style" w:hAnsi="Bookman Old Style"/>
          <w:lang w:val="es-CO"/>
        </w:rPr>
        <w:t>o</w:t>
      </w:r>
      <w:r w:rsidRPr="009D3928">
        <w:rPr>
          <w:rFonts w:ascii="Bookman Old Style" w:hAnsi="Bookman Old Style"/>
          <w:lang w:val="es-CO"/>
        </w:rPr>
        <w:t>s nuev</w:t>
      </w:r>
      <w:r w:rsidR="001F0BD2">
        <w:rPr>
          <w:rFonts w:ascii="Bookman Old Style" w:hAnsi="Bookman Old Style"/>
          <w:lang w:val="es-CO"/>
        </w:rPr>
        <w:t>o</w:t>
      </w:r>
      <w:r w:rsidRPr="009D3928">
        <w:rPr>
          <w:rFonts w:ascii="Bookman Old Style" w:hAnsi="Bookman Old Style"/>
          <w:lang w:val="es-CO"/>
        </w:rPr>
        <w:t xml:space="preserve">s </w:t>
      </w:r>
      <w:r w:rsidR="001F0BD2">
        <w:rPr>
          <w:rFonts w:ascii="Bookman Old Style" w:hAnsi="Bookman Old Style"/>
          <w:lang w:val="es-CO"/>
        </w:rPr>
        <w:t xml:space="preserve">cargos </w:t>
      </w:r>
      <w:r w:rsidRPr="009D3928">
        <w:rPr>
          <w:rFonts w:ascii="Bookman Old Style" w:hAnsi="Bookman Old Style"/>
          <w:lang w:val="es-CO"/>
        </w:rPr>
        <w:t xml:space="preserve">el regulador se centraría en: i) identificar si los activos previamente considerados en los análisis tarifarios continúan instalados y disponibles para la operación; y ii) establecer el valor eficiente de las inversiones en </w:t>
      </w:r>
      <w:r w:rsidR="00EA1786" w:rsidRPr="009D3928">
        <w:rPr>
          <w:rFonts w:ascii="Bookman Old Style" w:hAnsi="Bookman Old Style"/>
          <w:lang w:val="es-CO"/>
        </w:rPr>
        <w:t>aquellos activos que no hayan sido previamente valorados por la CREG.</w:t>
      </w:r>
      <w:r w:rsidR="001F0BD2">
        <w:rPr>
          <w:rFonts w:ascii="Bookman Old Style" w:hAnsi="Bookman Old Style"/>
          <w:lang w:val="es-CO"/>
        </w:rPr>
        <w:t xml:space="preserve"> Bajo este esquema </w:t>
      </w:r>
      <w:r w:rsidR="001F0BD2" w:rsidRPr="004A7833">
        <w:rPr>
          <w:rFonts w:ascii="Bookman Old Style" w:hAnsi="Bookman Old Style"/>
          <w:lang w:val="es-CO"/>
        </w:rPr>
        <w:t xml:space="preserve">la CREG revisaría los cargos </w:t>
      </w:r>
      <w:r w:rsidR="001F0BD2">
        <w:rPr>
          <w:rFonts w:ascii="Bookman Old Style" w:hAnsi="Bookman Old Style"/>
          <w:lang w:val="es-CO"/>
        </w:rPr>
        <w:t>en cualquier año del perí</w:t>
      </w:r>
      <w:r w:rsidR="00C25452">
        <w:rPr>
          <w:rFonts w:ascii="Bookman Old Style" w:hAnsi="Bookman Old Style"/>
          <w:lang w:val="es-CO"/>
        </w:rPr>
        <w:t>o</w:t>
      </w:r>
      <w:r w:rsidR="001F0BD2">
        <w:rPr>
          <w:rFonts w:ascii="Bookman Old Style" w:hAnsi="Bookman Old Style"/>
          <w:lang w:val="es-CO"/>
        </w:rPr>
        <w:t xml:space="preserve">do tarifario </w:t>
      </w:r>
      <w:r w:rsidR="001F0BD2" w:rsidRPr="004A7833">
        <w:rPr>
          <w:rFonts w:ascii="Bookman Old Style" w:hAnsi="Bookman Old Style"/>
          <w:lang w:val="es-CO"/>
        </w:rPr>
        <w:t>por cuenta de la entrada en operación de una expansión</w:t>
      </w:r>
      <w:r w:rsidR="001F0BD2">
        <w:rPr>
          <w:rFonts w:ascii="Bookman Old Style" w:hAnsi="Bookman Old Style"/>
          <w:lang w:val="es-CO"/>
        </w:rPr>
        <w:t xml:space="preserve">; es decir, </w:t>
      </w:r>
      <w:r w:rsidR="001F0BD2" w:rsidRPr="004A7833">
        <w:rPr>
          <w:rFonts w:ascii="Bookman Old Style" w:hAnsi="Bookman Old Style"/>
          <w:lang w:val="es-CO"/>
        </w:rPr>
        <w:t xml:space="preserve">cuando </w:t>
      </w:r>
      <w:r w:rsidR="001F0BD2">
        <w:rPr>
          <w:rFonts w:ascii="Bookman Old Style" w:hAnsi="Bookman Old Style"/>
          <w:lang w:val="es-CO"/>
        </w:rPr>
        <w:t xml:space="preserve">el proyecto de expansión </w:t>
      </w:r>
      <w:r w:rsidR="001F0BD2" w:rsidRPr="004A7833">
        <w:rPr>
          <w:rFonts w:ascii="Bookman Old Style" w:hAnsi="Bookman Old Style"/>
          <w:lang w:val="es-CO"/>
        </w:rPr>
        <w:t>esté operando.</w:t>
      </w:r>
    </w:p>
    <w:p w:rsidR="00DF1B2C" w:rsidRPr="009D3928" w:rsidRDefault="00DF1B2C" w:rsidP="00E47660">
      <w:pPr>
        <w:ind w:left="0"/>
        <w:jc w:val="both"/>
        <w:rPr>
          <w:rFonts w:ascii="Bookman Old Style" w:hAnsi="Bookman Old Style"/>
          <w:lang w:val="es-CO"/>
        </w:rPr>
      </w:pPr>
    </w:p>
    <w:p w:rsidR="00236AC4" w:rsidRPr="009D3928" w:rsidRDefault="00122AB5" w:rsidP="00E47660">
      <w:pPr>
        <w:ind w:left="0"/>
        <w:jc w:val="both"/>
        <w:rPr>
          <w:rFonts w:ascii="Bookman Old Style" w:hAnsi="Bookman Old Style"/>
          <w:color w:val="000000"/>
        </w:rPr>
      </w:pPr>
      <w:r w:rsidRPr="009D3928">
        <w:rPr>
          <w:rFonts w:ascii="Bookman Old Style" w:hAnsi="Bookman Old Style"/>
          <w:lang w:val="es-CO"/>
        </w:rPr>
        <w:t xml:space="preserve">Para la determinación de </w:t>
      </w:r>
      <w:r w:rsidRPr="009D3928">
        <w:rPr>
          <w:rFonts w:ascii="Bookman Old Style" w:hAnsi="Bookman Old Style"/>
          <w:color w:val="000000"/>
        </w:rPr>
        <w:t xml:space="preserve">los costos eficientes de las inversiones la Comisión ha empleado mecanismos de comparación. La metodología tarifaria establecida mediante la Resolución CREG 126 de 2010 dispone que </w:t>
      </w:r>
      <w:r w:rsidR="00847742" w:rsidRPr="009D3928">
        <w:rPr>
          <w:rFonts w:ascii="Bookman Old Style" w:hAnsi="Bookman Old Style"/>
          <w:color w:val="000000"/>
        </w:rPr>
        <w:t xml:space="preserve">para la comparación se </w:t>
      </w:r>
      <w:proofErr w:type="gramStart"/>
      <w:r w:rsidR="00847742" w:rsidRPr="009D3928">
        <w:rPr>
          <w:rFonts w:ascii="Bookman Old Style" w:hAnsi="Bookman Old Style"/>
          <w:color w:val="000000"/>
        </w:rPr>
        <w:t>deben</w:t>
      </w:r>
      <w:proofErr w:type="gramEnd"/>
      <w:r w:rsidR="00847742" w:rsidRPr="009D3928">
        <w:rPr>
          <w:rFonts w:ascii="Bookman Old Style" w:hAnsi="Bookman Old Style"/>
          <w:color w:val="000000"/>
        </w:rPr>
        <w:t xml:space="preserve"> considerar, entre otros, los criterios de topografía, indexación y economías de escala por longitud y diámetro. De manera que la metodología dejó abierta la posibilidad de aplicar otros criterios de comparación.</w:t>
      </w:r>
    </w:p>
    <w:p w:rsidR="00847742" w:rsidRPr="009D3928" w:rsidRDefault="00847742" w:rsidP="00E47660">
      <w:pPr>
        <w:ind w:left="0"/>
        <w:jc w:val="both"/>
        <w:rPr>
          <w:rFonts w:ascii="Bookman Old Style" w:hAnsi="Bookman Old Style"/>
          <w:color w:val="000000"/>
        </w:rPr>
      </w:pPr>
    </w:p>
    <w:p w:rsidR="00847742" w:rsidRPr="009D3928" w:rsidRDefault="00847742" w:rsidP="00E47660">
      <w:pPr>
        <w:ind w:left="0"/>
        <w:jc w:val="both"/>
        <w:rPr>
          <w:rFonts w:ascii="Bookman Old Style" w:hAnsi="Bookman Old Style"/>
          <w:lang w:val="es-CO"/>
        </w:rPr>
      </w:pPr>
      <w:r w:rsidRPr="009D3928">
        <w:rPr>
          <w:rFonts w:ascii="Bookman Old Style" w:hAnsi="Bookman Old Style"/>
          <w:lang w:val="es-CO"/>
        </w:rPr>
        <w:t xml:space="preserve">Vale la pena recordar que en el año 2011, tras la aprobación de los cargos regulados de los sistemas de transporte cuyos cargos habían estado vigentes por cinco o más años al momento de la fecha de entrada en vigor de la Resolución CREG 126 de 2010, varios transportadores interpusieron recursos de reposición contra las resoluciones de aprobación de los cargos regulados. En los recursos interpuestos por tres de esos transportadores se encontraron algunos elementos comunes: i) argumentos </w:t>
      </w:r>
      <w:r w:rsidR="0087384F" w:rsidRPr="009D3928">
        <w:rPr>
          <w:rFonts w:ascii="Bookman Old Style" w:hAnsi="Bookman Old Style"/>
          <w:lang w:val="es-CO"/>
        </w:rPr>
        <w:t>sobre</w:t>
      </w:r>
      <w:r w:rsidRPr="009D3928">
        <w:rPr>
          <w:rFonts w:ascii="Bookman Old Style" w:hAnsi="Bookman Old Style"/>
          <w:lang w:val="es-CO"/>
        </w:rPr>
        <w:t xml:space="preserve"> la necesidad de ampliar el grupo de activos considerados como base para la comparación; y ii) planteamientos relativos a la necesidad de considerar otros criterios de comparación.</w:t>
      </w:r>
    </w:p>
    <w:p w:rsidR="00847742" w:rsidRPr="009D3928" w:rsidRDefault="00847742" w:rsidP="00E47660">
      <w:pPr>
        <w:ind w:left="0"/>
        <w:jc w:val="both"/>
        <w:rPr>
          <w:rFonts w:ascii="Bookman Old Style" w:hAnsi="Bookman Old Style"/>
          <w:lang w:val="es-CO"/>
        </w:rPr>
      </w:pPr>
    </w:p>
    <w:p w:rsidR="00847742" w:rsidRPr="009D3928" w:rsidRDefault="00EA406B" w:rsidP="00E47660">
      <w:pPr>
        <w:ind w:left="0"/>
        <w:jc w:val="both"/>
        <w:rPr>
          <w:rFonts w:ascii="Bookman Old Style" w:hAnsi="Bookman Old Style"/>
          <w:lang w:val="es-CO"/>
        </w:rPr>
      </w:pPr>
      <w:r w:rsidRPr="009D3928">
        <w:rPr>
          <w:rFonts w:ascii="Bookman Old Style" w:hAnsi="Bookman Old Style"/>
          <w:lang w:val="es-CO"/>
        </w:rPr>
        <w:t xml:space="preserve">La Comisión </w:t>
      </w:r>
      <w:r w:rsidR="003C6CEF" w:rsidRPr="009D3928">
        <w:rPr>
          <w:rFonts w:ascii="Bookman Old Style" w:hAnsi="Bookman Old Style"/>
          <w:lang w:val="es-CO"/>
        </w:rPr>
        <w:t xml:space="preserve">aceptó dichas solicitudes y en este sentido procedió a recopilar información detallada de otros gasoductos considerados como base para la comparación y a establecer </w:t>
      </w:r>
      <w:r w:rsidR="003C726E" w:rsidRPr="009D3928">
        <w:rPr>
          <w:rFonts w:ascii="Bookman Old Style" w:hAnsi="Bookman Old Style"/>
          <w:lang w:val="es-CO"/>
        </w:rPr>
        <w:t xml:space="preserve">multiplicadores para la aplicación de </w:t>
      </w:r>
      <w:r w:rsidR="003C6CEF" w:rsidRPr="009D3928">
        <w:rPr>
          <w:rFonts w:ascii="Bookman Old Style" w:hAnsi="Bookman Old Style"/>
          <w:lang w:val="es-CO"/>
        </w:rPr>
        <w:t>criterios adicionales de comparación, todo dentro del marco de la metodología establecida en la Resolución CREG 126 de 2010.</w:t>
      </w:r>
      <w:r w:rsidR="001E57A3" w:rsidRPr="009D3928">
        <w:rPr>
          <w:rFonts w:ascii="Bookman Old Style" w:hAnsi="Bookman Old Style"/>
          <w:lang w:val="es-CO"/>
        </w:rPr>
        <w:t xml:space="preserve"> Esto permitió la realización de una valoración más robusta de las inversiones hechas por diferentes transportadores.</w:t>
      </w:r>
    </w:p>
    <w:p w:rsidR="00847742" w:rsidRPr="009D3928" w:rsidRDefault="00847742" w:rsidP="00E47660">
      <w:pPr>
        <w:ind w:left="0"/>
        <w:jc w:val="both"/>
        <w:rPr>
          <w:rFonts w:ascii="Bookman Old Style" w:hAnsi="Bookman Old Style"/>
          <w:lang w:val="es-CO"/>
        </w:rPr>
      </w:pPr>
    </w:p>
    <w:p w:rsidR="0010521F" w:rsidRPr="009D3928" w:rsidRDefault="001E57A3" w:rsidP="00E47660">
      <w:pPr>
        <w:ind w:left="0"/>
        <w:jc w:val="both"/>
        <w:rPr>
          <w:rFonts w:ascii="Bookman Old Style" w:hAnsi="Bookman Old Style"/>
          <w:lang w:val="es-CO"/>
        </w:rPr>
      </w:pPr>
      <w:r w:rsidRPr="009D3928">
        <w:rPr>
          <w:rFonts w:ascii="Bookman Old Style" w:hAnsi="Bookman Old Style"/>
          <w:lang w:val="es-CO"/>
        </w:rPr>
        <w:t xml:space="preserve">Tomando en consideración la experiencia pasada, se encuentra </w:t>
      </w:r>
      <w:r w:rsidR="00B31429" w:rsidRPr="009D3928">
        <w:rPr>
          <w:rFonts w:ascii="Bookman Old Style" w:hAnsi="Bookman Old Style"/>
          <w:lang w:val="es-CO"/>
        </w:rPr>
        <w:t xml:space="preserve">necesario mantener como precepto </w:t>
      </w:r>
      <w:r w:rsidRPr="009D3928">
        <w:rPr>
          <w:rFonts w:ascii="Bookman Old Style" w:hAnsi="Bookman Old Style"/>
          <w:lang w:val="es-CO"/>
        </w:rPr>
        <w:t xml:space="preserve">que </w:t>
      </w:r>
      <w:r w:rsidR="00B31429" w:rsidRPr="009D3928">
        <w:rPr>
          <w:rFonts w:ascii="Bookman Old Style" w:hAnsi="Bookman Old Style"/>
          <w:lang w:val="es-CO"/>
        </w:rPr>
        <w:t xml:space="preserve">los valores eficientes establecidos por la Comisión no serán objeto de modificación hasta la terminación de la vida útil normativa </w:t>
      </w:r>
      <w:r w:rsidR="00B31429" w:rsidRPr="009D3928">
        <w:rPr>
          <w:rFonts w:ascii="Bookman Old Style" w:hAnsi="Bookman Old Style"/>
          <w:lang w:val="es-CO"/>
        </w:rPr>
        <w:lastRenderedPageBreak/>
        <w:t>de los activos correspondientes.</w:t>
      </w:r>
      <w:r w:rsidR="00FC7889" w:rsidRPr="009D3928">
        <w:rPr>
          <w:rFonts w:ascii="Bookman Old Style" w:hAnsi="Bookman Old Style"/>
          <w:lang w:val="es-CO"/>
        </w:rPr>
        <w:t xml:space="preserve"> Esto también significa que será necesario revisar el tipo de </w:t>
      </w:r>
      <w:r w:rsidR="006536E2" w:rsidRPr="009D3928">
        <w:rPr>
          <w:rFonts w:ascii="Bookman Old Style" w:hAnsi="Bookman Old Style"/>
          <w:lang w:val="es-CO"/>
        </w:rPr>
        <w:t>inversiones a reconocer en integridad y seguridad de la infraestructura existente, pues si bien la metodología no le ha trasladado el riesgo geológico al transportador, es claro que la misma sí le asigna el riesgo constructivo</w:t>
      </w:r>
      <w:r w:rsidR="001F0BD2">
        <w:rPr>
          <w:rFonts w:ascii="Bookman Old Style" w:hAnsi="Bookman Old Style"/>
          <w:lang w:val="es-CO"/>
        </w:rPr>
        <w:t xml:space="preserve"> y en el mercado existen pólizas que cubren riesgos constructivos durante la operación</w:t>
      </w:r>
      <w:r w:rsidR="006536E2" w:rsidRPr="009D3928">
        <w:rPr>
          <w:rFonts w:ascii="Bookman Old Style" w:hAnsi="Bookman Old Style"/>
          <w:lang w:val="es-CO"/>
        </w:rPr>
        <w:t>.</w:t>
      </w:r>
    </w:p>
    <w:p w:rsidR="0010521F" w:rsidRPr="009D3928" w:rsidRDefault="0010521F" w:rsidP="00E47660">
      <w:pPr>
        <w:ind w:left="0"/>
        <w:jc w:val="both"/>
        <w:rPr>
          <w:rFonts w:ascii="Bookman Old Style" w:hAnsi="Bookman Old Style"/>
          <w:lang w:val="es-CO"/>
        </w:rPr>
      </w:pPr>
    </w:p>
    <w:p w:rsidR="003C6CEF" w:rsidRPr="009D3928" w:rsidRDefault="00B31429" w:rsidP="00E47660">
      <w:pPr>
        <w:ind w:left="0"/>
        <w:jc w:val="both"/>
        <w:rPr>
          <w:rFonts w:ascii="Bookman Old Style" w:hAnsi="Bookman Old Style"/>
          <w:lang w:val="es-CO"/>
        </w:rPr>
      </w:pPr>
      <w:r w:rsidRPr="009D3928">
        <w:rPr>
          <w:rFonts w:ascii="Bookman Old Style" w:hAnsi="Bookman Old Style"/>
          <w:lang w:val="es-CO"/>
        </w:rPr>
        <w:t xml:space="preserve">Ahora, para la determinación del valor eficiente de inversiones </w:t>
      </w:r>
      <w:r w:rsidR="00DA1345" w:rsidRPr="009D3928">
        <w:rPr>
          <w:rFonts w:ascii="Bookman Old Style" w:hAnsi="Bookman Old Style"/>
          <w:lang w:val="es-CO"/>
        </w:rPr>
        <w:t xml:space="preserve">que no han sido previamente valoradas </w:t>
      </w:r>
      <w:r w:rsidR="0010521F" w:rsidRPr="009D3928">
        <w:rPr>
          <w:rFonts w:ascii="Bookman Old Style" w:hAnsi="Bookman Old Style"/>
          <w:lang w:val="es-CO"/>
        </w:rPr>
        <w:t xml:space="preserve">por la CREG </w:t>
      </w:r>
      <w:r w:rsidR="00DA1345" w:rsidRPr="009D3928">
        <w:rPr>
          <w:rFonts w:ascii="Bookman Old Style" w:hAnsi="Bookman Old Style"/>
          <w:lang w:val="es-CO"/>
        </w:rPr>
        <w:t xml:space="preserve">se </w:t>
      </w:r>
      <w:r w:rsidRPr="009D3928">
        <w:rPr>
          <w:rFonts w:ascii="Bookman Old Style" w:hAnsi="Bookman Old Style"/>
          <w:lang w:val="es-CO"/>
        </w:rPr>
        <w:t xml:space="preserve">encuentra apropiado </w:t>
      </w:r>
      <w:r w:rsidR="00DA1345" w:rsidRPr="009D3928">
        <w:rPr>
          <w:rFonts w:ascii="Bookman Old Style" w:hAnsi="Bookman Old Style"/>
          <w:lang w:val="es-CO"/>
        </w:rPr>
        <w:t xml:space="preserve">evaluar la posibilidad de: </w:t>
      </w:r>
      <w:r w:rsidR="001E57A3" w:rsidRPr="009D3928">
        <w:rPr>
          <w:rFonts w:ascii="Bookman Old Style" w:hAnsi="Bookman Old Style"/>
          <w:lang w:val="es-CO"/>
        </w:rPr>
        <w:t>i)</w:t>
      </w:r>
      <w:r w:rsidR="003C726E" w:rsidRPr="009D3928">
        <w:rPr>
          <w:rFonts w:ascii="Bookman Old Style" w:hAnsi="Bookman Old Style"/>
          <w:lang w:val="es-CO"/>
        </w:rPr>
        <w:t xml:space="preserve"> </w:t>
      </w:r>
      <w:r w:rsidR="0010521F" w:rsidRPr="009D3928">
        <w:rPr>
          <w:rFonts w:ascii="Bookman Old Style" w:hAnsi="Bookman Old Style"/>
          <w:lang w:val="es-CO"/>
        </w:rPr>
        <w:t xml:space="preserve">continuar </w:t>
      </w:r>
      <w:r w:rsidR="00DA1345" w:rsidRPr="009D3928">
        <w:rPr>
          <w:rFonts w:ascii="Bookman Old Style" w:hAnsi="Bookman Old Style"/>
          <w:lang w:val="es-CO"/>
        </w:rPr>
        <w:t>realiza</w:t>
      </w:r>
      <w:r w:rsidR="0010521F" w:rsidRPr="009D3928">
        <w:rPr>
          <w:rFonts w:ascii="Bookman Old Style" w:hAnsi="Bookman Old Style"/>
          <w:lang w:val="es-CO"/>
        </w:rPr>
        <w:t>ndo</w:t>
      </w:r>
      <w:r w:rsidR="003C726E" w:rsidRPr="009D3928">
        <w:rPr>
          <w:rFonts w:ascii="Bookman Old Style" w:hAnsi="Bookman Old Style"/>
          <w:lang w:val="es-CO"/>
        </w:rPr>
        <w:t xml:space="preserve"> la valoración </w:t>
      </w:r>
      <w:r w:rsidR="00DA1345" w:rsidRPr="009D3928">
        <w:rPr>
          <w:rFonts w:ascii="Bookman Old Style" w:hAnsi="Bookman Old Style"/>
          <w:lang w:val="es-CO"/>
        </w:rPr>
        <w:t xml:space="preserve">mediante </w:t>
      </w:r>
      <w:r w:rsidR="003C726E" w:rsidRPr="009D3928">
        <w:rPr>
          <w:rFonts w:ascii="Bookman Old Style" w:hAnsi="Bookman Old Style"/>
          <w:lang w:val="es-CO"/>
        </w:rPr>
        <w:t xml:space="preserve">mecanismos de comparación; ii) </w:t>
      </w:r>
      <w:r w:rsidR="00DA1345" w:rsidRPr="009D3928">
        <w:rPr>
          <w:rFonts w:ascii="Bookman Old Style" w:hAnsi="Bookman Old Style"/>
          <w:lang w:val="es-CO"/>
        </w:rPr>
        <w:t xml:space="preserve">tomar </w:t>
      </w:r>
      <w:r w:rsidR="003C726E" w:rsidRPr="009D3928">
        <w:rPr>
          <w:rFonts w:ascii="Bookman Old Style" w:hAnsi="Bookman Old Style"/>
          <w:lang w:val="es-CO"/>
        </w:rPr>
        <w:t xml:space="preserve">como base para la comparación la muestra de activos utilizada durante el período tarifario regido por la Resolución CREG 126 de 2010, complementada </w:t>
      </w:r>
      <w:r w:rsidR="00DA1345" w:rsidRPr="009D3928">
        <w:rPr>
          <w:rFonts w:ascii="Bookman Old Style" w:hAnsi="Bookman Old Style"/>
          <w:lang w:val="es-CO"/>
        </w:rPr>
        <w:t xml:space="preserve">con otros activos que la CREG haya valorado durante </w:t>
      </w:r>
      <w:r w:rsidR="000A09D4" w:rsidRPr="009D3928">
        <w:rPr>
          <w:rFonts w:ascii="Bookman Old Style" w:hAnsi="Bookman Old Style"/>
          <w:lang w:val="es-CO"/>
        </w:rPr>
        <w:t>dicho</w:t>
      </w:r>
      <w:r w:rsidR="00DA1345" w:rsidRPr="009D3928">
        <w:rPr>
          <w:rFonts w:ascii="Bookman Old Style" w:hAnsi="Bookman Old Style"/>
          <w:lang w:val="es-CO"/>
        </w:rPr>
        <w:t xml:space="preserve"> período tarifario y que estén instalados y disponibles para la operación; iii) </w:t>
      </w:r>
      <w:r w:rsidR="000A09D4" w:rsidRPr="009D3928">
        <w:rPr>
          <w:rFonts w:ascii="Bookman Old Style" w:hAnsi="Bookman Old Style"/>
          <w:lang w:val="es-CO"/>
        </w:rPr>
        <w:t xml:space="preserve">utilizar los criterios de comparación empleados durante el período tarifario actual, manteniendo abierta la posibilidad de hacer uso de otros criterios de comparación, tal como se hizo en la Resolución CREG 126 de 2010; y iv) </w:t>
      </w:r>
      <w:r w:rsidR="00DA1345" w:rsidRPr="009D3928">
        <w:rPr>
          <w:rFonts w:ascii="Bookman Old Style" w:hAnsi="Bookman Old Style"/>
          <w:lang w:val="es-CO"/>
        </w:rPr>
        <w:t xml:space="preserve">utilizar información actualizada </w:t>
      </w:r>
      <w:r w:rsidR="000A09D4" w:rsidRPr="009D3928">
        <w:rPr>
          <w:rFonts w:ascii="Bookman Old Style" w:hAnsi="Bookman Old Style"/>
          <w:lang w:val="es-CO"/>
        </w:rPr>
        <w:t>d</w:t>
      </w:r>
      <w:r w:rsidR="00DA1345" w:rsidRPr="009D3928">
        <w:rPr>
          <w:rFonts w:ascii="Bookman Old Style" w:hAnsi="Bookman Old Style"/>
          <w:lang w:val="es-CO"/>
        </w:rPr>
        <w:t>e los multiplicadores para la aplicación de criterios de comparación</w:t>
      </w:r>
      <w:r w:rsidR="000A09D4" w:rsidRPr="009D3928">
        <w:rPr>
          <w:rFonts w:ascii="Bookman Old Style" w:hAnsi="Bookman Old Style"/>
          <w:lang w:val="es-CO"/>
        </w:rPr>
        <w:t>.</w:t>
      </w:r>
    </w:p>
    <w:p w:rsidR="0008307A" w:rsidRPr="009D3928" w:rsidRDefault="0008307A" w:rsidP="00E47660">
      <w:pPr>
        <w:ind w:left="0"/>
        <w:jc w:val="both"/>
        <w:rPr>
          <w:rFonts w:ascii="Bookman Old Style" w:hAnsi="Bookman Old Style"/>
          <w:lang w:val="es-CO"/>
        </w:rPr>
      </w:pPr>
    </w:p>
    <w:p w:rsidR="0001678C" w:rsidRDefault="0001678C" w:rsidP="00E47660">
      <w:pPr>
        <w:ind w:left="0"/>
        <w:jc w:val="both"/>
        <w:rPr>
          <w:rFonts w:ascii="Bookman Old Style" w:hAnsi="Bookman Old Style"/>
          <w:lang w:val="es-CO"/>
        </w:rPr>
      </w:pPr>
      <w:r w:rsidRPr="009D3928">
        <w:rPr>
          <w:rFonts w:ascii="Bookman Old Style" w:hAnsi="Bookman Old Style"/>
          <w:lang w:val="es-CO"/>
        </w:rPr>
        <w:t xml:space="preserve">Finalmente, </w:t>
      </w:r>
      <w:r w:rsidR="00367452" w:rsidRPr="009D3928">
        <w:rPr>
          <w:rFonts w:ascii="Bookman Old Style" w:hAnsi="Bookman Old Style"/>
          <w:lang w:val="es-CO"/>
        </w:rPr>
        <w:t>la Comisión encuentra oportuno continuar haciendo uso de un factor de utilización como parámetro para calificar la eficiencia de la infraestructura de transporte de gas natural y como herramienta para incentivar la construcción de la infraestructura requerida para atender la demanda, sin que se remuneren inversiones ociosas.</w:t>
      </w:r>
      <w:r w:rsidR="001F0BD2">
        <w:rPr>
          <w:rFonts w:ascii="Bookman Old Style" w:hAnsi="Bookman Old Style"/>
          <w:lang w:val="es-CO"/>
        </w:rPr>
        <w:t xml:space="preserve"> Es posible que se requiera ajustar el procedimiento de cálculo y el valor del factor de utilización para hacerlo compatible con la metodología de corte transversal.</w:t>
      </w:r>
    </w:p>
    <w:p w:rsidR="001F0BD2" w:rsidRDefault="001F0BD2" w:rsidP="00E47660">
      <w:pPr>
        <w:ind w:left="0"/>
        <w:jc w:val="both"/>
        <w:rPr>
          <w:rFonts w:ascii="Bookman Old Style" w:hAnsi="Bookman Old Style"/>
          <w:lang w:val="es-CO"/>
        </w:rPr>
      </w:pPr>
    </w:p>
    <w:p w:rsidR="001F0BD2" w:rsidRPr="00701C21" w:rsidRDefault="001F0BD2" w:rsidP="00E47660">
      <w:pPr>
        <w:ind w:left="0"/>
        <w:jc w:val="both"/>
        <w:rPr>
          <w:rFonts w:ascii="Bookman Old Style" w:hAnsi="Bookman Old Style"/>
          <w:lang w:val="es-CO"/>
        </w:rPr>
      </w:pPr>
      <w:r>
        <w:rPr>
          <w:rFonts w:ascii="Bookman Old Style" w:hAnsi="Bookman Old Style"/>
          <w:lang w:val="es-CO"/>
        </w:rPr>
        <w:t>Con relación a los activos que cumplen su vida útil normativa en el artículo 14 de la Resolución CREG 126 de 2010 se estable el procedimiento a seguir en tales casos. Se considera adecuado realizar algunos ajustes a este procedimiento</w:t>
      </w:r>
      <w:r w:rsidR="00365FD9">
        <w:rPr>
          <w:rFonts w:ascii="Bookman Old Style" w:hAnsi="Bookman Old Style"/>
          <w:lang w:val="es-CO"/>
        </w:rPr>
        <w:t>,</w:t>
      </w:r>
      <w:r>
        <w:rPr>
          <w:rFonts w:ascii="Bookman Old Style" w:hAnsi="Bookman Old Style"/>
          <w:lang w:val="es-CO"/>
        </w:rPr>
        <w:t xml:space="preserve"> como se </w:t>
      </w:r>
      <w:r w:rsidR="006F1AD5">
        <w:rPr>
          <w:rFonts w:ascii="Bookman Old Style" w:hAnsi="Bookman Old Style"/>
          <w:lang w:val="es-CO"/>
        </w:rPr>
        <w:t xml:space="preserve">plantea </w:t>
      </w:r>
      <w:r>
        <w:rPr>
          <w:rFonts w:ascii="Bookman Old Style" w:hAnsi="Bookman Old Style"/>
          <w:lang w:val="es-CO"/>
        </w:rPr>
        <w:t>en l</w:t>
      </w:r>
      <w:r w:rsidR="00573A53">
        <w:rPr>
          <w:rFonts w:ascii="Bookman Old Style" w:hAnsi="Bookman Old Style"/>
          <w:lang w:val="es-CO"/>
        </w:rPr>
        <w:t>a</w:t>
      </w:r>
      <w:r>
        <w:rPr>
          <w:rFonts w:ascii="Bookman Old Style" w:hAnsi="Bookman Old Style"/>
          <w:lang w:val="es-CO"/>
        </w:rPr>
        <w:t xml:space="preserve"> </w:t>
      </w:r>
      <w:r w:rsidR="00573A53">
        <w:rPr>
          <w:rFonts w:ascii="Bookman Old Style" w:hAnsi="Bookman Old Style"/>
          <w:lang w:val="es-CO"/>
        </w:rPr>
        <w:t>sección</w:t>
      </w:r>
      <w:r>
        <w:rPr>
          <w:rFonts w:ascii="Bookman Old Style" w:hAnsi="Bookman Old Style"/>
          <w:lang w:val="es-CO"/>
        </w:rPr>
        <w:t xml:space="preserve"> 4.5 de este </w:t>
      </w:r>
      <w:r w:rsidR="006F1AD5">
        <w:rPr>
          <w:rFonts w:ascii="Bookman Old Style" w:hAnsi="Bookman Old Style"/>
          <w:lang w:val="es-CO"/>
        </w:rPr>
        <w:t>Anexo</w:t>
      </w:r>
      <w:r>
        <w:rPr>
          <w:rFonts w:ascii="Bookman Old Style" w:hAnsi="Bookman Old Style"/>
          <w:lang w:val="es-CO"/>
        </w:rPr>
        <w:t>.</w:t>
      </w:r>
    </w:p>
    <w:p w:rsidR="0001678C" w:rsidRPr="009906EC" w:rsidRDefault="0001678C" w:rsidP="00E47660">
      <w:pPr>
        <w:ind w:left="0"/>
        <w:jc w:val="both"/>
        <w:rPr>
          <w:rFonts w:ascii="Bookman Old Style" w:hAnsi="Bookman Old Style"/>
          <w:lang w:val="es-CO"/>
        </w:rPr>
      </w:pPr>
    </w:p>
    <w:p w:rsidR="0008307A" w:rsidRPr="009D3928" w:rsidRDefault="0008307A" w:rsidP="00E47660">
      <w:pPr>
        <w:ind w:left="0"/>
        <w:rPr>
          <w:rFonts w:ascii="Bookman Old Style" w:hAnsi="Bookman Old Style"/>
          <w:b/>
          <w:lang w:val="es-CO"/>
        </w:rPr>
      </w:pPr>
      <w:r w:rsidRPr="009D3928">
        <w:rPr>
          <w:rFonts w:ascii="Bookman Old Style" w:hAnsi="Bookman Old Style"/>
          <w:b/>
          <w:lang w:val="es-CO"/>
        </w:rPr>
        <w:t>4.4.2. GASTOS DE ADMINISTRACIÓN, OPERACIÓN Y MANTENIMIENTO</w:t>
      </w:r>
    </w:p>
    <w:p w:rsidR="0008307A" w:rsidRPr="009D3928" w:rsidRDefault="0008307A" w:rsidP="00E47660">
      <w:pPr>
        <w:ind w:left="0"/>
        <w:rPr>
          <w:rFonts w:ascii="Bookman Old Style" w:hAnsi="Bookman Old Style"/>
          <w:lang w:val="es-CO"/>
        </w:rPr>
      </w:pPr>
    </w:p>
    <w:p w:rsidR="0008307A" w:rsidRPr="009D3928" w:rsidRDefault="0023304E" w:rsidP="00E47660">
      <w:pPr>
        <w:ind w:left="0"/>
        <w:jc w:val="both"/>
        <w:rPr>
          <w:rFonts w:ascii="Bookman Old Style" w:hAnsi="Bookman Old Style"/>
          <w:lang w:val="es-CO"/>
        </w:rPr>
      </w:pPr>
      <w:r w:rsidRPr="009D3928">
        <w:rPr>
          <w:rFonts w:ascii="Bookman Old Style" w:hAnsi="Bookman Old Style"/>
          <w:lang w:val="es-CO"/>
        </w:rPr>
        <w:t xml:space="preserve">En el cálculo tarifario se consideran los siguientes gastos de </w:t>
      </w:r>
      <w:r w:rsidR="0008240E" w:rsidRPr="009D3928">
        <w:rPr>
          <w:rFonts w:ascii="Bookman Old Style" w:hAnsi="Bookman Old Style"/>
          <w:lang w:val="es-CO"/>
        </w:rPr>
        <w:t>AOM</w:t>
      </w:r>
      <w:r w:rsidRPr="009D3928">
        <w:rPr>
          <w:rFonts w:ascii="Bookman Old Style" w:hAnsi="Bookman Old Style"/>
          <w:lang w:val="es-CO"/>
        </w:rPr>
        <w:t>: i) los asociados a la inversión existente para el período tarifario regido por la metodología vigente</w:t>
      </w:r>
      <w:r w:rsidRPr="009D3928">
        <w:rPr>
          <w:rStyle w:val="Refdenotaalpie"/>
          <w:rFonts w:ascii="Bookman Old Style" w:hAnsi="Bookman Old Style"/>
          <w:lang w:val="es-CO"/>
        </w:rPr>
        <w:footnoteReference w:id="20"/>
      </w:r>
      <w:r w:rsidRPr="009D3928">
        <w:rPr>
          <w:rFonts w:ascii="Bookman Old Style" w:hAnsi="Bookman Old Style"/>
          <w:lang w:val="es-CO"/>
        </w:rPr>
        <w:t>; ii) los asociados al programa de nuevas inversiones regido por la metodología vigente</w:t>
      </w:r>
      <w:r w:rsidRPr="009D3928">
        <w:rPr>
          <w:rStyle w:val="Refdenotaalpie"/>
          <w:rFonts w:ascii="Bookman Old Style" w:hAnsi="Bookman Old Style"/>
          <w:lang w:val="es-CO"/>
        </w:rPr>
        <w:footnoteReference w:id="21"/>
      </w:r>
      <w:r w:rsidRPr="009D3928">
        <w:rPr>
          <w:rFonts w:ascii="Bookman Old Style" w:hAnsi="Bookman Old Style"/>
          <w:lang w:val="es-CO"/>
        </w:rPr>
        <w:t xml:space="preserve">; iii) los asociados a </w:t>
      </w:r>
      <w:r w:rsidR="00960FAF" w:rsidRPr="009D3928">
        <w:rPr>
          <w:rFonts w:ascii="Bookman Old Style" w:hAnsi="Bookman Old Style"/>
          <w:lang w:val="es-CO"/>
        </w:rPr>
        <w:t xml:space="preserve">las </w:t>
      </w:r>
      <w:r w:rsidRPr="009D3928">
        <w:rPr>
          <w:rFonts w:ascii="Bookman Old Style" w:hAnsi="Bookman Old Style"/>
          <w:lang w:val="es-CO"/>
        </w:rPr>
        <w:t>inversiones en aumento de capacidad regidas por la metodología vigente</w:t>
      </w:r>
      <w:r w:rsidRPr="009D3928">
        <w:rPr>
          <w:rStyle w:val="Refdenotaalpie"/>
          <w:rFonts w:ascii="Bookman Old Style" w:hAnsi="Bookman Old Style"/>
          <w:lang w:val="es-CO"/>
        </w:rPr>
        <w:footnoteReference w:id="22"/>
      </w:r>
      <w:r w:rsidRPr="009D3928">
        <w:rPr>
          <w:rFonts w:ascii="Bookman Old Style" w:hAnsi="Bookman Old Style"/>
          <w:lang w:val="es-CO"/>
        </w:rPr>
        <w:t>; y iv)</w:t>
      </w:r>
      <w:r w:rsidR="00366639" w:rsidRPr="009D3928">
        <w:rPr>
          <w:rFonts w:ascii="Bookman Old Style" w:hAnsi="Bookman Old Style"/>
          <w:lang w:val="es-CO"/>
        </w:rPr>
        <w:t xml:space="preserve"> otros gastos </w:t>
      </w:r>
      <w:r w:rsidR="00FB55F1" w:rsidRPr="009D3928">
        <w:rPr>
          <w:rFonts w:ascii="Bookman Old Style" w:hAnsi="Bookman Old Style"/>
          <w:lang w:val="es-CO"/>
        </w:rPr>
        <w:t xml:space="preserve">de AOM </w:t>
      </w:r>
      <w:r w:rsidR="000C003B" w:rsidRPr="009D3928">
        <w:rPr>
          <w:rFonts w:ascii="Bookman Old Style" w:hAnsi="Bookman Old Style"/>
          <w:lang w:val="es-CO"/>
        </w:rPr>
        <w:t xml:space="preserve">correspondientes a </w:t>
      </w:r>
      <w:r w:rsidR="00366639" w:rsidRPr="009D3928">
        <w:rPr>
          <w:rFonts w:ascii="Bookman Old Style" w:hAnsi="Bookman Old Style"/>
          <w:lang w:val="es-CO"/>
        </w:rPr>
        <w:t>compresión, corridas con raspador inteligente, gas de empaquetamiento, y terrenos e inmuebles.</w:t>
      </w:r>
    </w:p>
    <w:p w:rsidR="00960FAF" w:rsidRPr="009D3928" w:rsidRDefault="00960FAF" w:rsidP="00E47660">
      <w:pPr>
        <w:ind w:left="0"/>
        <w:jc w:val="both"/>
        <w:rPr>
          <w:rFonts w:ascii="Bookman Old Style" w:hAnsi="Bookman Old Style"/>
          <w:lang w:val="es-CO"/>
        </w:rPr>
      </w:pPr>
    </w:p>
    <w:p w:rsidR="00960FAF" w:rsidRPr="009D3928" w:rsidRDefault="00960FAF" w:rsidP="00E47660">
      <w:pPr>
        <w:ind w:left="0"/>
        <w:jc w:val="both"/>
        <w:rPr>
          <w:rFonts w:ascii="Bookman Old Style" w:hAnsi="Bookman Old Style"/>
          <w:lang w:val="es-CO"/>
        </w:rPr>
      </w:pPr>
      <w:r w:rsidRPr="009D3928">
        <w:rPr>
          <w:rFonts w:ascii="Bookman Old Style" w:hAnsi="Bookman Old Style"/>
          <w:lang w:val="es-CO"/>
        </w:rPr>
        <w:t xml:space="preserve">La regulación prevé que, para cada tramo o grupo de gasoductos, los primeros de estos gastos se estimen como el resultado de promediar: i) los gastos </w:t>
      </w:r>
      <w:r w:rsidR="0008240E" w:rsidRPr="009D3928">
        <w:rPr>
          <w:rFonts w:ascii="Bookman Old Style" w:hAnsi="Bookman Old Style"/>
          <w:lang w:val="es-CO"/>
        </w:rPr>
        <w:t xml:space="preserve">de </w:t>
      </w:r>
      <w:r w:rsidR="0008240E" w:rsidRPr="009D3928">
        <w:rPr>
          <w:rFonts w:ascii="Bookman Old Style" w:hAnsi="Bookman Old Style"/>
          <w:lang w:val="es-CO"/>
        </w:rPr>
        <w:lastRenderedPageBreak/>
        <w:t xml:space="preserve">AOM </w:t>
      </w:r>
      <w:r w:rsidRPr="009D3928">
        <w:rPr>
          <w:rFonts w:ascii="Bookman Old Style" w:hAnsi="Bookman Old Style"/>
          <w:lang w:val="es-CO"/>
        </w:rPr>
        <w:t xml:space="preserve">en los que efectivamente incurrió el transportador durante el período tarifario regido por la metodología anterior a la vigente; y ii) los gastos </w:t>
      </w:r>
      <w:r w:rsidR="0008240E" w:rsidRPr="009D3928">
        <w:rPr>
          <w:rFonts w:ascii="Bookman Old Style" w:hAnsi="Bookman Old Style"/>
          <w:lang w:val="es-CO"/>
        </w:rPr>
        <w:t xml:space="preserve">de AOM </w:t>
      </w:r>
      <w:r w:rsidRPr="009D3928">
        <w:rPr>
          <w:rFonts w:ascii="Bookman Old Style" w:hAnsi="Bookman Old Style"/>
          <w:lang w:val="es-CO"/>
        </w:rPr>
        <w:t>reconocidos como eficientes durante el período tarifario regido por la metodología anterior a la vigente.</w:t>
      </w:r>
    </w:p>
    <w:p w:rsidR="0008307A" w:rsidRPr="009D3928" w:rsidRDefault="0008307A" w:rsidP="00E47660">
      <w:pPr>
        <w:ind w:left="0"/>
        <w:jc w:val="both"/>
        <w:rPr>
          <w:rFonts w:ascii="Bookman Old Style" w:hAnsi="Bookman Old Style"/>
          <w:lang w:val="es-CO"/>
        </w:rPr>
      </w:pPr>
    </w:p>
    <w:p w:rsidR="00960FAF" w:rsidRPr="009D3928" w:rsidRDefault="00960FAF" w:rsidP="00E47660">
      <w:pPr>
        <w:ind w:left="0"/>
        <w:jc w:val="both"/>
        <w:rPr>
          <w:rFonts w:ascii="Bookman Old Style" w:hAnsi="Bookman Old Style"/>
          <w:lang w:val="es-CO"/>
        </w:rPr>
      </w:pPr>
      <w:r w:rsidRPr="009D3928">
        <w:rPr>
          <w:rFonts w:ascii="Bookman Old Style" w:hAnsi="Bookman Old Style"/>
          <w:lang w:val="es-CO"/>
        </w:rPr>
        <w:t xml:space="preserve">Por otra parte, en lo que respecta a los gastos de </w:t>
      </w:r>
      <w:r w:rsidR="0008240E" w:rsidRPr="009D3928">
        <w:rPr>
          <w:rFonts w:ascii="Bookman Old Style" w:hAnsi="Bookman Old Style"/>
          <w:lang w:val="es-CO"/>
        </w:rPr>
        <w:t>AOM</w:t>
      </w:r>
      <w:r w:rsidRPr="009D3928">
        <w:rPr>
          <w:rFonts w:ascii="Bookman Old Style" w:hAnsi="Bookman Old Style"/>
          <w:lang w:val="es-CO"/>
        </w:rPr>
        <w:t xml:space="preserve"> asociados al programa de nuevas inversiones y a </w:t>
      </w:r>
      <w:r w:rsidR="00CC77B0" w:rsidRPr="009D3928">
        <w:rPr>
          <w:rFonts w:ascii="Bookman Old Style" w:hAnsi="Bookman Old Style"/>
          <w:lang w:val="es-CO"/>
        </w:rPr>
        <w:t xml:space="preserve">las </w:t>
      </w:r>
      <w:r w:rsidRPr="009D3928">
        <w:rPr>
          <w:rFonts w:ascii="Bookman Old Style" w:hAnsi="Bookman Old Style"/>
          <w:lang w:val="es-CO"/>
        </w:rPr>
        <w:t>inversiones en aumento de capacidad</w:t>
      </w:r>
      <w:r w:rsidR="00CC77B0" w:rsidRPr="009D3928">
        <w:rPr>
          <w:rFonts w:ascii="Bookman Old Style" w:hAnsi="Bookman Old Style"/>
          <w:lang w:val="es-CO"/>
        </w:rPr>
        <w:t xml:space="preserve">, estos se vienen estimando </w:t>
      </w:r>
      <w:r w:rsidR="0008240E" w:rsidRPr="009D3928">
        <w:rPr>
          <w:rFonts w:ascii="Bookman Old Style" w:hAnsi="Bookman Old Style"/>
          <w:lang w:val="es-CO"/>
        </w:rPr>
        <w:t>con base en</w:t>
      </w:r>
      <w:r w:rsidR="00CC77B0" w:rsidRPr="009D3928">
        <w:rPr>
          <w:rFonts w:ascii="Bookman Old Style" w:hAnsi="Bookman Old Style"/>
          <w:lang w:val="es-CO"/>
        </w:rPr>
        <w:t xml:space="preserve"> los gastos </w:t>
      </w:r>
      <w:r w:rsidR="0008240E" w:rsidRPr="009D3928">
        <w:rPr>
          <w:rFonts w:ascii="Bookman Old Style" w:hAnsi="Bookman Old Style"/>
          <w:lang w:val="es-CO"/>
        </w:rPr>
        <w:t xml:space="preserve">de AOM </w:t>
      </w:r>
      <w:r w:rsidR="00CC77B0" w:rsidRPr="009D3928">
        <w:rPr>
          <w:rFonts w:ascii="Bookman Old Style" w:hAnsi="Bookman Old Style"/>
          <w:lang w:val="es-CO"/>
        </w:rPr>
        <w:t>en los que incurren empresas transportadoras que operan en Estados Unidos.</w:t>
      </w:r>
    </w:p>
    <w:p w:rsidR="00960FAF" w:rsidRPr="009D3928" w:rsidRDefault="00960FAF" w:rsidP="00E47660">
      <w:pPr>
        <w:ind w:left="0"/>
        <w:jc w:val="both"/>
        <w:rPr>
          <w:rFonts w:ascii="Bookman Old Style" w:hAnsi="Bookman Old Style"/>
          <w:lang w:val="es-CO"/>
        </w:rPr>
      </w:pPr>
    </w:p>
    <w:p w:rsidR="00F3174B" w:rsidRPr="009D3928" w:rsidRDefault="000C003B" w:rsidP="00E47660">
      <w:pPr>
        <w:ind w:left="0"/>
        <w:jc w:val="both"/>
        <w:rPr>
          <w:rFonts w:ascii="Bookman Old Style" w:hAnsi="Bookman Old Style"/>
          <w:lang w:val="es-CO"/>
        </w:rPr>
      </w:pPr>
      <w:r w:rsidRPr="009D3928">
        <w:rPr>
          <w:rFonts w:ascii="Bookman Old Style" w:hAnsi="Bookman Old Style"/>
          <w:lang w:val="es-CO"/>
        </w:rPr>
        <w:t xml:space="preserve">En línea con lo </w:t>
      </w:r>
      <w:r w:rsidR="00F3174B" w:rsidRPr="009D3928">
        <w:rPr>
          <w:rFonts w:ascii="Bookman Old Style" w:hAnsi="Bookman Old Style"/>
          <w:lang w:val="es-CO"/>
        </w:rPr>
        <w:t>plantea</w:t>
      </w:r>
      <w:r w:rsidRPr="009D3928">
        <w:rPr>
          <w:rFonts w:ascii="Bookman Old Style" w:hAnsi="Bookman Old Style"/>
          <w:lang w:val="es-CO"/>
        </w:rPr>
        <w:t>do</w:t>
      </w:r>
      <w:r w:rsidR="00F3174B" w:rsidRPr="009D3928">
        <w:rPr>
          <w:rFonts w:ascii="Bookman Old Style" w:hAnsi="Bookman Old Style"/>
          <w:lang w:val="es-CO"/>
        </w:rPr>
        <w:t xml:space="preserve"> en la sección anterior, si los análisis que se realicen según lo </w:t>
      </w:r>
      <w:r w:rsidRPr="009D3928">
        <w:rPr>
          <w:rFonts w:ascii="Bookman Old Style" w:hAnsi="Bookman Old Style"/>
          <w:lang w:val="es-CO"/>
        </w:rPr>
        <w:t>mencionado</w:t>
      </w:r>
      <w:r w:rsidR="00F3174B" w:rsidRPr="009D3928">
        <w:rPr>
          <w:rFonts w:ascii="Bookman Old Style" w:hAnsi="Bookman Old Style"/>
          <w:lang w:val="es-CO"/>
        </w:rPr>
        <w:t xml:space="preserve"> en la sección 4.2.</w:t>
      </w:r>
      <w:r w:rsidR="00573A53">
        <w:rPr>
          <w:rFonts w:ascii="Bookman Old Style" w:hAnsi="Bookman Old Style"/>
          <w:lang w:val="es-CO"/>
        </w:rPr>
        <w:t>2</w:t>
      </w:r>
      <w:r w:rsidR="00573A53" w:rsidRPr="009D3928">
        <w:rPr>
          <w:rFonts w:ascii="Bookman Old Style" w:hAnsi="Bookman Old Style"/>
          <w:lang w:val="es-CO"/>
        </w:rPr>
        <w:t xml:space="preserve"> </w:t>
      </w:r>
      <w:r w:rsidR="00F3174B" w:rsidRPr="009D3928">
        <w:rPr>
          <w:rFonts w:ascii="Bookman Old Style" w:hAnsi="Bookman Old Style"/>
          <w:lang w:val="es-CO"/>
        </w:rPr>
        <w:t xml:space="preserve">de este Anexo llevan a reemplazar el esquema de costo medio de mediano plazo por uno de costo medio con corte transversal, para el cálculo tarifario sólo sería necesario determinar el valor eficiente de los gastos de </w:t>
      </w:r>
      <w:r w:rsidR="0008240E" w:rsidRPr="009D3928">
        <w:rPr>
          <w:rFonts w:ascii="Bookman Old Style" w:hAnsi="Bookman Old Style"/>
          <w:lang w:val="es-CO"/>
        </w:rPr>
        <w:t>AOM</w:t>
      </w:r>
      <w:r w:rsidR="00F3174B" w:rsidRPr="009D3928">
        <w:rPr>
          <w:rFonts w:ascii="Bookman Old Style" w:hAnsi="Bookman Old Style"/>
          <w:lang w:val="es-CO"/>
        </w:rPr>
        <w:t xml:space="preserve"> asociados a la inversión existente</w:t>
      </w:r>
      <w:r w:rsidRPr="009D3928">
        <w:rPr>
          <w:rFonts w:ascii="Bookman Old Style" w:hAnsi="Bookman Old Style"/>
          <w:lang w:val="es-CO"/>
        </w:rPr>
        <w:t xml:space="preserve"> y el valor eficiente de los denominados otros gastos</w:t>
      </w:r>
      <w:r w:rsidR="00FB55F1" w:rsidRPr="009D3928">
        <w:rPr>
          <w:rFonts w:ascii="Bookman Old Style" w:hAnsi="Bookman Old Style"/>
          <w:lang w:val="es-CO"/>
        </w:rPr>
        <w:t xml:space="preserve"> de AOM</w:t>
      </w:r>
      <w:r w:rsidR="00F3174B" w:rsidRPr="009D3928">
        <w:rPr>
          <w:rFonts w:ascii="Bookman Old Style" w:hAnsi="Bookman Old Style"/>
          <w:lang w:val="es-CO"/>
        </w:rPr>
        <w:t>.</w:t>
      </w:r>
      <w:r w:rsidR="006D6B2C" w:rsidRPr="009D3928">
        <w:rPr>
          <w:rFonts w:ascii="Bookman Old Style" w:hAnsi="Bookman Old Style"/>
          <w:lang w:val="es-CO"/>
        </w:rPr>
        <w:t xml:space="preserve"> La determinación de los gastos eficientes de AOM asociados a nuevas inversiones se limitaría a aquellos casos en que no se presente competencia en las convocatorias para la extensión del sistema nacional de transporte.</w:t>
      </w:r>
    </w:p>
    <w:p w:rsidR="00A851AE" w:rsidRPr="009D3928" w:rsidRDefault="00A851AE" w:rsidP="00E47660">
      <w:pPr>
        <w:ind w:left="0"/>
        <w:jc w:val="both"/>
        <w:rPr>
          <w:rFonts w:ascii="Bookman Old Style" w:hAnsi="Bookman Old Style"/>
          <w:lang w:val="es-CO"/>
        </w:rPr>
      </w:pPr>
    </w:p>
    <w:p w:rsidR="00A851AE" w:rsidRPr="009D3928" w:rsidRDefault="00CC77B0" w:rsidP="00E47660">
      <w:pPr>
        <w:ind w:left="0"/>
        <w:jc w:val="both"/>
        <w:rPr>
          <w:rFonts w:ascii="Bookman Old Style" w:hAnsi="Bookman Old Style"/>
          <w:lang w:val="es-CO"/>
        </w:rPr>
      </w:pPr>
      <w:r w:rsidRPr="009D3928">
        <w:rPr>
          <w:rFonts w:ascii="Bookman Old Style" w:hAnsi="Bookman Old Style"/>
          <w:lang w:val="es-CO"/>
        </w:rPr>
        <w:t xml:space="preserve">En relación con la estimación de los gastos </w:t>
      </w:r>
      <w:r w:rsidR="0008240E" w:rsidRPr="009D3928">
        <w:rPr>
          <w:rFonts w:ascii="Bookman Old Style" w:hAnsi="Bookman Old Style"/>
          <w:lang w:val="es-CO"/>
        </w:rPr>
        <w:t xml:space="preserve">de AOM </w:t>
      </w:r>
      <w:r w:rsidRPr="009D3928">
        <w:rPr>
          <w:rFonts w:ascii="Bookman Old Style" w:hAnsi="Bookman Old Style"/>
          <w:lang w:val="es-CO"/>
        </w:rPr>
        <w:t>asociados a la inversión existente, se debe resaltar que si bien</w:t>
      </w:r>
      <w:r w:rsidR="00275DE6" w:rsidRPr="009D3928">
        <w:rPr>
          <w:rFonts w:ascii="Bookman Old Style" w:hAnsi="Bookman Old Style"/>
          <w:lang w:val="es-CO"/>
        </w:rPr>
        <w:t xml:space="preserve"> </w:t>
      </w:r>
      <w:r w:rsidRPr="009D3928">
        <w:rPr>
          <w:rFonts w:ascii="Bookman Old Style" w:hAnsi="Bookman Old Style"/>
          <w:lang w:val="es-CO"/>
        </w:rPr>
        <w:t>l</w:t>
      </w:r>
      <w:r w:rsidR="00275DE6" w:rsidRPr="009D3928">
        <w:rPr>
          <w:rFonts w:ascii="Bookman Old Style" w:hAnsi="Bookman Old Style"/>
          <w:lang w:val="es-CO"/>
        </w:rPr>
        <w:t xml:space="preserve">a metodología </w:t>
      </w:r>
      <w:r w:rsidRPr="009D3928">
        <w:rPr>
          <w:rFonts w:ascii="Bookman Old Style" w:hAnsi="Bookman Old Style"/>
          <w:lang w:val="es-CO"/>
        </w:rPr>
        <w:t xml:space="preserve">actual </w:t>
      </w:r>
      <w:r w:rsidR="00275DE6" w:rsidRPr="009D3928">
        <w:rPr>
          <w:rFonts w:ascii="Bookman Old Style" w:hAnsi="Bookman Old Style"/>
          <w:lang w:val="es-CO"/>
        </w:rPr>
        <w:t>introduce in</w:t>
      </w:r>
      <w:r w:rsidR="00450A32" w:rsidRPr="009D3928">
        <w:rPr>
          <w:rFonts w:ascii="Bookman Old Style" w:hAnsi="Bookman Old Style"/>
          <w:lang w:val="es-CO"/>
        </w:rPr>
        <w:t>c</w:t>
      </w:r>
      <w:r w:rsidR="00275DE6" w:rsidRPr="009D3928">
        <w:rPr>
          <w:rFonts w:ascii="Bookman Old Style" w:hAnsi="Bookman Old Style"/>
          <w:lang w:val="es-CO"/>
        </w:rPr>
        <w:t xml:space="preserve">entivos </w:t>
      </w:r>
      <w:r w:rsidR="00450A32" w:rsidRPr="009D3928">
        <w:rPr>
          <w:rFonts w:ascii="Bookman Old Style" w:hAnsi="Bookman Old Style"/>
          <w:lang w:val="es-CO"/>
        </w:rPr>
        <w:t>para que los transportadores se acerquen a los gastos que en el pasado fueron considerados eficientes</w:t>
      </w:r>
      <w:r w:rsidRPr="009D3928">
        <w:rPr>
          <w:rFonts w:ascii="Bookman Old Style" w:hAnsi="Bookman Old Style"/>
          <w:lang w:val="es-CO"/>
        </w:rPr>
        <w:t xml:space="preserve"> y para que aquellos que ya son eficientes compartan con los usuarios </w:t>
      </w:r>
      <w:r w:rsidR="00410BA6" w:rsidRPr="009D3928">
        <w:rPr>
          <w:rFonts w:ascii="Bookman Old Style" w:hAnsi="Bookman Old Style"/>
          <w:lang w:val="es-CO"/>
        </w:rPr>
        <w:t>parte de los réditos de los esfuerzos que han realizado</w:t>
      </w:r>
      <w:r w:rsidR="00450A32" w:rsidRPr="009D3928">
        <w:rPr>
          <w:rFonts w:ascii="Bookman Old Style" w:hAnsi="Bookman Old Style"/>
          <w:lang w:val="es-CO"/>
        </w:rPr>
        <w:t xml:space="preserve">, algunos acontecimientos registrados durante el período tarifario actual </w:t>
      </w:r>
      <w:r w:rsidR="00015850" w:rsidRPr="009D3928">
        <w:rPr>
          <w:rFonts w:ascii="Bookman Old Style" w:hAnsi="Bookman Old Style"/>
          <w:lang w:val="es-CO"/>
        </w:rPr>
        <w:t>hacen necesario revisar la conveniencia de la misma:</w:t>
      </w:r>
    </w:p>
    <w:p w:rsidR="00015850" w:rsidRPr="009D3928" w:rsidRDefault="00015850" w:rsidP="00E47660">
      <w:pPr>
        <w:ind w:left="0"/>
        <w:jc w:val="both"/>
        <w:rPr>
          <w:rFonts w:ascii="Bookman Old Style" w:hAnsi="Bookman Old Style"/>
          <w:lang w:val="es-CO"/>
        </w:rPr>
      </w:pPr>
    </w:p>
    <w:p w:rsidR="00291FDA" w:rsidRPr="009D3928" w:rsidRDefault="007628F2"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En general, l</w:t>
      </w:r>
      <w:r w:rsidR="00291FDA" w:rsidRPr="009D3928">
        <w:rPr>
          <w:rFonts w:ascii="Bookman Old Style" w:hAnsi="Bookman Old Style"/>
          <w:lang w:val="es-CO"/>
        </w:rPr>
        <w:t xml:space="preserve">os transportadores </w:t>
      </w:r>
      <w:r w:rsidRPr="009D3928">
        <w:rPr>
          <w:rFonts w:ascii="Bookman Old Style" w:hAnsi="Bookman Old Style"/>
          <w:lang w:val="es-CO"/>
        </w:rPr>
        <w:t>se limitan a</w:t>
      </w:r>
      <w:r w:rsidR="00291FDA" w:rsidRPr="009D3928">
        <w:rPr>
          <w:rFonts w:ascii="Bookman Old Style" w:hAnsi="Bookman Old Style"/>
          <w:lang w:val="es-CO"/>
        </w:rPr>
        <w:t xml:space="preserve"> registrar en sus estados financieros la totalidad de los gastos de </w:t>
      </w:r>
      <w:r w:rsidR="0008240E" w:rsidRPr="009D3928">
        <w:rPr>
          <w:rFonts w:ascii="Bookman Old Style" w:hAnsi="Bookman Old Style"/>
          <w:lang w:val="es-CO"/>
        </w:rPr>
        <w:t>AOM</w:t>
      </w:r>
      <w:r w:rsidR="00291FDA" w:rsidRPr="009D3928">
        <w:rPr>
          <w:rFonts w:ascii="Bookman Old Style" w:hAnsi="Bookman Old Style"/>
          <w:lang w:val="es-CO"/>
        </w:rPr>
        <w:t xml:space="preserve"> </w:t>
      </w:r>
      <w:r w:rsidR="00261416" w:rsidRPr="009D3928">
        <w:rPr>
          <w:rFonts w:ascii="Bookman Old Style" w:hAnsi="Bookman Old Style"/>
          <w:lang w:val="es-CO"/>
        </w:rPr>
        <w:t xml:space="preserve">de </w:t>
      </w:r>
      <w:r w:rsidR="00291FDA" w:rsidRPr="009D3928">
        <w:rPr>
          <w:rFonts w:ascii="Bookman Old Style" w:hAnsi="Bookman Old Style"/>
          <w:lang w:val="es-CO"/>
        </w:rPr>
        <w:t xml:space="preserve">los diferentes sistemas de transporte que operan. En este sentido, no siempre es posible disponer de estos gastos desglosados por sistema, como tampoco es posible </w:t>
      </w:r>
      <w:r w:rsidR="00261416" w:rsidRPr="009D3928">
        <w:rPr>
          <w:rFonts w:ascii="Bookman Old Style" w:hAnsi="Bookman Old Style"/>
          <w:lang w:val="es-CO"/>
        </w:rPr>
        <w:t>acceder a información veraz sobre la forma como se deben</w:t>
      </w:r>
      <w:r w:rsidR="00291FDA" w:rsidRPr="009D3928">
        <w:rPr>
          <w:rFonts w:ascii="Bookman Old Style" w:hAnsi="Bookman Old Style"/>
          <w:lang w:val="es-CO"/>
        </w:rPr>
        <w:t xml:space="preserve"> imputa</w:t>
      </w:r>
      <w:r w:rsidR="00261416" w:rsidRPr="009D3928">
        <w:rPr>
          <w:rFonts w:ascii="Bookman Old Style" w:hAnsi="Bookman Old Style"/>
          <w:lang w:val="es-CO"/>
        </w:rPr>
        <w:t>r</w:t>
      </w:r>
      <w:r w:rsidR="00291FDA" w:rsidRPr="009D3928">
        <w:rPr>
          <w:rFonts w:ascii="Bookman Old Style" w:hAnsi="Bookman Old Style"/>
          <w:lang w:val="es-CO"/>
        </w:rPr>
        <w:t xml:space="preserve"> estos gastos </w:t>
      </w:r>
      <w:r w:rsidR="00261416" w:rsidRPr="009D3928">
        <w:rPr>
          <w:rFonts w:ascii="Bookman Old Style" w:hAnsi="Bookman Old Style"/>
          <w:lang w:val="es-CO"/>
        </w:rPr>
        <w:t>por tramo o grupo de gasoductos.</w:t>
      </w:r>
    </w:p>
    <w:p w:rsidR="00DE1DCE" w:rsidRPr="009D3928" w:rsidRDefault="00DE1DCE" w:rsidP="00E47660">
      <w:pPr>
        <w:tabs>
          <w:tab w:val="left" w:pos="284"/>
        </w:tabs>
        <w:ind w:left="0"/>
        <w:jc w:val="both"/>
        <w:rPr>
          <w:rFonts w:ascii="Bookman Old Style" w:hAnsi="Bookman Old Style"/>
          <w:lang w:val="es-CO"/>
        </w:rPr>
      </w:pPr>
    </w:p>
    <w:p w:rsidR="00261416" w:rsidRPr="009D3928" w:rsidRDefault="00261416"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Al analizar la forma como algunos transportadores imputaron</w:t>
      </w:r>
      <w:r w:rsidR="007628F2" w:rsidRPr="009D3928">
        <w:rPr>
          <w:rFonts w:ascii="Bookman Old Style" w:hAnsi="Bookman Old Style"/>
          <w:lang w:val="es-CO"/>
        </w:rPr>
        <w:t>, por tramo o grupo de gasoductos,</w:t>
      </w:r>
      <w:r w:rsidRPr="009D3928">
        <w:rPr>
          <w:rFonts w:ascii="Bookman Old Style" w:hAnsi="Bookman Old Style"/>
          <w:lang w:val="es-CO"/>
        </w:rPr>
        <w:t xml:space="preserve"> los gastos en los que incurrieron durante el período tarifario regido por la metodología anterior a la vigente no se encuentran razones </w:t>
      </w:r>
      <w:r w:rsidR="0008240E" w:rsidRPr="009D3928">
        <w:rPr>
          <w:rFonts w:ascii="Bookman Old Style" w:hAnsi="Bookman Old Style"/>
          <w:lang w:val="es-CO"/>
        </w:rPr>
        <w:t>claras</w:t>
      </w:r>
      <w:r w:rsidRPr="009D3928">
        <w:rPr>
          <w:rFonts w:ascii="Bookman Old Style" w:hAnsi="Bookman Old Style"/>
          <w:lang w:val="es-CO"/>
        </w:rPr>
        <w:t xml:space="preserve"> que permitan determinar los criterios considerados para realizar tal imputación.</w:t>
      </w:r>
    </w:p>
    <w:p w:rsidR="00777DA7" w:rsidRPr="009D3928" w:rsidRDefault="00777DA7" w:rsidP="00E47660">
      <w:pPr>
        <w:tabs>
          <w:tab w:val="left" w:pos="284"/>
        </w:tabs>
        <w:ind w:left="0"/>
        <w:jc w:val="both"/>
        <w:rPr>
          <w:rFonts w:ascii="Bookman Old Style" w:hAnsi="Bookman Old Style"/>
          <w:lang w:val="es-CO"/>
        </w:rPr>
      </w:pPr>
    </w:p>
    <w:p w:rsidR="00802421" w:rsidRPr="009D3928" w:rsidRDefault="0008240E"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 xml:space="preserve">Los cargos regulados de algunos tramos experimentaron cambios considerables por cuenta de las variaciones de los gastos de AOM reconocidos por la regulación. </w:t>
      </w:r>
      <w:r w:rsidR="007628F2" w:rsidRPr="009D3928">
        <w:rPr>
          <w:rFonts w:ascii="Bookman Old Style" w:hAnsi="Bookman Old Style"/>
          <w:lang w:val="es-CO"/>
        </w:rPr>
        <w:t>Este comportamiento podría obedecer a estrategias comerciales y no a la realidad de la actividad de transporte</w:t>
      </w:r>
      <w:r w:rsidR="009A00D6" w:rsidRPr="009D3928">
        <w:rPr>
          <w:rStyle w:val="Refdenotaalpie"/>
          <w:rFonts w:ascii="Bookman Old Style" w:hAnsi="Bookman Old Style"/>
          <w:lang w:val="es-CO"/>
        </w:rPr>
        <w:footnoteReference w:id="23"/>
      </w:r>
      <w:r w:rsidR="007628F2" w:rsidRPr="009D3928">
        <w:rPr>
          <w:rFonts w:ascii="Bookman Old Style" w:hAnsi="Bookman Old Style"/>
          <w:lang w:val="es-CO"/>
        </w:rPr>
        <w:t xml:space="preserve">, </w:t>
      </w:r>
      <w:r w:rsidR="007B3F07" w:rsidRPr="009D3928">
        <w:rPr>
          <w:rFonts w:ascii="Bookman Old Style" w:hAnsi="Bookman Old Style"/>
          <w:lang w:val="es-CO"/>
        </w:rPr>
        <w:t xml:space="preserve">situación que no </w:t>
      </w:r>
      <w:r w:rsidR="001F0BD2">
        <w:rPr>
          <w:rFonts w:ascii="Bookman Old Style" w:hAnsi="Bookman Old Style"/>
          <w:lang w:val="es-CO"/>
        </w:rPr>
        <w:lastRenderedPageBreak/>
        <w:t>se ajusta de manera</w:t>
      </w:r>
      <w:r w:rsidR="007B3F07" w:rsidRPr="009D3928">
        <w:rPr>
          <w:rFonts w:ascii="Bookman Old Style" w:hAnsi="Bookman Old Style"/>
          <w:lang w:val="es-CO"/>
        </w:rPr>
        <w:t xml:space="preserve"> estricta </w:t>
      </w:r>
      <w:r w:rsidR="001F0BD2">
        <w:rPr>
          <w:rFonts w:ascii="Bookman Old Style" w:hAnsi="Bookman Old Style"/>
          <w:lang w:val="es-CO"/>
        </w:rPr>
        <w:t xml:space="preserve">a los </w:t>
      </w:r>
      <w:r w:rsidR="007628F2" w:rsidRPr="009D3928">
        <w:rPr>
          <w:rFonts w:ascii="Bookman Old Style" w:hAnsi="Bookman Old Style"/>
          <w:lang w:val="es-CO"/>
        </w:rPr>
        <w:t>criterios que orienta</w:t>
      </w:r>
      <w:r w:rsidR="001F0BD2">
        <w:rPr>
          <w:rFonts w:ascii="Bookman Old Style" w:hAnsi="Bookman Old Style"/>
          <w:lang w:val="es-CO"/>
        </w:rPr>
        <w:t>n</w:t>
      </w:r>
      <w:r w:rsidR="007628F2" w:rsidRPr="009D3928">
        <w:rPr>
          <w:rFonts w:ascii="Bookman Old Style" w:hAnsi="Bookman Old Style"/>
          <w:lang w:val="es-CO"/>
        </w:rPr>
        <w:t xml:space="preserve"> el régimen tarifario </w:t>
      </w:r>
      <w:r w:rsidR="00E353F5" w:rsidRPr="009D3928">
        <w:rPr>
          <w:rFonts w:ascii="Bookman Old Style" w:hAnsi="Bookman Old Style"/>
          <w:lang w:val="es-CO"/>
        </w:rPr>
        <w:t>según lo dispuesto por</w:t>
      </w:r>
      <w:r w:rsidR="007628F2" w:rsidRPr="009D3928">
        <w:rPr>
          <w:rFonts w:ascii="Bookman Old Style" w:hAnsi="Bookman Old Style"/>
          <w:lang w:val="es-CO"/>
        </w:rPr>
        <w:t xml:space="preserve"> la Ley 142 de 1994.</w:t>
      </w:r>
    </w:p>
    <w:p w:rsidR="00BF4962" w:rsidRPr="009D3928" w:rsidRDefault="00BF4962" w:rsidP="00E47660">
      <w:pPr>
        <w:tabs>
          <w:tab w:val="left" w:pos="284"/>
        </w:tabs>
        <w:ind w:left="0"/>
        <w:jc w:val="both"/>
        <w:rPr>
          <w:rFonts w:ascii="Bookman Old Style" w:hAnsi="Bookman Old Style"/>
          <w:lang w:val="es-CO"/>
        </w:rPr>
      </w:pPr>
    </w:p>
    <w:p w:rsidR="007628F2" w:rsidRDefault="00955499" w:rsidP="00E47660">
      <w:pPr>
        <w:numPr>
          <w:ilvl w:val="0"/>
          <w:numId w:val="33"/>
        </w:numPr>
        <w:tabs>
          <w:tab w:val="left" w:pos="284"/>
        </w:tabs>
        <w:ind w:left="0" w:firstLine="0"/>
        <w:jc w:val="both"/>
        <w:rPr>
          <w:rFonts w:ascii="Bookman Old Style" w:hAnsi="Bookman Old Style"/>
          <w:lang w:val="es-CO"/>
        </w:rPr>
      </w:pPr>
      <w:r w:rsidRPr="009D3928">
        <w:rPr>
          <w:rFonts w:ascii="Bookman Old Style" w:hAnsi="Bookman Old Style"/>
          <w:lang w:val="es-CO"/>
        </w:rPr>
        <w:t>En contraste con lo anterior, el uso de referencias internacionales para la determinación de los gastos de AOM asociados a nuevas inversiones no sólo ha demandado una menor exigencia en el análisis de información contable sino que también ha permitido establecer incentivos adecuados al circunscribir l</w:t>
      </w:r>
      <w:r w:rsidR="003E390B" w:rsidRPr="009D3928">
        <w:rPr>
          <w:rFonts w:ascii="Bookman Old Style" w:hAnsi="Bookman Old Style"/>
          <w:lang w:val="es-CO"/>
        </w:rPr>
        <w:t>a estimación de l</w:t>
      </w:r>
      <w:r w:rsidRPr="009D3928">
        <w:rPr>
          <w:rFonts w:ascii="Bookman Old Style" w:hAnsi="Bookman Old Style"/>
          <w:lang w:val="es-CO"/>
        </w:rPr>
        <w:t xml:space="preserve">os gastos eficientes </w:t>
      </w:r>
      <w:r w:rsidR="003E390B" w:rsidRPr="009D3928">
        <w:rPr>
          <w:rFonts w:ascii="Bookman Old Style" w:hAnsi="Bookman Old Style"/>
          <w:lang w:val="es-CO"/>
        </w:rPr>
        <w:t xml:space="preserve">de AOM </w:t>
      </w:r>
      <w:r w:rsidRPr="009D3928">
        <w:rPr>
          <w:rFonts w:ascii="Bookman Old Style" w:hAnsi="Bookman Old Style"/>
          <w:lang w:val="es-CO"/>
        </w:rPr>
        <w:t xml:space="preserve">a </w:t>
      </w:r>
      <w:r w:rsidR="003E390B" w:rsidRPr="009D3928">
        <w:rPr>
          <w:rFonts w:ascii="Bookman Old Style" w:hAnsi="Bookman Old Style"/>
          <w:lang w:val="es-CO"/>
        </w:rPr>
        <w:t>la infraestructura correspondiente</w:t>
      </w:r>
      <w:r w:rsidRPr="009D3928">
        <w:rPr>
          <w:rFonts w:ascii="Bookman Old Style" w:hAnsi="Bookman Old Style"/>
          <w:lang w:val="es-CO"/>
        </w:rPr>
        <w:t>.</w:t>
      </w:r>
    </w:p>
    <w:p w:rsidR="00E5049A" w:rsidRDefault="00E5049A" w:rsidP="00E5049A">
      <w:pPr>
        <w:pStyle w:val="Prrafodelista"/>
        <w:rPr>
          <w:rFonts w:ascii="Bookman Old Style" w:hAnsi="Bookman Old Style"/>
        </w:rPr>
      </w:pPr>
    </w:p>
    <w:p w:rsidR="006D6B2C" w:rsidRPr="009D3928" w:rsidRDefault="006D6B2C" w:rsidP="00E47660">
      <w:pPr>
        <w:ind w:left="0"/>
        <w:jc w:val="both"/>
        <w:rPr>
          <w:rFonts w:ascii="Bookman Old Style" w:hAnsi="Bookman Old Style"/>
          <w:lang w:val="es-CO"/>
        </w:rPr>
      </w:pPr>
      <w:r w:rsidRPr="009D3928">
        <w:rPr>
          <w:rFonts w:ascii="Bookman Old Style" w:hAnsi="Bookman Old Style"/>
          <w:lang w:val="es-CO"/>
        </w:rPr>
        <w:t>Tomando en consideración lo expuesto en esta sección, se encuentra apropiado evaluar la posibilidad de que los gastos eficientes de AOM asociados a la inversión existente o a las nuevas inversiones se determine</w:t>
      </w:r>
      <w:r w:rsidR="00283A94" w:rsidRPr="009D3928">
        <w:rPr>
          <w:rFonts w:ascii="Bookman Old Style" w:hAnsi="Bookman Old Style"/>
          <w:lang w:val="es-CO"/>
        </w:rPr>
        <w:t>n</w:t>
      </w:r>
      <w:r w:rsidRPr="009D3928">
        <w:rPr>
          <w:rFonts w:ascii="Bookman Old Style" w:hAnsi="Bookman Old Style"/>
          <w:lang w:val="es-CO"/>
        </w:rPr>
        <w:t xml:space="preserve">: i) tomando como referencia los gastos de AOM en los que incurren empresas transportadoras de gas natural que operan en otros mercados; </w:t>
      </w:r>
      <w:r w:rsidR="001516D3" w:rsidRPr="009D3928">
        <w:rPr>
          <w:rFonts w:ascii="Bookman Old Style" w:hAnsi="Bookman Old Style"/>
          <w:lang w:val="es-CO"/>
        </w:rPr>
        <w:t>y/</w:t>
      </w:r>
      <w:r w:rsidRPr="009D3928">
        <w:rPr>
          <w:rFonts w:ascii="Bookman Old Style" w:hAnsi="Bookman Old Style"/>
          <w:lang w:val="es-CO"/>
        </w:rPr>
        <w:t xml:space="preserve">o ii) </w:t>
      </w:r>
      <w:r w:rsidR="00D66FC2" w:rsidRPr="009D3928">
        <w:rPr>
          <w:rFonts w:ascii="Bookman Old Style" w:hAnsi="Bookman Old Style"/>
          <w:lang w:val="es-CO"/>
        </w:rPr>
        <w:t>mediante mecanismos similares a los previstos en la metodología vigente, estableciendo en todo caso criterios para la imputación de los gastos incurridos.</w:t>
      </w:r>
    </w:p>
    <w:p w:rsidR="00261416" w:rsidRPr="009D3928" w:rsidRDefault="00261416" w:rsidP="00E47660">
      <w:pPr>
        <w:ind w:left="0"/>
        <w:jc w:val="both"/>
        <w:rPr>
          <w:rFonts w:ascii="Bookman Old Style" w:hAnsi="Bookman Old Style"/>
          <w:lang w:val="es-CO"/>
        </w:rPr>
      </w:pPr>
    </w:p>
    <w:p w:rsidR="00D66FC2" w:rsidRPr="009906EC" w:rsidRDefault="004E7C2D" w:rsidP="00E47660">
      <w:pPr>
        <w:ind w:left="0"/>
        <w:jc w:val="both"/>
        <w:rPr>
          <w:rFonts w:ascii="Bookman Old Style" w:hAnsi="Bookman Old Style"/>
          <w:lang w:val="es-CO"/>
        </w:rPr>
      </w:pPr>
      <w:r w:rsidRPr="009D3928">
        <w:rPr>
          <w:rFonts w:ascii="Bookman Old Style" w:hAnsi="Bookman Old Style"/>
          <w:lang w:val="es-CO"/>
        </w:rPr>
        <w:t xml:space="preserve">El análisis de la forma </w:t>
      </w:r>
      <w:r w:rsidR="00283A94" w:rsidRPr="009D3928">
        <w:rPr>
          <w:rFonts w:ascii="Bookman Old Style" w:hAnsi="Bookman Old Style"/>
          <w:lang w:val="es-CO"/>
        </w:rPr>
        <w:t>como se determinan los valores eficientes de los denominados otros gastos de AOM requiere un mayor nivel de detalle. Sin embargo, en la medida en que este elemento de la metodología no ha suscitado una gran polémica por parte de los transportadores ni de los remitentes, puede ser apropiado darle continuidad a la regulación vigente. Esto no obsta para que la Comisión haga uso de nueva información que ha recabado durante el período tarifario regido por la Resolución CREG 126 de 2010. Tampoco será una limitante para que analice potenciales mejoras, como permitir que los transportadores les trasladen a los remitentes los gastos en compresión en los que efectivamente incurren, en vez de una proyección de los gastos en los que puedan incurrir.</w:t>
      </w:r>
    </w:p>
    <w:p w:rsidR="0008307A" w:rsidRDefault="0008307A" w:rsidP="00E47660">
      <w:pPr>
        <w:ind w:left="0"/>
        <w:jc w:val="both"/>
        <w:rPr>
          <w:rFonts w:ascii="Bookman Old Style" w:hAnsi="Bookman Old Style"/>
          <w:lang w:val="es-CO"/>
        </w:rPr>
      </w:pPr>
    </w:p>
    <w:p w:rsidR="001F0BD2" w:rsidRDefault="001F0BD2" w:rsidP="001F0BD2">
      <w:pPr>
        <w:ind w:left="0"/>
        <w:jc w:val="both"/>
        <w:rPr>
          <w:rFonts w:ascii="Bookman Old Style" w:hAnsi="Bookman Old Style"/>
          <w:lang w:val="es-CO"/>
        </w:rPr>
      </w:pPr>
      <w:r>
        <w:rPr>
          <w:rFonts w:ascii="Bookman Old Style" w:hAnsi="Bookman Old Style"/>
          <w:lang w:val="es-CO"/>
        </w:rPr>
        <w:t>De otra parte, en los análisis tendientes a adoptar la metodología de la Resolución CREG 126 de 2010 se concluyó que el transportador no tiene mayores posibilidades para gestionar ganancias de productividad asociadas a la infraestructura de transporte y en tal sentido no se consideran para efectos regulatorios. Sin embargo, en los gastos de AOM sí se observan posibilidades de que el transportador gestione ganancias en productividad.</w:t>
      </w:r>
    </w:p>
    <w:p w:rsidR="001F0BD2" w:rsidRDefault="001F0BD2" w:rsidP="001F0BD2">
      <w:pPr>
        <w:ind w:left="0"/>
        <w:jc w:val="both"/>
        <w:rPr>
          <w:rFonts w:ascii="Bookman Old Style" w:hAnsi="Bookman Old Style"/>
          <w:lang w:val="es-CO"/>
        </w:rPr>
      </w:pPr>
    </w:p>
    <w:p w:rsidR="001F0BD2" w:rsidRDefault="001F0BD2" w:rsidP="001F0BD2">
      <w:pPr>
        <w:ind w:left="0"/>
        <w:jc w:val="both"/>
        <w:rPr>
          <w:rFonts w:ascii="Bookman Old Style" w:hAnsi="Bookman Old Style"/>
          <w:lang w:val="es-CO"/>
        </w:rPr>
      </w:pPr>
      <w:r>
        <w:rPr>
          <w:rFonts w:ascii="Bookman Old Style" w:hAnsi="Bookman Old Style"/>
          <w:lang w:val="es-CO"/>
        </w:rPr>
        <w:t>Se entiende que la metodología de evaluación de los gastos de AOM de la Resolución CREG 126 de 2010 incluye ganancias en productividad. En ese sentido en la Resolución CREG 126 de 2010 no se incluyó un factor de productividad para actualizar el cargo que remunera los gastos de AOM. Si la metodología de evaluación de gastos de AOM cambia, sería necesario analizar la posibilidad de incorporar el factor de productividad en la actualización del cargo que remunera los gastos de AOM.</w:t>
      </w:r>
    </w:p>
    <w:p w:rsidR="009A114A" w:rsidRDefault="009A114A" w:rsidP="001F0BD2">
      <w:pPr>
        <w:ind w:left="0"/>
        <w:jc w:val="both"/>
        <w:rPr>
          <w:rFonts w:ascii="Bookman Old Style" w:hAnsi="Bookman Old Style"/>
          <w:lang w:val="es-CO"/>
        </w:rPr>
      </w:pPr>
    </w:p>
    <w:p w:rsidR="009A114A" w:rsidRDefault="009A114A" w:rsidP="001F0BD2">
      <w:pPr>
        <w:ind w:left="0"/>
        <w:jc w:val="both"/>
        <w:rPr>
          <w:rFonts w:ascii="Bookman Old Style" w:hAnsi="Bookman Old Style"/>
          <w:lang w:val="es-CO"/>
        </w:rPr>
      </w:pPr>
      <w:r>
        <w:rPr>
          <w:rFonts w:ascii="Bookman Old Style" w:hAnsi="Bookman Old Style"/>
          <w:lang w:val="es-CO"/>
        </w:rPr>
        <w:t xml:space="preserve">Lo anterior resulta consecuente con las formas de regulación por incentivos, como es el caso de los precios máximos. Una vez el regulador fija la tarifa las </w:t>
      </w:r>
      <w:r>
        <w:rPr>
          <w:rFonts w:ascii="Bookman Old Style" w:hAnsi="Bookman Old Style"/>
          <w:lang w:val="es-CO"/>
        </w:rPr>
        <w:lastRenderedPageBreak/>
        <w:t xml:space="preserve">empresas tienen el incentivo </w:t>
      </w:r>
      <w:r w:rsidR="007467F5">
        <w:rPr>
          <w:rFonts w:ascii="Bookman Old Style" w:hAnsi="Bookman Old Style"/>
          <w:lang w:val="es-CO"/>
        </w:rPr>
        <w:t xml:space="preserve">de </w:t>
      </w:r>
      <w:r>
        <w:rPr>
          <w:rFonts w:ascii="Bookman Old Style" w:hAnsi="Bookman Old Style"/>
          <w:lang w:val="es-CO"/>
        </w:rPr>
        <w:t xml:space="preserve">mejorar sus procesos productivos para lograr mayores ganancias durante el </w:t>
      </w:r>
      <w:r w:rsidR="00452777">
        <w:rPr>
          <w:rFonts w:ascii="Bookman Old Style" w:hAnsi="Bookman Old Style"/>
          <w:lang w:val="es-CO"/>
        </w:rPr>
        <w:t>período</w:t>
      </w:r>
      <w:r>
        <w:rPr>
          <w:rFonts w:ascii="Bookman Old Style" w:hAnsi="Bookman Old Style"/>
          <w:lang w:val="es-CO"/>
        </w:rPr>
        <w:t xml:space="preserve"> tarifario.</w:t>
      </w:r>
    </w:p>
    <w:p w:rsidR="009A114A" w:rsidRDefault="009A114A" w:rsidP="001F0BD2">
      <w:pPr>
        <w:ind w:left="0"/>
        <w:jc w:val="both"/>
        <w:rPr>
          <w:rFonts w:ascii="Bookman Old Style" w:hAnsi="Bookman Old Style"/>
          <w:lang w:val="es-CO"/>
        </w:rPr>
      </w:pPr>
    </w:p>
    <w:p w:rsidR="009A114A" w:rsidRDefault="009A114A" w:rsidP="001F0BD2">
      <w:pPr>
        <w:ind w:left="0"/>
        <w:jc w:val="both"/>
        <w:rPr>
          <w:rFonts w:ascii="Bookman Old Style" w:hAnsi="Bookman Old Style"/>
          <w:lang w:val="es-CO"/>
        </w:rPr>
      </w:pPr>
      <w:r>
        <w:rPr>
          <w:rFonts w:ascii="Bookman Old Style" w:hAnsi="Bookman Old Style"/>
          <w:lang w:val="es-CO"/>
        </w:rPr>
        <w:t xml:space="preserve">Como se trata de una señal de incentivos con criterios de eficiencia en la regulación económica </w:t>
      </w:r>
      <w:r w:rsidR="004460A5">
        <w:rPr>
          <w:rFonts w:ascii="Bookman Old Style" w:hAnsi="Bookman Old Style"/>
          <w:lang w:val="es-CO"/>
        </w:rPr>
        <w:t>e</w:t>
      </w:r>
      <w:r>
        <w:rPr>
          <w:rFonts w:ascii="Bookman Old Style" w:hAnsi="Bookman Old Style"/>
          <w:lang w:val="es-CO"/>
        </w:rPr>
        <w:t xml:space="preserve">l regulador </w:t>
      </w:r>
      <w:r w:rsidR="002D49F2">
        <w:rPr>
          <w:rFonts w:ascii="Bookman Old Style" w:hAnsi="Bookman Old Style"/>
          <w:lang w:val="es-CO"/>
        </w:rPr>
        <w:t xml:space="preserve">a menudo incorpora factores de productividad con el fin de que las empresas compartan una parte de las mejoras que alcanzan con los usuarios. De hecho en el artículo </w:t>
      </w:r>
      <w:r w:rsidR="003B5517">
        <w:rPr>
          <w:rFonts w:ascii="Bookman Old Style" w:hAnsi="Bookman Old Style"/>
          <w:lang w:val="es-CO"/>
        </w:rPr>
        <w:t>92 de la Ley 142 de 1994</w:t>
      </w:r>
      <w:r w:rsidR="002D49F2">
        <w:rPr>
          <w:rFonts w:ascii="Bookman Old Style" w:hAnsi="Bookman Old Style"/>
          <w:lang w:val="es-CO"/>
        </w:rPr>
        <w:t xml:space="preserve"> se </w:t>
      </w:r>
      <w:r w:rsidR="007467F5">
        <w:rPr>
          <w:rFonts w:ascii="Bookman Old Style" w:hAnsi="Bookman Old Style"/>
          <w:lang w:val="es-CO"/>
        </w:rPr>
        <w:t xml:space="preserve">dispone </w:t>
      </w:r>
      <w:r w:rsidR="002D49F2">
        <w:rPr>
          <w:rFonts w:ascii="Bookman Old Style" w:hAnsi="Bookman Old Style"/>
          <w:lang w:val="es-CO"/>
        </w:rPr>
        <w:t>que las comisiones podrán incorporar en las fórmulas tarifarias factores de productividad.</w:t>
      </w:r>
    </w:p>
    <w:p w:rsidR="001F0BD2" w:rsidRPr="009D3928" w:rsidRDefault="001F0BD2" w:rsidP="00E47660">
      <w:pPr>
        <w:ind w:left="0"/>
        <w:jc w:val="both"/>
        <w:rPr>
          <w:rFonts w:ascii="Bookman Old Style" w:hAnsi="Bookman Old Style"/>
          <w:lang w:val="es-CO"/>
        </w:rPr>
      </w:pPr>
    </w:p>
    <w:p w:rsidR="0008307A" w:rsidRPr="009D3928" w:rsidRDefault="0008307A" w:rsidP="00E47660">
      <w:pPr>
        <w:ind w:left="0"/>
        <w:rPr>
          <w:rFonts w:ascii="Bookman Old Style" w:hAnsi="Bookman Old Style"/>
          <w:b/>
          <w:lang w:val="es-CO"/>
        </w:rPr>
      </w:pPr>
      <w:r w:rsidRPr="009D3928">
        <w:rPr>
          <w:rFonts w:ascii="Bookman Old Style" w:hAnsi="Bookman Old Style"/>
          <w:b/>
          <w:lang w:val="es-CO"/>
        </w:rPr>
        <w:t>4.4.3. DEMANDA</w:t>
      </w:r>
    </w:p>
    <w:p w:rsidR="0008307A" w:rsidRPr="009D3928" w:rsidRDefault="0008307A" w:rsidP="00E47660">
      <w:pPr>
        <w:ind w:left="0"/>
        <w:jc w:val="both"/>
        <w:rPr>
          <w:rFonts w:ascii="Bookman Old Style" w:hAnsi="Bookman Old Style"/>
          <w:lang w:val="es-CO"/>
        </w:rPr>
      </w:pPr>
    </w:p>
    <w:p w:rsidR="0008307A" w:rsidRPr="009D3928" w:rsidRDefault="005F7105" w:rsidP="00E47660">
      <w:pPr>
        <w:ind w:left="0"/>
        <w:jc w:val="both"/>
        <w:rPr>
          <w:rFonts w:ascii="Bookman Old Style" w:hAnsi="Bookman Old Style"/>
          <w:lang w:val="es-CO"/>
        </w:rPr>
      </w:pPr>
      <w:r w:rsidRPr="009D3928">
        <w:rPr>
          <w:rFonts w:ascii="Bookman Old Style" w:hAnsi="Bookman Old Style"/>
          <w:lang w:val="es-CO"/>
        </w:rPr>
        <w:t>Como se menciona en la sección 4.2.</w:t>
      </w:r>
      <w:r w:rsidR="003B5517">
        <w:rPr>
          <w:rFonts w:ascii="Bookman Old Style" w:hAnsi="Bookman Old Style"/>
          <w:lang w:val="es-CO"/>
        </w:rPr>
        <w:t>2</w:t>
      </w:r>
      <w:r w:rsidR="003B5517" w:rsidRPr="009D3928">
        <w:rPr>
          <w:rFonts w:ascii="Bookman Old Style" w:hAnsi="Bookman Old Style"/>
          <w:lang w:val="es-CO"/>
        </w:rPr>
        <w:t xml:space="preserve"> </w:t>
      </w:r>
      <w:r w:rsidRPr="009D3928">
        <w:rPr>
          <w:rFonts w:ascii="Bookman Old Style" w:hAnsi="Bookman Old Style"/>
          <w:lang w:val="es-CO"/>
        </w:rPr>
        <w:t xml:space="preserve">de este Anexo, </w:t>
      </w:r>
      <w:r w:rsidR="00E47660" w:rsidRPr="009D3928">
        <w:rPr>
          <w:rFonts w:ascii="Bookman Old Style" w:hAnsi="Bookman Old Style"/>
          <w:lang w:val="es-CO"/>
        </w:rPr>
        <w:t xml:space="preserve">en la medida en que el cálculo tarifario se realiza mediante un esquema de costo medio de mediano plazo, para el mismo </w:t>
      </w:r>
      <w:r w:rsidRPr="009D3928">
        <w:rPr>
          <w:rFonts w:ascii="Bookman Old Style" w:hAnsi="Bookman Old Style"/>
          <w:lang w:val="es-CO"/>
        </w:rPr>
        <w:t>se consideran las demandas esperadas de capacidad y de volumen correspondientes al horizonte de proyección</w:t>
      </w:r>
      <w:r w:rsidR="00E47660" w:rsidRPr="009D3928">
        <w:rPr>
          <w:rFonts w:ascii="Bookman Old Style" w:hAnsi="Bookman Old Style"/>
          <w:lang w:val="es-CO"/>
        </w:rPr>
        <w:t>.</w:t>
      </w:r>
    </w:p>
    <w:p w:rsidR="0008307A" w:rsidRPr="009D3928" w:rsidRDefault="0008307A" w:rsidP="00E47660">
      <w:pPr>
        <w:ind w:left="0"/>
        <w:jc w:val="both"/>
        <w:rPr>
          <w:rFonts w:ascii="Bookman Old Style" w:hAnsi="Bookman Old Style"/>
          <w:lang w:val="es-CO"/>
        </w:rPr>
      </w:pPr>
    </w:p>
    <w:p w:rsidR="0008307A" w:rsidRPr="009D3928" w:rsidRDefault="00E47660" w:rsidP="00E47660">
      <w:pPr>
        <w:ind w:left="0"/>
        <w:jc w:val="both"/>
        <w:rPr>
          <w:rFonts w:ascii="Bookman Old Style" w:hAnsi="Bookman Old Style"/>
          <w:lang w:val="es-CO"/>
        </w:rPr>
      </w:pPr>
      <w:r w:rsidRPr="009D3928">
        <w:rPr>
          <w:rFonts w:ascii="Bookman Old Style" w:hAnsi="Bookman Old Style"/>
          <w:lang w:val="es-CO"/>
        </w:rPr>
        <w:t>Dichas demandas son declaradas por el transportador, publicadas por la CREG para el conocimiento y los comentarios de los usuarios y de los demás participantes del mercado, y finalmente establecidas por la Comisión tras analizar los planteamientos de los interesados, los argumentos del transportador y los contratos de transporte que estén vigentes.</w:t>
      </w:r>
    </w:p>
    <w:p w:rsidR="00E47660" w:rsidRPr="009D3928" w:rsidRDefault="00E47660" w:rsidP="00E47660">
      <w:pPr>
        <w:ind w:left="0"/>
        <w:jc w:val="both"/>
        <w:rPr>
          <w:rFonts w:ascii="Bookman Old Style" w:hAnsi="Bookman Old Style"/>
          <w:lang w:val="es-CO"/>
        </w:rPr>
      </w:pPr>
    </w:p>
    <w:p w:rsidR="004E6C38" w:rsidRPr="009D3928" w:rsidRDefault="00026594" w:rsidP="00E47660">
      <w:pPr>
        <w:ind w:left="0"/>
        <w:jc w:val="both"/>
        <w:rPr>
          <w:rFonts w:ascii="Bookman Old Style" w:hAnsi="Bookman Old Style"/>
          <w:lang w:val="es-CO"/>
        </w:rPr>
      </w:pPr>
      <w:r w:rsidRPr="009D3928">
        <w:rPr>
          <w:rFonts w:ascii="Bookman Old Style" w:hAnsi="Bookman Old Style"/>
          <w:lang w:val="es-CO"/>
        </w:rPr>
        <w:t>Además de los hechos que se mencionan en la sección 4.2.</w:t>
      </w:r>
      <w:r w:rsidR="003B5517">
        <w:rPr>
          <w:rFonts w:ascii="Bookman Old Style" w:hAnsi="Bookman Old Style"/>
          <w:lang w:val="es-CO"/>
        </w:rPr>
        <w:t>2</w:t>
      </w:r>
      <w:r w:rsidR="003B5517" w:rsidRPr="009D3928">
        <w:rPr>
          <w:rFonts w:ascii="Bookman Old Style" w:hAnsi="Bookman Old Style"/>
          <w:lang w:val="es-CO"/>
        </w:rPr>
        <w:t xml:space="preserve"> </w:t>
      </w:r>
      <w:r w:rsidRPr="009D3928">
        <w:rPr>
          <w:rFonts w:ascii="Bookman Old Style" w:hAnsi="Bookman Old Style"/>
          <w:lang w:val="es-CO"/>
        </w:rPr>
        <w:t xml:space="preserve">de este Anexo y que motivan la necesidad de analizar la conveniencia de reemplazar el esquema de costo medio de mediano plazo por uno de costo medio con corte transversal, vale la pena destacar que </w:t>
      </w:r>
      <w:r w:rsidR="00165227" w:rsidRPr="009D3928">
        <w:rPr>
          <w:rFonts w:ascii="Bookman Old Style" w:hAnsi="Bookman Old Style"/>
          <w:lang w:val="es-CO"/>
        </w:rPr>
        <w:t xml:space="preserve">los usuarios y demás participantes del mercado han sido pasivos frente a las proyecciones presentadas por los transportadores. En los escasos eventos en que se han pronunciado en relación con las proyecciones de demanda, los transportadores han descartado </w:t>
      </w:r>
      <w:r w:rsidR="001B37FD" w:rsidRPr="009D3928">
        <w:rPr>
          <w:rFonts w:ascii="Bookman Old Style" w:hAnsi="Bookman Old Style"/>
          <w:lang w:val="es-CO"/>
        </w:rPr>
        <w:t>tales pronunciamientos en la medida en que los mismos se refieren a expectativas de mayores consumos que no están reflejadas en contratos.</w:t>
      </w:r>
    </w:p>
    <w:p w:rsidR="00026594" w:rsidRPr="009D3928" w:rsidRDefault="00026594" w:rsidP="00E47660">
      <w:pPr>
        <w:ind w:left="0"/>
        <w:jc w:val="both"/>
        <w:rPr>
          <w:rFonts w:ascii="Bookman Old Style" w:hAnsi="Bookman Old Style"/>
          <w:lang w:val="es-CO"/>
        </w:rPr>
      </w:pPr>
    </w:p>
    <w:p w:rsidR="00406347" w:rsidRPr="009D3928" w:rsidRDefault="00406347" w:rsidP="00E47660">
      <w:pPr>
        <w:ind w:left="0"/>
        <w:jc w:val="both"/>
        <w:rPr>
          <w:rFonts w:ascii="Bookman Old Style" w:hAnsi="Bookman Old Style"/>
          <w:lang w:val="es-CO"/>
        </w:rPr>
      </w:pPr>
      <w:r w:rsidRPr="009D3928">
        <w:rPr>
          <w:rFonts w:ascii="Bookman Old Style" w:hAnsi="Bookman Old Style"/>
          <w:lang w:val="es-CO"/>
        </w:rPr>
        <w:t>En caso de que los análisis que se realicen según lo mencionado en la sección 4.2.</w:t>
      </w:r>
      <w:r w:rsidR="003B5517">
        <w:rPr>
          <w:rFonts w:ascii="Bookman Old Style" w:hAnsi="Bookman Old Style"/>
          <w:lang w:val="es-CO"/>
        </w:rPr>
        <w:t>2</w:t>
      </w:r>
      <w:r w:rsidR="003B5517" w:rsidRPr="009D3928">
        <w:rPr>
          <w:rFonts w:ascii="Bookman Old Style" w:hAnsi="Bookman Old Style"/>
          <w:lang w:val="es-CO"/>
        </w:rPr>
        <w:t xml:space="preserve"> </w:t>
      </w:r>
      <w:r w:rsidRPr="009D3928">
        <w:rPr>
          <w:rFonts w:ascii="Bookman Old Style" w:hAnsi="Bookman Old Style"/>
          <w:lang w:val="es-CO"/>
        </w:rPr>
        <w:t>de este Anexo lleven a reemplazar el esquema de costo medio de mediano plazo por uno de costo medio con corte transversal</w:t>
      </w:r>
      <w:r w:rsidR="00D27724" w:rsidRPr="009D3928">
        <w:rPr>
          <w:rFonts w:ascii="Bookman Old Style" w:hAnsi="Bookman Old Style"/>
          <w:lang w:val="es-CO"/>
        </w:rPr>
        <w:t>, para el cálculo tarifario</w:t>
      </w:r>
      <w:r w:rsidRPr="009D3928">
        <w:rPr>
          <w:rFonts w:ascii="Bookman Old Style" w:hAnsi="Bookman Old Style"/>
          <w:lang w:val="es-CO"/>
        </w:rPr>
        <w:t xml:space="preserve"> ya no sería necesario evaluar proyecciones de demanda, sino que se consideraría la demanda efectivamente observada por el transportado</w:t>
      </w:r>
      <w:r w:rsidR="001F0BD2">
        <w:rPr>
          <w:rFonts w:ascii="Bookman Old Style" w:hAnsi="Bookman Old Style"/>
          <w:lang w:val="es-CO"/>
        </w:rPr>
        <w:t>r</w:t>
      </w:r>
      <w:r w:rsidRPr="009D3928">
        <w:rPr>
          <w:rFonts w:ascii="Bookman Old Style" w:hAnsi="Bookman Old Style"/>
          <w:lang w:val="es-CO"/>
        </w:rPr>
        <w:t>. Así mismo, en caso de mantener un esquema de pareja</w:t>
      </w:r>
      <w:r w:rsidR="00A4045B">
        <w:rPr>
          <w:rFonts w:ascii="Bookman Old Style" w:hAnsi="Bookman Old Style"/>
          <w:lang w:val="es-CO"/>
        </w:rPr>
        <w:t>s</w:t>
      </w:r>
      <w:r w:rsidRPr="009D3928">
        <w:rPr>
          <w:rFonts w:ascii="Bookman Old Style" w:hAnsi="Bookman Old Style"/>
          <w:lang w:val="es-CO"/>
        </w:rPr>
        <w:t xml:space="preserve"> de cargos para remunerar las inversiones, ser</w:t>
      </w:r>
      <w:r w:rsidR="00D27724" w:rsidRPr="009D3928">
        <w:rPr>
          <w:rFonts w:ascii="Bookman Old Style" w:hAnsi="Bookman Old Style"/>
          <w:lang w:val="es-CO"/>
        </w:rPr>
        <w:t>ía</w:t>
      </w:r>
      <w:r w:rsidRPr="009D3928">
        <w:rPr>
          <w:rFonts w:ascii="Bookman Old Style" w:hAnsi="Bookman Old Style"/>
          <w:lang w:val="es-CO"/>
        </w:rPr>
        <w:t xml:space="preserve"> necesario considerar la demanda de capacidad y la demanda de volumen.</w:t>
      </w:r>
    </w:p>
    <w:p w:rsidR="00E47660" w:rsidRPr="009D3928" w:rsidRDefault="00FA5CED" w:rsidP="00FA5CED">
      <w:pPr>
        <w:tabs>
          <w:tab w:val="left" w:pos="5459"/>
        </w:tabs>
        <w:ind w:left="0"/>
        <w:jc w:val="both"/>
        <w:rPr>
          <w:rFonts w:ascii="Bookman Old Style" w:hAnsi="Bookman Old Style"/>
          <w:lang w:val="es-CO"/>
        </w:rPr>
      </w:pPr>
      <w:r>
        <w:rPr>
          <w:rFonts w:ascii="Bookman Old Style" w:hAnsi="Bookman Old Style"/>
          <w:lang w:val="es-CO"/>
        </w:rPr>
        <w:tab/>
      </w:r>
    </w:p>
    <w:p w:rsidR="00A4045B" w:rsidRDefault="004E6C38" w:rsidP="00E47660">
      <w:pPr>
        <w:ind w:left="0"/>
        <w:jc w:val="both"/>
        <w:rPr>
          <w:rFonts w:ascii="Bookman Old Style" w:hAnsi="Bookman Old Style"/>
          <w:lang w:val="es-CO"/>
        </w:rPr>
      </w:pPr>
      <w:r w:rsidRPr="009D3928">
        <w:rPr>
          <w:rFonts w:ascii="Bookman Old Style" w:hAnsi="Bookman Old Style"/>
          <w:lang w:val="es-CO"/>
        </w:rPr>
        <w:t>En un escenario como éste y t</w:t>
      </w:r>
      <w:r w:rsidR="00D27724" w:rsidRPr="009D3928">
        <w:rPr>
          <w:rFonts w:ascii="Bookman Old Style" w:hAnsi="Bookman Old Style"/>
          <w:lang w:val="es-CO"/>
        </w:rPr>
        <w:t xml:space="preserve">eniendo en cuenta que </w:t>
      </w:r>
      <w:r w:rsidRPr="009D3928">
        <w:rPr>
          <w:rFonts w:ascii="Bookman Old Style" w:hAnsi="Bookman Old Style"/>
          <w:lang w:val="es-CO"/>
        </w:rPr>
        <w:t>la demanda puede experimentar variaciones de un año a otro, en particular la demanda de volumen, puede ser deseable que para el cálculo de l</w:t>
      </w:r>
      <w:r w:rsidR="001F0BD2">
        <w:rPr>
          <w:rFonts w:ascii="Bookman Old Style" w:hAnsi="Bookman Old Style"/>
          <w:lang w:val="es-CO"/>
        </w:rPr>
        <w:t>o</w:t>
      </w:r>
      <w:r w:rsidRPr="009D3928">
        <w:rPr>
          <w:rFonts w:ascii="Bookman Old Style" w:hAnsi="Bookman Old Style"/>
          <w:lang w:val="es-CO"/>
        </w:rPr>
        <w:t xml:space="preserve">s </w:t>
      </w:r>
      <w:r w:rsidR="001F0BD2">
        <w:rPr>
          <w:rFonts w:ascii="Bookman Old Style" w:hAnsi="Bookman Old Style"/>
          <w:lang w:val="es-CO"/>
        </w:rPr>
        <w:t xml:space="preserve">cargos </w:t>
      </w:r>
      <w:r w:rsidRPr="009D3928">
        <w:rPr>
          <w:rFonts w:ascii="Bookman Old Style" w:hAnsi="Bookman Old Style"/>
          <w:lang w:val="es-CO"/>
        </w:rPr>
        <w:t>se tome en consideración la demanda promedio de un número plural de años.</w:t>
      </w:r>
    </w:p>
    <w:p w:rsidR="00A4045B" w:rsidRPr="00726B28" w:rsidRDefault="00A4045B" w:rsidP="00E47660">
      <w:pPr>
        <w:ind w:left="0"/>
        <w:jc w:val="both"/>
        <w:rPr>
          <w:rFonts w:ascii="Bookman Old Style" w:hAnsi="Bookman Old Style"/>
          <w:sz w:val="28"/>
          <w:lang w:val="es-CO"/>
        </w:rPr>
      </w:pPr>
    </w:p>
    <w:p w:rsidR="00D27724" w:rsidRPr="009D3928" w:rsidRDefault="00A4045B" w:rsidP="00E47660">
      <w:pPr>
        <w:ind w:left="0"/>
        <w:jc w:val="both"/>
        <w:rPr>
          <w:rFonts w:ascii="Bookman Old Style" w:hAnsi="Bookman Old Style"/>
          <w:lang w:val="es-CO"/>
        </w:rPr>
      </w:pPr>
      <w:r>
        <w:rPr>
          <w:rFonts w:ascii="Bookman Old Style" w:hAnsi="Bookman Old Style"/>
          <w:lang w:val="es-CO"/>
        </w:rPr>
        <w:t>Finalmente</w:t>
      </w:r>
      <w:r w:rsidR="001F0BD2">
        <w:rPr>
          <w:rFonts w:ascii="Bookman Old Style" w:hAnsi="Bookman Old Style"/>
          <w:lang w:val="es-CO"/>
        </w:rPr>
        <w:t xml:space="preserve">, para </w:t>
      </w:r>
      <w:r w:rsidRPr="009D3928">
        <w:rPr>
          <w:rFonts w:ascii="Bookman Old Style" w:hAnsi="Bookman Old Style"/>
          <w:lang w:val="es-CO"/>
        </w:rPr>
        <w:t>aquellos casos en que no se presente competencia en las convocatorias para la extensión del sistema nacional de transporte</w:t>
      </w:r>
      <w:r w:rsidR="009150B2">
        <w:rPr>
          <w:rFonts w:ascii="Bookman Old Style" w:hAnsi="Bookman Old Style"/>
          <w:lang w:val="es-CO"/>
        </w:rPr>
        <w:t xml:space="preserve">, dado que </w:t>
      </w:r>
      <w:r w:rsidR="001F0BD2">
        <w:rPr>
          <w:rFonts w:ascii="Bookman Old Style" w:hAnsi="Bookman Old Style"/>
          <w:lang w:val="es-CO"/>
        </w:rPr>
        <w:lastRenderedPageBreak/>
        <w:t>no existe historia de demanda</w:t>
      </w:r>
      <w:r w:rsidR="009150B2">
        <w:rPr>
          <w:rFonts w:ascii="Bookman Old Style" w:hAnsi="Bookman Old Style"/>
          <w:lang w:val="es-CO"/>
        </w:rPr>
        <w:t>,</w:t>
      </w:r>
      <w:r w:rsidR="001F0BD2">
        <w:rPr>
          <w:rFonts w:ascii="Bookman Old Style" w:hAnsi="Bookman Old Style"/>
          <w:lang w:val="es-CO"/>
        </w:rPr>
        <w:t xml:space="preserve"> sería necesario considerar proyecciones de demanda para el cálculo de los cargos aplicables en el primer período tarifario.</w:t>
      </w:r>
    </w:p>
    <w:p w:rsidR="00D27724" w:rsidRPr="00726B28" w:rsidRDefault="00D27724" w:rsidP="00E47660">
      <w:pPr>
        <w:ind w:left="0"/>
        <w:jc w:val="both"/>
        <w:rPr>
          <w:rFonts w:ascii="Bookman Old Style" w:hAnsi="Bookman Old Style"/>
          <w:sz w:val="28"/>
          <w:lang w:val="es-CO"/>
        </w:rPr>
      </w:pPr>
    </w:p>
    <w:p w:rsidR="0008307A" w:rsidRPr="009D3928" w:rsidRDefault="0008307A" w:rsidP="00E47660">
      <w:pPr>
        <w:ind w:left="0"/>
        <w:rPr>
          <w:rFonts w:ascii="Bookman Old Style" w:hAnsi="Bookman Old Style"/>
          <w:b/>
          <w:lang w:val="es-CO"/>
        </w:rPr>
      </w:pPr>
      <w:r w:rsidRPr="009D3928">
        <w:rPr>
          <w:rFonts w:ascii="Bookman Old Style" w:hAnsi="Bookman Old Style"/>
          <w:b/>
          <w:lang w:val="es-CO"/>
        </w:rPr>
        <w:t>4.4.4. TASA DE DESCUENTO</w:t>
      </w:r>
    </w:p>
    <w:p w:rsidR="0008307A" w:rsidRPr="00726B28" w:rsidRDefault="0008307A" w:rsidP="00E47660">
      <w:pPr>
        <w:ind w:left="0"/>
        <w:jc w:val="both"/>
        <w:rPr>
          <w:rFonts w:ascii="Bookman Old Style" w:hAnsi="Bookman Old Style"/>
          <w:sz w:val="28"/>
          <w:lang w:val="es-CO"/>
        </w:rPr>
      </w:pPr>
    </w:p>
    <w:p w:rsidR="00AD143B" w:rsidRPr="009D3928" w:rsidRDefault="00AD143B" w:rsidP="00E47660">
      <w:pPr>
        <w:ind w:left="0"/>
        <w:jc w:val="both"/>
        <w:rPr>
          <w:rFonts w:ascii="Bookman Old Style" w:hAnsi="Bookman Old Style"/>
          <w:lang w:val="es-CO"/>
        </w:rPr>
      </w:pPr>
      <w:r w:rsidRPr="009D3928">
        <w:rPr>
          <w:rFonts w:ascii="Bookman Old Style" w:hAnsi="Bookman Old Style"/>
          <w:lang w:val="es-CO"/>
        </w:rPr>
        <w:t xml:space="preserve">La metodología también considera como una de las variables de cálculo </w:t>
      </w:r>
      <w:r w:rsidR="001F0BD2">
        <w:rPr>
          <w:rFonts w:ascii="Bookman Old Style" w:hAnsi="Bookman Old Style"/>
          <w:lang w:val="es-CO"/>
        </w:rPr>
        <w:t>l</w:t>
      </w:r>
      <w:r w:rsidRPr="009D3928">
        <w:rPr>
          <w:rFonts w:ascii="Bookman Old Style" w:hAnsi="Bookman Old Style"/>
          <w:lang w:val="es-CO"/>
        </w:rPr>
        <w:t>a estimación del costo promedio de las fuentes de financiación que utilizan los transportadores para fondear las inversiones que ejecutan y los gastos de administración, operación y mantenimiento en los que incurren para la prestación del servicio.</w:t>
      </w:r>
      <w:r w:rsidR="00201426" w:rsidRPr="009D3928">
        <w:rPr>
          <w:rFonts w:ascii="Bookman Old Style" w:hAnsi="Bookman Old Style"/>
          <w:lang w:val="es-CO"/>
        </w:rPr>
        <w:t xml:space="preserve"> De esta manera se remuneran el patrimonio de los transportadores y los recursos de crédito.</w:t>
      </w:r>
    </w:p>
    <w:p w:rsidR="00AD143B" w:rsidRPr="00726B28" w:rsidRDefault="00AD143B" w:rsidP="00E47660">
      <w:pPr>
        <w:ind w:left="0"/>
        <w:jc w:val="both"/>
        <w:rPr>
          <w:rFonts w:ascii="Bookman Old Style" w:hAnsi="Bookman Old Style"/>
          <w:sz w:val="28"/>
          <w:lang w:val="es-CO"/>
        </w:rPr>
      </w:pPr>
    </w:p>
    <w:p w:rsidR="00A71B5F" w:rsidRPr="00701C21" w:rsidRDefault="00FA6DE7" w:rsidP="00FA6DE7">
      <w:pPr>
        <w:ind w:left="0"/>
        <w:jc w:val="both"/>
        <w:rPr>
          <w:rFonts w:ascii="Bookman Old Style" w:hAnsi="Bookman Old Style"/>
          <w:lang w:val="es-CO"/>
        </w:rPr>
      </w:pPr>
      <w:r w:rsidRPr="009D3928">
        <w:rPr>
          <w:rFonts w:ascii="Bookman Old Style" w:hAnsi="Bookman Old Style"/>
          <w:lang w:val="es-CO"/>
        </w:rPr>
        <w:t>En la actualidad la regulación define una tasa promedio de costo de capital remunerado por servicios de capacidad y una para el capital remunerado por servicios de volumen. Estas tasas</w:t>
      </w:r>
      <w:r w:rsidR="00201426" w:rsidRPr="009D3928">
        <w:rPr>
          <w:rFonts w:ascii="Bookman Old Style" w:hAnsi="Bookman Old Style"/>
          <w:lang w:val="es-CO"/>
        </w:rPr>
        <w:t xml:space="preserve"> se utiliza</w:t>
      </w:r>
      <w:r w:rsidRPr="009D3928">
        <w:rPr>
          <w:rFonts w:ascii="Bookman Old Style" w:hAnsi="Bookman Old Style"/>
          <w:lang w:val="es-CO"/>
        </w:rPr>
        <w:t>n</w:t>
      </w:r>
      <w:r w:rsidR="00D24CC7" w:rsidRPr="009D3928">
        <w:rPr>
          <w:rFonts w:ascii="Bookman Old Style" w:hAnsi="Bookman Old Style"/>
          <w:lang w:val="es-CO"/>
        </w:rPr>
        <w:t>, principalmente,</w:t>
      </w:r>
      <w:r w:rsidR="00201426" w:rsidRPr="009D3928">
        <w:rPr>
          <w:rFonts w:ascii="Bookman Old Style" w:hAnsi="Bookman Old Style"/>
          <w:lang w:val="es-CO"/>
        </w:rPr>
        <w:t xml:space="preserve"> para descontar </w:t>
      </w:r>
      <w:r w:rsidR="008A0491" w:rsidRPr="009D3928">
        <w:rPr>
          <w:rFonts w:ascii="Bookman Old Style" w:hAnsi="Bookman Old Style"/>
          <w:lang w:val="es-CO"/>
        </w:rPr>
        <w:t>los flujos futuros de inversiones y d</w:t>
      </w:r>
      <w:r w:rsidR="0034033A" w:rsidRPr="009D3928">
        <w:rPr>
          <w:rFonts w:ascii="Bookman Old Style" w:hAnsi="Bookman Old Style"/>
          <w:lang w:val="es-CO"/>
        </w:rPr>
        <w:t>e</w:t>
      </w:r>
      <w:r w:rsidR="008A0491" w:rsidRPr="009D3928">
        <w:rPr>
          <w:rFonts w:ascii="Bookman Old Style" w:hAnsi="Bookman Old Style"/>
          <w:lang w:val="es-CO"/>
        </w:rPr>
        <w:t xml:space="preserve"> gastos</w:t>
      </w:r>
      <w:r w:rsidR="0034033A" w:rsidRPr="009D3928">
        <w:rPr>
          <w:rFonts w:ascii="Bookman Old Style" w:hAnsi="Bookman Old Style"/>
          <w:lang w:val="es-CO"/>
        </w:rPr>
        <w:t xml:space="preserve"> de AOM. En caso de que se de paso a un esquema de costo medio con corte transversal </w:t>
      </w:r>
      <w:r w:rsidRPr="009D3928">
        <w:rPr>
          <w:rFonts w:ascii="Bookman Old Style" w:hAnsi="Bookman Old Style"/>
          <w:lang w:val="es-CO"/>
        </w:rPr>
        <w:t>las tasas</w:t>
      </w:r>
      <w:r w:rsidR="0034033A" w:rsidRPr="009D3928">
        <w:rPr>
          <w:rFonts w:ascii="Bookman Old Style" w:hAnsi="Bookman Old Style"/>
          <w:lang w:val="es-CO"/>
        </w:rPr>
        <w:t xml:space="preserve"> </w:t>
      </w:r>
      <w:r w:rsidRPr="009D3928">
        <w:rPr>
          <w:rFonts w:ascii="Bookman Old Style" w:hAnsi="Bookman Old Style"/>
          <w:lang w:val="es-CO"/>
        </w:rPr>
        <w:t xml:space="preserve">de </w:t>
      </w:r>
      <w:r w:rsidR="0034033A" w:rsidRPr="009D3928">
        <w:rPr>
          <w:rFonts w:ascii="Bookman Old Style" w:hAnsi="Bookman Old Style"/>
          <w:lang w:val="es-CO"/>
        </w:rPr>
        <w:t>costo promedio ponderado de capital se utilizaría</w:t>
      </w:r>
      <w:r w:rsidRPr="009D3928">
        <w:rPr>
          <w:rFonts w:ascii="Bookman Old Style" w:hAnsi="Bookman Old Style"/>
          <w:lang w:val="es-CO"/>
        </w:rPr>
        <w:t>n</w:t>
      </w:r>
      <w:r w:rsidR="0034033A" w:rsidRPr="009D3928">
        <w:rPr>
          <w:rFonts w:ascii="Bookman Old Style" w:hAnsi="Bookman Old Style"/>
          <w:lang w:val="es-CO"/>
        </w:rPr>
        <w:t xml:space="preserve"> para determinar el valor anual equivalente de las inversiones existentes al momento del cálculo tarifario.</w:t>
      </w:r>
    </w:p>
    <w:p w:rsidR="00A71B5F" w:rsidRPr="00726B28" w:rsidRDefault="00A71B5F" w:rsidP="00E47660">
      <w:pPr>
        <w:ind w:left="0"/>
        <w:jc w:val="both"/>
        <w:rPr>
          <w:rFonts w:ascii="Bookman Old Style" w:hAnsi="Bookman Old Style"/>
          <w:sz w:val="28"/>
          <w:lang w:val="es-CO"/>
        </w:rPr>
      </w:pPr>
    </w:p>
    <w:p w:rsidR="0008307A" w:rsidRPr="009D3928" w:rsidRDefault="0039380B" w:rsidP="00E47660">
      <w:pPr>
        <w:ind w:left="0"/>
        <w:jc w:val="both"/>
        <w:rPr>
          <w:rFonts w:ascii="Bookman Old Style" w:hAnsi="Bookman Old Style"/>
          <w:lang w:val="es-CO"/>
        </w:rPr>
      </w:pPr>
      <w:r w:rsidRPr="009D3928">
        <w:rPr>
          <w:rFonts w:ascii="Bookman Old Style" w:hAnsi="Bookman Old Style"/>
          <w:lang w:val="es-CO"/>
        </w:rPr>
        <w:t xml:space="preserve">Como se puede observar en la agenda regulatoria de 2014, la cual se hizo pública mediante la Circular CREG 144 de 2013, uno de los temas que será objeto de análisis por parte de la Comisión durante el año 2014 es precisamente la definición de la metodología para la estimación de las tasas de </w:t>
      </w:r>
      <w:r w:rsidR="00D24CC7" w:rsidRPr="009D3928">
        <w:rPr>
          <w:rFonts w:ascii="Bookman Old Style" w:hAnsi="Bookman Old Style"/>
          <w:lang w:val="es-CO"/>
        </w:rPr>
        <w:t xml:space="preserve">descuento </w:t>
      </w:r>
      <w:r w:rsidRPr="009D3928">
        <w:rPr>
          <w:rFonts w:ascii="Bookman Old Style" w:hAnsi="Bookman Old Style"/>
          <w:lang w:val="es-CO"/>
        </w:rPr>
        <w:t>que se aplicarán en las metodologías de remuneración de las actividades de los servicios de energía eléctrica y gas natural. La</w:t>
      </w:r>
      <w:r w:rsidR="00D24CC7" w:rsidRPr="009D3928">
        <w:rPr>
          <w:rFonts w:ascii="Bookman Old Style" w:hAnsi="Bookman Old Style"/>
          <w:lang w:val="es-CO"/>
        </w:rPr>
        <w:t>s</w:t>
      </w:r>
      <w:r w:rsidRPr="009D3928">
        <w:rPr>
          <w:rFonts w:ascii="Bookman Old Style" w:hAnsi="Bookman Old Style"/>
          <w:lang w:val="es-CO"/>
        </w:rPr>
        <w:t xml:space="preserve"> tasa</w:t>
      </w:r>
      <w:r w:rsidR="00D24CC7" w:rsidRPr="009D3928">
        <w:rPr>
          <w:rFonts w:ascii="Bookman Old Style" w:hAnsi="Bookman Old Style"/>
          <w:lang w:val="es-CO"/>
        </w:rPr>
        <w:t>s</w:t>
      </w:r>
      <w:r w:rsidRPr="009D3928">
        <w:rPr>
          <w:rFonts w:ascii="Bookman Old Style" w:hAnsi="Bookman Old Style"/>
          <w:lang w:val="es-CO"/>
        </w:rPr>
        <w:t xml:space="preserve"> que resulte</w:t>
      </w:r>
      <w:r w:rsidR="00D24CC7" w:rsidRPr="009D3928">
        <w:rPr>
          <w:rFonts w:ascii="Bookman Old Style" w:hAnsi="Bookman Old Style"/>
          <w:lang w:val="es-CO"/>
        </w:rPr>
        <w:t>n</w:t>
      </w:r>
      <w:r w:rsidRPr="009D3928">
        <w:rPr>
          <w:rFonts w:ascii="Bookman Old Style" w:hAnsi="Bookman Old Style"/>
          <w:lang w:val="es-CO"/>
        </w:rPr>
        <w:t xml:space="preserve"> de la aplicación de la metodología mencionada será</w:t>
      </w:r>
      <w:r w:rsidR="00317DE6">
        <w:rPr>
          <w:rFonts w:ascii="Bookman Old Style" w:hAnsi="Bookman Old Style"/>
          <w:lang w:val="es-CO"/>
        </w:rPr>
        <w:t>n</w:t>
      </w:r>
      <w:r w:rsidRPr="009D3928">
        <w:rPr>
          <w:rFonts w:ascii="Bookman Old Style" w:hAnsi="Bookman Old Style"/>
          <w:lang w:val="es-CO"/>
        </w:rPr>
        <w:t xml:space="preserve"> la que se utilice en el cálculo de los cargos regulados de transporte de gas natural.</w:t>
      </w:r>
    </w:p>
    <w:p w:rsidR="0099562E" w:rsidRPr="00726B28" w:rsidRDefault="0099562E" w:rsidP="0099562E">
      <w:pPr>
        <w:ind w:left="0"/>
        <w:jc w:val="both"/>
        <w:rPr>
          <w:rFonts w:ascii="Bookman Old Style" w:hAnsi="Bookman Old Style"/>
          <w:sz w:val="28"/>
          <w:lang w:val="es-CO"/>
        </w:rPr>
      </w:pPr>
    </w:p>
    <w:p w:rsidR="0099562E" w:rsidRPr="009D3928" w:rsidRDefault="0099562E" w:rsidP="0099562E">
      <w:pPr>
        <w:ind w:left="0"/>
        <w:rPr>
          <w:rFonts w:ascii="Bookman Old Style" w:hAnsi="Bookman Old Style"/>
          <w:b/>
          <w:lang w:val="es-CO"/>
        </w:rPr>
      </w:pPr>
      <w:r w:rsidRPr="009D3928">
        <w:rPr>
          <w:rFonts w:ascii="Bookman Old Style" w:hAnsi="Bookman Old Style"/>
          <w:b/>
          <w:lang w:val="es-CO"/>
        </w:rPr>
        <w:t xml:space="preserve">4.5. ACTUACIONES </w:t>
      </w:r>
      <w:r w:rsidR="008B2AFF" w:rsidRPr="009D3928">
        <w:rPr>
          <w:rFonts w:ascii="Bookman Old Style" w:hAnsi="Bookman Old Style"/>
          <w:b/>
          <w:lang w:val="es-CO"/>
        </w:rPr>
        <w:t>PARA EL CÁLCULO TARIFARIO</w:t>
      </w:r>
    </w:p>
    <w:p w:rsidR="0099562E" w:rsidRPr="00726B28" w:rsidRDefault="0099562E" w:rsidP="0099562E">
      <w:pPr>
        <w:ind w:left="0"/>
        <w:jc w:val="both"/>
        <w:rPr>
          <w:rFonts w:ascii="Bookman Old Style" w:hAnsi="Bookman Old Style"/>
          <w:sz w:val="28"/>
          <w:lang w:val="es-CO"/>
        </w:rPr>
      </w:pPr>
    </w:p>
    <w:p w:rsidR="00AA23A7" w:rsidRPr="004C0EB7" w:rsidRDefault="00317DE6" w:rsidP="00AA23A7">
      <w:pPr>
        <w:ind w:left="0"/>
        <w:jc w:val="both"/>
        <w:rPr>
          <w:rFonts w:ascii="Bookman Old Style" w:hAnsi="Bookman Old Style"/>
          <w:b/>
          <w:lang w:val="es-CO"/>
        </w:rPr>
      </w:pPr>
      <w:r w:rsidRPr="009D3928">
        <w:rPr>
          <w:rFonts w:ascii="Bookman Old Style" w:hAnsi="Bookman Old Style"/>
          <w:b/>
          <w:lang w:val="es-CO"/>
        </w:rPr>
        <w:t xml:space="preserve">4.5.1. </w:t>
      </w:r>
      <w:r w:rsidRPr="004C0EB7">
        <w:rPr>
          <w:rFonts w:ascii="Bookman Old Style" w:hAnsi="Bookman Old Style"/>
          <w:b/>
          <w:lang w:val="es-CO"/>
        </w:rPr>
        <w:t>PERÍODO TARIFARIO</w:t>
      </w:r>
    </w:p>
    <w:p w:rsidR="00AA23A7" w:rsidRPr="00726B28" w:rsidRDefault="00AA23A7" w:rsidP="00AA23A7">
      <w:pPr>
        <w:ind w:left="0"/>
        <w:jc w:val="both"/>
        <w:rPr>
          <w:rFonts w:ascii="Bookman Old Style" w:hAnsi="Bookman Old Style"/>
          <w:sz w:val="28"/>
          <w:lang w:val="es-CO"/>
        </w:rPr>
      </w:pPr>
    </w:p>
    <w:p w:rsidR="00AA23A7" w:rsidRPr="00CC46A5" w:rsidRDefault="00AA23A7" w:rsidP="00CC46A5">
      <w:pPr>
        <w:ind w:left="0"/>
        <w:jc w:val="both"/>
        <w:rPr>
          <w:rFonts w:ascii="Bookman Old Style" w:hAnsi="Bookman Old Style"/>
          <w:lang w:val="es-CO"/>
        </w:rPr>
      </w:pPr>
      <w:r w:rsidRPr="00CC46A5">
        <w:rPr>
          <w:rFonts w:ascii="Bookman Old Style" w:hAnsi="Bookman Old Style"/>
          <w:lang w:val="es-CO"/>
        </w:rPr>
        <w:t>En el artículo 37 de la Resolución CREG 126 de 2010 se estableció que</w:t>
      </w:r>
      <w:r w:rsidRPr="006871A4">
        <w:rPr>
          <w:rFonts w:ascii="Bookman Old Style" w:hAnsi="Bookman Old Style"/>
          <w:lang w:val="es-CO"/>
        </w:rPr>
        <w:t xml:space="preserve"> </w:t>
      </w:r>
      <w:r w:rsidRPr="00CC46A5">
        <w:rPr>
          <w:rFonts w:ascii="Bookman Old Style" w:hAnsi="Bookman Old Style"/>
          <w:lang w:val="es-CO"/>
        </w:rPr>
        <w:t>“</w:t>
      </w:r>
      <w:r w:rsidR="00CC46A5" w:rsidRPr="00CC46A5">
        <w:rPr>
          <w:rFonts w:ascii="Bookman Old Style" w:hAnsi="Bookman Old Style"/>
          <w:lang w:val="es-CO"/>
        </w:rPr>
        <w:t>(l</w:t>
      </w:r>
      <w:proofErr w:type="gramStart"/>
      <w:r w:rsidR="00CC46A5" w:rsidRPr="00CC46A5">
        <w:rPr>
          <w:rFonts w:ascii="Bookman Old Style" w:hAnsi="Bookman Old Style"/>
          <w:lang w:val="es-CO"/>
        </w:rPr>
        <w:t>)</w:t>
      </w:r>
      <w:r w:rsidRPr="00CC46A5">
        <w:rPr>
          <w:rFonts w:ascii="Bookman Old Style" w:hAnsi="Bookman Old Style"/>
          <w:lang w:val="es-CO"/>
        </w:rPr>
        <w:t>os</w:t>
      </w:r>
      <w:proofErr w:type="gramEnd"/>
      <w:r w:rsidRPr="00CC46A5">
        <w:rPr>
          <w:rFonts w:ascii="Bookman Old Style" w:hAnsi="Bookman Old Style"/>
          <w:lang w:val="es-CO"/>
        </w:rPr>
        <w:t xml:space="preserve"> cargos aprobados con base en la presente Resolución estarán vigentes desde la fecha en que quede en firme la resolución que los apruebe y hasta cuando se cumplan cinco Años desde la entrada en vigencia de la presente Resolución, sin perjuicio de las actualizaciones a que haya lugar. Vencido el período de vigencia de los cargos, éstos continuarán rigiendo hasta que la Comisión apruebe los nuevos”.</w:t>
      </w:r>
    </w:p>
    <w:p w:rsidR="00AA23A7" w:rsidRPr="00726B28" w:rsidRDefault="00AA23A7" w:rsidP="00AA23A7">
      <w:pPr>
        <w:ind w:left="0"/>
        <w:jc w:val="both"/>
        <w:rPr>
          <w:rFonts w:ascii="Bookman Old Style" w:hAnsi="Bookman Old Style"/>
          <w:sz w:val="28"/>
          <w:highlight w:val="yellow"/>
          <w:lang w:val="es-CO"/>
        </w:rPr>
      </w:pPr>
    </w:p>
    <w:p w:rsidR="00AA23A7" w:rsidRDefault="00AA23A7" w:rsidP="00AA23A7">
      <w:pPr>
        <w:ind w:left="0"/>
        <w:jc w:val="both"/>
        <w:rPr>
          <w:rFonts w:ascii="Bookman Old Style" w:hAnsi="Bookman Old Style"/>
          <w:lang w:val="es-CO"/>
        </w:rPr>
      </w:pPr>
      <w:r>
        <w:rPr>
          <w:rFonts w:ascii="Bookman Old Style" w:hAnsi="Bookman Old Style"/>
          <w:lang w:val="es-CO"/>
        </w:rPr>
        <w:t>De acuerdo con lo anotado en l</w:t>
      </w:r>
      <w:r w:rsidR="00573A53">
        <w:rPr>
          <w:rFonts w:ascii="Bookman Old Style" w:hAnsi="Bookman Old Style"/>
          <w:lang w:val="es-CO"/>
        </w:rPr>
        <w:t>a</w:t>
      </w:r>
      <w:r>
        <w:rPr>
          <w:rFonts w:ascii="Bookman Old Style" w:hAnsi="Bookman Old Style"/>
          <w:lang w:val="es-CO"/>
        </w:rPr>
        <w:t xml:space="preserve"> </w:t>
      </w:r>
      <w:r w:rsidR="00573A53">
        <w:rPr>
          <w:rFonts w:ascii="Bookman Old Style" w:hAnsi="Bookman Old Style"/>
          <w:lang w:val="es-CO"/>
        </w:rPr>
        <w:t>sección</w:t>
      </w:r>
      <w:r>
        <w:rPr>
          <w:rFonts w:ascii="Bookman Old Style" w:hAnsi="Bookman Old Style"/>
          <w:lang w:val="es-CO"/>
        </w:rPr>
        <w:t xml:space="preserve"> 5.6 del documento CREG 017 de 2009, el objeto de la anterior disposición es poder aplicar la metodología tarifaria en la misma época para todos los transportadores. Este objetivo se logrará con la aplicación de la nueva metodología que se defina a partir las bases planteadas en este documento.</w:t>
      </w:r>
    </w:p>
    <w:p w:rsidR="00AA23A7" w:rsidRDefault="00AA23A7" w:rsidP="00AA23A7">
      <w:pPr>
        <w:ind w:left="0"/>
        <w:jc w:val="both"/>
        <w:rPr>
          <w:rFonts w:ascii="Bookman Old Style" w:hAnsi="Bookman Old Style"/>
          <w:lang w:val="es-CO"/>
        </w:rPr>
      </w:pPr>
      <w:r>
        <w:rPr>
          <w:rFonts w:ascii="Bookman Old Style" w:hAnsi="Bookman Old Style"/>
          <w:lang w:val="es-CO"/>
        </w:rPr>
        <w:lastRenderedPageBreak/>
        <w:t>De acuerdo con lo anterior, y dado que la Resolución CREG 126 de 2010 entró en vigencia el 10 de agosto de 2010, los cargos aprobados con base en la Resolución CREG 126 de 2010 estarán vigentes hasta el 10 de agosto de 2015, o hasta cuando la Comisión apruebe los nuevos cargos con base en la nueva metodología que se defina a partir las bases</w:t>
      </w:r>
      <w:r w:rsidR="006871A4">
        <w:rPr>
          <w:rFonts w:ascii="Bookman Old Style" w:hAnsi="Bookman Old Style"/>
          <w:lang w:val="es-CO"/>
        </w:rPr>
        <w:t xml:space="preserve"> planteadas en este documento.</w:t>
      </w:r>
    </w:p>
    <w:p w:rsidR="00AA23A7" w:rsidRPr="00726B28" w:rsidRDefault="00AA23A7" w:rsidP="00AA23A7">
      <w:pPr>
        <w:ind w:left="0"/>
        <w:jc w:val="both"/>
        <w:rPr>
          <w:rFonts w:ascii="Bookman Old Style" w:hAnsi="Bookman Old Style"/>
          <w:sz w:val="28"/>
          <w:lang w:val="es-CO"/>
        </w:rPr>
      </w:pPr>
    </w:p>
    <w:p w:rsidR="00AA23A7" w:rsidRPr="004C0EB7" w:rsidRDefault="00317DE6" w:rsidP="00AA23A7">
      <w:pPr>
        <w:ind w:left="0"/>
        <w:jc w:val="both"/>
        <w:rPr>
          <w:rFonts w:ascii="Bookman Old Style" w:hAnsi="Bookman Old Style"/>
          <w:b/>
          <w:lang w:val="es-CO"/>
        </w:rPr>
      </w:pPr>
      <w:r>
        <w:rPr>
          <w:rFonts w:ascii="Bookman Old Style" w:hAnsi="Bookman Old Style"/>
          <w:b/>
          <w:lang w:val="es-CO"/>
        </w:rPr>
        <w:t>4.5.2</w:t>
      </w:r>
      <w:r w:rsidRPr="009D3928">
        <w:rPr>
          <w:rFonts w:ascii="Bookman Old Style" w:hAnsi="Bookman Old Style"/>
          <w:b/>
          <w:lang w:val="es-CO"/>
        </w:rPr>
        <w:t xml:space="preserve">. </w:t>
      </w:r>
      <w:r>
        <w:rPr>
          <w:rFonts w:ascii="Bookman Old Style" w:hAnsi="Bookman Old Style"/>
          <w:b/>
          <w:lang w:val="es-CO"/>
        </w:rPr>
        <w:t>ACTIVOS QUE CUMPLEN SU VIDA ÚTIL NORMATIVA, VUN</w:t>
      </w:r>
    </w:p>
    <w:p w:rsidR="0099562E" w:rsidRPr="00726B28" w:rsidRDefault="0099562E" w:rsidP="00E47660">
      <w:pPr>
        <w:ind w:left="0"/>
        <w:rPr>
          <w:rFonts w:ascii="Bookman Old Style" w:hAnsi="Bookman Old Style"/>
          <w:b/>
          <w:sz w:val="28"/>
          <w:lang w:val="es-CO"/>
        </w:rPr>
      </w:pPr>
    </w:p>
    <w:p w:rsidR="00AA23A7" w:rsidRDefault="00AA23A7" w:rsidP="00AA23A7">
      <w:pPr>
        <w:ind w:left="0"/>
        <w:jc w:val="both"/>
        <w:rPr>
          <w:rFonts w:ascii="Bookman Old Style" w:hAnsi="Bookman Old Style"/>
          <w:lang w:val="es-CO"/>
        </w:rPr>
      </w:pPr>
      <w:r>
        <w:rPr>
          <w:rFonts w:ascii="Bookman Old Style" w:hAnsi="Bookman Old Style"/>
          <w:lang w:val="es-CO"/>
        </w:rPr>
        <w:t>En el artículo 14 de la Resolución CREG 126 de 2010, modificado por la Resolución CREG 066 de 2013, se establece el procedimiento regulatorio aplicable a los activos en servicio que cumplen la VUN durante el período tarifario.</w:t>
      </w:r>
    </w:p>
    <w:p w:rsidR="00AA23A7" w:rsidRPr="00726B28" w:rsidRDefault="00AA23A7" w:rsidP="00AA23A7">
      <w:pPr>
        <w:ind w:left="0"/>
        <w:jc w:val="both"/>
        <w:rPr>
          <w:rFonts w:ascii="Bookman Old Style" w:hAnsi="Bookman Old Style"/>
          <w:sz w:val="28"/>
          <w:lang w:val="es-CO"/>
        </w:rPr>
      </w:pPr>
    </w:p>
    <w:p w:rsidR="00AA23A7" w:rsidRPr="00265237" w:rsidRDefault="00AA23A7" w:rsidP="00AA23A7">
      <w:pPr>
        <w:ind w:left="0"/>
        <w:jc w:val="both"/>
        <w:rPr>
          <w:rFonts w:ascii="Bookman Old Style" w:hAnsi="Bookman Old Style"/>
        </w:rPr>
      </w:pPr>
      <w:r w:rsidRPr="00265237">
        <w:rPr>
          <w:rFonts w:ascii="Bookman Old Style" w:hAnsi="Bookman Old Style"/>
        </w:rPr>
        <w:t xml:space="preserve">El procedimiento previsto en la metodología de la Resolución CREG 126 de 2010 implica </w:t>
      </w:r>
      <w:r w:rsidR="003B5517">
        <w:rPr>
          <w:rFonts w:ascii="Bookman Old Style" w:hAnsi="Bookman Old Style"/>
        </w:rPr>
        <w:t>la estimación</w:t>
      </w:r>
      <w:r w:rsidR="00210DE7">
        <w:rPr>
          <w:rFonts w:ascii="Bookman Old Style" w:hAnsi="Bookman Old Style"/>
        </w:rPr>
        <w:t>, por parte de la CREG,</w:t>
      </w:r>
      <w:r w:rsidR="003B5517">
        <w:rPr>
          <w:rFonts w:ascii="Bookman Old Style" w:hAnsi="Bookman Old Style"/>
        </w:rPr>
        <w:t xml:space="preserve"> del costo de reposición a nuevo de los</w:t>
      </w:r>
      <w:r w:rsidRPr="00265237">
        <w:rPr>
          <w:rFonts w:ascii="Bookman Old Style" w:hAnsi="Bookman Old Style"/>
        </w:rPr>
        <w:t xml:space="preserve"> activo</w:t>
      </w:r>
      <w:r w:rsidR="003B5517">
        <w:rPr>
          <w:rFonts w:ascii="Bookman Old Style" w:hAnsi="Bookman Old Style"/>
        </w:rPr>
        <w:t>s que cumplen su VUN</w:t>
      </w:r>
      <w:r w:rsidR="00210DE7">
        <w:rPr>
          <w:rFonts w:ascii="Bookman Old Style" w:hAnsi="Bookman Old Style"/>
        </w:rPr>
        <w:t>, tomando como referencia estimaciones realizadas por</w:t>
      </w:r>
      <w:r w:rsidRPr="00265237">
        <w:rPr>
          <w:rFonts w:ascii="Bookman Old Style" w:hAnsi="Bookman Old Style"/>
        </w:rPr>
        <w:t xml:space="preserve"> un perito</w:t>
      </w:r>
      <w:r>
        <w:rPr>
          <w:rFonts w:ascii="Bookman Old Style" w:hAnsi="Bookman Old Style"/>
        </w:rPr>
        <w:t xml:space="preserve"> o auxiliar de la administración</w:t>
      </w:r>
      <w:r w:rsidRPr="00265237">
        <w:rPr>
          <w:rFonts w:ascii="Bookman Old Style" w:hAnsi="Bookman Old Style"/>
        </w:rPr>
        <w:t xml:space="preserve">. La valoración se debe realizar durante el año anterior al año en que el activo cumple su VUN. Lo anterior puede resultar en que cada año del </w:t>
      </w:r>
      <w:r w:rsidR="00452777">
        <w:rPr>
          <w:rFonts w:ascii="Bookman Old Style" w:hAnsi="Bookman Old Style"/>
        </w:rPr>
        <w:t>período</w:t>
      </w:r>
      <w:r w:rsidRPr="00265237">
        <w:rPr>
          <w:rFonts w:ascii="Bookman Old Style" w:hAnsi="Bookman Old Style"/>
        </w:rPr>
        <w:t xml:space="preserve"> tarifario haya que realizar valoraci</w:t>
      </w:r>
      <w:r w:rsidR="00210DE7">
        <w:rPr>
          <w:rFonts w:ascii="Bookman Old Style" w:hAnsi="Bookman Old Style"/>
        </w:rPr>
        <w:t xml:space="preserve">ones </w:t>
      </w:r>
      <w:r w:rsidRPr="00265237">
        <w:rPr>
          <w:rFonts w:ascii="Bookman Old Style" w:hAnsi="Bookman Old Style"/>
        </w:rPr>
        <w:t>de algunos gasoductos del SNT.</w:t>
      </w:r>
    </w:p>
    <w:p w:rsidR="00AA23A7" w:rsidRPr="00726B28" w:rsidRDefault="00AA23A7" w:rsidP="00AA23A7">
      <w:pPr>
        <w:ind w:left="0"/>
        <w:jc w:val="both"/>
        <w:rPr>
          <w:rFonts w:ascii="Bookman Old Style" w:hAnsi="Bookman Old Style"/>
          <w:sz w:val="28"/>
          <w:lang w:eastAsia="x-none"/>
        </w:rPr>
      </w:pPr>
    </w:p>
    <w:p w:rsidR="00111F56" w:rsidRDefault="00210DE7" w:rsidP="00210DE7">
      <w:pPr>
        <w:ind w:left="0"/>
        <w:jc w:val="both"/>
        <w:rPr>
          <w:rFonts w:ascii="Bookman Old Style" w:hAnsi="Bookman Old Style"/>
          <w:lang w:eastAsia="x-none"/>
        </w:rPr>
      </w:pPr>
      <w:r>
        <w:rPr>
          <w:rFonts w:ascii="Bookman Old Style" w:hAnsi="Bookman Old Style"/>
          <w:lang w:eastAsia="x-none"/>
        </w:rPr>
        <w:t>La v</w:t>
      </w:r>
      <w:r w:rsidR="00630161">
        <w:rPr>
          <w:rFonts w:ascii="Bookman Old Style" w:hAnsi="Bookman Old Style"/>
          <w:lang w:eastAsia="x-none"/>
        </w:rPr>
        <w:t>aloració</w:t>
      </w:r>
      <w:r>
        <w:rPr>
          <w:rFonts w:ascii="Bookman Old Style" w:hAnsi="Bookman Old Style"/>
          <w:lang w:eastAsia="x-none"/>
        </w:rPr>
        <w:t xml:space="preserve">n de activos en cada año del período tarifario </w:t>
      </w:r>
      <w:r w:rsidR="00111F56" w:rsidRPr="00111F56">
        <w:rPr>
          <w:rFonts w:ascii="Bookman Old Style" w:hAnsi="Bookman Old Style"/>
          <w:lang w:eastAsia="x-none"/>
        </w:rPr>
        <w:t xml:space="preserve">genera una fuerte carga administrativa para la CREG (i.e. contratación de </w:t>
      </w:r>
      <w:r w:rsidR="00111F56">
        <w:rPr>
          <w:rFonts w:ascii="Bookman Old Style" w:hAnsi="Bookman Old Style"/>
          <w:lang w:eastAsia="x-none"/>
        </w:rPr>
        <w:t>peritos</w:t>
      </w:r>
      <w:r w:rsidR="00111F56" w:rsidRPr="00111F56">
        <w:rPr>
          <w:rFonts w:ascii="Bookman Old Style" w:hAnsi="Bookman Old Style"/>
          <w:lang w:eastAsia="x-none"/>
        </w:rPr>
        <w:t>)</w:t>
      </w:r>
      <w:r>
        <w:rPr>
          <w:rFonts w:ascii="Bookman Old Style" w:hAnsi="Bookman Old Style"/>
          <w:lang w:eastAsia="x-none"/>
        </w:rPr>
        <w:t xml:space="preserve">, razón por la cual se considera conveniente </w:t>
      </w:r>
      <w:r w:rsidR="001B1A5D">
        <w:rPr>
          <w:rFonts w:ascii="Bookman Old Style" w:hAnsi="Bookman Old Style"/>
          <w:lang w:eastAsia="x-none"/>
        </w:rPr>
        <w:t xml:space="preserve">integrar en una sola actuación administrativa los procedimientos de cálculo de </w:t>
      </w:r>
      <w:r w:rsidR="00B20A35">
        <w:rPr>
          <w:rFonts w:ascii="Bookman Old Style" w:hAnsi="Bookman Old Style"/>
          <w:lang w:eastAsia="x-none"/>
        </w:rPr>
        <w:t xml:space="preserve">los </w:t>
      </w:r>
      <w:r w:rsidR="001B1A5D">
        <w:rPr>
          <w:rFonts w:ascii="Bookman Old Style" w:hAnsi="Bookman Old Style"/>
          <w:lang w:eastAsia="x-none"/>
        </w:rPr>
        <w:t>cargos regulados y los requeridos para la determinación de los costos de reposición de los activos que cumplen su VU</w:t>
      </w:r>
      <w:r w:rsidR="00B20A35">
        <w:rPr>
          <w:rFonts w:ascii="Bookman Old Style" w:hAnsi="Bookman Old Style"/>
          <w:lang w:eastAsia="x-none"/>
        </w:rPr>
        <w:t>N</w:t>
      </w:r>
      <w:r w:rsidR="001B1A5D">
        <w:rPr>
          <w:rFonts w:ascii="Bookman Old Style" w:hAnsi="Bookman Old Style"/>
          <w:lang w:eastAsia="x-none"/>
        </w:rPr>
        <w:t xml:space="preserve"> durante el período tarifario. Así mismo, se observa la necesidad de introducir ajustes a estos últimos procedimientos, de forma tal que los mismos sean más expeditos.</w:t>
      </w:r>
    </w:p>
    <w:p w:rsidR="009C23D2" w:rsidRPr="00726B28" w:rsidRDefault="009C23D2" w:rsidP="00210DE7">
      <w:pPr>
        <w:ind w:left="0"/>
        <w:jc w:val="both"/>
        <w:rPr>
          <w:rFonts w:ascii="Bookman Old Style" w:hAnsi="Bookman Old Style"/>
          <w:sz w:val="28"/>
          <w:lang w:eastAsia="x-none"/>
        </w:rPr>
      </w:pPr>
    </w:p>
    <w:p w:rsidR="009C23D2" w:rsidRDefault="009C23D2" w:rsidP="00210DE7">
      <w:pPr>
        <w:ind w:left="0"/>
        <w:jc w:val="both"/>
        <w:rPr>
          <w:rFonts w:ascii="Bookman Old Style" w:hAnsi="Bookman Old Style"/>
          <w:lang w:eastAsia="x-none"/>
        </w:rPr>
      </w:pPr>
      <w:r>
        <w:rPr>
          <w:rFonts w:ascii="Bookman Old Style" w:hAnsi="Bookman Old Style"/>
          <w:lang w:eastAsia="x-none"/>
        </w:rPr>
        <w:t xml:space="preserve">También se considera pertinente evaluar </w:t>
      </w:r>
      <w:r w:rsidR="00A966AE">
        <w:rPr>
          <w:rFonts w:ascii="Bookman Old Style" w:hAnsi="Bookman Old Style"/>
          <w:lang w:eastAsia="x-none"/>
        </w:rPr>
        <w:t xml:space="preserve">el factor resultante de la relación entre la </w:t>
      </w:r>
      <w:r w:rsidR="002A6C1E">
        <w:rPr>
          <w:rFonts w:ascii="Bookman Old Style" w:hAnsi="Bookman Old Style"/>
          <w:lang w:eastAsia="x-none"/>
        </w:rPr>
        <w:t>v</w:t>
      </w:r>
      <w:r w:rsidR="00A966AE">
        <w:rPr>
          <w:rFonts w:ascii="Bookman Old Style" w:hAnsi="Bookman Old Style"/>
          <w:lang w:eastAsia="x-none"/>
        </w:rPr>
        <w:t xml:space="preserve">ida útil remanente, VUR, y la </w:t>
      </w:r>
      <w:r w:rsidR="002A6C1E">
        <w:rPr>
          <w:rFonts w:ascii="Bookman Old Style" w:hAnsi="Bookman Old Style"/>
          <w:lang w:eastAsia="x-none"/>
        </w:rPr>
        <w:t>v</w:t>
      </w:r>
      <w:r w:rsidR="00A966AE">
        <w:rPr>
          <w:rFonts w:ascii="Bookman Old Style" w:hAnsi="Bookman Old Style"/>
          <w:lang w:eastAsia="x-none"/>
        </w:rPr>
        <w:t xml:space="preserve">ida </w:t>
      </w:r>
      <w:r w:rsidR="002A6C1E">
        <w:rPr>
          <w:rFonts w:ascii="Bookman Old Style" w:hAnsi="Bookman Old Style"/>
          <w:lang w:eastAsia="x-none"/>
        </w:rPr>
        <w:t>ú</w:t>
      </w:r>
      <w:r w:rsidR="00A966AE">
        <w:rPr>
          <w:rFonts w:ascii="Bookman Old Style" w:hAnsi="Bookman Old Style"/>
          <w:lang w:eastAsia="x-none"/>
        </w:rPr>
        <w:t>til, VU, establecid</w:t>
      </w:r>
      <w:r w:rsidR="001239C4">
        <w:rPr>
          <w:rFonts w:ascii="Bookman Old Style" w:hAnsi="Bookman Old Style"/>
          <w:lang w:eastAsia="x-none"/>
        </w:rPr>
        <w:t>o</w:t>
      </w:r>
      <w:r w:rsidR="00A966AE">
        <w:rPr>
          <w:rFonts w:ascii="Bookman Old Style" w:hAnsi="Bookman Old Style"/>
          <w:lang w:eastAsia="x-none"/>
        </w:rPr>
        <w:t xml:space="preserve"> en el numeral 3 del artículo 14 de la Resolución CREG 126 de 2010.</w:t>
      </w:r>
    </w:p>
    <w:p w:rsidR="00742AA6" w:rsidRPr="00726B28" w:rsidRDefault="00742AA6" w:rsidP="00E47660">
      <w:pPr>
        <w:ind w:left="0"/>
        <w:rPr>
          <w:rFonts w:ascii="Bookman Old Style" w:hAnsi="Bookman Old Style"/>
          <w:b/>
          <w:sz w:val="28"/>
          <w:lang w:val="es-CO"/>
        </w:rPr>
      </w:pPr>
    </w:p>
    <w:p w:rsidR="0008307A" w:rsidRPr="009D3928" w:rsidRDefault="0008307A" w:rsidP="00E47660">
      <w:pPr>
        <w:ind w:left="0"/>
        <w:rPr>
          <w:rFonts w:ascii="Bookman Old Style" w:hAnsi="Bookman Old Style"/>
          <w:b/>
          <w:lang w:val="es-CO"/>
        </w:rPr>
      </w:pPr>
      <w:r w:rsidRPr="009D3928">
        <w:rPr>
          <w:rFonts w:ascii="Bookman Old Style" w:hAnsi="Bookman Old Style"/>
          <w:b/>
          <w:lang w:val="es-CO"/>
        </w:rPr>
        <w:t>4.</w:t>
      </w:r>
      <w:r w:rsidR="0099562E" w:rsidRPr="009D3928">
        <w:rPr>
          <w:rFonts w:ascii="Bookman Old Style" w:hAnsi="Bookman Old Style"/>
          <w:b/>
          <w:lang w:val="es-CO"/>
        </w:rPr>
        <w:t>6</w:t>
      </w:r>
      <w:r w:rsidRPr="009D3928">
        <w:rPr>
          <w:rFonts w:ascii="Bookman Old Style" w:hAnsi="Bookman Old Style"/>
          <w:b/>
          <w:lang w:val="es-CO"/>
        </w:rPr>
        <w:t>. OTROS</w:t>
      </w:r>
    </w:p>
    <w:p w:rsidR="0008307A" w:rsidRPr="00726B28" w:rsidRDefault="0008307A" w:rsidP="00E47660">
      <w:pPr>
        <w:ind w:left="0"/>
        <w:jc w:val="both"/>
        <w:rPr>
          <w:rFonts w:ascii="Bookman Old Style" w:hAnsi="Bookman Old Style"/>
          <w:sz w:val="28"/>
          <w:lang w:val="es-CO"/>
        </w:rPr>
      </w:pPr>
    </w:p>
    <w:p w:rsidR="00581BA1" w:rsidRDefault="00581BA1" w:rsidP="00E47660">
      <w:pPr>
        <w:ind w:left="0"/>
        <w:jc w:val="both"/>
        <w:rPr>
          <w:rFonts w:ascii="Bookman Old Style" w:hAnsi="Bookman Old Style"/>
          <w:lang w:val="es-CO"/>
        </w:rPr>
      </w:pPr>
      <w:r>
        <w:rPr>
          <w:rFonts w:ascii="Bookman Old Style" w:hAnsi="Bookman Old Style"/>
          <w:lang w:val="es-CO"/>
        </w:rPr>
        <w:t xml:space="preserve">Es pertinente hacer mención a otros aspectos que hacen parte de la metodología de remuneración y que no han sido mencionados antes, a saber: i) calidad del servicio; ii) unidades de los cargos; iii) actualización de cargos; y iv) gasoductos cortos que se podrían considerar como conexiones. </w:t>
      </w:r>
    </w:p>
    <w:p w:rsidR="0008307A" w:rsidRDefault="0008307A" w:rsidP="00E47660">
      <w:pPr>
        <w:ind w:left="0"/>
        <w:jc w:val="both"/>
        <w:rPr>
          <w:rFonts w:ascii="Bookman Old Style" w:hAnsi="Bookman Old Style"/>
          <w:sz w:val="28"/>
          <w:lang w:val="es-CO"/>
        </w:rPr>
      </w:pPr>
    </w:p>
    <w:p w:rsidR="0008307A" w:rsidRPr="009D3928" w:rsidRDefault="0008307A" w:rsidP="00E47660">
      <w:pPr>
        <w:ind w:left="0"/>
        <w:rPr>
          <w:rFonts w:ascii="Bookman Old Style" w:hAnsi="Bookman Old Style"/>
          <w:b/>
          <w:lang w:val="es-CO"/>
        </w:rPr>
      </w:pPr>
      <w:r w:rsidRPr="009D3928">
        <w:rPr>
          <w:rFonts w:ascii="Bookman Old Style" w:hAnsi="Bookman Old Style"/>
          <w:b/>
          <w:lang w:val="es-CO"/>
        </w:rPr>
        <w:t>4.</w:t>
      </w:r>
      <w:r w:rsidR="00E731C6">
        <w:rPr>
          <w:rFonts w:ascii="Bookman Old Style" w:hAnsi="Bookman Old Style"/>
          <w:b/>
          <w:lang w:val="es-CO"/>
        </w:rPr>
        <w:t>6</w:t>
      </w:r>
      <w:r w:rsidRPr="009D3928">
        <w:rPr>
          <w:rFonts w:ascii="Bookman Old Style" w:hAnsi="Bookman Old Style"/>
          <w:b/>
          <w:lang w:val="es-CO"/>
        </w:rPr>
        <w:t>.1. CALIDAD DEL SERVICIO</w:t>
      </w:r>
    </w:p>
    <w:p w:rsidR="0008307A" w:rsidRPr="009D3928" w:rsidRDefault="0008307A" w:rsidP="00E47660">
      <w:pPr>
        <w:ind w:left="0"/>
        <w:jc w:val="both"/>
        <w:rPr>
          <w:rFonts w:ascii="Bookman Old Style" w:hAnsi="Bookman Old Style"/>
          <w:lang w:val="es-CO"/>
        </w:rPr>
      </w:pPr>
    </w:p>
    <w:p w:rsidR="00581BA1" w:rsidRDefault="00581BA1" w:rsidP="00581BA1">
      <w:pPr>
        <w:ind w:left="0"/>
        <w:jc w:val="both"/>
        <w:rPr>
          <w:rFonts w:ascii="Bookman Old Style" w:hAnsi="Bookman Old Style"/>
          <w:lang w:val="es-CO"/>
        </w:rPr>
      </w:pPr>
      <w:r>
        <w:rPr>
          <w:rFonts w:ascii="Bookman Old Style" w:hAnsi="Bookman Old Style"/>
          <w:lang w:val="es-CO"/>
        </w:rPr>
        <w:t xml:space="preserve">En el </w:t>
      </w:r>
      <w:r w:rsidR="00E33D0D">
        <w:rPr>
          <w:rFonts w:ascii="Bookman Old Style" w:hAnsi="Bookman Old Style"/>
          <w:lang w:val="es-CO"/>
        </w:rPr>
        <w:t>D</w:t>
      </w:r>
      <w:r>
        <w:rPr>
          <w:rFonts w:ascii="Bookman Old Style" w:hAnsi="Bookman Old Style"/>
          <w:lang w:val="es-CO"/>
        </w:rPr>
        <w:t>ocumento CREG 017 de 2009, soporte de la Resolución CREG 022 de 2009, se anota que el principal indicador de calidad en la actividad de transporte de gas es el de interrupciones del servicio.</w:t>
      </w:r>
    </w:p>
    <w:p w:rsidR="00581BA1" w:rsidRDefault="00581BA1" w:rsidP="00581BA1">
      <w:pPr>
        <w:ind w:left="0"/>
        <w:jc w:val="both"/>
        <w:rPr>
          <w:rFonts w:ascii="Bookman Old Style" w:hAnsi="Bookman Old Style"/>
          <w:lang w:val="es-CO"/>
        </w:rPr>
      </w:pPr>
    </w:p>
    <w:p w:rsidR="00581BA1" w:rsidRDefault="00581BA1" w:rsidP="00581BA1">
      <w:pPr>
        <w:ind w:left="0"/>
        <w:jc w:val="both"/>
        <w:rPr>
          <w:rFonts w:ascii="Bookman Old Style" w:hAnsi="Bookman Old Style"/>
          <w:lang w:val="es-CO"/>
        </w:rPr>
      </w:pPr>
      <w:r>
        <w:rPr>
          <w:rFonts w:ascii="Bookman Old Style" w:hAnsi="Bookman Old Style"/>
          <w:lang w:val="es-CO"/>
        </w:rPr>
        <w:lastRenderedPageBreak/>
        <w:t>En la metodología de la Resolución CREG 126 de 2010 no se incluyó este tópico pues en atención a los comentarios presentados por los agentes la Comisión consideró “conveniente excluir el tema de interrupciones de la metodología de remuneración de la actividad de transporte. Esta decisión se fundament</w:t>
      </w:r>
      <w:r w:rsidR="00E96E26">
        <w:rPr>
          <w:rFonts w:ascii="Bookman Old Style" w:hAnsi="Bookman Old Style"/>
          <w:lang w:val="es-CO"/>
        </w:rPr>
        <w:t>ó</w:t>
      </w:r>
      <w:r>
        <w:rPr>
          <w:rFonts w:ascii="Bookman Old Style" w:hAnsi="Bookman Old Style"/>
          <w:lang w:val="es-CO"/>
        </w:rPr>
        <w:t xml:space="preserve"> en la oportunidad de incluir dicha definición en el Reglamento Único de Transporte, que trata sobre temas concernientes con la operación del sistema”.</w:t>
      </w:r>
    </w:p>
    <w:p w:rsidR="00581BA1" w:rsidRDefault="00581BA1" w:rsidP="00581BA1">
      <w:pPr>
        <w:ind w:left="0"/>
        <w:jc w:val="both"/>
        <w:rPr>
          <w:rFonts w:ascii="Bookman Old Style" w:hAnsi="Bookman Old Style"/>
          <w:lang w:val="es-CO"/>
        </w:rPr>
      </w:pPr>
    </w:p>
    <w:p w:rsidR="00581BA1" w:rsidRDefault="00581BA1" w:rsidP="00581BA1">
      <w:pPr>
        <w:ind w:left="0"/>
        <w:jc w:val="both"/>
        <w:rPr>
          <w:rFonts w:ascii="Bookman Old Style" w:hAnsi="Bookman Old Style"/>
          <w:lang w:val="es-CO"/>
        </w:rPr>
      </w:pPr>
      <w:r>
        <w:rPr>
          <w:rFonts w:ascii="Bookman Old Style" w:hAnsi="Bookman Old Style"/>
          <w:lang w:val="es-CO"/>
        </w:rPr>
        <w:t xml:space="preserve">En la Resolución CREG 089 de 2013, mediante la cual </w:t>
      </w:r>
      <w:r w:rsidRPr="003A1316">
        <w:rPr>
          <w:rFonts w:ascii="Bookman Old Style" w:hAnsi="Bookman Old Style"/>
          <w:lang w:val="es-CO"/>
        </w:rPr>
        <w:t>se reglamentan aspectos comerciales del mercado mayorista de gas natural, que hacen parte del reglamento de operación de gas natural</w:t>
      </w:r>
      <w:r>
        <w:rPr>
          <w:rFonts w:ascii="Bookman Old Style" w:hAnsi="Bookman Old Style"/>
          <w:lang w:val="es-CO"/>
        </w:rPr>
        <w:t>, la Comisión definió aspectos que cubren las interrupciones en la actividad de transporte de gas. En particular, para la actividad de transporte se definieron: i) los eventos eximentes de responsabilidad que se pueden pactar en los contratos; ii) l</w:t>
      </w:r>
      <w:r w:rsidRPr="003A1316">
        <w:rPr>
          <w:rFonts w:ascii="Bookman Old Style" w:hAnsi="Bookman Old Style"/>
          <w:lang w:val="es-CO"/>
        </w:rPr>
        <w:t>a máxima duración de las suspensiones del servicio por labores programadas para reparaciones técnicas o mantenimientos periódicos que se podrá pactar en los contratos</w:t>
      </w:r>
      <w:r>
        <w:rPr>
          <w:rFonts w:ascii="Bookman Old Style" w:hAnsi="Bookman Old Style"/>
          <w:lang w:val="es-CO"/>
        </w:rPr>
        <w:t>; y iii) las compensaciones que debe asumir el transportador cuando incumple la prestación del servicio.</w:t>
      </w:r>
    </w:p>
    <w:p w:rsidR="00581BA1" w:rsidRDefault="00581BA1" w:rsidP="00581BA1">
      <w:pPr>
        <w:ind w:left="0"/>
        <w:jc w:val="both"/>
        <w:rPr>
          <w:rFonts w:ascii="Bookman Old Style" w:hAnsi="Bookman Old Style"/>
          <w:lang w:val="es-CO"/>
        </w:rPr>
      </w:pPr>
    </w:p>
    <w:p w:rsidR="00581BA1" w:rsidRDefault="00581BA1" w:rsidP="00E47660">
      <w:pPr>
        <w:ind w:left="0"/>
        <w:jc w:val="both"/>
        <w:rPr>
          <w:rFonts w:ascii="Bookman Old Style" w:hAnsi="Bookman Old Style"/>
          <w:lang w:val="es-CO"/>
        </w:rPr>
      </w:pPr>
      <w:r>
        <w:rPr>
          <w:rFonts w:ascii="Bookman Old Style" w:hAnsi="Bookman Old Style"/>
          <w:lang w:val="es-CO"/>
        </w:rPr>
        <w:t>Por lo anterior se considera que los aspectos de calidad relacionados con la actividad de transporte de gas están cubiertos con las disposiciones de la Resolución CREG 089 de 2013. No se observa la necesidad de establecer aspectos adicionales en calidad en la prestación del servicio de transporte de gas.</w:t>
      </w:r>
    </w:p>
    <w:p w:rsidR="0008307A" w:rsidRPr="009D3928" w:rsidRDefault="0008307A" w:rsidP="00E47660">
      <w:pPr>
        <w:ind w:left="0"/>
        <w:jc w:val="both"/>
        <w:rPr>
          <w:rFonts w:ascii="Bookman Old Style" w:hAnsi="Bookman Old Style"/>
          <w:lang w:val="es-CO"/>
        </w:rPr>
      </w:pPr>
    </w:p>
    <w:p w:rsidR="0008307A" w:rsidRPr="009D3928" w:rsidRDefault="0008307A" w:rsidP="00E47660">
      <w:pPr>
        <w:ind w:left="0"/>
        <w:rPr>
          <w:rFonts w:ascii="Bookman Old Style" w:hAnsi="Bookman Old Style"/>
          <w:b/>
          <w:lang w:val="es-CO"/>
        </w:rPr>
      </w:pPr>
      <w:r w:rsidRPr="009D3928">
        <w:rPr>
          <w:rFonts w:ascii="Bookman Old Style" w:hAnsi="Bookman Old Style"/>
          <w:b/>
          <w:lang w:val="es-CO"/>
        </w:rPr>
        <w:t>4.</w:t>
      </w:r>
      <w:r w:rsidR="00E731C6">
        <w:rPr>
          <w:rFonts w:ascii="Bookman Old Style" w:hAnsi="Bookman Old Style"/>
          <w:b/>
          <w:lang w:val="es-CO"/>
        </w:rPr>
        <w:t>6</w:t>
      </w:r>
      <w:r w:rsidRPr="009D3928">
        <w:rPr>
          <w:rFonts w:ascii="Bookman Old Style" w:hAnsi="Bookman Old Style"/>
          <w:b/>
          <w:lang w:val="es-CO"/>
        </w:rPr>
        <w:t>.2. UNIDADES DE LOS CARGOS</w:t>
      </w:r>
    </w:p>
    <w:p w:rsidR="0008307A" w:rsidRPr="009D3928" w:rsidRDefault="0008307A" w:rsidP="00E47660">
      <w:pPr>
        <w:ind w:left="0"/>
        <w:jc w:val="both"/>
        <w:rPr>
          <w:rFonts w:ascii="Bookman Old Style" w:hAnsi="Bookman Old Style"/>
          <w:lang w:val="es-CO"/>
        </w:rPr>
      </w:pPr>
    </w:p>
    <w:p w:rsidR="00581BA1" w:rsidRDefault="00581BA1" w:rsidP="00581BA1">
      <w:pPr>
        <w:ind w:left="0"/>
        <w:jc w:val="both"/>
        <w:rPr>
          <w:rFonts w:ascii="Bookman Old Style" w:hAnsi="Bookman Old Style"/>
          <w:lang w:val="es-CO"/>
        </w:rPr>
      </w:pPr>
      <w:r>
        <w:rPr>
          <w:rFonts w:ascii="Bookman Old Style" w:hAnsi="Bookman Old Style"/>
          <w:lang w:val="es-CO"/>
        </w:rPr>
        <w:t>De acuerdo con la metodología de la Resolución CREG 126 de 2010 los cargos regulados que remuneran inversión están expresados en dólares americanos. Así mismo estos cargos se dividen en parejas de cargos fijos, expresados en dólares por cada mil pies cúbicos por día-año, USD/kpcd-año, y en variables expresados en dólares por pie cúbico transportado, USD/kpc. Los cargos que remuneran los gastos de AOM están expresados en pesos por cada mil pies cúbicos por día-año, Col$/kpcd-año. Estas unidades también estuvieron vigentes durante el período tarifario regido por la metodología de la Resolución CREG 001 de 2000.</w:t>
      </w:r>
    </w:p>
    <w:p w:rsidR="00581BA1" w:rsidRDefault="00581BA1" w:rsidP="00581BA1">
      <w:pPr>
        <w:ind w:left="0"/>
        <w:jc w:val="both"/>
        <w:rPr>
          <w:rFonts w:ascii="Bookman Old Style" w:hAnsi="Bookman Old Style"/>
          <w:lang w:val="es-CO"/>
        </w:rPr>
      </w:pPr>
    </w:p>
    <w:p w:rsidR="00581BA1" w:rsidRDefault="00581BA1" w:rsidP="00581BA1">
      <w:pPr>
        <w:ind w:left="0"/>
        <w:jc w:val="both"/>
        <w:rPr>
          <w:rFonts w:ascii="Bookman Old Style" w:hAnsi="Bookman Old Style"/>
          <w:lang w:val="es-CO"/>
        </w:rPr>
      </w:pPr>
      <w:r>
        <w:rPr>
          <w:rFonts w:ascii="Bookman Old Style" w:hAnsi="Bookman Old Style"/>
          <w:lang w:val="es-CO"/>
        </w:rPr>
        <w:t>Con respecto a</w:t>
      </w:r>
      <w:r w:rsidR="00CC46A5">
        <w:rPr>
          <w:rFonts w:ascii="Bookman Old Style" w:hAnsi="Bookman Old Style"/>
          <w:lang w:val="es-CO"/>
        </w:rPr>
        <w:t xml:space="preserve"> </w:t>
      </w:r>
      <w:r>
        <w:rPr>
          <w:rFonts w:ascii="Bookman Old Style" w:hAnsi="Bookman Old Style"/>
          <w:lang w:val="es-CO"/>
        </w:rPr>
        <w:t>l</w:t>
      </w:r>
      <w:r w:rsidR="00CC46A5">
        <w:rPr>
          <w:rFonts w:ascii="Bookman Old Style" w:hAnsi="Bookman Old Style"/>
          <w:lang w:val="es-CO"/>
        </w:rPr>
        <w:t>a</w:t>
      </w:r>
      <w:r>
        <w:rPr>
          <w:rFonts w:ascii="Bookman Old Style" w:hAnsi="Bookman Old Style"/>
          <w:lang w:val="es-CO"/>
        </w:rPr>
        <w:t xml:space="preserve"> moneda utilizada para expresar los cargos regulados se debe mencionar que en el trámite de adopción de la Resolución CREG 126 de 2010 se estudió la posibilidad de establecer </w:t>
      </w:r>
      <w:r w:rsidR="00E96E26">
        <w:rPr>
          <w:rFonts w:ascii="Bookman Old Style" w:hAnsi="Bookman Old Style"/>
          <w:lang w:val="es-CO"/>
        </w:rPr>
        <w:t xml:space="preserve">los </w:t>
      </w:r>
      <w:r>
        <w:rPr>
          <w:rFonts w:ascii="Bookman Old Style" w:hAnsi="Bookman Old Style"/>
          <w:lang w:val="es-CO"/>
        </w:rPr>
        <w:t xml:space="preserve">cargos expresados en pesos. En el </w:t>
      </w:r>
      <w:r w:rsidR="00CC46A5">
        <w:rPr>
          <w:rFonts w:ascii="Bookman Old Style" w:hAnsi="Bookman Old Style"/>
          <w:lang w:val="es-CO"/>
        </w:rPr>
        <w:t>D</w:t>
      </w:r>
      <w:r>
        <w:rPr>
          <w:rFonts w:ascii="Bookman Old Style" w:hAnsi="Bookman Old Style"/>
          <w:lang w:val="es-CO"/>
        </w:rPr>
        <w:t>ocumento CREG 096 de 2008, soporte de la Resolución CREG 157 de 2008, se anota que “con base en los análisis realizados internamente, y teniendo en cuenta las conclusiones planteadas en el estudio mencionado, se considera adecuado mantener en dólares americanos la remuneración de la inversión en la actividad de transporte de gas natural en el siguiente período tarifario”.</w:t>
      </w:r>
    </w:p>
    <w:p w:rsidR="00581BA1" w:rsidRDefault="00581BA1" w:rsidP="00581BA1">
      <w:pPr>
        <w:ind w:left="0"/>
        <w:jc w:val="both"/>
        <w:rPr>
          <w:rFonts w:ascii="Bookman Old Style" w:hAnsi="Bookman Old Style"/>
          <w:lang w:val="es-CO"/>
        </w:rPr>
      </w:pPr>
    </w:p>
    <w:p w:rsidR="00581BA1" w:rsidRDefault="00581BA1" w:rsidP="00581BA1">
      <w:pPr>
        <w:ind w:left="0"/>
        <w:jc w:val="both"/>
        <w:rPr>
          <w:rFonts w:ascii="Bookman Old Style" w:hAnsi="Bookman Old Style"/>
          <w:lang w:val="es-CO"/>
        </w:rPr>
      </w:pPr>
      <w:r>
        <w:rPr>
          <w:rFonts w:ascii="Bookman Old Style" w:hAnsi="Bookman Old Style"/>
          <w:lang w:val="es-CO"/>
        </w:rPr>
        <w:t xml:space="preserve">No se observan razones para cambiar </w:t>
      </w:r>
      <w:r w:rsidR="00CC46A5">
        <w:rPr>
          <w:rFonts w:ascii="Bookman Old Style" w:hAnsi="Bookman Old Style"/>
          <w:lang w:val="es-CO"/>
        </w:rPr>
        <w:t xml:space="preserve">la </w:t>
      </w:r>
      <w:r>
        <w:rPr>
          <w:rFonts w:ascii="Bookman Old Style" w:hAnsi="Bookman Old Style"/>
          <w:lang w:val="es-CO"/>
        </w:rPr>
        <w:t>moneda en la que se han expresado los cargos regulados que remuneran la actividad de transporte.</w:t>
      </w:r>
    </w:p>
    <w:p w:rsidR="00581BA1" w:rsidRDefault="00581BA1" w:rsidP="00581BA1">
      <w:pPr>
        <w:ind w:left="0"/>
        <w:rPr>
          <w:rFonts w:ascii="Bookman Old Style" w:hAnsi="Bookman Old Style"/>
          <w:b/>
          <w:lang w:val="es-CO"/>
        </w:rPr>
      </w:pPr>
      <w:r w:rsidRPr="009D3928">
        <w:rPr>
          <w:rFonts w:ascii="Bookman Old Style" w:hAnsi="Bookman Old Style"/>
          <w:b/>
          <w:lang w:val="es-CO"/>
        </w:rPr>
        <w:lastRenderedPageBreak/>
        <w:t>4.</w:t>
      </w:r>
      <w:r w:rsidR="00CC46A5">
        <w:rPr>
          <w:rFonts w:ascii="Bookman Old Style" w:hAnsi="Bookman Old Style"/>
          <w:b/>
          <w:lang w:val="es-CO"/>
        </w:rPr>
        <w:t>6</w:t>
      </w:r>
      <w:r w:rsidRPr="009D3928">
        <w:rPr>
          <w:rFonts w:ascii="Bookman Old Style" w:hAnsi="Bookman Old Style"/>
          <w:b/>
          <w:lang w:val="es-CO"/>
        </w:rPr>
        <w:t>.</w:t>
      </w:r>
      <w:r>
        <w:rPr>
          <w:rFonts w:ascii="Bookman Old Style" w:hAnsi="Bookman Old Style"/>
          <w:b/>
          <w:lang w:val="es-CO"/>
        </w:rPr>
        <w:t>3</w:t>
      </w:r>
      <w:r w:rsidRPr="009D3928">
        <w:rPr>
          <w:rFonts w:ascii="Bookman Old Style" w:hAnsi="Bookman Old Style"/>
          <w:b/>
          <w:lang w:val="es-CO"/>
        </w:rPr>
        <w:t xml:space="preserve">. </w:t>
      </w:r>
      <w:r>
        <w:rPr>
          <w:rFonts w:ascii="Bookman Old Style" w:hAnsi="Bookman Old Style"/>
          <w:b/>
          <w:lang w:val="es-CO"/>
        </w:rPr>
        <w:t xml:space="preserve">ACTUALIZACIÓN DE CARGOS </w:t>
      </w:r>
    </w:p>
    <w:p w:rsidR="00581BA1" w:rsidRDefault="00581BA1" w:rsidP="00581BA1">
      <w:pPr>
        <w:ind w:left="0"/>
        <w:jc w:val="both"/>
        <w:rPr>
          <w:rFonts w:ascii="Bookman Old Style" w:hAnsi="Bookman Old Style"/>
          <w:lang w:val="es-CO"/>
        </w:rPr>
      </w:pPr>
    </w:p>
    <w:p w:rsidR="00581BA1" w:rsidRDefault="00581BA1" w:rsidP="00581BA1">
      <w:pPr>
        <w:ind w:left="0"/>
        <w:jc w:val="both"/>
        <w:rPr>
          <w:rFonts w:ascii="Bookman Old Style" w:hAnsi="Bookman Old Style"/>
          <w:lang w:val="es-CO"/>
        </w:rPr>
      </w:pPr>
      <w:r>
        <w:rPr>
          <w:rFonts w:ascii="Bookman Old Style" w:hAnsi="Bookman Old Style"/>
          <w:lang w:val="es-CO"/>
        </w:rPr>
        <w:t>De acuerdo con la metodología de la Resolución CREG 126 de 2010 los cargos que remuneran inversión se actualizan anualmente con base en el índice de precios al productor de los Estados Unidos de América, serie ID: WPSSOP3200. Por su parte, los cargos que remuneran gastos de AOM se actualizan anualmente con base en el índice de precios al consumidor reportado por el DANE. Este esquema de actualización también estuvo vigente durante el período tarifario regido por la metodología de la Resolución CREG 001 de 2000.</w:t>
      </w:r>
    </w:p>
    <w:p w:rsidR="00581BA1" w:rsidRDefault="00581BA1" w:rsidP="00581BA1">
      <w:pPr>
        <w:ind w:left="0"/>
        <w:jc w:val="both"/>
        <w:rPr>
          <w:rFonts w:ascii="Bookman Old Style" w:hAnsi="Bookman Old Style"/>
          <w:lang w:val="es-CO"/>
        </w:rPr>
      </w:pPr>
    </w:p>
    <w:p w:rsidR="00581BA1" w:rsidRDefault="00581BA1" w:rsidP="00581BA1">
      <w:pPr>
        <w:ind w:left="0"/>
        <w:jc w:val="both"/>
        <w:rPr>
          <w:rFonts w:ascii="Bookman Old Style" w:hAnsi="Bookman Old Style"/>
          <w:lang w:val="es-CO"/>
        </w:rPr>
      </w:pPr>
      <w:r>
        <w:rPr>
          <w:rFonts w:ascii="Bookman Old Style" w:hAnsi="Bookman Old Style"/>
          <w:lang w:val="es-CO"/>
        </w:rPr>
        <w:t>No se observan razones para modificar este esque</w:t>
      </w:r>
      <w:r w:rsidR="006871A4">
        <w:rPr>
          <w:rFonts w:ascii="Bookman Old Style" w:hAnsi="Bookman Old Style"/>
          <w:lang w:val="es-CO"/>
        </w:rPr>
        <w:t>ma de actualización de cargos.</w:t>
      </w:r>
    </w:p>
    <w:p w:rsidR="00581BA1" w:rsidRDefault="00581BA1" w:rsidP="00581BA1">
      <w:pPr>
        <w:ind w:left="0"/>
        <w:jc w:val="both"/>
        <w:rPr>
          <w:rFonts w:ascii="Bookman Old Style" w:hAnsi="Bookman Old Style"/>
          <w:lang w:val="es-CO"/>
        </w:rPr>
      </w:pPr>
    </w:p>
    <w:p w:rsidR="00581BA1" w:rsidRDefault="00581BA1" w:rsidP="002A6C1E">
      <w:pPr>
        <w:ind w:left="0"/>
        <w:jc w:val="both"/>
        <w:rPr>
          <w:rFonts w:ascii="Bookman Old Style" w:hAnsi="Bookman Old Style"/>
          <w:b/>
          <w:lang w:val="es-CO"/>
        </w:rPr>
      </w:pPr>
      <w:r w:rsidRPr="009D3928">
        <w:rPr>
          <w:rFonts w:ascii="Bookman Old Style" w:hAnsi="Bookman Old Style"/>
          <w:b/>
          <w:lang w:val="es-CO"/>
        </w:rPr>
        <w:t>4.</w:t>
      </w:r>
      <w:r w:rsidR="00CC46A5">
        <w:rPr>
          <w:rFonts w:ascii="Bookman Old Style" w:hAnsi="Bookman Old Style"/>
          <w:b/>
          <w:lang w:val="es-CO"/>
        </w:rPr>
        <w:t>6</w:t>
      </w:r>
      <w:r w:rsidRPr="009D3928">
        <w:rPr>
          <w:rFonts w:ascii="Bookman Old Style" w:hAnsi="Bookman Old Style"/>
          <w:b/>
          <w:lang w:val="es-CO"/>
        </w:rPr>
        <w:t>.</w:t>
      </w:r>
      <w:r>
        <w:rPr>
          <w:rFonts w:ascii="Bookman Old Style" w:hAnsi="Bookman Old Style"/>
          <w:b/>
          <w:lang w:val="es-CO"/>
        </w:rPr>
        <w:t>4</w:t>
      </w:r>
      <w:r w:rsidRPr="009D3928">
        <w:rPr>
          <w:rFonts w:ascii="Bookman Old Style" w:hAnsi="Bookman Old Style"/>
          <w:b/>
          <w:lang w:val="es-CO"/>
        </w:rPr>
        <w:t xml:space="preserve">. </w:t>
      </w:r>
      <w:r>
        <w:rPr>
          <w:rFonts w:ascii="Bookman Old Style" w:hAnsi="Bookman Old Style"/>
          <w:b/>
          <w:lang w:val="es-CO"/>
        </w:rPr>
        <w:t xml:space="preserve">GASODUCTOS CORTOS QUE </w:t>
      </w:r>
      <w:r w:rsidR="003914F3">
        <w:rPr>
          <w:rFonts w:ascii="Bookman Old Style" w:hAnsi="Bookman Old Style"/>
          <w:b/>
          <w:lang w:val="es-CO"/>
        </w:rPr>
        <w:t xml:space="preserve">SE </w:t>
      </w:r>
      <w:r>
        <w:rPr>
          <w:rFonts w:ascii="Bookman Old Style" w:hAnsi="Bookman Old Style"/>
          <w:b/>
          <w:lang w:val="es-CO"/>
        </w:rPr>
        <w:t xml:space="preserve">PODRÍAN </w:t>
      </w:r>
      <w:r w:rsidR="003914F3">
        <w:rPr>
          <w:rFonts w:ascii="Bookman Old Style" w:hAnsi="Bookman Old Style"/>
          <w:b/>
          <w:lang w:val="es-CO"/>
        </w:rPr>
        <w:t xml:space="preserve">TRATAR COMO </w:t>
      </w:r>
      <w:r w:rsidR="006871A4">
        <w:rPr>
          <w:rFonts w:ascii="Bookman Old Style" w:hAnsi="Bookman Old Style"/>
          <w:b/>
          <w:lang w:val="es-CO"/>
        </w:rPr>
        <w:t>CONEXIONES</w:t>
      </w:r>
    </w:p>
    <w:p w:rsidR="00581BA1" w:rsidRDefault="00581BA1" w:rsidP="00581BA1">
      <w:pPr>
        <w:ind w:left="0"/>
        <w:jc w:val="both"/>
        <w:rPr>
          <w:rFonts w:ascii="Bookman Old Style" w:hAnsi="Bookman Old Style"/>
          <w:lang w:val="es-CO"/>
        </w:rPr>
      </w:pPr>
    </w:p>
    <w:p w:rsidR="0099562E" w:rsidRDefault="00581BA1" w:rsidP="00581BA1">
      <w:pPr>
        <w:ind w:left="0"/>
        <w:jc w:val="both"/>
        <w:rPr>
          <w:rFonts w:ascii="Bookman Old Style" w:hAnsi="Bookman Old Style"/>
          <w:lang w:val="es-CO"/>
        </w:rPr>
      </w:pPr>
      <w:r>
        <w:rPr>
          <w:rFonts w:ascii="Bookman Old Style" w:hAnsi="Bookman Old Style"/>
          <w:lang w:val="es-CO"/>
        </w:rPr>
        <w:t xml:space="preserve">En el SNT se identifican tramos de gasoductos ramales que se confunden con conexiones por su corta longitud. Se propone estudiar la posibilidad de fijar parámetros técnicos mínimos </w:t>
      </w:r>
      <w:r w:rsidR="003914F3">
        <w:rPr>
          <w:rFonts w:ascii="Bookman Old Style" w:hAnsi="Bookman Old Style"/>
          <w:lang w:val="es-CO"/>
        </w:rPr>
        <w:t xml:space="preserve">que deben reunir </w:t>
      </w:r>
      <w:r>
        <w:rPr>
          <w:rFonts w:ascii="Bookman Old Style" w:hAnsi="Bookman Old Style"/>
          <w:lang w:val="es-CO"/>
        </w:rPr>
        <w:t xml:space="preserve">los nuevos gasoductos </w:t>
      </w:r>
      <w:r w:rsidR="003914F3">
        <w:rPr>
          <w:rFonts w:ascii="Bookman Old Style" w:hAnsi="Bookman Old Style"/>
          <w:lang w:val="es-CO"/>
        </w:rPr>
        <w:t xml:space="preserve">para que </w:t>
      </w:r>
      <w:r>
        <w:rPr>
          <w:rFonts w:ascii="Bookman Old Style" w:hAnsi="Bookman Old Style"/>
          <w:lang w:val="es-CO"/>
        </w:rPr>
        <w:t>sean considerados parte del SNT.</w:t>
      </w:r>
    </w:p>
    <w:p w:rsidR="00581BA1" w:rsidRDefault="00581BA1" w:rsidP="00581BA1">
      <w:pPr>
        <w:ind w:left="0"/>
        <w:jc w:val="both"/>
        <w:rPr>
          <w:rFonts w:ascii="Bookman Old Style" w:hAnsi="Bookman Old Style"/>
          <w:lang w:val="es-CO"/>
        </w:rPr>
      </w:pPr>
    </w:p>
    <w:p w:rsidR="00F04468" w:rsidRDefault="00F04468" w:rsidP="00E47660">
      <w:pPr>
        <w:ind w:left="0"/>
        <w:jc w:val="both"/>
        <w:rPr>
          <w:rFonts w:ascii="Bookman Old Style" w:hAnsi="Bookman Old Style"/>
          <w:lang w:val="es-CO"/>
        </w:rPr>
      </w:pPr>
    </w:p>
    <w:p w:rsidR="00E34119" w:rsidRPr="009D3928" w:rsidRDefault="00E34119" w:rsidP="00E47660">
      <w:pPr>
        <w:ind w:left="0"/>
        <w:jc w:val="both"/>
        <w:rPr>
          <w:rFonts w:ascii="Bookman Old Style" w:hAnsi="Bookman Old Style"/>
          <w:lang w:val="es-CO"/>
        </w:rPr>
      </w:pPr>
    </w:p>
    <w:p w:rsidR="000568FF" w:rsidRDefault="000568FF" w:rsidP="00E47660">
      <w:pPr>
        <w:ind w:left="0"/>
        <w:jc w:val="both"/>
        <w:rPr>
          <w:rFonts w:ascii="Bookman Old Style" w:hAnsi="Bookman Old Style"/>
          <w:lang w:val="es-CO"/>
        </w:rPr>
      </w:pPr>
    </w:p>
    <w:p w:rsidR="00E34119" w:rsidRPr="009D3928" w:rsidRDefault="00E34119" w:rsidP="00E47660">
      <w:pPr>
        <w:ind w:left="0"/>
        <w:jc w:val="both"/>
        <w:rPr>
          <w:rFonts w:ascii="Bookman Old Style" w:hAnsi="Bookman Old Style"/>
          <w:lang w:val="es-CO"/>
        </w:rPr>
      </w:pPr>
    </w:p>
    <w:p w:rsidR="000568FF" w:rsidRPr="009D3928" w:rsidRDefault="000568FF" w:rsidP="00E47660">
      <w:pPr>
        <w:ind w:left="0"/>
        <w:jc w:val="both"/>
        <w:rPr>
          <w:rFonts w:ascii="Bookman Old Style" w:hAnsi="Bookman Old Style"/>
          <w:lang w:val="es-CO"/>
        </w:rPr>
      </w:pPr>
    </w:p>
    <w:tbl>
      <w:tblPr>
        <w:tblW w:w="9765" w:type="dxa"/>
        <w:jc w:val="right"/>
        <w:tblLayout w:type="fixed"/>
        <w:tblCellMar>
          <w:left w:w="70" w:type="dxa"/>
          <w:right w:w="70" w:type="dxa"/>
        </w:tblCellMar>
        <w:tblLook w:val="04A0" w:firstRow="1" w:lastRow="0" w:firstColumn="1" w:lastColumn="0" w:noHBand="0" w:noVBand="1"/>
      </w:tblPr>
      <w:tblGrid>
        <w:gridCol w:w="4505"/>
        <w:gridCol w:w="5260"/>
      </w:tblGrid>
      <w:tr w:rsidR="00E34119" w:rsidRPr="00D22E84" w:rsidTr="004233B6">
        <w:trPr>
          <w:jc w:val="right"/>
        </w:trPr>
        <w:tc>
          <w:tcPr>
            <w:tcW w:w="4503" w:type="dxa"/>
            <w:hideMark/>
          </w:tcPr>
          <w:p w:rsidR="00E34119" w:rsidRPr="00D22E84" w:rsidRDefault="00E34119" w:rsidP="004233B6">
            <w:pPr>
              <w:widowControl w:val="0"/>
              <w:adjustRightInd w:val="0"/>
              <w:ind w:left="204"/>
              <w:jc w:val="both"/>
              <w:textAlignment w:val="baseline"/>
              <w:rPr>
                <w:rFonts w:ascii="Bookman Old Style" w:hAnsi="Bookman Old Style" w:cs="Arial"/>
                <w:b/>
                <w:spacing w:val="-3"/>
                <w:lang w:val="es-ES_tradnl"/>
              </w:rPr>
            </w:pPr>
            <w:r w:rsidRPr="00D22E84">
              <w:rPr>
                <w:rFonts w:ascii="Bookman Old Style" w:hAnsi="Bookman Old Style" w:cs="Arial"/>
                <w:b/>
                <w:spacing w:val="-3"/>
              </w:rPr>
              <w:t xml:space="preserve">  ORLANDO CABRALES SEGOVIA</w:t>
            </w:r>
          </w:p>
        </w:tc>
        <w:tc>
          <w:tcPr>
            <w:tcW w:w="5258" w:type="dxa"/>
            <w:hideMark/>
          </w:tcPr>
          <w:p w:rsidR="00E34119" w:rsidRPr="00D22E84" w:rsidRDefault="00E34119" w:rsidP="004233B6">
            <w:pPr>
              <w:widowControl w:val="0"/>
              <w:adjustRightInd w:val="0"/>
              <w:ind w:left="17"/>
              <w:jc w:val="center"/>
              <w:textAlignment w:val="baseline"/>
              <w:rPr>
                <w:rFonts w:ascii="Bookman Old Style" w:hAnsi="Bookman Old Style" w:cs="Arial"/>
                <w:b/>
                <w:spacing w:val="-3"/>
                <w:u w:val="single"/>
                <w:lang w:val="es-ES_tradnl"/>
              </w:rPr>
            </w:pPr>
            <w:r>
              <w:rPr>
                <w:rFonts w:ascii="Bookman Old Style" w:hAnsi="Bookman Old Style" w:cs="Arial"/>
                <w:b/>
                <w:spacing w:val="-3"/>
                <w:lang w:val="es-ES_tradnl"/>
              </w:rPr>
              <w:t>CARLOS FERNANDO ERASO CALERO</w:t>
            </w:r>
          </w:p>
        </w:tc>
      </w:tr>
      <w:tr w:rsidR="00E34119" w:rsidRPr="00D22E84" w:rsidTr="004233B6">
        <w:trPr>
          <w:jc w:val="right"/>
        </w:trPr>
        <w:tc>
          <w:tcPr>
            <w:tcW w:w="4503" w:type="dxa"/>
            <w:hideMark/>
          </w:tcPr>
          <w:p w:rsidR="00E34119" w:rsidRPr="00D22E84" w:rsidRDefault="00E34119" w:rsidP="004233B6">
            <w:pPr>
              <w:widowControl w:val="0"/>
              <w:adjustRightInd w:val="0"/>
              <w:ind w:left="0"/>
              <w:jc w:val="center"/>
              <w:textAlignment w:val="baseline"/>
              <w:rPr>
                <w:rFonts w:ascii="Bookman Old Style" w:hAnsi="Bookman Old Style" w:cs="Arial"/>
                <w:spacing w:val="-3"/>
                <w:lang w:val="es-ES_tradnl"/>
              </w:rPr>
            </w:pPr>
            <w:r w:rsidRPr="00D22E84">
              <w:rPr>
                <w:rFonts w:ascii="Bookman Old Style" w:hAnsi="Bookman Old Style" w:cs="Arial"/>
                <w:spacing w:val="-3"/>
                <w:lang w:val="es-ES_tradnl"/>
              </w:rPr>
              <w:t>Viceministro de Energía</w:t>
            </w:r>
          </w:p>
          <w:p w:rsidR="00E34119" w:rsidRPr="00D22E84" w:rsidRDefault="00E34119" w:rsidP="004233B6">
            <w:pPr>
              <w:widowControl w:val="0"/>
              <w:adjustRightInd w:val="0"/>
              <w:ind w:left="0"/>
              <w:jc w:val="center"/>
              <w:textAlignment w:val="baseline"/>
              <w:rPr>
                <w:rFonts w:ascii="Bookman Old Style" w:hAnsi="Bookman Old Style" w:cs="Arial"/>
                <w:spacing w:val="-3"/>
                <w:lang w:val="es-ES_tradnl"/>
              </w:rPr>
            </w:pPr>
            <w:r w:rsidRPr="00D22E84">
              <w:rPr>
                <w:rFonts w:ascii="Bookman Old Style" w:hAnsi="Bookman Old Style" w:cs="Arial"/>
                <w:spacing w:val="-3"/>
                <w:lang w:val="es-ES_tradnl"/>
              </w:rPr>
              <w:t>Delegado del Ministro de Minas y Energía</w:t>
            </w:r>
          </w:p>
        </w:tc>
        <w:tc>
          <w:tcPr>
            <w:tcW w:w="5258" w:type="dxa"/>
            <w:hideMark/>
          </w:tcPr>
          <w:p w:rsidR="00E34119" w:rsidRPr="00D22E84" w:rsidRDefault="00E34119" w:rsidP="004233B6">
            <w:pPr>
              <w:widowControl w:val="0"/>
              <w:adjustRightInd w:val="0"/>
              <w:ind w:left="159"/>
              <w:jc w:val="center"/>
              <w:textAlignment w:val="baseline"/>
              <w:rPr>
                <w:rFonts w:ascii="Bookman Old Style" w:hAnsi="Bookman Old Style" w:cs="Arial"/>
                <w:spacing w:val="-3"/>
                <w:lang w:val="es-ES_tradnl"/>
              </w:rPr>
            </w:pPr>
            <w:r w:rsidRPr="00D22E84">
              <w:rPr>
                <w:rFonts w:ascii="Bookman Old Style" w:hAnsi="Bookman Old Style" w:cs="Arial"/>
                <w:spacing w:val="-3"/>
                <w:lang w:val="es-ES_tradnl"/>
              </w:rPr>
              <w:t>Director Ejecutivo</w:t>
            </w:r>
          </w:p>
        </w:tc>
      </w:tr>
      <w:tr w:rsidR="00E34119" w:rsidRPr="00D22E84" w:rsidTr="004233B6">
        <w:trPr>
          <w:jc w:val="right"/>
        </w:trPr>
        <w:tc>
          <w:tcPr>
            <w:tcW w:w="4503" w:type="dxa"/>
            <w:hideMark/>
          </w:tcPr>
          <w:p w:rsidR="00E34119" w:rsidRPr="00D22E84" w:rsidRDefault="00E34119" w:rsidP="004233B6">
            <w:pPr>
              <w:widowControl w:val="0"/>
              <w:adjustRightInd w:val="0"/>
              <w:jc w:val="both"/>
              <w:textAlignment w:val="baseline"/>
              <w:rPr>
                <w:rFonts w:ascii="Bookman Old Style" w:hAnsi="Bookman Old Style" w:cs="Arial"/>
                <w:spacing w:val="-3"/>
              </w:rPr>
            </w:pPr>
            <w:r w:rsidRPr="00D22E84">
              <w:rPr>
                <w:rFonts w:ascii="Bookman Old Style" w:hAnsi="Bookman Old Style" w:cs="Arial"/>
                <w:spacing w:val="-3"/>
              </w:rPr>
              <w:t xml:space="preserve">             Presidente</w:t>
            </w:r>
          </w:p>
        </w:tc>
        <w:tc>
          <w:tcPr>
            <w:tcW w:w="5258" w:type="dxa"/>
          </w:tcPr>
          <w:p w:rsidR="00E34119" w:rsidRPr="00D22E84" w:rsidRDefault="00E34119" w:rsidP="004233B6">
            <w:pPr>
              <w:widowControl w:val="0"/>
              <w:adjustRightInd w:val="0"/>
              <w:jc w:val="both"/>
              <w:textAlignment w:val="baseline"/>
              <w:rPr>
                <w:rFonts w:ascii="Bookman Old Style" w:hAnsi="Bookman Old Style" w:cs="Arial"/>
                <w:spacing w:val="-3"/>
              </w:rPr>
            </w:pPr>
          </w:p>
        </w:tc>
      </w:tr>
    </w:tbl>
    <w:p w:rsidR="000568FF" w:rsidRPr="009D3928" w:rsidRDefault="000568FF" w:rsidP="00E47660">
      <w:pPr>
        <w:ind w:left="0"/>
        <w:jc w:val="both"/>
        <w:rPr>
          <w:rFonts w:ascii="Bookman Old Style" w:hAnsi="Bookman Old Style"/>
          <w:lang w:val="es-CO"/>
        </w:rPr>
      </w:pPr>
    </w:p>
    <w:p w:rsidR="000568FF" w:rsidRPr="009D3928" w:rsidRDefault="000568FF" w:rsidP="00E47660">
      <w:pPr>
        <w:ind w:left="0"/>
        <w:jc w:val="both"/>
        <w:rPr>
          <w:rFonts w:ascii="Bookman Old Style" w:hAnsi="Bookman Old Style"/>
          <w:lang w:val="es-CO"/>
        </w:rPr>
      </w:pPr>
    </w:p>
    <w:sectPr w:rsidR="000568FF" w:rsidRPr="009D3928" w:rsidSect="005A59EF">
      <w:headerReference w:type="default" r:id="rId12"/>
      <w:headerReference w:type="first" r:id="rId13"/>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310F" w:rsidRDefault="004D310F">
      <w:r>
        <w:separator/>
      </w:r>
    </w:p>
  </w:endnote>
  <w:endnote w:type="continuationSeparator" w:id="0">
    <w:p w:rsidR="004D310F" w:rsidRDefault="004D31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310F" w:rsidRDefault="004D310F">
      <w:r>
        <w:separator/>
      </w:r>
    </w:p>
  </w:footnote>
  <w:footnote w:type="continuationSeparator" w:id="0">
    <w:p w:rsidR="004D310F" w:rsidRDefault="004D310F">
      <w:r>
        <w:continuationSeparator/>
      </w:r>
    </w:p>
  </w:footnote>
  <w:footnote w:id="1">
    <w:p w:rsidR="004D310F" w:rsidRPr="002A6C1E" w:rsidRDefault="004D310F" w:rsidP="002A6C1E">
      <w:pPr>
        <w:pStyle w:val="Textonotapie"/>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Style w:val="Refdenotaalpie"/>
          <w:rFonts w:ascii="Bookman Old Style" w:hAnsi="Bookman Old Style"/>
          <w:sz w:val="18"/>
          <w:szCs w:val="18"/>
        </w:rPr>
        <w:t xml:space="preserve"> </w:t>
      </w:r>
      <w:r w:rsidRPr="002A6C1E">
        <w:rPr>
          <w:rFonts w:ascii="Bookman Old Style" w:hAnsi="Bookman Old Style"/>
          <w:sz w:val="18"/>
          <w:szCs w:val="18"/>
          <w:lang w:val="es-CO"/>
        </w:rPr>
        <w:t xml:space="preserve">Las estaciones de compresión permiten aumentar la capacidad de transporte de un gasoducto. </w:t>
      </w:r>
    </w:p>
  </w:footnote>
  <w:footnote w:id="2">
    <w:p w:rsidR="004D310F" w:rsidRPr="002A6C1E" w:rsidRDefault="004D310F" w:rsidP="002A6C1E">
      <w:pPr>
        <w:pStyle w:val="Textonotapie"/>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Style w:val="Refdenotaalpie"/>
          <w:rFonts w:ascii="Bookman Old Style" w:hAnsi="Bookman Old Style"/>
          <w:sz w:val="18"/>
          <w:szCs w:val="18"/>
        </w:rPr>
        <w:t xml:space="preserve"> </w:t>
      </w:r>
      <w:r w:rsidRPr="002A6C1E">
        <w:rPr>
          <w:rFonts w:ascii="Bookman Old Style" w:hAnsi="Bookman Old Style"/>
          <w:sz w:val="18"/>
          <w:szCs w:val="18"/>
          <w:lang w:val="es-CO"/>
        </w:rPr>
        <w:t>Como referencia se tiene que el consumo promedio total nacional en 2012 fue de 894 GBTU por día o aproximadamente 840 MPCD.</w:t>
      </w:r>
    </w:p>
  </w:footnote>
  <w:footnote w:id="3">
    <w:p w:rsidR="004D310F" w:rsidRPr="002A6C1E" w:rsidRDefault="004D310F" w:rsidP="002A6C1E">
      <w:pPr>
        <w:pStyle w:val="Textonotapie"/>
        <w:keepLines/>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w:t>
      </w:r>
      <w:r w:rsidRPr="002A6C1E">
        <w:rPr>
          <w:rFonts w:ascii="Bookman Old Style" w:hAnsi="Bookman Old Style"/>
          <w:sz w:val="18"/>
          <w:szCs w:val="18"/>
          <w:lang w:val="es-CO"/>
        </w:rPr>
        <w:t>Si bien el esquema de transportador común es ampliamente utilizado en la regulación de la transmisión de energía eléctrica, el mismo es poco utilizado en la regulación del transporte de gas natural, mercado en el cual las relaciones entre los participantes del mercado suelen reflejarse en contratos. La Comisión únicamente tiene conocimiento del uso de un esquema similar al de transportador común en el transporte de gas natural en el mercado de Victoria, Australia (ver reporte anexo a la Circular CREG 011 de 2011).</w:t>
      </w:r>
    </w:p>
  </w:footnote>
  <w:footnote w:id="4">
    <w:p w:rsidR="004D310F" w:rsidRPr="002A6C1E" w:rsidRDefault="004D310F" w:rsidP="002A6C1E">
      <w:pPr>
        <w:pStyle w:val="Textonotapie"/>
        <w:spacing w:line="240" w:lineRule="auto"/>
        <w:rPr>
          <w:rFonts w:ascii="Bookman Old Style" w:hAnsi="Bookman Old Style"/>
          <w:sz w:val="18"/>
          <w:szCs w:val="18"/>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Numerales 1 y 3 del a</w:t>
      </w:r>
      <w:r w:rsidRPr="002A6C1E">
        <w:rPr>
          <w:rFonts w:ascii="Bookman Old Style" w:hAnsi="Bookman Old Style" w:cs="Arial"/>
          <w:sz w:val="18"/>
          <w:szCs w:val="18"/>
        </w:rPr>
        <w:t>rtículo 4 del Decreto 1258 de 2013.</w:t>
      </w:r>
    </w:p>
  </w:footnote>
  <w:footnote w:id="5">
    <w:p w:rsidR="004D310F" w:rsidRPr="002A6C1E" w:rsidRDefault="004D310F" w:rsidP="002A6C1E">
      <w:pPr>
        <w:pStyle w:val="Textonotapie"/>
        <w:spacing w:line="240" w:lineRule="auto"/>
        <w:rPr>
          <w:rFonts w:ascii="Bookman Old Style" w:hAnsi="Bookman Old Style"/>
          <w:sz w:val="18"/>
          <w:szCs w:val="18"/>
          <w:lang w:val="en-US"/>
        </w:rPr>
      </w:pPr>
      <w:r w:rsidRPr="002A6C1E">
        <w:rPr>
          <w:rStyle w:val="Refdenotaalpie"/>
          <w:rFonts w:ascii="Bookman Old Style" w:hAnsi="Bookman Old Style"/>
          <w:sz w:val="18"/>
          <w:szCs w:val="18"/>
        </w:rPr>
        <w:footnoteRef/>
      </w:r>
      <w:r w:rsidRPr="002A6C1E">
        <w:rPr>
          <w:rFonts w:ascii="Bookman Old Style" w:hAnsi="Bookman Old Style"/>
          <w:sz w:val="18"/>
          <w:szCs w:val="18"/>
          <w:lang w:val="en-US"/>
        </w:rPr>
        <w:t xml:space="preserve"> Body of knowledge on infrastructure regulation, http://regulationbodyofknowledge.org/price-level-regulation/basic-forms-of-regulation/</w:t>
      </w:r>
    </w:p>
  </w:footnote>
  <w:footnote w:id="6">
    <w:p w:rsidR="004D310F" w:rsidRPr="002A6C1E" w:rsidRDefault="004D310F" w:rsidP="002A6C1E">
      <w:pPr>
        <w:pStyle w:val="Textonotapie"/>
        <w:spacing w:line="240" w:lineRule="auto"/>
        <w:rPr>
          <w:rFonts w:ascii="Bookman Old Style" w:hAnsi="Bookman Old Style" w:cs="Arial"/>
          <w:sz w:val="18"/>
          <w:szCs w:val="18"/>
          <w:lang w:val="es-CO"/>
        </w:rPr>
      </w:pPr>
      <w:r w:rsidRPr="002A6C1E">
        <w:rPr>
          <w:rStyle w:val="Refdenotaalpie"/>
          <w:rFonts w:ascii="Bookman Old Style" w:hAnsi="Bookman Old Style" w:cs="Arial"/>
          <w:sz w:val="18"/>
          <w:szCs w:val="18"/>
        </w:rPr>
        <w:footnoteRef/>
      </w:r>
      <w:r w:rsidRPr="002A6C1E">
        <w:rPr>
          <w:rFonts w:ascii="Bookman Old Style" w:hAnsi="Bookman Old Style" w:cs="Arial"/>
          <w:sz w:val="18"/>
          <w:szCs w:val="18"/>
          <w:lang w:val="es-CO"/>
        </w:rPr>
        <w:t xml:space="preserve"> En ninguna de las actividades de redes que regula la CREG se ha adoptado esta forma de regulación.</w:t>
      </w:r>
    </w:p>
  </w:footnote>
  <w:footnote w:id="7">
    <w:p w:rsidR="004D310F" w:rsidRPr="002A6C1E" w:rsidRDefault="004D310F" w:rsidP="002A6C1E">
      <w:pPr>
        <w:pStyle w:val="Textonotapie"/>
        <w:spacing w:line="240" w:lineRule="auto"/>
        <w:rPr>
          <w:rFonts w:ascii="Bookman Old Style" w:hAnsi="Bookman Old Style" w:cs="Arial"/>
          <w:sz w:val="18"/>
          <w:szCs w:val="18"/>
          <w:lang w:val="es-CO"/>
        </w:rPr>
      </w:pPr>
      <w:r w:rsidRPr="002A6C1E">
        <w:rPr>
          <w:rStyle w:val="Refdenotaalpie"/>
          <w:rFonts w:ascii="Bookman Old Style" w:hAnsi="Bookman Old Style" w:cs="Arial"/>
          <w:sz w:val="18"/>
          <w:szCs w:val="18"/>
        </w:rPr>
        <w:footnoteRef/>
      </w:r>
      <w:r w:rsidRPr="002A6C1E">
        <w:rPr>
          <w:rFonts w:ascii="Bookman Old Style" w:hAnsi="Bookman Old Style" w:cs="Arial"/>
          <w:sz w:val="18"/>
          <w:szCs w:val="18"/>
          <w:lang w:val="es-CO"/>
        </w:rPr>
        <w:t xml:space="preserve"> La CREG aplica esta forma de regulación al transporte de gas (Resolución CREG 126 de 2010), distribución de gas (Resolución CREG 202 de 2013), y niveles 1, 2 y 3 de distribución de energía eléctrica (Resolución 097 de 2008), entre otros.</w:t>
      </w:r>
    </w:p>
  </w:footnote>
  <w:footnote w:id="8">
    <w:p w:rsidR="004D310F" w:rsidRPr="002A6C1E" w:rsidRDefault="004D310F" w:rsidP="002A6C1E">
      <w:pPr>
        <w:pStyle w:val="Textonotapie"/>
        <w:spacing w:line="240" w:lineRule="auto"/>
        <w:rPr>
          <w:rFonts w:ascii="Bookman Old Style" w:hAnsi="Bookman Old Style" w:cs="Arial"/>
          <w:sz w:val="18"/>
          <w:szCs w:val="18"/>
          <w:lang w:val="es-CO"/>
        </w:rPr>
      </w:pPr>
      <w:r w:rsidRPr="002A6C1E">
        <w:rPr>
          <w:rStyle w:val="Refdenotaalpie"/>
          <w:rFonts w:ascii="Bookman Old Style" w:hAnsi="Bookman Old Style" w:cs="Arial"/>
          <w:sz w:val="18"/>
          <w:szCs w:val="18"/>
        </w:rPr>
        <w:footnoteRef/>
      </w:r>
      <w:r w:rsidRPr="002A6C1E">
        <w:rPr>
          <w:rFonts w:ascii="Bookman Old Style" w:hAnsi="Bookman Old Style" w:cs="Arial"/>
          <w:sz w:val="18"/>
          <w:szCs w:val="18"/>
          <w:lang w:val="es-CO"/>
        </w:rPr>
        <w:t xml:space="preserve"> En la regulación de la CREG esta forma de regulación está presente en la aplicable a transmisión y al nivel 4 de distribución de energía eléctrica (Resoluciones 011 de 2009 y 097 de 2008), entre otros.</w:t>
      </w:r>
    </w:p>
  </w:footnote>
  <w:footnote w:id="9">
    <w:p w:rsidR="004D310F" w:rsidRPr="002A6C1E" w:rsidRDefault="004D310F" w:rsidP="002A6C1E">
      <w:pPr>
        <w:pStyle w:val="Textonotapie"/>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lang w:val="es-CO"/>
        </w:rPr>
        <w:t xml:space="preserve"> </w:t>
      </w:r>
      <w:r w:rsidRPr="002A6C1E">
        <w:rPr>
          <w:rFonts w:ascii="Bookman Old Style" w:hAnsi="Bookman Old Style" w:cs="Arial"/>
          <w:sz w:val="18"/>
          <w:szCs w:val="18"/>
          <w:lang w:val="es-CO"/>
        </w:rPr>
        <w:t>En ninguna de las actividades de redes que regula la CREG se ha adoptado esta forma de regulación. Sin embargo, en la regulación de las actividades reguladas del CND, ASIC y LAC sí se adoptó (Resolución 174 de 2013).</w:t>
      </w:r>
    </w:p>
  </w:footnote>
  <w:footnote w:id="10">
    <w:p w:rsidR="004D310F" w:rsidRPr="002A6C1E" w:rsidRDefault="004D310F" w:rsidP="002A6C1E">
      <w:pPr>
        <w:pStyle w:val="Textonotapie"/>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lang w:val="es-CO"/>
        </w:rPr>
        <w:t xml:space="preserve"> Dependiendo de la forma de regulación, las estrategias de las empresas cambian. Por ejemplo, en las de costo del servicio no hay incentivos para la minimización de costos y el regulador debe contar con muy buena información periódica para hacer el control. En las de precio techo hay un incentivo de minimización de costos y producción eficiente durante el período para el que se fija la tarifa y el esfuerzo de análisis de información sólo ocurre al momento de fijación de las tarifas.</w:t>
      </w:r>
    </w:p>
  </w:footnote>
  <w:footnote w:id="11">
    <w:p w:rsidR="004D310F" w:rsidRPr="002A6C1E" w:rsidRDefault="004D310F" w:rsidP="002A6C1E">
      <w:pPr>
        <w:pStyle w:val="Textonotapie"/>
        <w:spacing w:line="240" w:lineRule="auto"/>
        <w:rPr>
          <w:rFonts w:ascii="Bookman Old Style" w:hAnsi="Bookman Old Style"/>
          <w:sz w:val="18"/>
          <w:szCs w:val="18"/>
          <w:lang w:val="es-CO"/>
        </w:rPr>
      </w:pPr>
      <w:r w:rsidRPr="002A6C1E">
        <w:rPr>
          <w:rStyle w:val="Refdenotaalpie"/>
          <w:rFonts w:ascii="Bookman Old Style" w:hAnsi="Bookman Old Style" w:cs="Arial"/>
          <w:sz w:val="18"/>
          <w:szCs w:val="18"/>
        </w:rPr>
        <w:footnoteRef/>
      </w:r>
      <w:r w:rsidRPr="002A6C1E">
        <w:rPr>
          <w:rFonts w:ascii="Bookman Old Style" w:hAnsi="Bookman Old Style" w:cs="Arial"/>
          <w:sz w:val="18"/>
          <w:szCs w:val="18"/>
          <w:lang w:val="es-CO"/>
        </w:rPr>
        <w:t xml:space="preserve"> Con costo medio de mediano plazo o con costo medio con corte transversal.</w:t>
      </w:r>
    </w:p>
  </w:footnote>
  <w:footnote w:id="12">
    <w:p w:rsidR="004D310F" w:rsidRPr="002A6C1E" w:rsidRDefault="004D310F" w:rsidP="002A6C1E">
      <w:pPr>
        <w:pStyle w:val="Textonotapie"/>
        <w:keepLines/>
        <w:spacing w:line="240" w:lineRule="auto"/>
        <w:rPr>
          <w:rFonts w:ascii="Bookman Old Style" w:hAnsi="Bookman Old Style"/>
          <w:sz w:val="18"/>
          <w:szCs w:val="18"/>
          <w:lang w:val="en-US"/>
        </w:rPr>
      </w:pPr>
      <w:r w:rsidRPr="002A6C1E">
        <w:rPr>
          <w:rStyle w:val="Refdenotaalpie"/>
          <w:rFonts w:ascii="Bookman Old Style" w:hAnsi="Bookman Old Style"/>
          <w:sz w:val="18"/>
          <w:szCs w:val="18"/>
        </w:rPr>
        <w:footnoteRef/>
      </w:r>
      <w:r w:rsidRPr="002A6C1E">
        <w:rPr>
          <w:rFonts w:ascii="Bookman Old Style" w:hAnsi="Bookman Old Style"/>
          <w:sz w:val="18"/>
          <w:szCs w:val="18"/>
          <w:lang w:val="en-US"/>
        </w:rPr>
        <w:t xml:space="preserve"> </w:t>
      </w:r>
      <w:proofErr w:type="gramStart"/>
      <w:r w:rsidRPr="002A6C1E">
        <w:rPr>
          <w:rFonts w:ascii="Bookman Old Style" w:hAnsi="Bookman Old Style"/>
          <w:sz w:val="18"/>
          <w:szCs w:val="18"/>
          <w:lang w:val="en-US"/>
        </w:rPr>
        <w:t>Vogelsang, Ingo, Optimal price regulation for natural and legal monopolies, Paper prepared for CIDE seminar on structural reform and regulation in the energy sector.</w:t>
      </w:r>
      <w:proofErr w:type="gramEnd"/>
    </w:p>
  </w:footnote>
  <w:footnote w:id="13">
    <w:p w:rsidR="004D310F" w:rsidRPr="002A6C1E" w:rsidRDefault="004D310F" w:rsidP="002A6C1E">
      <w:pPr>
        <w:pStyle w:val="Textonotapie"/>
        <w:keepLines/>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w:t>
      </w:r>
      <w:r w:rsidRPr="002A6C1E">
        <w:rPr>
          <w:rFonts w:ascii="Bookman Old Style" w:hAnsi="Bookman Old Style"/>
          <w:sz w:val="18"/>
          <w:szCs w:val="18"/>
          <w:lang w:val="es-CO"/>
        </w:rPr>
        <w:t>Equilibrio de segundo mejor.</w:t>
      </w:r>
    </w:p>
  </w:footnote>
  <w:footnote w:id="14">
    <w:p w:rsidR="004D310F" w:rsidRPr="002A6C1E" w:rsidRDefault="004D310F" w:rsidP="002A6C1E">
      <w:pPr>
        <w:pStyle w:val="Textonotapie"/>
        <w:spacing w:line="240" w:lineRule="auto"/>
        <w:rPr>
          <w:rFonts w:ascii="Bookman Old Style" w:hAnsi="Bookman Old Style"/>
          <w:sz w:val="18"/>
          <w:szCs w:val="18"/>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En otras palabras, hay un menú cargos para remunerar la inversión.</w:t>
      </w:r>
    </w:p>
  </w:footnote>
  <w:footnote w:id="15">
    <w:p w:rsidR="004D310F" w:rsidRPr="002A6C1E" w:rsidRDefault="004D310F" w:rsidP="002A6C1E">
      <w:pPr>
        <w:pStyle w:val="Textonotapie"/>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Style w:val="Refdenotaalpie"/>
          <w:rFonts w:ascii="Bookman Old Style" w:hAnsi="Bookman Old Style"/>
          <w:sz w:val="18"/>
          <w:szCs w:val="18"/>
        </w:rPr>
        <w:t xml:space="preserve"> </w:t>
      </w:r>
      <w:r w:rsidRPr="002A6C1E">
        <w:rPr>
          <w:rFonts w:ascii="Bookman Old Style" w:hAnsi="Bookman Old Style"/>
          <w:sz w:val="18"/>
          <w:szCs w:val="18"/>
          <w:lang w:val="es-CO"/>
        </w:rPr>
        <w:t xml:space="preserve">El </w:t>
      </w:r>
      <w:r w:rsidRPr="002A6C1E">
        <w:rPr>
          <w:rFonts w:ascii="Bookman Old Style" w:hAnsi="Bookman Old Style"/>
          <w:i/>
          <w:sz w:val="18"/>
          <w:szCs w:val="18"/>
          <w:lang w:val="es-CO"/>
        </w:rPr>
        <w:t>open season</w:t>
      </w:r>
      <w:r w:rsidRPr="002A6C1E">
        <w:rPr>
          <w:rFonts w:ascii="Bookman Old Style" w:hAnsi="Bookman Old Style"/>
          <w:sz w:val="18"/>
          <w:szCs w:val="18"/>
          <w:lang w:val="es-CO"/>
        </w:rPr>
        <w:t xml:space="preserve"> es un proceso en el que el interesado en desarrollar un proyecto establece términos y parámetros técnicos del proyecto e invita a los potenciales usuarios a que presenten sus propuestas para contratar capacidad de transporte de ese proyecto. El propósito de este proceso es asegurar que todos los interesados conocen los términos del nuevo proyecto y determinar que hay suficiente interés por parte de</w:t>
      </w:r>
      <w:r w:rsidRPr="002A6C1E">
        <w:rPr>
          <w:rFonts w:ascii="Bookman Old Style" w:hAnsi="Bookman Old Style"/>
          <w:sz w:val="18"/>
          <w:szCs w:val="18"/>
        </w:rPr>
        <w:t xml:space="preserve"> </w:t>
      </w:r>
      <w:r w:rsidRPr="002A6C1E">
        <w:rPr>
          <w:rFonts w:ascii="Bookman Old Style" w:hAnsi="Bookman Old Style"/>
          <w:sz w:val="18"/>
          <w:szCs w:val="18"/>
          <w:lang w:val="es-CO"/>
        </w:rPr>
        <w:t>la demanda de tal manera que se pueda continuar con el proyecto. Para mayor ilustración ver: www.gasline.alaska.gov/Newsroom/Presentations.</w:t>
      </w:r>
    </w:p>
  </w:footnote>
  <w:footnote w:id="16">
    <w:p w:rsidR="004D310F" w:rsidRPr="002A6C1E" w:rsidRDefault="004D310F" w:rsidP="002A6C1E">
      <w:pPr>
        <w:pStyle w:val="Textonotapie"/>
        <w:keepLines/>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Variable </w:t>
      </w:r>
      <m:oMath>
        <m:sSub>
          <m:sSubPr>
            <m:ctrlPr>
              <w:rPr>
                <w:rFonts w:ascii="Cambria Math" w:hAnsi="Cambria Math"/>
                <w:i/>
                <w:sz w:val="18"/>
                <w:szCs w:val="18"/>
              </w:rPr>
            </m:ctrlPr>
          </m:sSubPr>
          <m:e>
            <m:r>
              <w:rPr>
                <w:rFonts w:ascii="Cambria Math" w:hAnsi="Cambria Math"/>
                <w:sz w:val="18"/>
                <w:szCs w:val="18"/>
              </w:rPr>
              <m:t>IE</m:t>
            </m:r>
          </m:e>
          <m:sub>
            <m:r>
              <w:rPr>
                <w:rFonts w:ascii="Cambria Math" w:hAnsi="Cambria Math"/>
                <w:sz w:val="18"/>
                <w:szCs w:val="18"/>
              </w:rPr>
              <m:t>t</m:t>
            </m:r>
          </m:sub>
        </m:sSub>
      </m:oMath>
      <w:r w:rsidRPr="002A6C1E">
        <w:rPr>
          <w:rFonts w:ascii="Bookman Old Style" w:hAnsi="Bookman Old Style"/>
          <w:sz w:val="18"/>
          <w:szCs w:val="18"/>
        </w:rPr>
        <w:t xml:space="preserve"> en la Resolución CREG 126 de 2010.</w:t>
      </w:r>
    </w:p>
  </w:footnote>
  <w:footnote w:id="17">
    <w:p w:rsidR="004D310F" w:rsidRPr="002A6C1E" w:rsidRDefault="004D310F" w:rsidP="002A6C1E">
      <w:pPr>
        <w:pStyle w:val="Textonotapie"/>
        <w:keepLines/>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Variable </w:t>
      </w:r>
      <m:oMath>
        <m:sSub>
          <m:sSubPr>
            <m:ctrlPr>
              <w:rPr>
                <w:rFonts w:ascii="Cambria Math" w:hAnsi="Cambria Math"/>
                <w:i/>
                <w:sz w:val="18"/>
                <w:szCs w:val="18"/>
              </w:rPr>
            </m:ctrlPr>
          </m:sSubPr>
          <m:e>
            <m:r>
              <w:rPr>
                <w:rFonts w:ascii="Cambria Math" w:hAnsi="Cambria Math"/>
                <w:sz w:val="18"/>
                <w:szCs w:val="18"/>
              </w:rPr>
              <m:t>PNI</m:t>
            </m:r>
          </m:e>
          <m:sub>
            <m:r>
              <w:rPr>
                <w:rFonts w:ascii="Cambria Math" w:hAnsi="Cambria Math"/>
                <w:sz w:val="18"/>
                <w:szCs w:val="18"/>
              </w:rPr>
              <m:t>t</m:t>
            </m:r>
          </m:sub>
        </m:sSub>
      </m:oMath>
      <w:r w:rsidRPr="002A6C1E">
        <w:rPr>
          <w:rFonts w:ascii="Bookman Old Style" w:hAnsi="Bookman Old Style"/>
          <w:sz w:val="18"/>
          <w:szCs w:val="18"/>
        </w:rPr>
        <w:t xml:space="preserve"> en la Resolución CREG 126 de 2010.</w:t>
      </w:r>
    </w:p>
  </w:footnote>
  <w:footnote w:id="18">
    <w:p w:rsidR="004D310F" w:rsidRPr="002A6C1E" w:rsidRDefault="004D310F" w:rsidP="002A6C1E">
      <w:pPr>
        <w:pStyle w:val="Textonotapie"/>
        <w:keepLines/>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Variable </w:t>
      </w:r>
      <m:oMath>
        <m:sSub>
          <m:sSubPr>
            <m:ctrlPr>
              <w:rPr>
                <w:rFonts w:ascii="Cambria Math" w:hAnsi="Cambria Math"/>
                <w:i/>
                <w:sz w:val="18"/>
                <w:szCs w:val="18"/>
              </w:rPr>
            </m:ctrlPr>
          </m:sSubPr>
          <m:e>
            <m:r>
              <w:rPr>
                <w:rFonts w:ascii="Cambria Math" w:hAnsi="Cambria Math"/>
                <w:sz w:val="18"/>
                <w:szCs w:val="18"/>
              </w:rPr>
              <m:t>IAC</m:t>
            </m:r>
          </m:e>
          <m:sub>
            <m:r>
              <w:rPr>
                <w:rFonts w:ascii="Cambria Math" w:hAnsi="Cambria Math"/>
                <w:sz w:val="18"/>
                <w:szCs w:val="18"/>
              </w:rPr>
              <m:t>t</m:t>
            </m:r>
          </m:sub>
        </m:sSub>
      </m:oMath>
      <w:r w:rsidRPr="002A6C1E">
        <w:rPr>
          <w:rFonts w:ascii="Bookman Old Style" w:hAnsi="Bookman Old Style"/>
          <w:sz w:val="18"/>
          <w:szCs w:val="18"/>
        </w:rPr>
        <w:t xml:space="preserve"> en la Resolución CREG 126 de 2010.</w:t>
      </w:r>
    </w:p>
  </w:footnote>
  <w:footnote w:id="19">
    <w:p w:rsidR="004D310F" w:rsidRPr="002A6C1E" w:rsidRDefault="004D310F" w:rsidP="002A6C1E">
      <w:pPr>
        <w:pStyle w:val="Textonotapie"/>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w:t>
      </w:r>
      <w:r w:rsidRPr="002A6C1E">
        <w:rPr>
          <w:rFonts w:ascii="Bookman Old Style" w:hAnsi="Bookman Old Style"/>
          <w:sz w:val="18"/>
          <w:szCs w:val="18"/>
          <w:lang w:val="es-CO"/>
        </w:rPr>
        <w:t>La valoración de las inversiones incluye todos los costos eficientes en los que incurre el agente para instalar, poner en operación y retirar de la operación un activo (costos de abandono). Así, para el caso de gasoductos se reconoce un valor global que se expresa en dólares por metro por pulgada de gasoducto instalado (i.e. USD/m-pulg.), y para el caso de las estaciones de compresión se reconoce un valor global que se expresa en dólares por unidad de potencia instalada (i.e. USD/HP).</w:t>
      </w:r>
    </w:p>
  </w:footnote>
  <w:footnote w:id="20">
    <w:p w:rsidR="004D310F" w:rsidRPr="002A6C1E" w:rsidRDefault="004D310F" w:rsidP="002A6C1E">
      <w:pPr>
        <w:pStyle w:val="Textonotapie"/>
        <w:keepLines/>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Variable </w:t>
      </w:r>
      <m:oMath>
        <m:sSub>
          <m:sSubPr>
            <m:ctrlPr>
              <w:rPr>
                <w:rFonts w:ascii="Cambria Math" w:hAnsi="Cambria Math"/>
                <w:i/>
                <w:sz w:val="18"/>
                <w:szCs w:val="18"/>
              </w:rPr>
            </m:ctrlPr>
          </m:sSubPr>
          <m:e>
            <m:r>
              <w:rPr>
                <w:rFonts w:ascii="Cambria Math" w:hAnsi="Cambria Math"/>
                <w:sz w:val="18"/>
                <w:szCs w:val="18"/>
              </w:rPr>
              <m:t>AOM</m:t>
            </m:r>
          </m:e>
          <m:sub>
            <m:r>
              <w:rPr>
                <w:rFonts w:ascii="Cambria Math" w:hAnsi="Cambria Math"/>
                <w:sz w:val="18"/>
                <w:szCs w:val="18"/>
              </w:rPr>
              <m:t>t</m:t>
            </m:r>
          </m:sub>
        </m:sSub>
      </m:oMath>
      <w:r w:rsidRPr="002A6C1E">
        <w:rPr>
          <w:rFonts w:ascii="Bookman Old Style" w:hAnsi="Bookman Old Style"/>
          <w:sz w:val="18"/>
          <w:szCs w:val="18"/>
        </w:rPr>
        <w:t xml:space="preserve"> en la Resolución CREG 126 de 2010.</w:t>
      </w:r>
    </w:p>
  </w:footnote>
  <w:footnote w:id="21">
    <w:p w:rsidR="004D310F" w:rsidRPr="002A6C1E" w:rsidRDefault="004D310F" w:rsidP="002A6C1E">
      <w:pPr>
        <w:pStyle w:val="Textonotapie"/>
        <w:keepLines/>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Variable </w:t>
      </w:r>
      <m:oMath>
        <m:sSubSup>
          <m:sSubSupPr>
            <m:ctrlPr>
              <w:rPr>
                <w:rFonts w:ascii="Cambria Math" w:hAnsi="Cambria Math"/>
                <w:i/>
                <w:sz w:val="18"/>
                <w:szCs w:val="18"/>
              </w:rPr>
            </m:ctrlPr>
          </m:sSubSupPr>
          <m:e>
            <m:r>
              <w:rPr>
                <w:rFonts w:ascii="Cambria Math" w:hAnsi="Cambria Math"/>
                <w:sz w:val="18"/>
                <w:szCs w:val="18"/>
              </w:rPr>
              <m:t>AOM</m:t>
            </m:r>
          </m:e>
          <m:sub>
            <m:r>
              <w:rPr>
                <w:rFonts w:ascii="Cambria Math" w:hAnsi="Cambria Math"/>
                <w:sz w:val="18"/>
                <w:szCs w:val="18"/>
              </w:rPr>
              <m:t>t</m:t>
            </m:r>
          </m:sub>
          <m:sup>
            <m:r>
              <w:rPr>
                <w:rFonts w:ascii="Cambria Math" w:hAnsi="Cambria Math"/>
                <w:sz w:val="18"/>
                <w:szCs w:val="18"/>
              </w:rPr>
              <m:t>PNI</m:t>
            </m:r>
          </m:sup>
        </m:sSubSup>
      </m:oMath>
      <w:r w:rsidRPr="002A6C1E">
        <w:rPr>
          <w:rFonts w:ascii="Bookman Old Style" w:hAnsi="Bookman Old Style"/>
          <w:sz w:val="18"/>
          <w:szCs w:val="18"/>
        </w:rPr>
        <w:t xml:space="preserve"> en la Resolución CREG 126 de 2010.</w:t>
      </w:r>
    </w:p>
  </w:footnote>
  <w:footnote w:id="22">
    <w:p w:rsidR="004D310F" w:rsidRPr="002A6C1E" w:rsidRDefault="004D310F" w:rsidP="002A6C1E">
      <w:pPr>
        <w:pStyle w:val="Textonotapie"/>
        <w:keepLines/>
        <w:spacing w:line="240" w:lineRule="auto"/>
        <w:rPr>
          <w:rFonts w:ascii="Bookman Old Style" w:hAnsi="Bookman Old Style"/>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Variable </w:t>
      </w:r>
      <m:oMath>
        <m:sSubSup>
          <m:sSubSupPr>
            <m:ctrlPr>
              <w:rPr>
                <w:rFonts w:ascii="Cambria Math" w:hAnsi="Cambria Math"/>
                <w:i/>
                <w:sz w:val="18"/>
                <w:szCs w:val="18"/>
              </w:rPr>
            </m:ctrlPr>
          </m:sSubSupPr>
          <m:e>
            <m:r>
              <w:rPr>
                <w:rFonts w:ascii="Cambria Math" w:hAnsi="Cambria Math"/>
                <w:sz w:val="18"/>
                <w:szCs w:val="18"/>
              </w:rPr>
              <m:t>AOM</m:t>
            </m:r>
          </m:e>
          <m:sub>
            <m:r>
              <w:rPr>
                <w:rFonts w:ascii="Cambria Math" w:hAnsi="Cambria Math"/>
                <w:sz w:val="18"/>
                <w:szCs w:val="18"/>
              </w:rPr>
              <m:t>t</m:t>
            </m:r>
          </m:sub>
          <m:sup>
            <m:r>
              <w:rPr>
                <w:rFonts w:ascii="Cambria Math" w:hAnsi="Cambria Math"/>
                <w:sz w:val="18"/>
                <w:szCs w:val="18"/>
              </w:rPr>
              <m:t>IAC</m:t>
            </m:r>
          </m:sup>
        </m:sSubSup>
      </m:oMath>
      <w:r w:rsidRPr="002A6C1E">
        <w:rPr>
          <w:rFonts w:ascii="Bookman Old Style" w:hAnsi="Bookman Old Style"/>
          <w:sz w:val="18"/>
          <w:szCs w:val="18"/>
        </w:rPr>
        <w:t xml:space="preserve"> en la Resolución CREG 126 de 2010.</w:t>
      </w:r>
    </w:p>
  </w:footnote>
  <w:footnote w:id="23">
    <w:p w:rsidR="004D310F" w:rsidRPr="002A6C1E" w:rsidRDefault="004D310F" w:rsidP="002A6C1E">
      <w:pPr>
        <w:pStyle w:val="Textonotapie"/>
        <w:spacing w:line="240" w:lineRule="auto"/>
        <w:rPr>
          <w:rFonts w:ascii="Bookman Old Style" w:hAnsi="Bookman Old Style"/>
          <w:sz w:val="18"/>
          <w:szCs w:val="18"/>
          <w:lang w:val="es-CO"/>
        </w:rPr>
      </w:pPr>
      <w:r w:rsidRPr="002A6C1E">
        <w:rPr>
          <w:rStyle w:val="Refdenotaalpie"/>
          <w:rFonts w:ascii="Bookman Old Style" w:hAnsi="Bookman Old Style"/>
          <w:sz w:val="18"/>
          <w:szCs w:val="18"/>
        </w:rPr>
        <w:footnoteRef/>
      </w:r>
      <w:r w:rsidRPr="002A6C1E">
        <w:rPr>
          <w:rFonts w:ascii="Bookman Old Style" w:hAnsi="Bookman Old Style"/>
          <w:sz w:val="18"/>
          <w:szCs w:val="18"/>
        </w:rPr>
        <w:t xml:space="preserve"> </w:t>
      </w:r>
      <w:r w:rsidRPr="002A6C1E">
        <w:rPr>
          <w:rFonts w:ascii="Bookman Old Style" w:hAnsi="Bookman Old Style"/>
          <w:sz w:val="18"/>
          <w:szCs w:val="18"/>
          <w:lang w:val="es-CO"/>
        </w:rPr>
        <w:t xml:space="preserve">Esto porque a diferencia de </w:t>
      </w:r>
      <w:r w:rsidRPr="002A6C1E">
        <w:rPr>
          <w:rFonts w:ascii="Bookman Old Style" w:hAnsi="Bookman Old Style"/>
          <w:color w:val="000000"/>
          <w:sz w:val="18"/>
          <w:szCs w:val="18"/>
        </w:rPr>
        <w:t>los cargos fijos y variables que remuneran los costos de inversión, los cuales según la regulación son cargos máximos</w:t>
      </w:r>
      <w:r w:rsidRPr="002A6C1E">
        <w:rPr>
          <w:rFonts w:ascii="Bookman Old Style" w:hAnsi="Bookman Old Style"/>
          <w:sz w:val="18"/>
          <w:szCs w:val="18"/>
          <w:lang w:val="es-CO"/>
        </w:rPr>
        <w:t>, los cargos que remuneran los gastos de AOM son fijos.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10F" w:rsidRDefault="004D310F" w:rsidP="00951F79">
    <w:pPr>
      <w:pStyle w:val="Ttulo1"/>
      <w:ind w:right="6"/>
      <w:jc w:val="left"/>
      <w:rPr>
        <w:rFonts w:ascii="Bookman Old Style" w:hAnsi="Bookman Old Style" w:cs="Arial"/>
        <w:b w:val="0"/>
        <w:sz w:val="22"/>
        <w:szCs w:val="22"/>
      </w:rPr>
    </w:pPr>
  </w:p>
  <w:p w:rsidR="004D310F" w:rsidRPr="00951F79" w:rsidRDefault="004D310F"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8369ED">
      <w:rPr>
        <w:rFonts w:ascii="Bookman Old Style" w:hAnsi="Bookman Old Style" w:cs="Arial"/>
        <w:b w:val="0"/>
        <w:noProof/>
        <w:sz w:val="22"/>
        <w:szCs w:val="22"/>
      </w:rPr>
      <w:t>25</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8369ED" w:rsidRPr="008369ED">
        <w:rPr>
          <w:rFonts w:ascii="Bookman Old Style" w:hAnsi="Bookman Old Style" w:cs="Arial"/>
          <w:b w:val="0"/>
          <w:noProof/>
          <w:sz w:val="22"/>
          <w:szCs w:val="22"/>
        </w:rPr>
        <w:t>25</w:t>
      </w:r>
    </w:fldSimple>
  </w:p>
  <w:p w:rsidR="004D310F" w:rsidRDefault="004D310F"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09A185BB" wp14:editId="14940C83">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4D310F" w:rsidRPr="00AE1D61" w:rsidRDefault="004D310F" w:rsidP="00351D27">
    <w:pPr>
      <w:pBdr>
        <w:bottom w:val="single" w:sz="4" w:space="1" w:color="auto"/>
      </w:pBdr>
      <w:ind w:left="142" w:right="148"/>
      <w:jc w:val="both"/>
      <w:rPr>
        <w:rFonts w:ascii="Bookman Old Style" w:hAnsi="Bookman Old Style"/>
        <w:color w:val="000000"/>
        <w:sz w:val="22"/>
        <w:szCs w:val="22"/>
        <w:lang w:eastAsia="es-CO"/>
      </w:rPr>
    </w:pPr>
    <w:r w:rsidRPr="00FC182F">
      <w:rPr>
        <w:rFonts w:ascii="Bookman Old Style" w:hAnsi="Bookman Old Style"/>
        <w:iCs/>
        <w:sz w:val="22"/>
        <w:szCs w:val="22"/>
      </w:rPr>
      <w:t xml:space="preserve">Por la cual se pone en conocimiento de las empresas prestadoras del servicio de gas natural, los usuarios y demás interesados las bases sobre las cuales se efectuará el estudio para determinar la metodología y el esquema general de cargos para remunerar la actividad de transporte de gas natural en el siguiente </w:t>
    </w:r>
    <w:r>
      <w:rPr>
        <w:rFonts w:ascii="Bookman Old Style" w:hAnsi="Bookman Old Style"/>
        <w:iCs/>
        <w:sz w:val="22"/>
        <w:szCs w:val="22"/>
      </w:rPr>
      <w:t>período</w:t>
    </w:r>
    <w:r w:rsidRPr="00FC182F">
      <w:rPr>
        <w:rFonts w:ascii="Bookman Old Style" w:hAnsi="Bookman Old Style"/>
        <w:iCs/>
        <w:sz w:val="22"/>
        <w:szCs w:val="22"/>
      </w:rPr>
      <w:t xml:space="preserve"> tarifario</w:t>
    </w:r>
    <w:r>
      <w:rPr>
        <w:rFonts w:ascii="Bookman Old Style" w:hAnsi="Bookman Old Style"/>
        <w:iCs/>
        <w:sz w:val="22"/>
        <w:szCs w:val="22"/>
      </w:rPr>
      <w:t>.</w:t>
    </w:r>
  </w:p>
  <w:p w:rsidR="004D310F" w:rsidRPr="00AE1D61" w:rsidRDefault="004D310F" w:rsidP="00AE1D61">
    <w:pPr>
      <w:pBdr>
        <w:bottom w:val="single" w:sz="4" w:space="1" w:color="auto"/>
      </w:pBdr>
      <w:ind w:left="142" w:right="148"/>
      <w:jc w:val="both"/>
      <w:rPr>
        <w:rFonts w:ascii="Bookman Old Style" w:hAnsi="Bookman Old Style"/>
        <w:color w:val="000000"/>
        <w:sz w:val="22"/>
        <w:szCs w:val="22"/>
        <w:lang w:eastAsia="es-CO"/>
      </w:rPr>
    </w:pPr>
  </w:p>
  <w:p w:rsidR="004D310F" w:rsidRPr="00351D27" w:rsidRDefault="004D310F" w:rsidP="00B821E2">
    <w:pPr>
      <w:pStyle w:val="Textodebloque"/>
      <w:spacing w:after="0"/>
      <w:ind w:left="0" w:right="0"/>
      <w:rPr>
        <w:rFonts w:ascii="Bookman Old Style" w:hAnsi="Bookman Old Style" w:cs="Arial"/>
        <w:sz w:val="22"/>
        <w:szCs w:val="2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310F" w:rsidRDefault="004D310F"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4D310F" w:rsidRDefault="004D310F">
    <w:pPr>
      <w:pStyle w:val="Encabezado"/>
      <w:jc w:val="center"/>
      <w:rPr>
        <w:rFonts w:ascii="Arial" w:hAnsi="Arial" w:cs="Arial"/>
        <w:spacing w:val="20"/>
        <w:sz w:val="20"/>
      </w:rPr>
    </w:pPr>
  </w:p>
  <w:p w:rsidR="004D310F" w:rsidRDefault="004D310F"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1C13D7D8" wp14:editId="404C44D9">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9C5E4272"/>
    <w:lvl w:ilvl="0">
      <w:start w:val="1"/>
      <w:numFmt w:val="bullet"/>
      <w:pStyle w:val="Listaconvietas3"/>
      <w:lvlText w:val=""/>
      <w:lvlJc w:val="left"/>
      <w:pPr>
        <w:tabs>
          <w:tab w:val="num" w:pos="926"/>
        </w:tabs>
        <w:ind w:left="926" w:hanging="360"/>
      </w:pPr>
      <w:rPr>
        <w:rFonts w:ascii="Symbol" w:hAnsi="Symbol" w:hint="default"/>
      </w:rPr>
    </w:lvl>
  </w:abstractNum>
  <w:abstractNum w:abstractNumId="1">
    <w:nsid w:val="FFFFFF83"/>
    <w:multiLevelType w:val="singleLevel"/>
    <w:tmpl w:val="9AE496A4"/>
    <w:lvl w:ilvl="0">
      <w:start w:val="1"/>
      <w:numFmt w:val="bullet"/>
      <w:pStyle w:val="Listaconvietas2"/>
      <w:lvlText w:val=""/>
      <w:lvlJc w:val="left"/>
      <w:pPr>
        <w:tabs>
          <w:tab w:val="num" w:pos="643"/>
        </w:tabs>
        <w:ind w:left="643" w:hanging="360"/>
      </w:pPr>
      <w:rPr>
        <w:rFonts w:ascii="Symbol" w:hAnsi="Symbol" w:hint="default"/>
      </w:rPr>
    </w:lvl>
  </w:abstractNum>
  <w:abstractNum w:abstractNumId="2">
    <w:nsid w:val="FFFFFF89"/>
    <w:multiLevelType w:val="singleLevel"/>
    <w:tmpl w:val="B3D0C11C"/>
    <w:lvl w:ilvl="0">
      <w:start w:val="1"/>
      <w:numFmt w:val="bullet"/>
      <w:pStyle w:val="Listaconvietas"/>
      <w:lvlText w:val=""/>
      <w:lvlJc w:val="left"/>
      <w:pPr>
        <w:tabs>
          <w:tab w:val="num" w:pos="360"/>
        </w:tabs>
        <w:ind w:left="360" w:hanging="360"/>
      </w:pPr>
      <w:rPr>
        <w:rFonts w:ascii="Symbol" w:hAnsi="Symbol" w:hint="default"/>
      </w:rPr>
    </w:lvl>
  </w:abstractNum>
  <w:abstractNum w:abstractNumId="3">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4">
    <w:nsid w:val="00C074EA"/>
    <w:multiLevelType w:val="hybridMultilevel"/>
    <w:tmpl w:val="7F125DF0"/>
    <w:lvl w:ilvl="0" w:tplc="0AA26E28">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nsid w:val="01F42902"/>
    <w:multiLevelType w:val="hybridMultilevel"/>
    <w:tmpl w:val="230497A4"/>
    <w:lvl w:ilvl="0" w:tplc="BC56A70C">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0387702C"/>
    <w:multiLevelType w:val="hybridMultilevel"/>
    <w:tmpl w:val="5E3EEAC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9">
    <w:nsid w:val="0D4D6A75"/>
    <w:multiLevelType w:val="singleLevel"/>
    <w:tmpl w:val="5248FDE8"/>
    <w:lvl w:ilvl="0">
      <w:start w:val="1"/>
      <w:numFmt w:val="lowerLetter"/>
      <w:lvlText w:val="%1)"/>
      <w:lvlJc w:val="left"/>
      <w:pPr>
        <w:tabs>
          <w:tab w:val="num" w:pos="454"/>
        </w:tabs>
        <w:ind w:left="454" w:hanging="454"/>
      </w:pPr>
      <w:rPr>
        <w:rFonts w:hint="default"/>
      </w:rPr>
    </w:lvl>
  </w:abstractNum>
  <w:abstractNum w:abstractNumId="10">
    <w:nsid w:val="0DD8419B"/>
    <w:multiLevelType w:val="multilevel"/>
    <w:tmpl w:val="1CB80DDE"/>
    <w:lvl w:ilvl="0">
      <w:start w:val="1"/>
      <w:numFmt w:val="decimal"/>
      <w:lvlText w:val="Artículo %1."/>
      <w:lvlJc w:val="right"/>
      <w:pPr>
        <w:tabs>
          <w:tab w:val="num" w:pos="247"/>
        </w:tabs>
        <w:ind w:left="-1474" w:firstLine="1474"/>
      </w:pPr>
      <w:rPr>
        <w:rFonts w:ascii="Bookman Old Style" w:hAnsi="Bookman Old Style" w:cs="Arial" w:hint="default"/>
        <w:b/>
        <w:i w:val="0"/>
        <w:color w:val="auto"/>
        <w:sz w:val="24"/>
        <w:szCs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1">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0E306D10"/>
    <w:multiLevelType w:val="hybridMultilevel"/>
    <w:tmpl w:val="19B208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nsid w:val="1721731F"/>
    <w:multiLevelType w:val="multilevel"/>
    <w:tmpl w:val="5D249020"/>
    <w:lvl w:ilvl="0">
      <w:start w:val="4"/>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4">
    <w:nsid w:val="1C5239DE"/>
    <w:multiLevelType w:val="singleLevel"/>
    <w:tmpl w:val="D63C64F8"/>
    <w:lvl w:ilvl="0">
      <w:start w:val="1"/>
      <w:numFmt w:val="lowerLetter"/>
      <w:lvlText w:val="%1)"/>
      <w:legacy w:legacy="1" w:legacySpace="0" w:legacyIndent="283"/>
      <w:lvlJc w:val="left"/>
      <w:pPr>
        <w:ind w:left="283" w:hanging="283"/>
      </w:pPr>
    </w:lvl>
  </w:abstractNum>
  <w:abstractNum w:abstractNumId="15">
    <w:nsid w:val="1E38742B"/>
    <w:multiLevelType w:val="hybridMultilevel"/>
    <w:tmpl w:val="D792B462"/>
    <w:lvl w:ilvl="0" w:tplc="66E26CB0">
      <w:start w:val="1"/>
      <w:numFmt w:val="lowerRoman"/>
      <w:lvlText w:val="%1."/>
      <w:lvlJc w:val="left"/>
      <w:pPr>
        <w:ind w:left="1080" w:hanging="72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6">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275F1892"/>
    <w:multiLevelType w:val="hybridMultilevel"/>
    <w:tmpl w:val="84F2C11A"/>
    <w:lvl w:ilvl="0" w:tplc="240A000F">
      <w:start w:val="1"/>
      <w:numFmt w:val="decimal"/>
      <w:lvlText w:val="%1."/>
      <w:lvlJc w:val="left"/>
      <w:pPr>
        <w:ind w:left="795" w:hanging="360"/>
      </w:pPr>
    </w:lvl>
    <w:lvl w:ilvl="1" w:tplc="240A0019" w:tentative="1">
      <w:start w:val="1"/>
      <w:numFmt w:val="lowerLetter"/>
      <w:lvlText w:val="%2."/>
      <w:lvlJc w:val="left"/>
      <w:pPr>
        <w:ind w:left="1515" w:hanging="360"/>
      </w:pPr>
    </w:lvl>
    <w:lvl w:ilvl="2" w:tplc="240A001B" w:tentative="1">
      <w:start w:val="1"/>
      <w:numFmt w:val="lowerRoman"/>
      <w:lvlText w:val="%3."/>
      <w:lvlJc w:val="right"/>
      <w:pPr>
        <w:ind w:left="2235" w:hanging="180"/>
      </w:pPr>
    </w:lvl>
    <w:lvl w:ilvl="3" w:tplc="240A000F" w:tentative="1">
      <w:start w:val="1"/>
      <w:numFmt w:val="decimal"/>
      <w:lvlText w:val="%4."/>
      <w:lvlJc w:val="left"/>
      <w:pPr>
        <w:ind w:left="2955" w:hanging="360"/>
      </w:pPr>
    </w:lvl>
    <w:lvl w:ilvl="4" w:tplc="240A0019" w:tentative="1">
      <w:start w:val="1"/>
      <w:numFmt w:val="lowerLetter"/>
      <w:lvlText w:val="%5."/>
      <w:lvlJc w:val="left"/>
      <w:pPr>
        <w:ind w:left="3675" w:hanging="360"/>
      </w:pPr>
    </w:lvl>
    <w:lvl w:ilvl="5" w:tplc="240A001B" w:tentative="1">
      <w:start w:val="1"/>
      <w:numFmt w:val="lowerRoman"/>
      <w:lvlText w:val="%6."/>
      <w:lvlJc w:val="right"/>
      <w:pPr>
        <w:ind w:left="4395" w:hanging="180"/>
      </w:pPr>
    </w:lvl>
    <w:lvl w:ilvl="6" w:tplc="240A000F" w:tentative="1">
      <w:start w:val="1"/>
      <w:numFmt w:val="decimal"/>
      <w:lvlText w:val="%7."/>
      <w:lvlJc w:val="left"/>
      <w:pPr>
        <w:ind w:left="5115" w:hanging="360"/>
      </w:pPr>
    </w:lvl>
    <w:lvl w:ilvl="7" w:tplc="240A0019" w:tentative="1">
      <w:start w:val="1"/>
      <w:numFmt w:val="lowerLetter"/>
      <w:lvlText w:val="%8."/>
      <w:lvlJc w:val="left"/>
      <w:pPr>
        <w:ind w:left="5835" w:hanging="360"/>
      </w:pPr>
    </w:lvl>
    <w:lvl w:ilvl="8" w:tplc="240A001B" w:tentative="1">
      <w:start w:val="1"/>
      <w:numFmt w:val="lowerRoman"/>
      <w:lvlText w:val="%9."/>
      <w:lvlJc w:val="right"/>
      <w:pPr>
        <w:ind w:left="6555" w:hanging="180"/>
      </w:pPr>
    </w:lvl>
  </w:abstractNum>
  <w:abstractNum w:abstractNumId="18">
    <w:nsid w:val="295B3FCD"/>
    <w:multiLevelType w:val="hybridMultilevel"/>
    <w:tmpl w:val="A7E6C138"/>
    <w:lvl w:ilvl="0" w:tplc="E8C43A1C">
      <w:start w:val="1"/>
      <w:numFmt w:val="decimal"/>
      <w:lvlText w:val="%1."/>
      <w:lvlJc w:val="left"/>
      <w:pPr>
        <w:ind w:left="750" w:hanging="39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nsid w:val="2E966278"/>
    <w:multiLevelType w:val="hybridMultilevel"/>
    <w:tmpl w:val="EFAC1AD4"/>
    <w:lvl w:ilvl="0" w:tplc="179AC396">
      <w:start w:val="1"/>
      <w:numFmt w:val="lowerLetter"/>
      <w:lvlText w:val="%1)"/>
      <w:lvlJc w:val="left"/>
      <w:pPr>
        <w:ind w:left="644" w:hanging="360"/>
      </w:pPr>
      <w:rPr>
        <w:rFonts w:hint="default"/>
      </w:rPr>
    </w:lvl>
    <w:lvl w:ilvl="1" w:tplc="240A0019" w:tentative="1">
      <w:start w:val="1"/>
      <w:numFmt w:val="lowerLetter"/>
      <w:lvlText w:val="%2."/>
      <w:lvlJc w:val="left"/>
      <w:pPr>
        <w:ind w:left="1364" w:hanging="360"/>
      </w:pPr>
    </w:lvl>
    <w:lvl w:ilvl="2" w:tplc="240A001B" w:tentative="1">
      <w:start w:val="1"/>
      <w:numFmt w:val="lowerRoman"/>
      <w:lvlText w:val="%3."/>
      <w:lvlJc w:val="right"/>
      <w:pPr>
        <w:ind w:left="2084" w:hanging="180"/>
      </w:pPr>
    </w:lvl>
    <w:lvl w:ilvl="3" w:tplc="240A000F" w:tentative="1">
      <w:start w:val="1"/>
      <w:numFmt w:val="decimal"/>
      <w:lvlText w:val="%4."/>
      <w:lvlJc w:val="left"/>
      <w:pPr>
        <w:ind w:left="2804" w:hanging="360"/>
      </w:pPr>
    </w:lvl>
    <w:lvl w:ilvl="4" w:tplc="240A0019" w:tentative="1">
      <w:start w:val="1"/>
      <w:numFmt w:val="lowerLetter"/>
      <w:lvlText w:val="%5."/>
      <w:lvlJc w:val="left"/>
      <w:pPr>
        <w:ind w:left="3524" w:hanging="360"/>
      </w:pPr>
    </w:lvl>
    <w:lvl w:ilvl="5" w:tplc="240A001B" w:tentative="1">
      <w:start w:val="1"/>
      <w:numFmt w:val="lowerRoman"/>
      <w:lvlText w:val="%6."/>
      <w:lvlJc w:val="right"/>
      <w:pPr>
        <w:ind w:left="4244" w:hanging="180"/>
      </w:pPr>
    </w:lvl>
    <w:lvl w:ilvl="6" w:tplc="240A000F" w:tentative="1">
      <w:start w:val="1"/>
      <w:numFmt w:val="decimal"/>
      <w:lvlText w:val="%7."/>
      <w:lvlJc w:val="left"/>
      <w:pPr>
        <w:ind w:left="4964" w:hanging="360"/>
      </w:pPr>
    </w:lvl>
    <w:lvl w:ilvl="7" w:tplc="240A0019" w:tentative="1">
      <w:start w:val="1"/>
      <w:numFmt w:val="lowerLetter"/>
      <w:lvlText w:val="%8."/>
      <w:lvlJc w:val="left"/>
      <w:pPr>
        <w:ind w:left="5684" w:hanging="360"/>
      </w:pPr>
    </w:lvl>
    <w:lvl w:ilvl="8" w:tplc="240A001B" w:tentative="1">
      <w:start w:val="1"/>
      <w:numFmt w:val="lowerRoman"/>
      <w:lvlText w:val="%9."/>
      <w:lvlJc w:val="right"/>
      <w:pPr>
        <w:ind w:left="6404" w:hanging="180"/>
      </w:pPr>
    </w:lvl>
  </w:abstractNum>
  <w:abstractNum w:abstractNumId="2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75D24F5"/>
    <w:multiLevelType w:val="hybridMultilevel"/>
    <w:tmpl w:val="ADEE25E4"/>
    <w:lvl w:ilvl="0" w:tplc="4CA00A3A">
      <w:start w:val="1"/>
      <w:numFmt w:val="lowerRoman"/>
      <w:lvlText w:val="%1)"/>
      <w:lvlJc w:val="left"/>
      <w:pPr>
        <w:ind w:left="5540" w:hanging="720"/>
      </w:pPr>
      <w:rPr>
        <w:rFonts w:hint="default"/>
      </w:rPr>
    </w:lvl>
    <w:lvl w:ilvl="1" w:tplc="240A0019" w:tentative="1">
      <w:start w:val="1"/>
      <w:numFmt w:val="lowerLetter"/>
      <w:lvlText w:val="%2."/>
      <w:lvlJc w:val="left"/>
      <w:pPr>
        <w:ind w:left="5900" w:hanging="360"/>
      </w:pPr>
    </w:lvl>
    <w:lvl w:ilvl="2" w:tplc="240A001B" w:tentative="1">
      <w:start w:val="1"/>
      <w:numFmt w:val="lowerRoman"/>
      <w:lvlText w:val="%3."/>
      <w:lvlJc w:val="right"/>
      <w:pPr>
        <w:ind w:left="6620" w:hanging="180"/>
      </w:pPr>
    </w:lvl>
    <w:lvl w:ilvl="3" w:tplc="240A000F" w:tentative="1">
      <w:start w:val="1"/>
      <w:numFmt w:val="decimal"/>
      <w:lvlText w:val="%4."/>
      <w:lvlJc w:val="left"/>
      <w:pPr>
        <w:ind w:left="7340" w:hanging="360"/>
      </w:pPr>
    </w:lvl>
    <w:lvl w:ilvl="4" w:tplc="240A0019" w:tentative="1">
      <w:start w:val="1"/>
      <w:numFmt w:val="lowerLetter"/>
      <w:lvlText w:val="%5."/>
      <w:lvlJc w:val="left"/>
      <w:pPr>
        <w:ind w:left="8060" w:hanging="360"/>
      </w:pPr>
    </w:lvl>
    <w:lvl w:ilvl="5" w:tplc="240A001B" w:tentative="1">
      <w:start w:val="1"/>
      <w:numFmt w:val="lowerRoman"/>
      <w:lvlText w:val="%6."/>
      <w:lvlJc w:val="right"/>
      <w:pPr>
        <w:ind w:left="8780" w:hanging="180"/>
      </w:pPr>
    </w:lvl>
    <w:lvl w:ilvl="6" w:tplc="240A000F" w:tentative="1">
      <w:start w:val="1"/>
      <w:numFmt w:val="decimal"/>
      <w:lvlText w:val="%7."/>
      <w:lvlJc w:val="left"/>
      <w:pPr>
        <w:ind w:left="9500" w:hanging="360"/>
      </w:pPr>
    </w:lvl>
    <w:lvl w:ilvl="7" w:tplc="240A0019" w:tentative="1">
      <w:start w:val="1"/>
      <w:numFmt w:val="lowerLetter"/>
      <w:lvlText w:val="%8."/>
      <w:lvlJc w:val="left"/>
      <w:pPr>
        <w:ind w:left="10220" w:hanging="360"/>
      </w:pPr>
    </w:lvl>
    <w:lvl w:ilvl="8" w:tplc="240A001B" w:tentative="1">
      <w:start w:val="1"/>
      <w:numFmt w:val="lowerRoman"/>
      <w:lvlText w:val="%9."/>
      <w:lvlJc w:val="right"/>
      <w:pPr>
        <w:ind w:left="10940" w:hanging="180"/>
      </w:pPr>
    </w:lvl>
  </w:abstractNum>
  <w:abstractNum w:abstractNumId="22">
    <w:nsid w:val="381B29B6"/>
    <w:multiLevelType w:val="hybridMultilevel"/>
    <w:tmpl w:val="CF5C7A5C"/>
    <w:lvl w:ilvl="0" w:tplc="0C0A0005">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3">
    <w:nsid w:val="39F24526"/>
    <w:multiLevelType w:val="hybridMultilevel"/>
    <w:tmpl w:val="D5687B92"/>
    <w:lvl w:ilvl="0" w:tplc="240A0017">
      <w:start w:val="1"/>
      <w:numFmt w:val="lowerLetter"/>
      <w:lvlText w:val="%1)"/>
      <w:lvlJc w:val="left"/>
      <w:pPr>
        <w:ind w:left="644"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nsid w:val="3AB02A27"/>
    <w:multiLevelType w:val="hybridMultilevel"/>
    <w:tmpl w:val="C5140330"/>
    <w:lvl w:ilvl="0" w:tplc="28F8165E">
      <w:start w:val="1"/>
      <w:numFmt w:val="lowerLetter"/>
      <w:lvlText w:val="%1)"/>
      <w:lvlJc w:val="left"/>
      <w:pPr>
        <w:ind w:left="1065"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nsid w:val="3CFB1DA2"/>
    <w:multiLevelType w:val="hybridMultilevel"/>
    <w:tmpl w:val="B7C21FE8"/>
    <w:lvl w:ilvl="0" w:tplc="6C209ABC">
      <w:start w:val="1"/>
      <w:numFmt w:val="bullet"/>
      <w:lvlText w:val=""/>
      <w:lvlJc w:val="left"/>
      <w:pPr>
        <w:tabs>
          <w:tab w:val="num" w:pos="360"/>
        </w:tabs>
        <w:ind w:left="360" w:hanging="360"/>
      </w:pPr>
      <w:rPr>
        <w:rFonts w:ascii="Symbol" w:hAnsi="Symbol" w:hint="default"/>
      </w:rPr>
    </w:lvl>
    <w:lvl w:ilvl="1" w:tplc="080A0003" w:tentative="1">
      <w:start w:val="1"/>
      <w:numFmt w:val="bullet"/>
      <w:lvlText w:val="o"/>
      <w:lvlJc w:val="left"/>
      <w:pPr>
        <w:tabs>
          <w:tab w:val="num" w:pos="1440"/>
        </w:tabs>
        <w:ind w:left="1440" w:hanging="360"/>
      </w:pPr>
      <w:rPr>
        <w:rFonts w:ascii="Courier New" w:hAnsi="Courier New" w:cs="Courier New" w:hint="default"/>
      </w:rPr>
    </w:lvl>
    <w:lvl w:ilvl="2" w:tplc="080A0005" w:tentative="1">
      <w:start w:val="1"/>
      <w:numFmt w:val="bullet"/>
      <w:lvlText w:val=""/>
      <w:lvlJc w:val="left"/>
      <w:pPr>
        <w:tabs>
          <w:tab w:val="num" w:pos="2160"/>
        </w:tabs>
        <w:ind w:left="2160" w:hanging="360"/>
      </w:pPr>
      <w:rPr>
        <w:rFonts w:ascii="Wingdings" w:hAnsi="Wingdings" w:hint="default"/>
      </w:rPr>
    </w:lvl>
    <w:lvl w:ilvl="3" w:tplc="080A0001" w:tentative="1">
      <w:start w:val="1"/>
      <w:numFmt w:val="bullet"/>
      <w:lvlText w:val=""/>
      <w:lvlJc w:val="left"/>
      <w:pPr>
        <w:tabs>
          <w:tab w:val="num" w:pos="2880"/>
        </w:tabs>
        <w:ind w:left="2880" w:hanging="360"/>
      </w:pPr>
      <w:rPr>
        <w:rFonts w:ascii="Symbol" w:hAnsi="Symbol" w:hint="default"/>
      </w:rPr>
    </w:lvl>
    <w:lvl w:ilvl="4" w:tplc="080A0003" w:tentative="1">
      <w:start w:val="1"/>
      <w:numFmt w:val="bullet"/>
      <w:lvlText w:val="o"/>
      <w:lvlJc w:val="left"/>
      <w:pPr>
        <w:tabs>
          <w:tab w:val="num" w:pos="3600"/>
        </w:tabs>
        <w:ind w:left="3600" w:hanging="360"/>
      </w:pPr>
      <w:rPr>
        <w:rFonts w:ascii="Courier New" w:hAnsi="Courier New" w:cs="Courier New" w:hint="default"/>
      </w:rPr>
    </w:lvl>
    <w:lvl w:ilvl="5" w:tplc="080A0005" w:tentative="1">
      <w:start w:val="1"/>
      <w:numFmt w:val="bullet"/>
      <w:lvlText w:val=""/>
      <w:lvlJc w:val="left"/>
      <w:pPr>
        <w:tabs>
          <w:tab w:val="num" w:pos="4320"/>
        </w:tabs>
        <w:ind w:left="4320" w:hanging="360"/>
      </w:pPr>
      <w:rPr>
        <w:rFonts w:ascii="Wingdings" w:hAnsi="Wingdings" w:hint="default"/>
      </w:rPr>
    </w:lvl>
    <w:lvl w:ilvl="6" w:tplc="080A0001" w:tentative="1">
      <w:start w:val="1"/>
      <w:numFmt w:val="bullet"/>
      <w:lvlText w:val=""/>
      <w:lvlJc w:val="left"/>
      <w:pPr>
        <w:tabs>
          <w:tab w:val="num" w:pos="5040"/>
        </w:tabs>
        <w:ind w:left="5040" w:hanging="360"/>
      </w:pPr>
      <w:rPr>
        <w:rFonts w:ascii="Symbol" w:hAnsi="Symbol" w:hint="default"/>
      </w:rPr>
    </w:lvl>
    <w:lvl w:ilvl="7" w:tplc="080A0003" w:tentative="1">
      <w:start w:val="1"/>
      <w:numFmt w:val="bullet"/>
      <w:lvlText w:val="o"/>
      <w:lvlJc w:val="left"/>
      <w:pPr>
        <w:tabs>
          <w:tab w:val="num" w:pos="5760"/>
        </w:tabs>
        <w:ind w:left="5760" w:hanging="360"/>
      </w:pPr>
      <w:rPr>
        <w:rFonts w:ascii="Courier New" w:hAnsi="Courier New" w:cs="Courier New" w:hint="default"/>
      </w:rPr>
    </w:lvl>
    <w:lvl w:ilvl="8" w:tplc="080A0005" w:tentative="1">
      <w:start w:val="1"/>
      <w:numFmt w:val="bullet"/>
      <w:lvlText w:val=""/>
      <w:lvlJc w:val="left"/>
      <w:pPr>
        <w:tabs>
          <w:tab w:val="num" w:pos="6480"/>
        </w:tabs>
        <w:ind w:left="6480" w:hanging="360"/>
      </w:pPr>
      <w:rPr>
        <w:rFonts w:ascii="Wingdings" w:hAnsi="Wingdings" w:hint="default"/>
      </w:rPr>
    </w:lvl>
  </w:abstractNum>
  <w:abstractNum w:abstractNumId="26">
    <w:nsid w:val="3DFD52C8"/>
    <w:multiLevelType w:val="hybridMultilevel"/>
    <w:tmpl w:val="B930F2F0"/>
    <w:lvl w:ilvl="0" w:tplc="0C0A000D">
      <w:start w:val="1"/>
      <w:numFmt w:val="bullet"/>
      <w:lvlText w:val=""/>
      <w:lvlJc w:val="left"/>
      <w:pPr>
        <w:tabs>
          <w:tab w:val="num" w:pos="430"/>
        </w:tabs>
        <w:ind w:left="43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7">
    <w:nsid w:val="41FC3336"/>
    <w:multiLevelType w:val="hybridMultilevel"/>
    <w:tmpl w:val="CFD0142E"/>
    <w:lvl w:ilvl="0" w:tplc="6C209ABC">
      <w:start w:val="1"/>
      <w:numFmt w:val="bullet"/>
      <w:lvlText w:val=""/>
      <w:lvlJc w:val="left"/>
      <w:pPr>
        <w:tabs>
          <w:tab w:val="num" w:pos="360"/>
        </w:tabs>
        <w:ind w:left="360" w:hanging="360"/>
      </w:pPr>
      <w:rPr>
        <w:rFonts w:ascii="Symbol" w:hAnsi="Symbol" w:hint="default"/>
      </w:rPr>
    </w:lvl>
    <w:lvl w:ilvl="1" w:tplc="080A0003" w:tentative="1">
      <w:start w:val="1"/>
      <w:numFmt w:val="bullet"/>
      <w:lvlText w:val="o"/>
      <w:lvlJc w:val="left"/>
      <w:pPr>
        <w:tabs>
          <w:tab w:val="num" w:pos="1440"/>
        </w:tabs>
        <w:ind w:left="1440" w:hanging="360"/>
      </w:pPr>
      <w:rPr>
        <w:rFonts w:ascii="Courier New" w:hAnsi="Courier New" w:cs="Courier New" w:hint="default"/>
      </w:rPr>
    </w:lvl>
    <w:lvl w:ilvl="2" w:tplc="080A0005" w:tentative="1">
      <w:start w:val="1"/>
      <w:numFmt w:val="bullet"/>
      <w:lvlText w:val=""/>
      <w:lvlJc w:val="left"/>
      <w:pPr>
        <w:tabs>
          <w:tab w:val="num" w:pos="2160"/>
        </w:tabs>
        <w:ind w:left="2160" w:hanging="360"/>
      </w:pPr>
      <w:rPr>
        <w:rFonts w:ascii="Wingdings" w:hAnsi="Wingdings" w:hint="default"/>
      </w:rPr>
    </w:lvl>
    <w:lvl w:ilvl="3" w:tplc="080A0001" w:tentative="1">
      <w:start w:val="1"/>
      <w:numFmt w:val="bullet"/>
      <w:lvlText w:val=""/>
      <w:lvlJc w:val="left"/>
      <w:pPr>
        <w:tabs>
          <w:tab w:val="num" w:pos="2880"/>
        </w:tabs>
        <w:ind w:left="2880" w:hanging="360"/>
      </w:pPr>
      <w:rPr>
        <w:rFonts w:ascii="Symbol" w:hAnsi="Symbol" w:hint="default"/>
      </w:rPr>
    </w:lvl>
    <w:lvl w:ilvl="4" w:tplc="080A0003" w:tentative="1">
      <w:start w:val="1"/>
      <w:numFmt w:val="bullet"/>
      <w:lvlText w:val="o"/>
      <w:lvlJc w:val="left"/>
      <w:pPr>
        <w:tabs>
          <w:tab w:val="num" w:pos="3600"/>
        </w:tabs>
        <w:ind w:left="3600" w:hanging="360"/>
      </w:pPr>
      <w:rPr>
        <w:rFonts w:ascii="Courier New" w:hAnsi="Courier New" w:cs="Courier New" w:hint="default"/>
      </w:rPr>
    </w:lvl>
    <w:lvl w:ilvl="5" w:tplc="080A0005" w:tentative="1">
      <w:start w:val="1"/>
      <w:numFmt w:val="bullet"/>
      <w:lvlText w:val=""/>
      <w:lvlJc w:val="left"/>
      <w:pPr>
        <w:tabs>
          <w:tab w:val="num" w:pos="4320"/>
        </w:tabs>
        <w:ind w:left="4320" w:hanging="360"/>
      </w:pPr>
      <w:rPr>
        <w:rFonts w:ascii="Wingdings" w:hAnsi="Wingdings" w:hint="default"/>
      </w:rPr>
    </w:lvl>
    <w:lvl w:ilvl="6" w:tplc="080A0001" w:tentative="1">
      <w:start w:val="1"/>
      <w:numFmt w:val="bullet"/>
      <w:lvlText w:val=""/>
      <w:lvlJc w:val="left"/>
      <w:pPr>
        <w:tabs>
          <w:tab w:val="num" w:pos="5040"/>
        </w:tabs>
        <w:ind w:left="5040" w:hanging="360"/>
      </w:pPr>
      <w:rPr>
        <w:rFonts w:ascii="Symbol" w:hAnsi="Symbol" w:hint="default"/>
      </w:rPr>
    </w:lvl>
    <w:lvl w:ilvl="7" w:tplc="080A0003" w:tentative="1">
      <w:start w:val="1"/>
      <w:numFmt w:val="bullet"/>
      <w:lvlText w:val="o"/>
      <w:lvlJc w:val="left"/>
      <w:pPr>
        <w:tabs>
          <w:tab w:val="num" w:pos="5760"/>
        </w:tabs>
        <w:ind w:left="5760" w:hanging="360"/>
      </w:pPr>
      <w:rPr>
        <w:rFonts w:ascii="Courier New" w:hAnsi="Courier New" w:cs="Courier New" w:hint="default"/>
      </w:rPr>
    </w:lvl>
    <w:lvl w:ilvl="8" w:tplc="080A0005" w:tentative="1">
      <w:start w:val="1"/>
      <w:numFmt w:val="bullet"/>
      <w:lvlText w:val=""/>
      <w:lvlJc w:val="left"/>
      <w:pPr>
        <w:tabs>
          <w:tab w:val="num" w:pos="6480"/>
        </w:tabs>
        <w:ind w:left="6480" w:hanging="360"/>
      </w:pPr>
      <w:rPr>
        <w:rFonts w:ascii="Wingdings" w:hAnsi="Wingdings" w:hint="default"/>
      </w:rPr>
    </w:lvl>
  </w:abstractNum>
  <w:abstractNum w:abstractNumId="28">
    <w:nsid w:val="44971F5B"/>
    <w:multiLevelType w:val="multilevel"/>
    <w:tmpl w:val="E10AE614"/>
    <w:lvl w:ilvl="0">
      <w:start w:val="4"/>
      <w:numFmt w:val="decimal"/>
      <w:lvlText w:val="%1."/>
      <w:lvlJc w:val="left"/>
      <w:pPr>
        <w:ind w:left="795" w:hanging="360"/>
      </w:pPr>
      <w:rPr>
        <w:rFonts w:hint="default"/>
      </w:rPr>
    </w:lvl>
    <w:lvl w:ilvl="1">
      <w:start w:val="4"/>
      <w:numFmt w:val="decimal"/>
      <w:isLgl/>
      <w:lvlText w:val="%1.%2"/>
      <w:lvlJc w:val="left"/>
      <w:pPr>
        <w:ind w:left="1750" w:hanging="825"/>
      </w:pPr>
      <w:rPr>
        <w:rFonts w:hint="default"/>
      </w:rPr>
    </w:lvl>
    <w:lvl w:ilvl="2">
      <w:start w:val="3"/>
      <w:numFmt w:val="decimal"/>
      <w:isLgl/>
      <w:lvlText w:val="%1.%2.%3"/>
      <w:lvlJc w:val="left"/>
      <w:pPr>
        <w:ind w:left="2240" w:hanging="825"/>
      </w:pPr>
      <w:rPr>
        <w:rFonts w:hint="default"/>
      </w:rPr>
    </w:lvl>
    <w:lvl w:ilvl="3">
      <w:start w:val="1"/>
      <w:numFmt w:val="decimal"/>
      <w:isLgl/>
      <w:lvlText w:val="%1.%2.%3.%4"/>
      <w:lvlJc w:val="left"/>
      <w:pPr>
        <w:ind w:left="2985" w:hanging="1080"/>
      </w:pPr>
      <w:rPr>
        <w:rFonts w:hint="default"/>
      </w:rPr>
    </w:lvl>
    <w:lvl w:ilvl="4">
      <w:start w:val="1"/>
      <w:numFmt w:val="decimal"/>
      <w:isLgl/>
      <w:lvlText w:val="%1.%2.%3.%4.%5"/>
      <w:lvlJc w:val="left"/>
      <w:pPr>
        <w:ind w:left="3475" w:hanging="1080"/>
      </w:pPr>
      <w:rPr>
        <w:rFonts w:hint="default"/>
      </w:rPr>
    </w:lvl>
    <w:lvl w:ilvl="5">
      <w:start w:val="1"/>
      <w:numFmt w:val="decimal"/>
      <w:isLgl/>
      <w:lvlText w:val="%1.%2.%3.%4.%5.%6"/>
      <w:lvlJc w:val="left"/>
      <w:pPr>
        <w:ind w:left="4325" w:hanging="1440"/>
      </w:pPr>
      <w:rPr>
        <w:rFonts w:hint="default"/>
      </w:rPr>
    </w:lvl>
    <w:lvl w:ilvl="6">
      <w:start w:val="1"/>
      <w:numFmt w:val="decimal"/>
      <w:isLgl/>
      <w:lvlText w:val="%1.%2.%3.%4.%5.%6.%7"/>
      <w:lvlJc w:val="left"/>
      <w:pPr>
        <w:ind w:left="5175" w:hanging="1800"/>
      </w:pPr>
      <w:rPr>
        <w:rFonts w:hint="default"/>
      </w:rPr>
    </w:lvl>
    <w:lvl w:ilvl="7">
      <w:start w:val="1"/>
      <w:numFmt w:val="decimal"/>
      <w:isLgl/>
      <w:lvlText w:val="%1.%2.%3.%4.%5.%6.%7.%8"/>
      <w:lvlJc w:val="left"/>
      <w:pPr>
        <w:ind w:left="5665" w:hanging="1800"/>
      </w:pPr>
      <w:rPr>
        <w:rFonts w:hint="default"/>
      </w:rPr>
    </w:lvl>
    <w:lvl w:ilvl="8">
      <w:start w:val="1"/>
      <w:numFmt w:val="decimal"/>
      <w:isLgl/>
      <w:lvlText w:val="%1.%2.%3.%4.%5.%6.%7.%8.%9"/>
      <w:lvlJc w:val="left"/>
      <w:pPr>
        <w:ind w:left="6515" w:hanging="2160"/>
      </w:pPr>
      <w:rPr>
        <w:rFonts w:hint="default"/>
      </w:rPr>
    </w:lvl>
  </w:abstractNum>
  <w:abstractNum w:abstractNumId="29">
    <w:nsid w:val="468C2FAF"/>
    <w:multiLevelType w:val="hybridMultilevel"/>
    <w:tmpl w:val="84927A02"/>
    <w:lvl w:ilvl="0" w:tplc="0C0A0001">
      <w:start w:val="1"/>
      <w:numFmt w:val="bullet"/>
      <w:lvlText w:val=""/>
      <w:lvlJc w:val="left"/>
      <w:pPr>
        <w:ind w:left="1288" w:hanging="360"/>
      </w:pPr>
      <w:rPr>
        <w:rFonts w:ascii="Symbol" w:hAnsi="Symbol" w:hint="default"/>
      </w:rPr>
    </w:lvl>
    <w:lvl w:ilvl="1" w:tplc="0C0A0003">
      <w:start w:val="1"/>
      <w:numFmt w:val="bullet"/>
      <w:lvlText w:val="o"/>
      <w:lvlJc w:val="left"/>
      <w:pPr>
        <w:ind w:left="2008" w:hanging="360"/>
      </w:pPr>
      <w:rPr>
        <w:rFonts w:ascii="Courier New" w:hAnsi="Courier New" w:cs="Courier New" w:hint="default"/>
      </w:rPr>
    </w:lvl>
    <w:lvl w:ilvl="2" w:tplc="0C0A0005" w:tentative="1">
      <w:start w:val="1"/>
      <w:numFmt w:val="bullet"/>
      <w:lvlText w:val=""/>
      <w:lvlJc w:val="left"/>
      <w:pPr>
        <w:ind w:left="2728" w:hanging="360"/>
      </w:pPr>
      <w:rPr>
        <w:rFonts w:ascii="Wingdings" w:hAnsi="Wingdings" w:hint="default"/>
      </w:rPr>
    </w:lvl>
    <w:lvl w:ilvl="3" w:tplc="0C0A0001" w:tentative="1">
      <w:start w:val="1"/>
      <w:numFmt w:val="bullet"/>
      <w:lvlText w:val=""/>
      <w:lvlJc w:val="left"/>
      <w:pPr>
        <w:ind w:left="3448" w:hanging="360"/>
      </w:pPr>
      <w:rPr>
        <w:rFonts w:ascii="Symbol" w:hAnsi="Symbol" w:hint="default"/>
      </w:rPr>
    </w:lvl>
    <w:lvl w:ilvl="4" w:tplc="0C0A0003" w:tentative="1">
      <w:start w:val="1"/>
      <w:numFmt w:val="bullet"/>
      <w:lvlText w:val="o"/>
      <w:lvlJc w:val="left"/>
      <w:pPr>
        <w:ind w:left="4168" w:hanging="360"/>
      </w:pPr>
      <w:rPr>
        <w:rFonts w:ascii="Courier New" w:hAnsi="Courier New" w:cs="Courier New" w:hint="default"/>
      </w:rPr>
    </w:lvl>
    <w:lvl w:ilvl="5" w:tplc="0C0A0005" w:tentative="1">
      <w:start w:val="1"/>
      <w:numFmt w:val="bullet"/>
      <w:lvlText w:val=""/>
      <w:lvlJc w:val="left"/>
      <w:pPr>
        <w:ind w:left="4888" w:hanging="360"/>
      </w:pPr>
      <w:rPr>
        <w:rFonts w:ascii="Wingdings" w:hAnsi="Wingdings" w:hint="default"/>
      </w:rPr>
    </w:lvl>
    <w:lvl w:ilvl="6" w:tplc="0C0A0001" w:tentative="1">
      <w:start w:val="1"/>
      <w:numFmt w:val="bullet"/>
      <w:lvlText w:val=""/>
      <w:lvlJc w:val="left"/>
      <w:pPr>
        <w:ind w:left="5608" w:hanging="360"/>
      </w:pPr>
      <w:rPr>
        <w:rFonts w:ascii="Symbol" w:hAnsi="Symbol" w:hint="default"/>
      </w:rPr>
    </w:lvl>
    <w:lvl w:ilvl="7" w:tplc="0C0A0003" w:tentative="1">
      <w:start w:val="1"/>
      <w:numFmt w:val="bullet"/>
      <w:lvlText w:val="o"/>
      <w:lvlJc w:val="left"/>
      <w:pPr>
        <w:ind w:left="6328" w:hanging="360"/>
      </w:pPr>
      <w:rPr>
        <w:rFonts w:ascii="Courier New" w:hAnsi="Courier New" w:cs="Courier New" w:hint="default"/>
      </w:rPr>
    </w:lvl>
    <w:lvl w:ilvl="8" w:tplc="0C0A0005" w:tentative="1">
      <w:start w:val="1"/>
      <w:numFmt w:val="bullet"/>
      <w:lvlText w:val=""/>
      <w:lvlJc w:val="left"/>
      <w:pPr>
        <w:ind w:left="7048" w:hanging="360"/>
      </w:pPr>
      <w:rPr>
        <w:rFonts w:ascii="Wingdings" w:hAnsi="Wingdings" w:hint="default"/>
      </w:rPr>
    </w:lvl>
  </w:abstractNum>
  <w:abstractNum w:abstractNumId="3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31">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4E57178C"/>
    <w:multiLevelType w:val="hybridMultilevel"/>
    <w:tmpl w:val="642A13D0"/>
    <w:lvl w:ilvl="0" w:tplc="A5B6AF62">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3">
    <w:nsid w:val="56A416AD"/>
    <w:multiLevelType w:val="hybridMultilevel"/>
    <w:tmpl w:val="B728F65C"/>
    <w:lvl w:ilvl="0" w:tplc="340A0001">
      <w:start w:val="1"/>
      <w:numFmt w:val="bullet"/>
      <w:lvlText w:val=""/>
      <w:lvlJc w:val="left"/>
      <w:pPr>
        <w:ind w:left="2062" w:hanging="360"/>
      </w:pPr>
      <w:rPr>
        <w:rFonts w:ascii="Symbol" w:hAnsi="Symbol" w:hint="default"/>
      </w:rPr>
    </w:lvl>
    <w:lvl w:ilvl="1" w:tplc="340A0003" w:tentative="1">
      <w:start w:val="1"/>
      <w:numFmt w:val="bullet"/>
      <w:lvlText w:val="o"/>
      <w:lvlJc w:val="left"/>
      <w:pPr>
        <w:ind w:left="2782" w:hanging="360"/>
      </w:pPr>
      <w:rPr>
        <w:rFonts w:ascii="Courier New" w:hAnsi="Courier New" w:cs="Courier New" w:hint="default"/>
      </w:rPr>
    </w:lvl>
    <w:lvl w:ilvl="2" w:tplc="340A0005" w:tentative="1">
      <w:start w:val="1"/>
      <w:numFmt w:val="bullet"/>
      <w:lvlText w:val=""/>
      <w:lvlJc w:val="left"/>
      <w:pPr>
        <w:ind w:left="3502" w:hanging="360"/>
      </w:pPr>
      <w:rPr>
        <w:rFonts w:ascii="Wingdings" w:hAnsi="Wingdings" w:hint="default"/>
      </w:rPr>
    </w:lvl>
    <w:lvl w:ilvl="3" w:tplc="340A0001" w:tentative="1">
      <w:start w:val="1"/>
      <w:numFmt w:val="bullet"/>
      <w:lvlText w:val=""/>
      <w:lvlJc w:val="left"/>
      <w:pPr>
        <w:ind w:left="4222" w:hanging="360"/>
      </w:pPr>
      <w:rPr>
        <w:rFonts w:ascii="Symbol" w:hAnsi="Symbol" w:hint="default"/>
      </w:rPr>
    </w:lvl>
    <w:lvl w:ilvl="4" w:tplc="340A0003" w:tentative="1">
      <w:start w:val="1"/>
      <w:numFmt w:val="bullet"/>
      <w:lvlText w:val="o"/>
      <w:lvlJc w:val="left"/>
      <w:pPr>
        <w:ind w:left="4942" w:hanging="360"/>
      </w:pPr>
      <w:rPr>
        <w:rFonts w:ascii="Courier New" w:hAnsi="Courier New" w:cs="Courier New" w:hint="default"/>
      </w:rPr>
    </w:lvl>
    <w:lvl w:ilvl="5" w:tplc="340A0005" w:tentative="1">
      <w:start w:val="1"/>
      <w:numFmt w:val="bullet"/>
      <w:lvlText w:val=""/>
      <w:lvlJc w:val="left"/>
      <w:pPr>
        <w:ind w:left="5662" w:hanging="360"/>
      </w:pPr>
      <w:rPr>
        <w:rFonts w:ascii="Wingdings" w:hAnsi="Wingdings" w:hint="default"/>
      </w:rPr>
    </w:lvl>
    <w:lvl w:ilvl="6" w:tplc="340A0001" w:tentative="1">
      <w:start w:val="1"/>
      <w:numFmt w:val="bullet"/>
      <w:lvlText w:val=""/>
      <w:lvlJc w:val="left"/>
      <w:pPr>
        <w:ind w:left="6382" w:hanging="360"/>
      </w:pPr>
      <w:rPr>
        <w:rFonts w:ascii="Symbol" w:hAnsi="Symbol" w:hint="default"/>
      </w:rPr>
    </w:lvl>
    <w:lvl w:ilvl="7" w:tplc="340A0003" w:tentative="1">
      <w:start w:val="1"/>
      <w:numFmt w:val="bullet"/>
      <w:lvlText w:val="o"/>
      <w:lvlJc w:val="left"/>
      <w:pPr>
        <w:ind w:left="7102" w:hanging="360"/>
      </w:pPr>
      <w:rPr>
        <w:rFonts w:ascii="Courier New" w:hAnsi="Courier New" w:cs="Courier New" w:hint="default"/>
      </w:rPr>
    </w:lvl>
    <w:lvl w:ilvl="8" w:tplc="340A0005" w:tentative="1">
      <w:start w:val="1"/>
      <w:numFmt w:val="bullet"/>
      <w:lvlText w:val=""/>
      <w:lvlJc w:val="left"/>
      <w:pPr>
        <w:ind w:left="7822" w:hanging="360"/>
      </w:pPr>
      <w:rPr>
        <w:rFonts w:ascii="Wingdings" w:hAnsi="Wingdings" w:hint="default"/>
      </w:rPr>
    </w:lvl>
  </w:abstractNum>
  <w:abstractNum w:abstractNumId="34">
    <w:nsid w:val="59F255C8"/>
    <w:multiLevelType w:val="hybridMultilevel"/>
    <w:tmpl w:val="36F6F89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nsid w:val="5A2E56CB"/>
    <w:multiLevelType w:val="hybridMultilevel"/>
    <w:tmpl w:val="D49A9064"/>
    <w:lvl w:ilvl="0" w:tplc="6C209ABC">
      <w:start w:val="1"/>
      <w:numFmt w:val="bullet"/>
      <w:lvlText w:val=""/>
      <w:lvlJc w:val="left"/>
      <w:pPr>
        <w:tabs>
          <w:tab w:val="num" w:pos="360"/>
        </w:tabs>
        <w:ind w:left="360" w:hanging="360"/>
      </w:pPr>
      <w:rPr>
        <w:rFonts w:ascii="Symbol" w:hAnsi="Symbol" w:hint="default"/>
      </w:rPr>
    </w:lvl>
    <w:lvl w:ilvl="1" w:tplc="080A0003" w:tentative="1">
      <w:start w:val="1"/>
      <w:numFmt w:val="bullet"/>
      <w:lvlText w:val="o"/>
      <w:lvlJc w:val="left"/>
      <w:pPr>
        <w:tabs>
          <w:tab w:val="num" w:pos="1440"/>
        </w:tabs>
        <w:ind w:left="1440" w:hanging="360"/>
      </w:pPr>
      <w:rPr>
        <w:rFonts w:ascii="Courier New" w:hAnsi="Courier New" w:cs="Courier New" w:hint="default"/>
      </w:rPr>
    </w:lvl>
    <w:lvl w:ilvl="2" w:tplc="080A0005" w:tentative="1">
      <w:start w:val="1"/>
      <w:numFmt w:val="bullet"/>
      <w:lvlText w:val=""/>
      <w:lvlJc w:val="left"/>
      <w:pPr>
        <w:tabs>
          <w:tab w:val="num" w:pos="2160"/>
        </w:tabs>
        <w:ind w:left="2160" w:hanging="360"/>
      </w:pPr>
      <w:rPr>
        <w:rFonts w:ascii="Wingdings" w:hAnsi="Wingdings" w:hint="default"/>
      </w:rPr>
    </w:lvl>
    <w:lvl w:ilvl="3" w:tplc="080A0001" w:tentative="1">
      <w:start w:val="1"/>
      <w:numFmt w:val="bullet"/>
      <w:lvlText w:val=""/>
      <w:lvlJc w:val="left"/>
      <w:pPr>
        <w:tabs>
          <w:tab w:val="num" w:pos="2880"/>
        </w:tabs>
        <w:ind w:left="2880" w:hanging="360"/>
      </w:pPr>
      <w:rPr>
        <w:rFonts w:ascii="Symbol" w:hAnsi="Symbol" w:hint="default"/>
      </w:rPr>
    </w:lvl>
    <w:lvl w:ilvl="4" w:tplc="080A0003" w:tentative="1">
      <w:start w:val="1"/>
      <w:numFmt w:val="bullet"/>
      <w:lvlText w:val="o"/>
      <w:lvlJc w:val="left"/>
      <w:pPr>
        <w:tabs>
          <w:tab w:val="num" w:pos="3600"/>
        </w:tabs>
        <w:ind w:left="3600" w:hanging="360"/>
      </w:pPr>
      <w:rPr>
        <w:rFonts w:ascii="Courier New" w:hAnsi="Courier New" w:cs="Courier New" w:hint="default"/>
      </w:rPr>
    </w:lvl>
    <w:lvl w:ilvl="5" w:tplc="080A0005" w:tentative="1">
      <w:start w:val="1"/>
      <w:numFmt w:val="bullet"/>
      <w:lvlText w:val=""/>
      <w:lvlJc w:val="left"/>
      <w:pPr>
        <w:tabs>
          <w:tab w:val="num" w:pos="4320"/>
        </w:tabs>
        <w:ind w:left="4320" w:hanging="360"/>
      </w:pPr>
      <w:rPr>
        <w:rFonts w:ascii="Wingdings" w:hAnsi="Wingdings" w:hint="default"/>
      </w:rPr>
    </w:lvl>
    <w:lvl w:ilvl="6" w:tplc="080A0001" w:tentative="1">
      <w:start w:val="1"/>
      <w:numFmt w:val="bullet"/>
      <w:lvlText w:val=""/>
      <w:lvlJc w:val="left"/>
      <w:pPr>
        <w:tabs>
          <w:tab w:val="num" w:pos="5040"/>
        </w:tabs>
        <w:ind w:left="5040" w:hanging="360"/>
      </w:pPr>
      <w:rPr>
        <w:rFonts w:ascii="Symbol" w:hAnsi="Symbol" w:hint="default"/>
      </w:rPr>
    </w:lvl>
    <w:lvl w:ilvl="7" w:tplc="080A0003" w:tentative="1">
      <w:start w:val="1"/>
      <w:numFmt w:val="bullet"/>
      <w:lvlText w:val="o"/>
      <w:lvlJc w:val="left"/>
      <w:pPr>
        <w:tabs>
          <w:tab w:val="num" w:pos="5760"/>
        </w:tabs>
        <w:ind w:left="5760" w:hanging="360"/>
      </w:pPr>
      <w:rPr>
        <w:rFonts w:ascii="Courier New" w:hAnsi="Courier New" w:cs="Courier New" w:hint="default"/>
      </w:rPr>
    </w:lvl>
    <w:lvl w:ilvl="8" w:tplc="080A0005" w:tentative="1">
      <w:start w:val="1"/>
      <w:numFmt w:val="bullet"/>
      <w:lvlText w:val=""/>
      <w:lvlJc w:val="left"/>
      <w:pPr>
        <w:tabs>
          <w:tab w:val="num" w:pos="6480"/>
        </w:tabs>
        <w:ind w:left="6480" w:hanging="360"/>
      </w:pPr>
      <w:rPr>
        <w:rFonts w:ascii="Wingdings" w:hAnsi="Wingdings" w:hint="default"/>
      </w:rPr>
    </w:lvl>
  </w:abstractNum>
  <w:abstractNum w:abstractNumId="36">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8">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9">
    <w:nsid w:val="6EC260F2"/>
    <w:multiLevelType w:val="hybridMultilevel"/>
    <w:tmpl w:val="404E49E0"/>
    <w:lvl w:ilvl="0" w:tplc="633A3D04">
      <w:start w:val="1"/>
      <w:numFmt w:val="lowerRoman"/>
      <w:lvlText w:val="%1)"/>
      <w:lvlJc w:val="left"/>
      <w:pPr>
        <w:ind w:left="1080" w:hanging="720"/>
      </w:pPr>
      <w:rPr>
        <w:rFonts w:hint="default"/>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nsid w:val="73432BD8"/>
    <w:multiLevelType w:val="hybridMultilevel"/>
    <w:tmpl w:val="D6CCF0FC"/>
    <w:lvl w:ilvl="0" w:tplc="3FA4CEDE">
      <w:start w:val="1"/>
      <w:numFmt w:val="decimal"/>
      <w:pStyle w:val="ARTICULOS"/>
      <w:lvlText w:val="ARTÍCULO %1."/>
      <w:lvlJc w:val="left"/>
      <w:pPr>
        <w:ind w:left="360" w:hanging="360"/>
      </w:pPr>
      <w:rPr>
        <w:rFonts w:ascii="Bookman Old Style" w:hAnsi="Bookman Old Style" w:hint="default"/>
        <w:b/>
        <w:i w:val="0"/>
        <w:sz w:val="24"/>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2">
    <w:nsid w:val="73FF3DCB"/>
    <w:multiLevelType w:val="hybridMultilevel"/>
    <w:tmpl w:val="6FAA701E"/>
    <w:lvl w:ilvl="0" w:tplc="EB0CD94A">
      <w:start w:val="1"/>
      <w:numFmt w:val="lowerLetter"/>
      <w:lvlText w:val="%1)"/>
      <w:lvlJc w:val="left"/>
      <w:pPr>
        <w:ind w:left="1065" w:hanging="360"/>
      </w:pPr>
      <w:rPr>
        <w:rFonts w:hint="default"/>
      </w:rPr>
    </w:lvl>
    <w:lvl w:ilvl="1" w:tplc="340A0019" w:tentative="1">
      <w:start w:val="1"/>
      <w:numFmt w:val="lowerLetter"/>
      <w:lvlText w:val="%2."/>
      <w:lvlJc w:val="left"/>
      <w:pPr>
        <w:ind w:left="1785" w:hanging="360"/>
      </w:pPr>
    </w:lvl>
    <w:lvl w:ilvl="2" w:tplc="340A001B">
      <w:start w:val="1"/>
      <w:numFmt w:val="lowerRoman"/>
      <w:lvlText w:val="%3."/>
      <w:lvlJc w:val="right"/>
      <w:pPr>
        <w:ind w:left="2505" w:hanging="180"/>
      </w:pPr>
    </w:lvl>
    <w:lvl w:ilvl="3" w:tplc="340A000F" w:tentative="1">
      <w:start w:val="1"/>
      <w:numFmt w:val="decimal"/>
      <w:lvlText w:val="%4."/>
      <w:lvlJc w:val="left"/>
      <w:pPr>
        <w:ind w:left="3225" w:hanging="360"/>
      </w:pPr>
    </w:lvl>
    <w:lvl w:ilvl="4" w:tplc="340A0019" w:tentative="1">
      <w:start w:val="1"/>
      <w:numFmt w:val="lowerLetter"/>
      <w:lvlText w:val="%5."/>
      <w:lvlJc w:val="left"/>
      <w:pPr>
        <w:ind w:left="3945" w:hanging="360"/>
      </w:pPr>
    </w:lvl>
    <w:lvl w:ilvl="5" w:tplc="340A001B" w:tentative="1">
      <w:start w:val="1"/>
      <w:numFmt w:val="lowerRoman"/>
      <w:lvlText w:val="%6."/>
      <w:lvlJc w:val="right"/>
      <w:pPr>
        <w:ind w:left="4665" w:hanging="180"/>
      </w:pPr>
    </w:lvl>
    <w:lvl w:ilvl="6" w:tplc="340A000F" w:tentative="1">
      <w:start w:val="1"/>
      <w:numFmt w:val="decimal"/>
      <w:lvlText w:val="%7."/>
      <w:lvlJc w:val="left"/>
      <w:pPr>
        <w:ind w:left="5385" w:hanging="360"/>
      </w:pPr>
    </w:lvl>
    <w:lvl w:ilvl="7" w:tplc="340A0019" w:tentative="1">
      <w:start w:val="1"/>
      <w:numFmt w:val="lowerLetter"/>
      <w:lvlText w:val="%8."/>
      <w:lvlJc w:val="left"/>
      <w:pPr>
        <w:ind w:left="6105" w:hanging="360"/>
      </w:pPr>
    </w:lvl>
    <w:lvl w:ilvl="8" w:tplc="340A001B" w:tentative="1">
      <w:start w:val="1"/>
      <w:numFmt w:val="lowerRoman"/>
      <w:lvlText w:val="%9."/>
      <w:lvlJc w:val="right"/>
      <w:pPr>
        <w:ind w:left="6825" w:hanging="180"/>
      </w:pPr>
    </w:lvl>
  </w:abstractNum>
  <w:abstractNum w:abstractNumId="43">
    <w:nsid w:val="7A09017A"/>
    <w:multiLevelType w:val="hybridMultilevel"/>
    <w:tmpl w:val="9F3A234E"/>
    <w:lvl w:ilvl="0" w:tplc="240A0001">
      <w:start w:val="1"/>
      <w:numFmt w:val="bullet"/>
      <w:lvlText w:val=""/>
      <w:lvlJc w:val="left"/>
      <w:pPr>
        <w:ind w:left="1230" w:hanging="360"/>
      </w:pPr>
      <w:rPr>
        <w:rFonts w:ascii="Symbol" w:hAnsi="Symbol" w:hint="default"/>
      </w:rPr>
    </w:lvl>
    <w:lvl w:ilvl="1" w:tplc="240A0003">
      <w:start w:val="1"/>
      <w:numFmt w:val="bullet"/>
      <w:lvlText w:val="o"/>
      <w:lvlJc w:val="left"/>
      <w:pPr>
        <w:ind w:left="1950" w:hanging="360"/>
      </w:pPr>
      <w:rPr>
        <w:rFonts w:ascii="Courier New" w:hAnsi="Courier New" w:cs="Courier New" w:hint="default"/>
      </w:rPr>
    </w:lvl>
    <w:lvl w:ilvl="2" w:tplc="240A0005">
      <w:start w:val="1"/>
      <w:numFmt w:val="bullet"/>
      <w:lvlText w:val=""/>
      <w:lvlJc w:val="left"/>
      <w:pPr>
        <w:ind w:left="2670" w:hanging="360"/>
      </w:pPr>
      <w:rPr>
        <w:rFonts w:ascii="Wingdings" w:hAnsi="Wingdings" w:hint="default"/>
      </w:rPr>
    </w:lvl>
    <w:lvl w:ilvl="3" w:tplc="240A0001">
      <w:start w:val="1"/>
      <w:numFmt w:val="bullet"/>
      <w:lvlText w:val=""/>
      <w:lvlJc w:val="left"/>
      <w:pPr>
        <w:ind w:left="3390" w:hanging="360"/>
      </w:pPr>
      <w:rPr>
        <w:rFonts w:ascii="Symbol" w:hAnsi="Symbol" w:hint="default"/>
      </w:rPr>
    </w:lvl>
    <w:lvl w:ilvl="4" w:tplc="240A0003">
      <w:start w:val="1"/>
      <w:numFmt w:val="bullet"/>
      <w:lvlText w:val="o"/>
      <w:lvlJc w:val="left"/>
      <w:pPr>
        <w:ind w:left="4110" w:hanging="360"/>
      </w:pPr>
      <w:rPr>
        <w:rFonts w:ascii="Courier New" w:hAnsi="Courier New" w:cs="Courier New" w:hint="default"/>
      </w:rPr>
    </w:lvl>
    <w:lvl w:ilvl="5" w:tplc="240A0005">
      <w:start w:val="1"/>
      <w:numFmt w:val="bullet"/>
      <w:lvlText w:val=""/>
      <w:lvlJc w:val="left"/>
      <w:pPr>
        <w:ind w:left="4830" w:hanging="360"/>
      </w:pPr>
      <w:rPr>
        <w:rFonts w:ascii="Wingdings" w:hAnsi="Wingdings" w:hint="default"/>
      </w:rPr>
    </w:lvl>
    <w:lvl w:ilvl="6" w:tplc="240A0001">
      <w:start w:val="1"/>
      <w:numFmt w:val="bullet"/>
      <w:lvlText w:val=""/>
      <w:lvlJc w:val="left"/>
      <w:pPr>
        <w:ind w:left="5550" w:hanging="360"/>
      </w:pPr>
      <w:rPr>
        <w:rFonts w:ascii="Symbol" w:hAnsi="Symbol" w:hint="default"/>
      </w:rPr>
    </w:lvl>
    <w:lvl w:ilvl="7" w:tplc="240A0003">
      <w:start w:val="1"/>
      <w:numFmt w:val="bullet"/>
      <w:lvlText w:val="o"/>
      <w:lvlJc w:val="left"/>
      <w:pPr>
        <w:ind w:left="6270" w:hanging="360"/>
      </w:pPr>
      <w:rPr>
        <w:rFonts w:ascii="Courier New" w:hAnsi="Courier New" w:cs="Courier New" w:hint="default"/>
      </w:rPr>
    </w:lvl>
    <w:lvl w:ilvl="8" w:tplc="240A0005">
      <w:start w:val="1"/>
      <w:numFmt w:val="bullet"/>
      <w:lvlText w:val=""/>
      <w:lvlJc w:val="left"/>
      <w:pPr>
        <w:ind w:left="6990" w:hanging="360"/>
      </w:pPr>
      <w:rPr>
        <w:rFonts w:ascii="Wingdings" w:hAnsi="Wingdings" w:hint="default"/>
      </w:rPr>
    </w:lvl>
  </w:abstractNum>
  <w:abstractNum w:abstractNumId="44">
    <w:nsid w:val="7AAD0478"/>
    <w:multiLevelType w:val="hybridMultilevel"/>
    <w:tmpl w:val="AF30598A"/>
    <w:lvl w:ilvl="0" w:tplc="7424F814">
      <w:start w:val="4"/>
      <w:numFmt w:val="bullet"/>
      <w:lvlText w:val="-"/>
      <w:lvlJc w:val="left"/>
      <w:pPr>
        <w:ind w:left="720" w:hanging="360"/>
      </w:pPr>
      <w:rPr>
        <w:rFonts w:ascii="Bookman Old Style" w:eastAsia="Times New Roman" w:hAnsi="Bookman Old Style" w:cs="Aria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5">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6">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7">
    <w:nsid w:val="7D615497"/>
    <w:multiLevelType w:val="multilevel"/>
    <w:tmpl w:val="E8F0C456"/>
    <w:lvl w:ilvl="0">
      <w:start w:val="4"/>
      <w:numFmt w:val="decimal"/>
      <w:lvlText w:val="%1."/>
      <w:lvlJc w:val="left"/>
      <w:pPr>
        <w:ind w:left="480" w:hanging="48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48">
    <w:nsid w:val="7D8B1146"/>
    <w:multiLevelType w:val="hybridMultilevel"/>
    <w:tmpl w:val="18CE027E"/>
    <w:lvl w:ilvl="0" w:tplc="193EDD4E">
      <w:start w:val="1"/>
      <w:numFmt w:val="lowerLetter"/>
      <w:lvlText w:val="%1)"/>
      <w:lvlJc w:val="left"/>
      <w:pPr>
        <w:tabs>
          <w:tab w:val="num" w:pos="360"/>
        </w:tabs>
        <w:ind w:left="360" w:hanging="360"/>
      </w:pPr>
      <w:rPr>
        <w:rFonts w:ascii="Arial" w:eastAsia="Times New Roman" w:hAnsi="Arial" w:cs="Arial"/>
      </w:rPr>
    </w:lvl>
    <w:lvl w:ilvl="1" w:tplc="080A0003" w:tentative="1">
      <w:start w:val="1"/>
      <w:numFmt w:val="bullet"/>
      <w:lvlText w:val="o"/>
      <w:lvlJc w:val="left"/>
      <w:pPr>
        <w:tabs>
          <w:tab w:val="num" w:pos="1440"/>
        </w:tabs>
        <w:ind w:left="1440" w:hanging="360"/>
      </w:pPr>
      <w:rPr>
        <w:rFonts w:ascii="Courier New" w:hAnsi="Courier New" w:cs="Courier New" w:hint="default"/>
      </w:rPr>
    </w:lvl>
    <w:lvl w:ilvl="2" w:tplc="080A0005" w:tentative="1">
      <w:start w:val="1"/>
      <w:numFmt w:val="bullet"/>
      <w:lvlText w:val=""/>
      <w:lvlJc w:val="left"/>
      <w:pPr>
        <w:tabs>
          <w:tab w:val="num" w:pos="2160"/>
        </w:tabs>
        <w:ind w:left="2160" w:hanging="360"/>
      </w:pPr>
      <w:rPr>
        <w:rFonts w:ascii="Wingdings" w:hAnsi="Wingdings" w:hint="default"/>
      </w:rPr>
    </w:lvl>
    <w:lvl w:ilvl="3" w:tplc="080A0001" w:tentative="1">
      <w:start w:val="1"/>
      <w:numFmt w:val="bullet"/>
      <w:lvlText w:val=""/>
      <w:lvlJc w:val="left"/>
      <w:pPr>
        <w:tabs>
          <w:tab w:val="num" w:pos="2880"/>
        </w:tabs>
        <w:ind w:left="2880" w:hanging="360"/>
      </w:pPr>
      <w:rPr>
        <w:rFonts w:ascii="Symbol" w:hAnsi="Symbol" w:hint="default"/>
      </w:rPr>
    </w:lvl>
    <w:lvl w:ilvl="4" w:tplc="080A0003" w:tentative="1">
      <w:start w:val="1"/>
      <w:numFmt w:val="bullet"/>
      <w:lvlText w:val="o"/>
      <w:lvlJc w:val="left"/>
      <w:pPr>
        <w:tabs>
          <w:tab w:val="num" w:pos="3600"/>
        </w:tabs>
        <w:ind w:left="3600" w:hanging="360"/>
      </w:pPr>
      <w:rPr>
        <w:rFonts w:ascii="Courier New" w:hAnsi="Courier New" w:cs="Courier New" w:hint="default"/>
      </w:rPr>
    </w:lvl>
    <w:lvl w:ilvl="5" w:tplc="080A0005" w:tentative="1">
      <w:start w:val="1"/>
      <w:numFmt w:val="bullet"/>
      <w:lvlText w:val=""/>
      <w:lvlJc w:val="left"/>
      <w:pPr>
        <w:tabs>
          <w:tab w:val="num" w:pos="4320"/>
        </w:tabs>
        <w:ind w:left="4320" w:hanging="360"/>
      </w:pPr>
      <w:rPr>
        <w:rFonts w:ascii="Wingdings" w:hAnsi="Wingdings" w:hint="default"/>
      </w:rPr>
    </w:lvl>
    <w:lvl w:ilvl="6" w:tplc="080A0001" w:tentative="1">
      <w:start w:val="1"/>
      <w:numFmt w:val="bullet"/>
      <w:lvlText w:val=""/>
      <w:lvlJc w:val="left"/>
      <w:pPr>
        <w:tabs>
          <w:tab w:val="num" w:pos="5040"/>
        </w:tabs>
        <w:ind w:left="5040" w:hanging="360"/>
      </w:pPr>
      <w:rPr>
        <w:rFonts w:ascii="Symbol" w:hAnsi="Symbol" w:hint="default"/>
      </w:rPr>
    </w:lvl>
    <w:lvl w:ilvl="7" w:tplc="080A0003" w:tentative="1">
      <w:start w:val="1"/>
      <w:numFmt w:val="bullet"/>
      <w:lvlText w:val="o"/>
      <w:lvlJc w:val="left"/>
      <w:pPr>
        <w:tabs>
          <w:tab w:val="num" w:pos="5760"/>
        </w:tabs>
        <w:ind w:left="5760" w:hanging="360"/>
      </w:pPr>
      <w:rPr>
        <w:rFonts w:ascii="Courier New" w:hAnsi="Courier New" w:cs="Courier New" w:hint="default"/>
      </w:rPr>
    </w:lvl>
    <w:lvl w:ilvl="8" w:tplc="080A0005" w:tentative="1">
      <w:start w:val="1"/>
      <w:numFmt w:val="bullet"/>
      <w:lvlText w:val=""/>
      <w:lvlJc w:val="left"/>
      <w:pPr>
        <w:tabs>
          <w:tab w:val="num" w:pos="6480"/>
        </w:tabs>
        <w:ind w:left="6480" w:hanging="360"/>
      </w:pPr>
      <w:rPr>
        <w:rFonts w:ascii="Wingdings" w:hAnsi="Wingdings" w:hint="default"/>
      </w:rPr>
    </w:lvl>
  </w:abstractNum>
  <w:abstractNum w:abstractNumId="49">
    <w:nsid w:val="7E5D1162"/>
    <w:multiLevelType w:val="hybridMultilevel"/>
    <w:tmpl w:val="B2F299E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30"/>
  </w:num>
  <w:num w:numId="2">
    <w:abstractNumId w:val="11"/>
  </w:num>
  <w:num w:numId="3">
    <w:abstractNumId w:val="45"/>
  </w:num>
  <w:num w:numId="4">
    <w:abstractNumId w:val="16"/>
  </w:num>
  <w:num w:numId="5">
    <w:abstractNumId w:val="36"/>
  </w:num>
  <w:num w:numId="6">
    <w:abstractNumId w:val="8"/>
  </w:num>
  <w:num w:numId="7">
    <w:abstractNumId w:val="6"/>
  </w:num>
  <w:num w:numId="8">
    <w:abstractNumId w:val="38"/>
  </w:num>
  <w:num w:numId="9">
    <w:abstractNumId w:val="37"/>
  </w:num>
  <w:num w:numId="10">
    <w:abstractNumId w:val="31"/>
  </w:num>
  <w:num w:numId="11">
    <w:abstractNumId w:val="46"/>
  </w:num>
  <w:num w:numId="12">
    <w:abstractNumId w:val="40"/>
  </w:num>
  <w:num w:numId="13">
    <w:abstractNumId w:val="20"/>
  </w:num>
  <w:num w:numId="14">
    <w:abstractNumId w:val="41"/>
  </w:num>
  <w:num w:numId="15">
    <w:abstractNumId w:val="10"/>
  </w:num>
  <w:num w:numId="16">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28"/>
  </w:num>
  <w:num w:numId="20">
    <w:abstractNumId w:val="22"/>
  </w:num>
  <w:num w:numId="21">
    <w:abstractNumId w:val="14"/>
  </w:num>
  <w:num w:numId="22">
    <w:abstractNumId w:val="48"/>
  </w:num>
  <w:num w:numId="23">
    <w:abstractNumId w:val="12"/>
  </w:num>
  <w:num w:numId="24">
    <w:abstractNumId w:val="25"/>
  </w:num>
  <w:num w:numId="25">
    <w:abstractNumId w:val="7"/>
  </w:num>
  <w:num w:numId="26">
    <w:abstractNumId w:val="26"/>
  </w:num>
  <w:num w:numId="27">
    <w:abstractNumId w:val="34"/>
  </w:num>
  <w:num w:numId="28">
    <w:abstractNumId w:val="24"/>
  </w:num>
  <w:num w:numId="29">
    <w:abstractNumId w:val="27"/>
  </w:num>
  <w:num w:numId="30">
    <w:abstractNumId w:val="35"/>
  </w:num>
  <w:num w:numId="31">
    <w:abstractNumId w:val="44"/>
  </w:num>
  <w:num w:numId="32">
    <w:abstractNumId w:val="32"/>
  </w:num>
  <w:num w:numId="33">
    <w:abstractNumId w:val="49"/>
  </w:num>
  <w:num w:numId="34">
    <w:abstractNumId w:val="9"/>
  </w:num>
  <w:num w:numId="35">
    <w:abstractNumId w:val="18"/>
  </w:num>
  <w:num w:numId="36">
    <w:abstractNumId w:val="13"/>
  </w:num>
  <w:num w:numId="37">
    <w:abstractNumId w:val="47"/>
  </w:num>
  <w:num w:numId="38">
    <w:abstractNumId w:val="3"/>
  </w:num>
  <w:num w:numId="39">
    <w:abstractNumId w:val="3"/>
  </w:num>
  <w:num w:numId="40">
    <w:abstractNumId w:val="29"/>
  </w:num>
  <w:num w:numId="4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3"/>
  </w:num>
  <w:num w:numId="43">
    <w:abstractNumId w:val="19"/>
  </w:num>
  <w:num w:numId="44">
    <w:abstractNumId w:val="5"/>
  </w:num>
  <w:num w:numId="45">
    <w:abstractNumId w:val="21"/>
  </w:num>
  <w:num w:numId="46">
    <w:abstractNumId w:val="23"/>
  </w:num>
  <w:num w:numId="47">
    <w:abstractNumId w:val="4"/>
  </w:num>
  <w:num w:numId="48">
    <w:abstractNumId w:val="2"/>
  </w:num>
  <w:num w:numId="49">
    <w:abstractNumId w:val="1"/>
  </w:num>
  <w:num w:numId="50">
    <w:abstractNumId w:val="0"/>
  </w:num>
  <w:num w:numId="51">
    <w:abstractNumId w:val="3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6B9"/>
    <w:rsid w:val="00006AE2"/>
    <w:rsid w:val="000076A1"/>
    <w:rsid w:val="000116A1"/>
    <w:rsid w:val="00012259"/>
    <w:rsid w:val="00012862"/>
    <w:rsid w:val="00015850"/>
    <w:rsid w:val="0001678C"/>
    <w:rsid w:val="00016E04"/>
    <w:rsid w:val="00022EDE"/>
    <w:rsid w:val="00024EC7"/>
    <w:rsid w:val="00025383"/>
    <w:rsid w:val="00026594"/>
    <w:rsid w:val="000318A5"/>
    <w:rsid w:val="000340F0"/>
    <w:rsid w:val="00034D3E"/>
    <w:rsid w:val="00035FB7"/>
    <w:rsid w:val="000362F5"/>
    <w:rsid w:val="000408DC"/>
    <w:rsid w:val="000413D7"/>
    <w:rsid w:val="000433A8"/>
    <w:rsid w:val="00044007"/>
    <w:rsid w:val="00044AA0"/>
    <w:rsid w:val="000500FF"/>
    <w:rsid w:val="00050DD3"/>
    <w:rsid w:val="00054416"/>
    <w:rsid w:val="00055731"/>
    <w:rsid w:val="000568FF"/>
    <w:rsid w:val="00057E91"/>
    <w:rsid w:val="0006077F"/>
    <w:rsid w:val="00060FB5"/>
    <w:rsid w:val="000614E2"/>
    <w:rsid w:val="00063657"/>
    <w:rsid w:val="0006590A"/>
    <w:rsid w:val="000669FD"/>
    <w:rsid w:val="000741E5"/>
    <w:rsid w:val="000755FC"/>
    <w:rsid w:val="00076680"/>
    <w:rsid w:val="0008073E"/>
    <w:rsid w:val="0008240E"/>
    <w:rsid w:val="00082E1C"/>
    <w:rsid w:val="0008307A"/>
    <w:rsid w:val="00084C7C"/>
    <w:rsid w:val="00085E01"/>
    <w:rsid w:val="0008677B"/>
    <w:rsid w:val="00091CDB"/>
    <w:rsid w:val="00091EAC"/>
    <w:rsid w:val="00092CAD"/>
    <w:rsid w:val="000A09D4"/>
    <w:rsid w:val="000A0A32"/>
    <w:rsid w:val="000A19AC"/>
    <w:rsid w:val="000A34D9"/>
    <w:rsid w:val="000A45C8"/>
    <w:rsid w:val="000A51F8"/>
    <w:rsid w:val="000A77F4"/>
    <w:rsid w:val="000B0E98"/>
    <w:rsid w:val="000B2B90"/>
    <w:rsid w:val="000B5B84"/>
    <w:rsid w:val="000B7843"/>
    <w:rsid w:val="000C003B"/>
    <w:rsid w:val="000C1C0E"/>
    <w:rsid w:val="000C2453"/>
    <w:rsid w:val="000C2F0C"/>
    <w:rsid w:val="000C2FD2"/>
    <w:rsid w:val="000C3B10"/>
    <w:rsid w:val="000C5804"/>
    <w:rsid w:val="000C732B"/>
    <w:rsid w:val="000D26F8"/>
    <w:rsid w:val="000D3A15"/>
    <w:rsid w:val="000D3BC6"/>
    <w:rsid w:val="000D60F5"/>
    <w:rsid w:val="000E3A29"/>
    <w:rsid w:val="000E5B53"/>
    <w:rsid w:val="000E6F2A"/>
    <w:rsid w:val="000E792D"/>
    <w:rsid w:val="000F50E8"/>
    <w:rsid w:val="000F6B6C"/>
    <w:rsid w:val="00100EAB"/>
    <w:rsid w:val="0010521F"/>
    <w:rsid w:val="0010580A"/>
    <w:rsid w:val="00105FFE"/>
    <w:rsid w:val="001116EA"/>
    <w:rsid w:val="001117D3"/>
    <w:rsid w:val="00111F56"/>
    <w:rsid w:val="00122AB5"/>
    <w:rsid w:val="001239C4"/>
    <w:rsid w:val="00136286"/>
    <w:rsid w:val="001405C6"/>
    <w:rsid w:val="00141013"/>
    <w:rsid w:val="00143264"/>
    <w:rsid w:val="00143581"/>
    <w:rsid w:val="00145D12"/>
    <w:rsid w:val="00147F84"/>
    <w:rsid w:val="0015067F"/>
    <w:rsid w:val="001516D3"/>
    <w:rsid w:val="001630C2"/>
    <w:rsid w:val="0016353C"/>
    <w:rsid w:val="00165227"/>
    <w:rsid w:val="001721E1"/>
    <w:rsid w:val="001736CA"/>
    <w:rsid w:val="001737AF"/>
    <w:rsid w:val="00174222"/>
    <w:rsid w:val="001842E9"/>
    <w:rsid w:val="001848ED"/>
    <w:rsid w:val="001879D7"/>
    <w:rsid w:val="00192CBF"/>
    <w:rsid w:val="00192FF1"/>
    <w:rsid w:val="00197CC3"/>
    <w:rsid w:val="001A1852"/>
    <w:rsid w:val="001A285F"/>
    <w:rsid w:val="001A2C3A"/>
    <w:rsid w:val="001A33A3"/>
    <w:rsid w:val="001A34AD"/>
    <w:rsid w:val="001A5F1B"/>
    <w:rsid w:val="001A61FD"/>
    <w:rsid w:val="001A793D"/>
    <w:rsid w:val="001B13CC"/>
    <w:rsid w:val="001B1A5D"/>
    <w:rsid w:val="001B1C22"/>
    <w:rsid w:val="001B214E"/>
    <w:rsid w:val="001B24FC"/>
    <w:rsid w:val="001B34C6"/>
    <w:rsid w:val="001B37FD"/>
    <w:rsid w:val="001B5DF4"/>
    <w:rsid w:val="001B710B"/>
    <w:rsid w:val="001C127B"/>
    <w:rsid w:val="001C4264"/>
    <w:rsid w:val="001D53D6"/>
    <w:rsid w:val="001D7832"/>
    <w:rsid w:val="001E2DA6"/>
    <w:rsid w:val="001E383C"/>
    <w:rsid w:val="001E57A3"/>
    <w:rsid w:val="001F0BD2"/>
    <w:rsid w:val="001F54F7"/>
    <w:rsid w:val="00201375"/>
    <w:rsid w:val="00201426"/>
    <w:rsid w:val="002016E8"/>
    <w:rsid w:val="00201C1F"/>
    <w:rsid w:val="00202D2D"/>
    <w:rsid w:val="00205129"/>
    <w:rsid w:val="0020528A"/>
    <w:rsid w:val="002054E6"/>
    <w:rsid w:val="00205E1B"/>
    <w:rsid w:val="00210DE7"/>
    <w:rsid w:val="00211D34"/>
    <w:rsid w:val="0021417B"/>
    <w:rsid w:val="00214F04"/>
    <w:rsid w:val="00216030"/>
    <w:rsid w:val="0021762D"/>
    <w:rsid w:val="00222C1A"/>
    <w:rsid w:val="00225D2B"/>
    <w:rsid w:val="00226483"/>
    <w:rsid w:val="002313C3"/>
    <w:rsid w:val="0023304E"/>
    <w:rsid w:val="0023350F"/>
    <w:rsid w:val="00234F99"/>
    <w:rsid w:val="00235844"/>
    <w:rsid w:val="00235FA9"/>
    <w:rsid w:val="00236AC4"/>
    <w:rsid w:val="00240AA4"/>
    <w:rsid w:val="00241DFB"/>
    <w:rsid w:val="002429C3"/>
    <w:rsid w:val="0024765E"/>
    <w:rsid w:val="00247AB6"/>
    <w:rsid w:val="00252CD0"/>
    <w:rsid w:val="0025375C"/>
    <w:rsid w:val="002539D4"/>
    <w:rsid w:val="00257989"/>
    <w:rsid w:val="00257A21"/>
    <w:rsid w:val="002610D7"/>
    <w:rsid w:val="00261416"/>
    <w:rsid w:val="00261D4B"/>
    <w:rsid w:val="00261D5B"/>
    <w:rsid w:val="00266CD6"/>
    <w:rsid w:val="002718B3"/>
    <w:rsid w:val="00271C9D"/>
    <w:rsid w:val="002740F7"/>
    <w:rsid w:val="00274CEF"/>
    <w:rsid w:val="00275DE6"/>
    <w:rsid w:val="00283A94"/>
    <w:rsid w:val="00287795"/>
    <w:rsid w:val="00287E19"/>
    <w:rsid w:val="00291FDA"/>
    <w:rsid w:val="002978C7"/>
    <w:rsid w:val="002A06E5"/>
    <w:rsid w:val="002A1859"/>
    <w:rsid w:val="002A2270"/>
    <w:rsid w:val="002A28DF"/>
    <w:rsid w:val="002A2E44"/>
    <w:rsid w:val="002A3B62"/>
    <w:rsid w:val="002A6C1E"/>
    <w:rsid w:val="002A73C2"/>
    <w:rsid w:val="002B11E2"/>
    <w:rsid w:val="002B172C"/>
    <w:rsid w:val="002B1C91"/>
    <w:rsid w:val="002B24B8"/>
    <w:rsid w:val="002B2948"/>
    <w:rsid w:val="002B3378"/>
    <w:rsid w:val="002B4067"/>
    <w:rsid w:val="002B42B3"/>
    <w:rsid w:val="002B65EF"/>
    <w:rsid w:val="002C0980"/>
    <w:rsid w:val="002C6794"/>
    <w:rsid w:val="002D0737"/>
    <w:rsid w:val="002D11DD"/>
    <w:rsid w:val="002D123C"/>
    <w:rsid w:val="002D3AE9"/>
    <w:rsid w:val="002D49F2"/>
    <w:rsid w:val="002E0A42"/>
    <w:rsid w:val="002E10B8"/>
    <w:rsid w:val="002E21FB"/>
    <w:rsid w:val="002E2B9E"/>
    <w:rsid w:val="002E3D26"/>
    <w:rsid w:val="002F0734"/>
    <w:rsid w:val="002F1D6E"/>
    <w:rsid w:val="002F46E7"/>
    <w:rsid w:val="002F5952"/>
    <w:rsid w:val="003049AC"/>
    <w:rsid w:val="00304EC1"/>
    <w:rsid w:val="00306858"/>
    <w:rsid w:val="00306A76"/>
    <w:rsid w:val="003100CC"/>
    <w:rsid w:val="003101DA"/>
    <w:rsid w:val="003114DA"/>
    <w:rsid w:val="00312C5C"/>
    <w:rsid w:val="00314757"/>
    <w:rsid w:val="0031611F"/>
    <w:rsid w:val="00317DE6"/>
    <w:rsid w:val="003211CE"/>
    <w:rsid w:val="003326B7"/>
    <w:rsid w:val="003340E2"/>
    <w:rsid w:val="00337A23"/>
    <w:rsid w:val="0034033A"/>
    <w:rsid w:val="00342D28"/>
    <w:rsid w:val="00346C47"/>
    <w:rsid w:val="00347782"/>
    <w:rsid w:val="003510F7"/>
    <w:rsid w:val="003519F2"/>
    <w:rsid w:val="00351D27"/>
    <w:rsid w:val="00352705"/>
    <w:rsid w:val="00355765"/>
    <w:rsid w:val="0035658F"/>
    <w:rsid w:val="00357167"/>
    <w:rsid w:val="0036326A"/>
    <w:rsid w:val="0036394B"/>
    <w:rsid w:val="003651A4"/>
    <w:rsid w:val="00365FD9"/>
    <w:rsid w:val="00366639"/>
    <w:rsid w:val="003668EC"/>
    <w:rsid w:val="00367452"/>
    <w:rsid w:val="00370924"/>
    <w:rsid w:val="003709B5"/>
    <w:rsid w:val="0037528B"/>
    <w:rsid w:val="00375538"/>
    <w:rsid w:val="003759C2"/>
    <w:rsid w:val="00386787"/>
    <w:rsid w:val="003914F3"/>
    <w:rsid w:val="00392D97"/>
    <w:rsid w:val="0039380B"/>
    <w:rsid w:val="00397365"/>
    <w:rsid w:val="003A12B7"/>
    <w:rsid w:val="003A2F01"/>
    <w:rsid w:val="003A31F6"/>
    <w:rsid w:val="003B008B"/>
    <w:rsid w:val="003B18C1"/>
    <w:rsid w:val="003B5517"/>
    <w:rsid w:val="003C04A7"/>
    <w:rsid w:val="003C1B40"/>
    <w:rsid w:val="003C3447"/>
    <w:rsid w:val="003C421E"/>
    <w:rsid w:val="003C5AB5"/>
    <w:rsid w:val="003C5E69"/>
    <w:rsid w:val="003C60B8"/>
    <w:rsid w:val="003C66E1"/>
    <w:rsid w:val="003C6CEF"/>
    <w:rsid w:val="003C726E"/>
    <w:rsid w:val="003D076C"/>
    <w:rsid w:val="003D4810"/>
    <w:rsid w:val="003D5AAB"/>
    <w:rsid w:val="003E2D14"/>
    <w:rsid w:val="003E390B"/>
    <w:rsid w:val="003E6BE5"/>
    <w:rsid w:val="003F01AC"/>
    <w:rsid w:val="003F1049"/>
    <w:rsid w:val="003F49AB"/>
    <w:rsid w:val="00406347"/>
    <w:rsid w:val="00406BB9"/>
    <w:rsid w:val="004079D4"/>
    <w:rsid w:val="004108C0"/>
    <w:rsid w:val="004108D2"/>
    <w:rsid w:val="00410BA6"/>
    <w:rsid w:val="0041155A"/>
    <w:rsid w:val="00415BAB"/>
    <w:rsid w:val="00415ED2"/>
    <w:rsid w:val="0042068C"/>
    <w:rsid w:val="004224EE"/>
    <w:rsid w:val="00424014"/>
    <w:rsid w:val="00425193"/>
    <w:rsid w:val="00433856"/>
    <w:rsid w:val="00435F2F"/>
    <w:rsid w:val="00436507"/>
    <w:rsid w:val="00442BAD"/>
    <w:rsid w:val="00444FB4"/>
    <w:rsid w:val="004460A5"/>
    <w:rsid w:val="00447B7D"/>
    <w:rsid w:val="00450A32"/>
    <w:rsid w:val="00452777"/>
    <w:rsid w:val="00453D39"/>
    <w:rsid w:val="00454B68"/>
    <w:rsid w:val="0045552C"/>
    <w:rsid w:val="004600B8"/>
    <w:rsid w:val="00461E3A"/>
    <w:rsid w:val="00461F2B"/>
    <w:rsid w:val="004629E1"/>
    <w:rsid w:val="00463E0E"/>
    <w:rsid w:val="00465F53"/>
    <w:rsid w:val="004677A6"/>
    <w:rsid w:val="0047122B"/>
    <w:rsid w:val="00471A39"/>
    <w:rsid w:val="00472931"/>
    <w:rsid w:val="00473B7A"/>
    <w:rsid w:val="00480A15"/>
    <w:rsid w:val="004819CA"/>
    <w:rsid w:val="00486BF9"/>
    <w:rsid w:val="00487160"/>
    <w:rsid w:val="0049025E"/>
    <w:rsid w:val="00494337"/>
    <w:rsid w:val="004953B6"/>
    <w:rsid w:val="00495DFC"/>
    <w:rsid w:val="004960E9"/>
    <w:rsid w:val="004A2BA7"/>
    <w:rsid w:val="004A2E88"/>
    <w:rsid w:val="004A31DD"/>
    <w:rsid w:val="004A3D99"/>
    <w:rsid w:val="004A5305"/>
    <w:rsid w:val="004A6DE1"/>
    <w:rsid w:val="004B399B"/>
    <w:rsid w:val="004B4B86"/>
    <w:rsid w:val="004B6F7D"/>
    <w:rsid w:val="004C053A"/>
    <w:rsid w:val="004C0F41"/>
    <w:rsid w:val="004C7494"/>
    <w:rsid w:val="004D2862"/>
    <w:rsid w:val="004D2D40"/>
    <w:rsid w:val="004D310F"/>
    <w:rsid w:val="004D7634"/>
    <w:rsid w:val="004E6C38"/>
    <w:rsid w:val="004E7C2D"/>
    <w:rsid w:val="004F0ABE"/>
    <w:rsid w:val="004F7A09"/>
    <w:rsid w:val="00500126"/>
    <w:rsid w:val="00501FAF"/>
    <w:rsid w:val="00503319"/>
    <w:rsid w:val="005058D4"/>
    <w:rsid w:val="005075A3"/>
    <w:rsid w:val="00512B44"/>
    <w:rsid w:val="00514238"/>
    <w:rsid w:val="00516F85"/>
    <w:rsid w:val="00517202"/>
    <w:rsid w:val="0051745E"/>
    <w:rsid w:val="00522E97"/>
    <w:rsid w:val="005254C7"/>
    <w:rsid w:val="0052654C"/>
    <w:rsid w:val="005300D3"/>
    <w:rsid w:val="005371B1"/>
    <w:rsid w:val="005406D5"/>
    <w:rsid w:val="00540E57"/>
    <w:rsid w:val="00541137"/>
    <w:rsid w:val="00544F82"/>
    <w:rsid w:val="005464D5"/>
    <w:rsid w:val="00547962"/>
    <w:rsid w:val="0055564D"/>
    <w:rsid w:val="00556A6F"/>
    <w:rsid w:val="00561DFE"/>
    <w:rsid w:val="00562B4E"/>
    <w:rsid w:val="00564C5B"/>
    <w:rsid w:val="00567A84"/>
    <w:rsid w:val="005721BC"/>
    <w:rsid w:val="00573A53"/>
    <w:rsid w:val="005752EB"/>
    <w:rsid w:val="00580B0C"/>
    <w:rsid w:val="00581BA1"/>
    <w:rsid w:val="00581D85"/>
    <w:rsid w:val="00582034"/>
    <w:rsid w:val="00583CEE"/>
    <w:rsid w:val="00585241"/>
    <w:rsid w:val="00586365"/>
    <w:rsid w:val="00586B1B"/>
    <w:rsid w:val="00593C4F"/>
    <w:rsid w:val="005946A8"/>
    <w:rsid w:val="00594A1A"/>
    <w:rsid w:val="005A03D0"/>
    <w:rsid w:val="005A1051"/>
    <w:rsid w:val="005A3C20"/>
    <w:rsid w:val="005A4407"/>
    <w:rsid w:val="005A590E"/>
    <w:rsid w:val="005A59EF"/>
    <w:rsid w:val="005A5A39"/>
    <w:rsid w:val="005A737A"/>
    <w:rsid w:val="005B111D"/>
    <w:rsid w:val="005C14D3"/>
    <w:rsid w:val="005C33A5"/>
    <w:rsid w:val="005C78F0"/>
    <w:rsid w:val="005D4B09"/>
    <w:rsid w:val="005D58C5"/>
    <w:rsid w:val="005D5F59"/>
    <w:rsid w:val="005E0AC9"/>
    <w:rsid w:val="005E2C5B"/>
    <w:rsid w:val="005E39FE"/>
    <w:rsid w:val="005E50D2"/>
    <w:rsid w:val="005E62C0"/>
    <w:rsid w:val="005F1D16"/>
    <w:rsid w:val="005F4526"/>
    <w:rsid w:val="005F7105"/>
    <w:rsid w:val="006018AB"/>
    <w:rsid w:val="00603C3B"/>
    <w:rsid w:val="0060596D"/>
    <w:rsid w:val="006060C1"/>
    <w:rsid w:val="00607032"/>
    <w:rsid w:val="00614D8D"/>
    <w:rsid w:val="006150F6"/>
    <w:rsid w:val="00624A48"/>
    <w:rsid w:val="00624BA7"/>
    <w:rsid w:val="00625DC6"/>
    <w:rsid w:val="00626CCD"/>
    <w:rsid w:val="00630161"/>
    <w:rsid w:val="00635F9C"/>
    <w:rsid w:val="00644A78"/>
    <w:rsid w:val="00644C1A"/>
    <w:rsid w:val="006459CB"/>
    <w:rsid w:val="0064604D"/>
    <w:rsid w:val="0064699E"/>
    <w:rsid w:val="00651821"/>
    <w:rsid w:val="006536E2"/>
    <w:rsid w:val="00653E0C"/>
    <w:rsid w:val="00654384"/>
    <w:rsid w:val="0065498C"/>
    <w:rsid w:val="00654F6E"/>
    <w:rsid w:val="0065581C"/>
    <w:rsid w:val="00657B2C"/>
    <w:rsid w:val="0066568E"/>
    <w:rsid w:val="006669A0"/>
    <w:rsid w:val="006675CD"/>
    <w:rsid w:val="00674595"/>
    <w:rsid w:val="006760B2"/>
    <w:rsid w:val="00676DCB"/>
    <w:rsid w:val="00676F8B"/>
    <w:rsid w:val="00683471"/>
    <w:rsid w:val="0068397B"/>
    <w:rsid w:val="00684D9B"/>
    <w:rsid w:val="006871A4"/>
    <w:rsid w:val="00690060"/>
    <w:rsid w:val="00691B3D"/>
    <w:rsid w:val="0069429B"/>
    <w:rsid w:val="00696880"/>
    <w:rsid w:val="00697556"/>
    <w:rsid w:val="006A12D1"/>
    <w:rsid w:val="006A62EC"/>
    <w:rsid w:val="006B08DB"/>
    <w:rsid w:val="006B1723"/>
    <w:rsid w:val="006B1B26"/>
    <w:rsid w:val="006B4C2B"/>
    <w:rsid w:val="006B5B53"/>
    <w:rsid w:val="006B6D47"/>
    <w:rsid w:val="006B7470"/>
    <w:rsid w:val="006C4A69"/>
    <w:rsid w:val="006D1904"/>
    <w:rsid w:val="006D6B2C"/>
    <w:rsid w:val="006D7091"/>
    <w:rsid w:val="006D7BDF"/>
    <w:rsid w:val="006E0514"/>
    <w:rsid w:val="006E1F19"/>
    <w:rsid w:val="006E655B"/>
    <w:rsid w:val="006F0E2C"/>
    <w:rsid w:val="006F18C8"/>
    <w:rsid w:val="006F1AD5"/>
    <w:rsid w:val="006F6D6F"/>
    <w:rsid w:val="006F6D95"/>
    <w:rsid w:val="006F76CD"/>
    <w:rsid w:val="00701C21"/>
    <w:rsid w:val="007024F2"/>
    <w:rsid w:val="0070639C"/>
    <w:rsid w:val="00706F13"/>
    <w:rsid w:val="007072E8"/>
    <w:rsid w:val="00707F63"/>
    <w:rsid w:val="00710F9B"/>
    <w:rsid w:val="0071225C"/>
    <w:rsid w:val="00713B0E"/>
    <w:rsid w:val="0071618D"/>
    <w:rsid w:val="00724AE3"/>
    <w:rsid w:val="00725FA4"/>
    <w:rsid w:val="00726B28"/>
    <w:rsid w:val="00730F91"/>
    <w:rsid w:val="00732B99"/>
    <w:rsid w:val="00735FC5"/>
    <w:rsid w:val="00736082"/>
    <w:rsid w:val="00740446"/>
    <w:rsid w:val="00741646"/>
    <w:rsid w:val="00742AA6"/>
    <w:rsid w:val="00742E37"/>
    <w:rsid w:val="007438A9"/>
    <w:rsid w:val="0074408F"/>
    <w:rsid w:val="0074491E"/>
    <w:rsid w:val="007467F5"/>
    <w:rsid w:val="0074715D"/>
    <w:rsid w:val="00761E67"/>
    <w:rsid w:val="007628F2"/>
    <w:rsid w:val="00762BBC"/>
    <w:rsid w:val="00765C92"/>
    <w:rsid w:val="007669E0"/>
    <w:rsid w:val="00766E20"/>
    <w:rsid w:val="00771A32"/>
    <w:rsid w:val="00772476"/>
    <w:rsid w:val="00772BB3"/>
    <w:rsid w:val="007749E0"/>
    <w:rsid w:val="00775964"/>
    <w:rsid w:val="00775D60"/>
    <w:rsid w:val="00777DA7"/>
    <w:rsid w:val="00780330"/>
    <w:rsid w:val="007807B8"/>
    <w:rsid w:val="00781BFD"/>
    <w:rsid w:val="00786D68"/>
    <w:rsid w:val="00787E0C"/>
    <w:rsid w:val="00791281"/>
    <w:rsid w:val="00795BFB"/>
    <w:rsid w:val="007A0CF1"/>
    <w:rsid w:val="007A3025"/>
    <w:rsid w:val="007A3ABA"/>
    <w:rsid w:val="007A51DA"/>
    <w:rsid w:val="007B2760"/>
    <w:rsid w:val="007B3F07"/>
    <w:rsid w:val="007B4DF0"/>
    <w:rsid w:val="007C0DDD"/>
    <w:rsid w:val="007D0283"/>
    <w:rsid w:val="007D1F63"/>
    <w:rsid w:val="007D3ED2"/>
    <w:rsid w:val="007E07FB"/>
    <w:rsid w:val="007E4967"/>
    <w:rsid w:val="007F03C1"/>
    <w:rsid w:val="007F40C3"/>
    <w:rsid w:val="007F692E"/>
    <w:rsid w:val="007F6CE9"/>
    <w:rsid w:val="008014AC"/>
    <w:rsid w:val="00801675"/>
    <w:rsid w:val="00802421"/>
    <w:rsid w:val="008025E1"/>
    <w:rsid w:val="00803496"/>
    <w:rsid w:val="00806C01"/>
    <w:rsid w:val="008148CC"/>
    <w:rsid w:val="00814ECA"/>
    <w:rsid w:val="00816153"/>
    <w:rsid w:val="00816268"/>
    <w:rsid w:val="008162AD"/>
    <w:rsid w:val="00816393"/>
    <w:rsid w:val="008211A4"/>
    <w:rsid w:val="0082789D"/>
    <w:rsid w:val="00830FBD"/>
    <w:rsid w:val="008318DA"/>
    <w:rsid w:val="008369ED"/>
    <w:rsid w:val="00847742"/>
    <w:rsid w:val="00847E50"/>
    <w:rsid w:val="008527C7"/>
    <w:rsid w:val="00855CB2"/>
    <w:rsid w:val="00857804"/>
    <w:rsid w:val="008613B0"/>
    <w:rsid w:val="00862EAE"/>
    <w:rsid w:val="0086386F"/>
    <w:rsid w:val="008641E2"/>
    <w:rsid w:val="00867605"/>
    <w:rsid w:val="0086768D"/>
    <w:rsid w:val="00870AD4"/>
    <w:rsid w:val="00870C4D"/>
    <w:rsid w:val="00873150"/>
    <w:rsid w:val="0087384F"/>
    <w:rsid w:val="00874D6E"/>
    <w:rsid w:val="00876571"/>
    <w:rsid w:val="0087657D"/>
    <w:rsid w:val="00877D83"/>
    <w:rsid w:val="008807D5"/>
    <w:rsid w:val="00880832"/>
    <w:rsid w:val="00881876"/>
    <w:rsid w:val="008827ED"/>
    <w:rsid w:val="00882FCF"/>
    <w:rsid w:val="00886EE1"/>
    <w:rsid w:val="0088727D"/>
    <w:rsid w:val="0089263C"/>
    <w:rsid w:val="00894EDD"/>
    <w:rsid w:val="00897C75"/>
    <w:rsid w:val="008A0491"/>
    <w:rsid w:val="008A64E3"/>
    <w:rsid w:val="008A6F66"/>
    <w:rsid w:val="008A760A"/>
    <w:rsid w:val="008B2AFF"/>
    <w:rsid w:val="008B5272"/>
    <w:rsid w:val="008B7362"/>
    <w:rsid w:val="008C1130"/>
    <w:rsid w:val="008C32C2"/>
    <w:rsid w:val="008C617C"/>
    <w:rsid w:val="008C7AC6"/>
    <w:rsid w:val="008D1267"/>
    <w:rsid w:val="008D18E6"/>
    <w:rsid w:val="008D6D65"/>
    <w:rsid w:val="008D7A9B"/>
    <w:rsid w:val="008E2A44"/>
    <w:rsid w:val="008F21F6"/>
    <w:rsid w:val="008F52E8"/>
    <w:rsid w:val="00901DD8"/>
    <w:rsid w:val="00903EC8"/>
    <w:rsid w:val="009150B2"/>
    <w:rsid w:val="009228C0"/>
    <w:rsid w:val="0092535C"/>
    <w:rsid w:val="00927132"/>
    <w:rsid w:val="0093070D"/>
    <w:rsid w:val="00931098"/>
    <w:rsid w:val="00931BEF"/>
    <w:rsid w:val="009321FF"/>
    <w:rsid w:val="009341B8"/>
    <w:rsid w:val="00941EEA"/>
    <w:rsid w:val="00942FDD"/>
    <w:rsid w:val="00943096"/>
    <w:rsid w:val="009453BD"/>
    <w:rsid w:val="00946088"/>
    <w:rsid w:val="00951F79"/>
    <w:rsid w:val="009523A6"/>
    <w:rsid w:val="00953CDD"/>
    <w:rsid w:val="00954751"/>
    <w:rsid w:val="00955499"/>
    <w:rsid w:val="00960FAF"/>
    <w:rsid w:val="00961D94"/>
    <w:rsid w:val="00962DC4"/>
    <w:rsid w:val="009632A5"/>
    <w:rsid w:val="00963F93"/>
    <w:rsid w:val="009714C9"/>
    <w:rsid w:val="00971B21"/>
    <w:rsid w:val="00973175"/>
    <w:rsid w:val="00974AB5"/>
    <w:rsid w:val="00975618"/>
    <w:rsid w:val="00975717"/>
    <w:rsid w:val="00975A0D"/>
    <w:rsid w:val="00976087"/>
    <w:rsid w:val="0098257E"/>
    <w:rsid w:val="00984E7C"/>
    <w:rsid w:val="009862CC"/>
    <w:rsid w:val="00986E64"/>
    <w:rsid w:val="0098706D"/>
    <w:rsid w:val="00990430"/>
    <w:rsid w:val="009906EC"/>
    <w:rsid w:val="00990746"/>
    <w:rsid w:val="00991873"/>
    <w:rsid w:val="00993355"/>
    <w:rsid w:val="009935FB"/>
    <w:rsid w:val="00994559"/>
    <w:rsid w:val="0099562E"/>
    <w:rsid w:val="00996A52"/>
    <w:rsid w:val="009A00D6"/>
    <w:rsid w:val="009A114A"/>
    <w:rsid w:val="009A1A8B"/>
    <w:rsid w:val="009A2578"/>
    <w:rsid w:val="009A439F"/>
    <w:rsid w:val="009B0C8F"/>
    <w:rsid w:val="009B2FC5"/>
    <w:rsid w:val="009B4AC3"/>
    <w:rsid w:val="009B5BB7"/>
    <w:rsid w:val="009C23D2"/>
    <w:rsid w:val="009C2BFC"/>
    <w:rsid w:val="009C31A9"/>
    <w:rsid w:val="009C36BB"/>
    <w:rsid w:val="009C3884"/>
    <w:rsid w:val="009D289C"/>
    <w:rsid w:val="009D3430"/>
    <w:rsid w:val="009D3928"/>
    <w:rsid w:val="009D3F82"/>
    <w:rsid w:val="009D6348"/>
    <w:rsid w:val="009D72C3"/>
    <w:rsid w:val="009E1A0B"/>
    <w:rsid w:val="009E3892"/>
    <w:rsid w:val="009E4A6E"/>
    <w:rsid w:val="009F3A3F"/>
    <w:rsid w:val="009F4A54"/>
    <w:rsid w:val="009F4B70"/>
    <w:rsid w:val="009F4BEC"/>
    <w:rsid w:val="009F5B0F"/>
    <w:rsid w:val="009F65FF"/>
    <w:rsid w:val="00A01201"/>
    <w:rsid w:val="00A02FA7"/>
    <w:rsid w:val="00A062E9"/>
    <w:rsid w:val="00A0661C"/>
    <w:rsid w:val="00A11E04"/>
    <w:rsid w:val="00A17CD8"/>
    <w:rsid w:val="00A21729"/>
    <w:rsid w:val="00A218E7"/>
    <w:rsid w:val="00A22DCF"/>
    <w:rsid w:val="00A235BB"/>
    <w:rsid w:val="00A25FD7"/>
    <w:rsid w:val="00A35A94"/>
    <w:rsid w:val="00A35D3E"/>
    <w:rsid w:val="00A35F95"/>
    <w:rsid w:val="00A4045B"/>
    <w:rsid w:val="00A4232C"/>
    <w:rsid w:val="00A43AFF"/>
    <w:rsid w:val="00A45C2B"/>
    <w:rsid w:val="00A471AB"/>
    <w:rsid w:val="00A47EF1"/>
    <w:rsid w:val="00A516FB"/>
    <w:rsid w:val="00A51FE0"/>
    <w:rsid w:val="00A57F26"/>
    <w:rsid w:val="00A60F22"/>
    <w:rsid w:val="00A65633"/>
    <w:rsid w:val="00A6591E"/>
    <w:rsid w:val="00A670A5"/>
    <w:rsid w:val="00A67917"/>
    <w:rsid w:val="00A71B5F"/>
    <w:rsid w:val="00A74E46"/>
    <w:rsid w:val="00A7793A"/>
    <w:rsid w:val="00A82829"/>
    <w:rsid w:val="00A851AE"/>
    <w:rsid w:val="00A8618B"/>
    <w:rsid w:val="00A907CE"/>
    <w:rsid w:val="00A928E7"/>
    <w:rsid w:val="00A9405C"/>
    <w:rsid w:val="00A95241"/>
    <w:rsid w:val="00A966AE"/>
    <w:rsid w:val="00A96D16"/>
    <w:rsid w:val="00AA00AD"/>
    <w:rsid w:val="00AA1C71"/>
    <w:rsid w:val="00AA1D56"/>
    <w:rsid w:val="00AA23A7"/>
    <w:rsid w:val="00AA44D3"/>
    <w:rsid w:val="00AA4559"/>
    <w:rsid w:val="00AA7B14"/>
    <w:rsid w:val="00AB1931"/>
    <w:rsid w:val="00AB4774"/>
    <w:rsid w:val="00AB6CA7"/>
    <w:rsid w:val="00AD01E4"/>
    <w:rsid w:val="00AD0858"/>
    <w:rsid w:val="00AD143B"/>
    <w:rsid w:val="00AD30A5"/>
    <w:rsid w:val="00AD6776"/>
    <w:rsid w:val="00AE09F2"/>
    <w:rsid w:val="00AE1D61"/>
    <w:rsid w:val="00AE3031"/>
    <w:rsid w:val="00AE4700"/>
    <w:rsid w:val="00AE65AF"/>
    <w:rsid w:val="00AE7340"/>
    <w:rsid w:val="00AE75AB"/>
    <w:rsid w:val="00AF1BBD"/>
    <w:rsid w:val="00AF3155"/>
    <w:rsid w:val="00B045C4"/>
    <w:rsid w:val="00B067EA"/>
    <w:rsid w:val="00B10207"/>
    <w:rsid w:val="00B11319"/>
    <w:rsid w:val="00B141E7"/>
    <w:rsid w:val="00B20A35"/>
    <w:rsid w:val="00B20B22"/>
    <w:rsid w:val="00B214F5"/>
    <w:rsid w:val="00B21D38"/>
    <w:rsid w:val="00B238D7"/>
    <w:rsid w:val="00B23D3F"/>
    <w:rsid w:val="00B27A92"/>
    <w:rsid w:val="00B30B67"/>
    <w:rsid w:val="00B31429"/>
    <w:rsid w:val="00B31573"/>
    <w:rsid w:val="00B34DCC"/>
    <w:rsid w:val="00B35C75"/>
    <w:rsid w:val="00B366B0"/>
    <w:rsid w:val="00B406B0"/>
    <w:rsid w:val="00B40866"/>
    <w:rsid w:val="00B4241F"/>
    <w:rsid w:val="00B4430F"/>
    <w:rsid w:val="00B46BCA"/>
    <w:rsid w:val="00B47288"/>
    <w:rsid w:val="00B50565"/>
    <w:rsid w:val="00B51A88"/>
    <w:rsid w:val="00B52C75"/>
    <w:rsid w:val="00B56EF7"/>
    <w:rsid w:val="00B578C5"/>
    <w:rsid w:val="00B6025F"/>
    <w:rsid w:val="00B608EA"/>
    <w:rsid w:val="00B612E0"/>
    <w:rsid w:val="00B6532C"/>
    <w:rsid w:val="00B6568D"/>
    <w:rsid w:val="00B6633B"/>
    <w:rsid w:val="00B7342C"/>
    <w:rsid w:val="00B76423"/>
    <w:rsid w:val="00B80296"/>
    <w:rsid w:val="00B821E2"/>
    <w:rsid w:val="00B87806"/>
    <w:rsid w:val="00B87EC9"/>
    <w:rsid w:val="00B9307F"/>
    <w:rsid w:val="00B9782F"/>
    <w:rsid w:val="00BA1369"/>
    <w:rsid w:val="00BA3558"/>
    <w:rsid w:val="00BB2DBF"/>
    <w:rsid w:val="00BB3C77"/>
    <w:rsid w:val="00BB5ACF"/>
    <w:rsid w:val="00BB6753"/>
    <w:rsid w:val="00BC38FD"/>
    <w:rsid w:val="00BC45B7"/>
    <w:rsid w:val="00BC7311"/>
    <w:rsid w:val="00BC78AF"/>
    <w:rsid w:val="00BD0064"/>
    <w:rsid w:val="00BD11A8"/>
    <w:rsid w:val="00BD1447"/>
    <w:rsid w:val="00BD2224"/>
    <w:rsid w:val="00BD4DF1"/>
    <w:rsid w:val="00BD5DA2"/>
    <w:rsid w:val="00BD5F1C"/>
    <w:rsid w:val="00BE08BF"/>
    <w:rsid w:val="00BE426E"/>
    <w:rsid w:val="00BE4CFE"/>
    <w:rsid w:val="00BF46DA"/>
    <w:rsid w:val="00BF4962"/>
    <w:rsid w:val="00C01B40"/>
    <w:rsid w:val="00C034CB"/>
    <w:rsid w:val="00C05013"/>
    <w:rsid w:val="00C051A8"/>
    <w:rsid w:val="00C054BC"/>
    <w:rsid w:val="00C069DA"/>
    <w:rsid w:val="00C108D9"/>
    <w:rsid w:val="00C14F85"/>
    <w:rsid w:val="00C152FD"/>
    <w:rsid w:val="00C17897"/>
    <w:rsid w:val="00C21801"/>
    <w:rsid w:val="00C22D63"/>
    <w:rsid w:val="00C25452"/>
    <w:rsid w:val="00C260D2"/>
    <w:rsid w:val="00C263F9"/>
    <w:rsid w:val="00C333B9"/>
    <w:rsid w:val="00C4004C"/>
    <w:rsid w:val="00C409D5"/>
    <w:rsid w:val="00C42AF4"/>
    <w:rsid w:val="00C44C3A"/>
    <w:rsid w:val="00C455F6"/>
    <w:rsid w:val="00C47FEF"/>
    <w:rsid w:val="00C535BA"/>
    <w:rsid w:val="00C5398A"/>
    <w:rsid w:val="00C53B15"/>
    <w:rsid w:val="00C53E1A"/>
    <w:rsid w:val="00C54107"/>
    <w:rsid w:val="00C5530D"/>
    <w:rsid w:val="00C5673C"/>
    <w:rsid w:val="00C6234B"/>
    <w:rsid w:val="00C62939"/>
    <w:rsid w:val="00C63EAE"/>
    <w:rsid w:val="00C67018"/>
    <w:rsid w:val="00C7113D"/>
    <w:rsid w:val="00C71813"/>
    <w:rsid w:val="00C7629F"/>
    <w:rsid w:val="00C855E1"/>
    <w:rsid w:val="00C85618"/>
    <w:rsid w:val="00C86536"/>
    <w:rsid w:val="00C8661B"/>
    <w:rsid w:val="00C924DC"/>
    <w:rsid w:val="00C92539"/>
    <w:rsid w:val="00C93B74"/>
    <w:rsid w:val="00C97BE6"/>
    <w:rsid w:val="00CA11F1"/>
    <w:rsid w:val="00CA139A"/>
    <w:rsid w:val="00CA139C"/>
    <w:rsid w:val="00CA1A01"/>
    <w:rsid w:val="00CA2899"/>
    <w:rsid w:val="00CA3E7D"/>
    <w:rsid w:val="00CA73FF"/>
    <w:rsid w:val="00CA77FB"/>
    <w:rsid w:val="00CB379B"/>
    <w:rsid w:val="00CB4017"/>
    <w:rsid w:val="00CB5DD0"/>
    <w:rsid w:val="00CC1B7A"/>
    <w:rsid w:val="00CC2841"/>
    <w:rsid w:val="00CC2B27"/>
    <w:rsid w:val="00CC46A5"/>
    <w:rsid w:val="00CC51D4"/>
    <w:rsid w:val="00CC65DA"/>
    <w:rsid w:val="00CC77B0"/>
    <w:rsid w:val="00CD436D"/>
    <w:rsid w:val="00CD4C4F"/>
    <w:rsid w:val="00CD5CEF"/>
    <w:rsid w:val="00CD7A7E"/>
    <w:rsid w:val="00CE6A0B"/>
    <w:rsid w:val="00CE6A96"/>
    <w:rsid w:val="00CE7D87"/>
    <w:rsid w:val="00CF109B"/>
    <w:rsid w:val="00CF21B9"/>
    <w:rsid w:val="00CF564B"/>
    <w:rsid w:val="00CF6BF9"/>
    <w:rsid w:val="00D00E08"/>
    <w:rsid w:val="00D01FF6"/>
    <w:rsid w:val="00D02D18"/>
    <w:rsid w:val="00D03800"/>
    <w:rsid w:val="00D065D3"/>
    <w:rsid w:val="00D10A74"/>
    <w:rsid w:val="00D14C94"/>
    <w:rsid w:val="00D15A4C"/>
    <w:rsid w:val="00D24CC7"/>
    <w:rsid w:val="00D27724"/>
    <w:rsid w:val="00D33044"/>
    <w:rsid w:val="00D342A6"/>
    <w:rsid w:val="00D379DD"/>
    <w:rsid w:val="00D450A9"/>
    <w:rsid w:val="00D464BF"/>
    <w:rsid w:val="00D53E26"/>
    <w:rsid w:val="00D55FD5"/>
    <w:rsid w:val="00D6443C"/>
    <w:rsid w:val="00D66FC2"/>
    <w:rsid w:val="00D72359"/>
    <w:rsid w:val="00D727FA"/>
    <w:rsid w:val="00D733E5"/>
    <w:rsid w:val="00D7418E"/>
    <w:rsid w:val="00D761F1"/>
    <w:rsid w:val="00D82607"/>
    <w:rsid w:val="00D848AF"/>
    <w:rsid w:val="00D871FE"/>
    <w:rsid w:val="00D91991"/>
    <w:rsid w:val="00D934C5"/>
    <w:rsid w:val="00D95876"/>
    <w:rsid w:val="00D9740C"/>
    <w:rsid w:val="00D979B5"/>
    <w:rsid w:val="00DA1345"/>
    <w:rsid w:val="00DA3B24"/>
    <w:rsid w:val="00DA4734"/>
    <w:rsid w:val="00DA6D25"/>
    <w:rsid w:val="00DA7F0A"/>
    <w:rsid w:val="00DB562B"/>
    <w:rsid w:val="00DC05A0"/>
    <w:rsid w:val="00DC140A"/>
    <w:rsid w:val="00DC1490"/>
    <w:rsid w:val="00DC40BF"/>
    <w:rsid w:val="00DC4CC1"/>
    <w:rsid w:val="00DC7218"/>
    <w:rsid w:val="00DD233D"/>
    <w:rsid w:val="00DD3189"/>
    <w:rsid w:val="00DD4D23"/>
    <w:rsid w:val="00DD4F0E"/>
    <w:rsid w:val="00DE0F61"/>
    <w:rsid w:val="00DE120B"/>
    <w:rsid w:val="00DE1DCE"/>
    <w:rsid w:val="00DE3AF1"/>
    <w:rsid w:val="00DE4F7D"/>
    <w:rsid w:val="00DE5031"/>
    <w:rsid w:val="00DE54F8"/>
    <w:rsid w:val="00DE5620"/>
    <w:rsid w:val="00DE6254"/>
    <w:rsid w:val="00DF02A1"/>
    <w:rsid w:val="00DF07A3"/>
    <w:rsid w:val="00DF1B2C"/>
    <w:rsid w:val="00DF3B88"/>
    <w:rsid w:val="00DF4BB0"/>
    <w:rsid w:val="00DF7E0A"/>
    <w:rsid w:val="00E012E9"/>
    <w:rsid w:val="00E02335"/>
    <w:rsid w:val="00E05E0A"/>
    <w:rsid w:val="00E1266D"/>
    <w:rsid w:val="00E14085"/>
    <w:rsid w:val="00E14420"/>
    <w:rsid w:val="00E15646"/>
    <w:rsid w:val="00E172DC"/>
    <w:rsid w:val="00E17CE2"/>
    <w:rsid w:val="00E215D2"/>
    <w:rsid w:val="00E2193B"/>
    <w:rsid w:val="00E237AD"/>
    <w:rsid w:val="00E23CBD"/>
    <w:rsid w:val="00E2542E"/>
    <w:rsid w:val="00E33178"/>
    <w:rsid w:val="00E33D0D"/>
    <w:rsid w:val="00E34119"/>
    <w:rsid w:val="00E3529C"/>
    <w:rsid w:val="00E353F5"/>
    <w:rsid w:val="00E360FE"/>
    <w:rsid w:val="00E42BE0"/>
    <w:rsid w:val="00E47660"/>
    <w:rsid w:val="00E5049A"/>
    <w:rsid w:val="00E534CF"/>
    <w:rsid w:val="00E53B68"/>
    <w:rsid w:val="00E55487"/>
    <w:rsid w:val="00E5567E"/>
    <w:rsid w:val="00E55EE2"/>
    <w:rsid w:val="00E57B42"/>
    <w:rsid w:val="00E65F06"/>
    <w:rsid w:val="00E72731"/>
    <w:rsid w:val="00E731C6"/>
    <w:rsid w:val="00E81CB4"/>
    <w:rsid w:val="00E85131"/>
    <w:rsid w:val="00E8585B"/>
    <w:rsid w:val="00E876C3"/>
    <w:rsid w:val="00E94BF4"/>
    <w:rsid w:val="00E959AA"/>
    <w:rsid w:val="00E96E26"/>
    <w:rsid w:val="00E973C8"/>
    <w:rsid w:val="00EA1786"/>
    <w:rsid w:val="00EA3F15"/>
    <w:rsid w:val="00EA406B"/>
    <w:rsid w:val="00EA6D19"/>
    <w:rsid w:val="00EA7847"/>
    <w:rsid w:val="00EB0F00"/>
    <w:rsid w:val="00EB2625"/>
    <w:rsid w:val="00EB6B89"/>
    <w:rsid w:val="00EB7E26"/>
    <w:rsid w:val="00EC4C64"/>
    <w:rsid w:val="00EC5A59"/>
    <w:rsid w:val="00EC6D4E"/>
    <w:rsid w:val="00EC6FD5"/>
    <w:rsid w:val="00ED07A4"/>
    <w:rsid w:val="00ED0D5D"/>
    <w:rsid w:val="00ED3CEB"/>
    <w:rsid w:val="00ED5ACB"/>
    <w:rsid w:val="00ED738A"/>
    <w:rsid w:val="00EE28AD"/>
    <w:rsid w:val="00EE2E6E"/>
    <w:rsid w:val="00EE364B"/>
    <w:rsid w:val="00EE4516"/>
    <w:rsid w:val="00EE54C0"/>
    <w:rsid w:val="00EE5EF8"/>
    <w:rsid w:val="00EE685A"/>
    <w:rsid w:val="00EE71A6"/>
    <w:rsid w:val="00EE7F66"/>
    <w:rsid w:val="00EF7286"/>
    <w:rsid w:val="00EF77F8"/>
    <w:rsid w:val="00F006FE"/>
    <w:rsid w:val="00F04468"/>
    <w:rsid w:val="00F06E99"/>
    <w:rsid w:val="00F0759E"/>
    <w:rsid w:val="00F07BA8"/>
    <w:rsid w:val="00F13154"/>
    <w:rsid w:val="00F2490C"/>
    <w:rsid w:val="00F24A6A"/>
    <w:rsid w:val="00F24B10"/>
    <w:rsid w:val="00F2640D"/>
    <w:rsid w:val="00F26E1C"/>
    <w:rsid w:val="00F308CE"/>
    <w:rsid w:val="00F30951"/>
    <w:rsid w:val="00F30E98"/>
    <w:rsid w:val="00F30FE8"/>
    <w:rsid w:val="00F3174B"/>
    <w:rsid w:val="00F33FA3"/>
    <w:rsid w:val="00F41BFA"/>
    <w:rsid w:val="00F435FC"/>
    <w:rsid w:val="00F441F9"/>
    <w:rsid w:val="00F45440"/>
    <w:rsid w:val="00F45588"/>
    <w:rsid w:val="00F51B24"/>
    <w:rsid w:val="00F5463F"/>
    <w:rsid w:val="00F55751"/>
    <w:rsid w:val="00F56221"/>
    <w:rsid w:val="00F6109B"/>
    <w:rsid w:val="00F61496"/>
    <w:rsid w:val="00F62C06"/>
    <w:rsid w:val="00F63212"/>
    <w:rsid w:val="00F66064"/>
    <w:rsid w:val="00F660BA"/>
    <w:rsid w:val="00F7158A"/>
    <w:rsid w:val="00F726CA"/>
    <w:rsid w:val="00F741EE"/>
    <w:rsid w:val="00F7606A"/>
    <w:rsid w:val="00F7678C"/>
    <w:rsid w:val="00F81D5E"/>
    <w:rsid w:val="00F821A3"/>
    <w:rsid w:val="00F83C5E"/>
    <w:rsid w:val="00F84084"/>
    <w:rsid w:val="00F851BF"/>
    <w:rsid w:val="00F86B16"/>
    <w:rsid w:val="00F92C22"/>
    <w:rsid w:val="00F92DFF"/>
    <w:rsid w:val="00F9314A"/>
    <w:rsid w:val="00F973B5"/>
    <w:rsid w:val="00FA0836"/>
    <w:rsid w:val="00FA26B8"/>
    <w:rsid w:val="00FA3538"/>
    <w:rsid w:val="00FA5CED"/>
    <w:rsid w:val="00FA6DE7"/>
    <w:rsid w:val="00FB1443"/>
    <w:rsid w:val="00FB4046"/>
    <w:rsid w:val="00FB55F1"/>
    <w:rsid w:val="00FC182F"/>
    <w:rsid w:val="00FC1A14"/>
    <w:rsid w:val="00FC2DE2"/>
    <w:rsid w:val="00FC545F"/>
    <w:rsid w:val="00FC58EF"/>
    <w:rsid w:val="00FC7889"/>
    <w:rsid w:val="00FC7E20"/>
    <w:rsid w:val="00FD226D"/>
    <w:rsid w:val="00FD33DF"/>
    <w:rsid w:val="00FD5530"/>
    <w:rsid w:val="00FD7782"/>
    <w:rsid w:val="00FE39D7"/>
    <w:rsid w:val="00FE70AF"/>
    <w:rsid w:val="00FF180F"/>
    <w:rsid w:val="00FF23CB"/>
    <w:rsid w:val="00FF25A8"/>
    <w:rsid w:val="00FF7ED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unhideWhenUsed/>
    <w:qFormat/>
    <w:rsid w:val="00A35D3E"/>
    <w:pPr>
      <w:keepNext/>
      <w:spacing w:before="240" w:after="60"/>
      <w:outlineLvl w:val="1"/>
    </w:pPr>
    <w:rPr>
      <w:rFonts w:ascii="Cambria" w:hAnsi="Cambria"/>
      <w:b/>
      <w:bCs/>
      <w:i/>
      <w:iCs/>
      <w:sz w:val="28"/>
      <w:szCs w:val="28"/>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iPriority w:val="9"/>
    <w:semiHidden/>
    <w:unhideWhenUsed/>
    <w:qFormat/>
    <w:rsid w:val="00795BFB"/>
    <w:pPr>
      <w:spacing w:before="240" w:after="60"/>
      <w:outlineLvl w:val="5"/>
    </w:pPr>
    <w:rPr>
      <w:rFonts w:ascii="Calibri" w:hAnsi="Calibri"/>
      <w:b/>
      <w:bCs/>
      <w:sz w:val="22"/>
      <w:szCs w:val="22"/>
      <w:lang w:val="x-none"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uiPriority w:val="9"/>
    <w:semiHidden/>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rPr>
      <w:lang w:val="x-none" w:eastAsia="x-none"/>
    </w:r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2Car">
    <w:name w:val="Título 2 Car"/>
    <w:link w:val="Ttulo2"/>
    <w:uiPriority w:val="9"/>
    <w:rsid w:val="00A35D3E"/>
    <w:rPr>
      <w:rFonts w:ascii="Cambria" w:eastAsia="Times New Roman" w:hAnsi="Cambria" w:cs="Times New Roman"/>
      <w:b/>
      <w:bCs/>
      <w:i/>
      <w:iCs/>
      <w:sz w:val="28"/>
      <w:szCs w:val="28"/>
      <w:lang w:val="es-ES" w:eastAsia="es-ES"/>
    </w:rPr>
  </w:style>
  <w:style w:type="paragraph" w:styleId="Textonotapie">
    <w:name w:val="footnote text"/>
    <w:basedOn w:val="Normal"/>
    <w:link w:val="TextonotapieCar"/>
    <w:uiPriority w:val="99"/>
    <w:rsid w:val="00A35D3E"/>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uiPriority w:val="99"/>
    <w:rsid w:val="00A35D3E"/>
    <w:rPr>
      <w:lang w:val="es-ES" w:eastAsia="es-ES"/>
    </w:rPr>
  </w:style>
  <w:style w:type="paragraph" w:customStyle="1" w:styleId="ARTICULOS">
    <w:name w:val="ARTICULOS"/>
    <w:basedOn w:val="Normal"/>
    <w:link w:val="ARTICULOSCar"/>
    <w:qFormat/>
    <w:rsid w:val="00A35D3E"/>
    <w:pPr>
      <w:widowControl w:val="0"/>
      <w:numPr>
        <w:numId w:val="14"/>
      </w:numPr>
      <w:adjustRightInd w:val="0"/>
      <w:ind w:left="0" w:firstLine="0"/>
      <w:jc w:val="both"/>
      <w:textAlignment w:val="baseline"/>
    </w:pPr>
    <w:rPr>
      <w:rFonts w:ascii="Bookman Old Style" w:hAnsi="Bookman Old Style"/>
      <w:bCs/>
    </w:rPr>
  </w:style>
  <w:style w:type="character" w:customStyle="1" w:styleId="ARTICULOSCar">
    <w:name w:val="ARTICULOS Car"/>
    <w:link w:val="ARTICULOS"/>
    <w:rsid w:val="00A35D3E"/>
    <w:rPr>
      <w:rFonts w:ascii="Bookman Old Style" w:hAnsi="Bookman Old Style"/>
      <w:bCs/>
      <w:sz w:val="24"/>
      <w:szCs w:val="24"/>
      <w:lang w:val="es-ES" w:eastAsia="es-ES"/>
    </w:rPr>
  </w:style>
  <w:style w:type="character" w:customStyle="1" w:styleId="PiedepginaCar">
    <w:name w:val="Pie de página Car"/>
    <w:link w:val="Piedepgina"/>
    <w:rsid w:val="00AF3155"/>
    <w:rPr>
      <w:sz w:val="24"/>
      <w:szCs w:val="24"/>
      <w:lang w:val="es-ES" w:eastAsia="es-ES"/>
    </w:rPr>
  </w:style>
  <w:style w:type="paragraph" w:styleId="NormalWeb">
    <w:name w:val="Normal (Web)"/>
    <w:basedOn w:val="Normal"/>
    <w:semiHidden/>
    <w:rsid w:val="0020528A"/>
    <w:pPr>
      <w:spacing w:before="100" w:beforeAutospacing="1" w:after="100" w:afterAutospacing="1"/>
      <w:ind w:left="0"/>
    </w:pPr>
  </w:style>
  <w:style w:type="paragraph" w:styleId="Sangra2detindependiente">
    <w:name w:val="Body Text Indent 2"/>
    <w:basedOn w:val="Normal"/>
    <w:link w:val="Sangra2detindependienteCar"/>
    <w:uiPriority w:val="99"/>
    <w:semiHidden/>
    <w:unhideWhenUsed/>
    <w:rsid w:val="00AB4774"/>
    <w:pPr>
      <w:spacing w:after="120" w:line="480" w:lineRule="auto"/>
      <w:ind w:left="283"/>
    </w:pPr>
  </w:style>
  <w:style w:type="character" w:customStyle="1" w:styleId="Sangra2detindependienteCar">
    <w:name w:val="Sangría 2 de t. independiente Car"/>
    <w:link w:val="Sangra2detindependiente"/>
    <w:uiPriority w:val="99"/>
    <w:semiHidden/>
    <w:rsid w:val="00AB4774"/>
    <w:rPr>
      <w:sz w:val="24"/>
      <w:szCs w:val="24"/>
      <w:lang w:val="es-ES" w:eastAsia="es-ES"/>
    </w:rPr>
  </w:style>
  <w:style w:type="character" w:styleId="Hipervnculo">
    <w:name w:val="Hyperlink"/>
    <w:uiPriority w:val="99"/>
    <w:semiHidden/>
    <w:unhideWhenUsed/>
    <w:rsid w:val="00257A21"/>
    <w:rPr>
      <w:color w:val="0000FF"/>
      <w:u w:val="single"/>
    </w:rPr>
  </w:style>
  <w:style w:type="character" w:customStyle="1" w:styleId="textonavy1">
    <w:name w:val="texto_navy1"/>
    <w:rsid w:val="00257A21"/>
    <w:rPr>
      <w:color w:val="000080"/>
    </w:rPr>
  </w:style>
  <w:style w:type="paragraph" w:customStyle="1" w:styleId="xl29">
    <w:name w:val="xl29"/>
    <w:basedOn w:val="Normal"/>
    <w:rsid w:val="00580B0C"/>
    <w:pPr>
      <w:pBdr>
        <w:left w:val="single" w:sz="8" w:space="0" w:color="auto"/>
        <w:bottom w:val="single" w:sz="4" w:space="0" w:color="auto"/>
        <w:right w:val="single" w:sz="4" w:space="0" w:color="auto"/>
      </w:pBdr>
      <w:spacing w:before="100" w:beforeAutospacing="1" w:after="100" w:afterAutospacing="1"/>
      <w:ind w:left="0"/>
      <w:jc w:val="center"/>
      <w:textAlignment w:val="center"/>
    </w:pPr>
    <w:rPr>
      <w:rFonts w:ascii="Arial" w:eastAsia="Arial Unicode MS" w:hAnsi="Arial" w:cs="Arial"/>
      <w:sz w:val="22"/>
      <w:szCs w:val="22"/>
    </w:rPr>
  </w:style>
  <w:style w:type="paragraph" w:customStyle="1" w:styleId="Pliego-Normal">
    <w:name w:val="Pliego-Normal"/>
    <w:basedOn w:val="Normal"/>
    <w:rsid w:val="00DE5620"/>
    <w:pPr>
      <w:ind w:left="0"/>
      <w:jc w:val="both"/>
    </w:pPr>
    <w:rPr>
      <w:rFonts w:ascii="Garamond" w:hAnsi="Garamond"/>
      <w:bCs/>
      <w:sz w:val="22"/>
      <w:szCs w:val="20"/>
      <w:lang w:val="es-ES_tradnl"/>
    </w:rPr>
  </w:style>
  <w:style w:type="paragraph" w:customStyle="1" w:styleId="Textoindependiente31">
    <w:name w:val="Texto independiente 31"/>
    <w:basedOn w:val="Normal"/>
    <w:rsid w:val="00472931"/>
    <w:pPr>
      <w:spacing w:before="120" w:after="120"/>
      <w:ind w:left="0"/>
      <w:jc w:val="both"/>
    </w:pPr>
    <w:rPr>
      <w:rFonts w:ascii="Arial" w:hAnsi="Arial"/>
      <w:sz w:val="22"/>
      <w:szCs w:val="20"/>
    </w:rPr>
  </w:style>
  <w:style w:type="paragraph" w:customStyle="1" w:styleId="p11">
    <w:name w:val="p11"/>
    <w:basedOn w:val="Normal"/>
    <w:rsid w:val="00791281"/>
    <w:pPr>
      <w:widowControl w:val="0"/>
      <w:spacing w:line="280" w:lineRule="atLeast"/>
      <w:ind w:left="0"/>
      <w:jc w:val="both"/>
    </w:pPr>
    <w:rPr>
      <w:snapToGrid w:val="0"/>
      <w:szCs w:val="20"/>
    </w:rPr>
  </w:style>
  <w:style w:type="paragraph" w:customStyle="1" w:styleId="Textodebloque1">
    <w:name w:val="Texto de bloque1"/>
    <w:basedOn w:val="Normal"/>
    <w:rsid w:val="00A0661C"/>
    <w:pPr>
      <w:tabs>
        <w:tab w:val="left" w:pos="284"/>
        <w:tab w:val="left" w:pos="708"/>
        <w:tab w:val="left" w:pos="2124"/>
        <w:tab w:val="left" w:pos="2832"/>
        <w:tab w:val="left" w:pos="3540"/>
        <w:tab w:val="left" w:pos="4248"/>
        <w:tab w:val="left" w:pos="4956"/>
        <w:tab w:val="left" w:pos="5664"/>
        <w:tab w:val="left" w:pos="6372"/>
        <w:tab w:val="left" w:pos="7080"/>
        <w:tab w:val="left" w:pos="7470"/>
        <w:tab w:val="left" w:pos="7797"/>
        <w:tab w:val="left" w:pos="7938"/>
      </w:tabs>
      <w:suppressAutoHyphens/>
      <w:overflowPunct w:val="0"/>
      <w:autoSpaceDE w:val="0"/>
      <w:autoSpaceDN w:val="0"/>
      <w:adjustRightInd w:val="0"/>
      <w:ind w:left="1440" w:right="618"/>
      <w:jc w:val="both"/>
    </w:pPr>
    <w:rPr>
      <w:rFonts w:ascii="Bookman Old Style" w:hAnsi="Bookman Old Style"/>
      <w:szCs w:val="20"/>
      <w:lang w:val="es-ES_tradnl" w:eastAsia="es-CO"/>
    </w:rPr>
  </w:style>
  <w:style w:type="character" w:styleId="Refdenotaalpie">
    <w:name w:val="footnote reference"/>
    <w:uiPriority w:val="99"/>
    <w:rsid w:val="0068397B"/>
    <w:rPr>
      <w:vertAlign w:val="superscript"/>
    </w:rPr>
  </w:style>
  <w:style w:type="character" w:styleId="Refdecomentario">
    <w:name w:val="annotation reference"/>
    <w:uiPriority w:val="99"/>
    <w:semiHidden/>
    <w:unhideWhenUsed/>
    <w:rsid w:val="00BD1447"/>
    <w:rPr>
      <w:sz w:val="16"/>
      <w:szCs w:val="16"/>
    </w:rPr>
  </w:style>
  <w:style w:type="paragraph" w:styleId="Textocomentario">
    <w:name w:val="annotation text"/>
    <w:basedOn w:val="Normal"/>
    <w:link w:val="TextocomentarioCar"/>
    <w:uiPriority w:val="99"/>
    <w:unhideWhenUsed/>
    <w:rsid w:val="00BD1447"/>
    <w:rPr>
      <w:sz w:val="20"/>
      <w:szCs w:val="20"/>
    </w:rPr>
  </w:style>
  <w:style w:type="character" w:customStyle="1" w:styleId="TextocomentarioCar">
    <w:name w:val="Texto comentario Car"/>
    <w:link w:val="Textocomentario"/>
    <w:uiPriority w:val="99"/>
    <w:rsid w:val="00BD1447"/>
    <w:rPr>
      <w:lang w:val="es-ES" w:eastAsia="es-ES"/>
    </w:rPr>
  </w:style>
  <w:style w:type="paragraph" w:styleId="Asuntodelcomentario">
    <w:name w:val="annotation subject"/>
    <w:basedOn w:val="Textocomentario"/>
    <w:next w:val="Textocomentario"/>
    <w:link w:val="AsuntodelcomentarioCar"/>
    <w:uiPriority w:val="99"/>
    <w:semiHidden/>
    <w:unhideWhenUsed/>
    <w:rsid w:val="00BD1447"/>
    <w:rPr>
      <w:b/>
      <w:bCs/>
    </w:rPr>
  </w:style>
  <w:style w:type="character" w:customStyle="1" w:styleId="AsuntodelcomentarioCar">
    <w:name w:val="Asunto del comentario Car"/>
    <w:link w:val="Asuntodelcomentario"/>
    <w:uiPriority w:val="99"/>
    <w:semiHidden/>
    <w:rsid w:val="00BD1447"/>
    <w:rPr>
      <w:b/>
      <w:bCs/>
      <w:lang w:val="es-ES" w:eastAsia="es-ES"/>
    </w:rPr>
  </w:style>
  <w:style w:type="paragraph" w:styleId="Revisin">
    <w:name w:val="Revision"/>
    <w:hidden/>
    <w:uiPriority w:val="99"/>
    <w:semiHidden/>
    <w:rsid w:val="00A6591E"/>
    <w:rPr>
      <w:sz w:val="24"/>
      <w:szCs w:val="24"/>
      <w:lang w:val="es-ES" w:eastAsia="es-ES"/>
    </w:rPr>
  </w:style>
  <w:style w:type="paragraph" w:customStyle="1" w:styleId="Vietaletra">
    <w:name w:val="Viñeta letra"/>
    <w:basedOn w:val="Normal"/>
    <w:next w:val="Normal"/>
    <w:rsid w:val="000A51F8"/>
    <w:pPr>
      <w:numPr>
        <w:numId w:val="38"/>
      </w:numPr>
      <w:suppressAutoHyphens/>
      <w:overflowPunct w:val="0"/>
      <w:autoSpaceDE w:val="0"/>
      <w:ind w:left="0"/>
      <w:jc w:val="both"/>
      <w:textAlignment w:val="baseline"/>
    </w:pPr>
    <w:rPr>
      <w:rFonts w:ascii="Arial" w:hAnsi="Arial"/>
      <w:szCs w:val="20"/>
      <w:lang w:val="es-ES_tradnl" w:eastAsia="ar-SA"/>
    </w:rPr>
  </w:style>
  <w:style w:type="paragraph" w:styleId="Lista">
    <w:name w:val="List"/>
    <w:basedOn w:val="Normal"/>
    <w:uiPriority w:val="99"/>
    <w:unhideWhenUsed/>
    <w:rsid w:val="00057E91"/>
    <w:pPr>
      <w:ind w:left="283" w:hanging="283"/>
      <w:contextualSpacing/>
    </w:pPr>
  </w:style>
  <w:style w:type="paragraph" w:styleId="Lista2">
    <w:name w:val="List 2"/>
    <w:basedOn w:val="Normal"/>
    <w:uiPriority w:val="99"/>
    <w:unhideWhenUsed/>
    <w:rsid w:val="00057E91"/>
    <w:pPr>
      <w:ind w:left="566" w:hanging="283"/>
      <w:contextualSpacing/>
    </w:pPr>
  </w:style>
  <w:style w:type="paragraph" w:styleId="Saludo">
    <w:name w:val="Salutation"/>
    <w:basedOn w:val="Normal"/>
    <w:next w:val="Normal"/>
    <w:link w:val="SaludoCar"/>
    <w:uiPriority w:val="99"/>
    <w:unhideWhenUsed/>
    <w:rsid w:val="00057E91"/>
  </w:style>
  <w:style w:type="character" w:customStyle="1" w:styleId="SaludoCar">
    <w:name w:val="Saludo Car"/>
    <w:basedOn w:val="Fuentedeprrafopredeter"/>
    <w:link w:val="Saludo"/>
    <w:uiPriority w:val="99"/>
    <w:rsid w:val="00057E91"/>
    <w:rPr>
      <w:sz w:val="24"/>
      <w:szCs w:val="24"/>
      <w:lang w:val="es-ES" w:eastAsia="es-ES"/>
    </w:rPr>
  </w:style>
  <w:style w:type="paragraph" w:styleId="Listaconvietas">
    <w:name w:val="List Bullet"/>
    <w:basedOn w:val="Normal"/>
    <w:uiPriority w:val="99"/>
    <w:unhideWhenUsed/>
    <w:rsid w:val="00057E91"/>
    <w:pPr>
      <w:numPr>
        <w:numId w:val="48"/>
      </w:numPr>
      <w:contextualSpacing/>
    </w:pPr>
  </w:style>
  <w:style w:type="paragraph" w:styleId="Listaconvietas2">
    <w:name w:val="List Bullet 2"/>
    <w:basedOn w:val="Normal"/>
    <w:uiPriority w:val="99"/>
    <w:unhideWhenUsed/>
    <w:rsid w:val="00057E91"/>
    <w:pPr>
      <w:numPr>
        <w:numId w:val="49"/>
      </w:numPr>
      <w:contextualSpacing/>
    </w:pPr>
  </w:style>
  <w:style w:type="paragraph" w:styleId="Listaconvietas3">
    <w:name w:val="List Bullet 3"/>
    <w:basedOn w:val="Normal"/>
    <w:uiPriority w:val="99"/>
    <w:unhideWhenUsed/>
    <w:rsid w:val="00057E91"/>
    <w:pPr>
      <w:numPr>
        <w:numId w:val="50"/>
      </w:numPr>
      <w:contextualSpacing/>
    </w:pPr>
  </w:style>
  <w:style w:type="paragraph" w:styleId="Continuarlista">
    <w:name w:val="List Continue"/>
    <w:basedOn w:val="Normal"/>
    <w:uiPriority w:val="99"/>
    <w:unhideWhenUsed/>
    <w:rsid w:val="00057E91"/>
    <w:pPr>
      <w:spacing w:after="120"/>
      <w:ind w:left="283"/>
      <w:contextualSpacing/>
    </w:pPr>
  </w:style>
  <w:style w:type="paragraph" w:styleId="Continuarlista2">
    <w:name w:val="List Continue 2"/>
    <w:basedOn w:val="Normal"/>
    <w:uiPriority w:val="99"/>
    <w:unhideWhenUsed/>
    <w:rsid w:val="00057E91"/>
    <w:pPr>
      <w:spacing w:after="120"/>
      <w:ind w:left="566"/>
      <w:contextualSpacing/>
    </w:pPr>
  </w:style>
  <w:style w:type="paragraph" w:styleId="Sangradetextonormal">
    <w:name w:val="Body Text Indent"/>
    <w:basedOn w:val="Normal"/>
    <w:link w:val="SangradetextonormalCar"/>
    <w:uiPriority w:val="99"/>
    <w:semiHidden/>
    <w:unhideWhenUsed/>
    <w:rsid w:val="00057E91"/>
    <w:pPr>
      <w:spacing w:after="120"/>
      <w:ind w:left="283"/>
    </w:pPr>
  </w:style>
  <w:style w:type="character" w:customStyle="1" w:styleId="SangradetextonormalCar">
    <w:name w:val="Sangría de texto normal Car"/>
    <w:basedOn w:val="Fuentedeprrafopredeter"/>
    <w:link w:val="Sangradetextonormal"/>
    <w:uiPriority w:val="99"/>
    <w:semiHidden/>
    <w:rsid w:val="00057E91"/>
    <w:rPr>
      <w:sz w:val="24"/>
      <w:szCs w:val="24"/>
      <w:lang w:val="es-ES" w:eastAsia="es-ES"/>
    </w:rPr>
  </w:style>
  <w:style w:type="paragraph" w:styleId="Textoindependienteprimerasangra2">
    <w:name w:val="Body Text First Indent 2"/>
    <w:basedOn w:val="Sangradetextonormal"/>
    <w:link w:val="Textoindependienteprimerasangra2Car"/>
    <w:uiPriority w:val="99"/>
    <w:unhideWhenUsed/>
    <w:rsid w:val="00057E91"/>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057E91"/>
    <w:rPr>
      <w:sz w:val="24"/>
      <w:szCs w:val="24"/>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unhideWhenUsed/>
    <w:qFormat/>
    <w:rsid w:val="00A35D3E"/>
    <w:pPr>
      <w:keepNext/>
      <w:spacing w:before="240" w:after="60"/>
      <w:outlineLvl w:val="1"/>
    </w:pPr>
    <w:rPr>
      <w:rFonts w:ascii="Cambria" w:hAnsi="Cambria"/>
      <w:b/>
      <w:bCs/>
      <w:i/>
      <w:iCs/>
      <w:sz w:val="28"/>
      <w:szCs w:val="28"/>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iPriority w:val="9"/>
    <w:semiHidden/>
    <w:unhideWhenUsed/>
    <w:qFormat/>
    <w:rsid w:val="00795BFB"/>
    <w:pPr>
      <w:spacing w:before="240" w:after="60"/>
      <w:outlineLvl w:val="5"/>
    </w:pPr>
    <w:rPr>
      <w:rFonts w:ascii="Calibri" w:hAnsi="Calibri"/>
      <w:b/>
      <w:bCs/>
      <w:sz w:val="22"/>
      <w:szCs w:val="22"/>
      <w:lang w:val="x-none"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uiPriority w:val="9"/>
    <w:semiHidden/>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rPr>
      <w:lang w:val="x-none" w:eastAsia="x-none"/>
    </w:r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2Car">
    <w:name w:val="Título 2 Car"/>
    <w:link w:val="Ttulo2"/>
    <w:uiPriority w:val="9"/>
    <w:rsid w:val="00A35D3E"/>
    <w:rPr>
      <w:rFonts w:ascii="Cambria" w:eastAsia="Times New Roman" w:hAnsi="Cambria" w:cs="Times New Roman"/>
      <w:b/>
      <w:bCs/>
      <w:i/>
      <w:iCs/>
      <w:sz w:val="28"/>
      <w:szCs w:val="28"/>
      <w:lang w:val="es-ES" w:eastAsia="es-ES"/>
    </w:rPr>
  </w:style>
  <w:style w:type="paragraph" w:styleId="Textonotapie">
    <w:name w:val="footnote text"/>
    <w:basedOn w:val="Normal"/>
    <w:link w:val="TextonotapieCar"/>
    <w:uiPriority w:val="99"/>
    <w:rsid w:val="00A35D3E"/>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uiPriority w:val="99"/>
    <w:rsid w:val="00A35D3E"/>
    <w:rPr>
      <w:lang w:val="es-ES" w:eastAsia="es-ES"/>
    </w:rPr>
  </w:style>
  <w:style w:type="paragraph" w:customStyle="1" w:styleId="ARTICULOS">
    <w:name w:val="ARTICULOS"/>
    <w:basedOn w:val="Normal"/>
    <w:link w:val="ARTICULOSCar"/>
    <w:qFormat/>
    <w:rsid w:val="00A35D3E"/>
    <w:pPr>
      <w:widowControl w:val="0"/>
      <w:numPr>
        <w:numId w:val="14"/>
      </w:numPr>
      <w:adjustRightInd w:val="0"/>
      <w:ind w:left="0" w:firstLine="0"/>
      <w:jc w:val="both"/>
      <w:textAlignment w:val="baseline"/>
    </w:pPr>
    <w:rPr>
      <w:rFonts w:ascii="Bookman Old Style" w:hAnsi="Bookman Old Style"/>
      <w:bCs/>
    </w:rPr>
  </w:style>
  <w:style w:type="character" w:customStyle="1" w:styleId="ARTICULOSCar">
    <w:name w:val="ARTICULOS Car"/>
    <w:link w:val="ARTICULOS"/>
    <w:rsid w:val="00A35D3E"/>
    <w:rPr>
      <w:rFonts w:ascii="Bookman Old Style" w:hAnsi="Bookman Old Style"/>
      <w:bCs/>
      <w:sz w:val="24"/>
      <w:szCs w:val="24"/>
      <w:lang w:val="es-ES" w:eastAsia="es-ES"/>
    </w:rPr>
  </w:style>
  <w:style w:type="character" w:customStyle="1" w:styleId="PiedepginaCar">
    <w:name w:val="Pie de página Car"/>
    <w:link w:val="Piedepgina"/>
    <w:rsid w:val="00AF3155"/>
    <w:rPr>
      <w:sz w:val="24"/>
      <w:szCs w:val="24"/>
      <w:lang w:val="es-ES" w:eastAsia="es-ES"/>
    </w:rPr>
  </w:style>
  <w:style w:type="paragraph" w:styleId="NormalWeb">
    <w:name w:val="Normal (Web)"/>
    <w:basedOn w:val="Normal"/>
    <w:semiHidden/>
    <w:rsid w:val="0020528A"/>
    <w:pPr>
      <w:spacing w:before="100" w:beforeAutospacing="1" w:after="100" w:afterAutospacing="1"/>
      <w:ind w:left="0"/>
    </w:pPr>
  </w:style>
  <w:style w:type="paragraph" w:styleId="Sangra2detindependiente">
    <w:name w:val="Body Text Indent 2"/>
    <w:basedOn w:val="Normal"/>
    <w:link w:val="Sangra2detindependienteCar"/>
    <w:uiPriority w:val="99"/>
    <w:semiHidden/>
    <w:unhideWhenUsed/>
    <w:rsid w:val="00AB4774"/>
    <w:pPr>
      <w:spacing w:after="120" w:line="480" w:lineRule="auto"/>
      <w:ind w:left="283"/>
    </w:pPr>
  </w:style>
  <w:style w:type="character" w:customStyle="1" w:styleId="Sangra2detindependienteCar">
    <w:name w:val="Sangría 2 de t. independiente Car"/>
    <w:link w:val="Sangra2detindependiente"/>
    <w:uiPriority w:val="99"/>
    <w:semiHidden/>
    <w:rsid w:val="00AB4774"/>
    <w:rPr>
      <w:sz w:val="24"/>
      <w:szCs w:val="24"/>
      <w:lang w:val="es-ES" w:eastAsia="es-ES"/>
    </w:rPr>
  </w:style>
  <w:style w:type="character" w:styleId="Hipervnculo">
    <w:name w:val="Hyperlink"/>
    <w:uiPriority w:val="99"/>
    <w:semiHidden/>
    <w:unhideWhenUsed/>
    <w:rsid w:val="00257A21"/>
    <w:rPr>
      <w:color w:val="0000FF"/>
      <w:u w:val="single"/>
    </w:rPr>
  </w:style>
  <w:style w:type="character" w:customStyle="1" w:styleId="textonavy1">
    <w:name w:val="texto_navy1"/>
    <w:rsid w:val="00257A21"/>
    <w:rPr>
      <w:color w:val="000080"/>
    </w:rPr>
  </w:style>
  <w:style w:type="paragraph" w:customStyle="1" w:styleId="xl29">
    <w:name w:val="xl29"/>
    <w:basedOn w:val="Normal"/>
    <w:rsid w:val="00580B0C"/>
    <w:pPr>
      <w:pBdr>
        <w:left w:val="single" w:sz="8" w:space="0" w:color="auto"/>
        <w:bottom w:val="single" w:sz="4" w:space="0" w:color="auto"/>
        <w:right w:val="single" w:sz="4" w:space="0" w:color="auto"/>
      </w:pBdr>
      <w:spacing w:before="100" w:beforeAutospacing="1" w:after="100" w:afterAutospacing="1"/>
      <w:ind w:left="0"/>
      <w:jc w:val="center"/>
      <w:textAlignment w:val="center"/>
    </w:pPr>
    <w:rPr>
      <w:rFonts w:ascii="Arial" w:eastAsia="Arial Unicode MS" w:hAnsi="Arial" w:cs="Arial"/>
      <w:sz w:val="22"/>
      <w:szCs w:val="22"/>
    </w:rPr>
  </w:style>
  <w:style w:type="paragraph" w:customStyle="1" w:styleId="Pliego-Normal">
    <w:name w:val="Pliego-Normal"/>
    <w:basedOn w:val="Normal"/>
    <w:rsid w:val="00DE5620"/>
    <w:pPr>
      <w:ind w:left="0"/>
      <w:jc w:val="both"/>
    </w:pPr>
    <w:rPr>
      <w:rFonts w:ascii="Garamond" w:hAnsi="Garamond"/>
      <w:bCs/>
      <w:sz w:val="22"/>
      <w:szCs w:val="20"/>
      <w:lang w:val="es-ES_tradnl"/>
    </w:rPr>
  </w:style>
  <w:style w:type="paragraph" w:customStyle="1" w:styleId="Textoindependiente31">
    <w:name w:val="Texto independiente 31"/>
    <w:basedOn w:val="Normal"/>
    <w:rsid w:val="00472931"/>
    <w:pPr>
      <w:spacing w:before="120" w:after="120"/>
      <w:ind w:left="0"/>
      <w:jc w:val="both"/>
    </w:pPr>
    <w:rPr>
      <w:rFonts w:ascii="Arial" w:hAnsi="Arial"/>
      <w:sz w:val="22"/>
      <w:szCs w:val="20"/>
    </w:rPr>
  </w:style>
  <w:style w:type="paragraph" w:customStyle="1" w:styleId="p11">
    <w:name w:val="p11"/>
    <w:basedOn w:val="Normal"/>
    <w:rsid w:val="00791281"/>
    <w:pPr>
      <w:widowControl w:val="0"/>
      <w:spacing w:line="280" w:lineRule="atLeast"/>
      <w:ind w:left="0"/>
      <w:jc w:val="both"/>
    </w:pPr>
    <w:rPr>
      <w:snapToGrid w:val="0"/>
      <w:szCs w:val="20"/>
    </w:rPr>
  </w:style>
  <w:style w:type="paragraph" w:customStyle="1" w:styleId="Textodebloque1">
    <w:name w:val="Texto de bloque1"/>
    <w:basedOn w:val="Normal"/>
    <w:rsid w:val="00A0661C"/>
    <w:pPr>
      <w:tabs>
        <w:tab w:val="left" w:pos="284"/>
        <w:tab w:val="left" w:pos="708"/>
        <w:tab w:val="left" w:pos="2124"/>
        <w:tab w:val="left" w:pos="2832"/>
        <w:tab w:val="left" w:pos="3540"/>
        <w:tab w:val="left" w:pos="4248"/>
        <w:tab w:val="left" w:pos="4956"/>
        <w:tab w:val="left" w:pos="5664"/>
        <w:tab w:val="left" w:pos="6372"/>
        <w:tab w:val="left" w:pos="7080"/>
        <w:tab w:val="left" w:pos="7470"/>
        <w:tab w:val="left" w:pos="7797"/>
        <w:tab w:val="left" w:pos="7938"/>
      </w:tabs>
      <w:suppressAutoHyphens/>
      <w:overflowPunct w:val="0"/>
      <w:autoSpaceDE w:val="0"/>
      <w:autoSpaceDN w:val="0"/>
      <w:adjustRightInd w:val="0"/>
      <w:ind w:left="1440" w:right="618"/>
      <w:jc w:val="both"/>
    </w:pPr>
    <w:rPr>
      <w:rFonts w:ascii="Bookman Old Style" w:hAnsi="Bookman Old Style"/>
      <w:szCs w:val="20"/>
      <w:lang w:val="es-ES_tradnl" w:eastAsia="es-CO"/>
    </w:rPr>
  </w:style>
  <w:style w:type="character" w:styleId="Refdenotaalpie">
    <w:name w:val="footnote reference"/>
    <w:uiPriority w:val="99"/>
    <w:rsid w:val="0068397B"/>
    <w:rPr>
      <w:vertAlign w:val="superscript"/>
    </w:rPr>
  </w:style>
  <w:style w:type="character" w:styleId="Refdecomentario">
    <w:name w:val="annotation reference"/>
    <w:uiPriority w:val="99"/>
    <w:semiHidden/>
    <w:unhideWhenUsed/>
    <w:rsid w:val="00BD1447"/>
    <w:rPr>
      <w:sz w:val="16"/>
      <w:szCs w:val="16"/>
    </w:rPr>
  </w:style>
  <w:style w:type="paragraph" w:styleId="Textocomentario">
    <w:name w:val="annotation text"/>
    <w:basedOn w:val="Normal"/>
    <w:link w:val="TextocomentarioCar"/>
    <w:uiPriority w:val="99"/>
    <w:unhideWhenUsed/>
    <w:rsid w:val="00BD1447"/>
    <w:rPr>
      <w:sz w:val="20"/>
      <w:szCs w:val="20"/>
    </w:rPr>
  </w:style>
  <w:style w:type="character" w:customStyle="1" w:styleId="TextocomentarioCar">
    <w:name w:val="Texto comentario Car"/>
    <w:link w:val="Textocomentario"/>
    <w:uiPriority w:val="99"/>
    <w:rsid w:val="00BD1447"/>
    <w:rPr>
      <w:lang w:val="es-ES" w:eastAsia="es-ES"/>
    </w:rPr>
  </w:style>
  <w:style w:type="paragraph" w:styleId="Asuntodelcomentario">
    <w:name w:val="annotation subject"/>
    <w:basedOn w:val="Textocomentario"/>
    <w:next w:val="Textocomentario"/>
    <w:link w:val="AsuntodelcomentarioCar"/>
    <w:uiPriority w:val="99"/>
    <w:semiHidden/>
    <w:unhideWhenUsed/>
    <w:rsid w:val="00BD1447"/>
    <w:rPr>
      <w:b/>
      <w:bCs/>
    </w:rPr>
  </w:style>
  <w:style w:type="character" w:customStyle="1" w:styleId="AsuntodelcomentarioCar">
    <w:name w:val="Asunto del comentario Car"/>
    <w:link w:val="Asuntodelcomentario"/>
    <w:uiPriority w:val="99"/>
    <w:semiHidden/>
    <w:rsid w:val="00BD1447"/>
    <w:rPr>
      <w:b/>
      <w:bCs/>
      <w:lang w:val="es-ES" w:eastAsia="es-ES"/>
    </w:rPr>
  </w:style>
  <w:style w:type="paragraph" w:styleId="Revisin">
    <w:name w:val="Revision"/>
    <w:hidden/>
    <w:uiPriority w:val="99"/>
    <w:semiHidden/>
    <w:rsid w:val="00A6591E"/>
    <w:rPr>
      <w:sz w:val="24"/>
      <w:szCs w:val="24"/>
      <w:lang w:val="es-ES" w:eastAsia="es-ES"/>
    </w:rPr>
  </w:style>
  <w:style w:type="paragraph" w:customStyle="1" w:styleId="Vietaletra">
    <w:name w:val="Viñeta letra"/>
    <w:basedOn w:val="Normal"/>
    <w:next w:val="Normal"/>
    <w:rsid w:val="000A51F8"/>
    <w:pPr>
      <w:numPr>
        <w:numId w:val="38"/>
      </w:numPr>
      <w:suppressAutoHyphens/>
      <w:overflowPunct w:val="0"/>
      <w:autoSpaceDE w:val="0"/>
      <w:ind w:left="0"/>
      <w:jc w:val="both"/>
      <w:textAlignment w:val="baseline"/>
    </w:pPr>
    <w:rPr>
      <w:rFonts w:ascii="Arial" w:hAnsi="Arial"/>
      <w:szCs w:val="20"/>
      <w:lang w:val="es-ES_tradnl" w:eastAsia="ar-SA"/>
    </w:rPr>
  </w:style>
  <w:style w:type="paragraph" w:styleId="Lista">
    <w:name w:val="List"/>
    <w:basedOn w:val="Normal"/>
    <w:uiPriority w:val="99"/>
    <w:unhideWhenUsed/>
    <w:rsid w:val="00057E91"/>
    <w:pPr>
      <w:ind w:left="283" w:hanging="283"/>
      <w:contextualSpacing/>
    </w:pPr>
  </w:style>
  <w:style w:type="paragraph" w:styleId="Lista2">
    <w:name w:val="List 2"/>
    <w:basedOn w:val="Normal"/>
    <w:uiPriority w:val="99"/>
    <w:unhideWhenUsed/>
    <w:rsid w:val="00057E91"/>
    <w:pPr>
      <w:ind w:left="566" w:hanging="283"/>
      <w:contextualSpacing/>
    </w:pPr>
  </w:style>
  <w:style w:type="paragraph" w:styleId="Saludo">
    <w:name w:val="Salutation"/>
    <w:basedOn w:val="Normal"/>
    <w:next w:val="Normal"/>
    <w:link w:val="SaludoCar"/>
    <w:uiPriority w:val="99"/>
    <w:unhideWhenUsed/>
    <w:rsid w:val="00057E91"/>
  </w:style>
  <w:style w:type="character" w:customStyle="1" w:styleId="SaludoCar">
    <w:name w:val="Saludo Car"/>
    <w:basedOn w:val="Fuentedeprrafopredeter"/>
    <w:link w:val="Saludo"/>
    <w:uiPriority w:val="99"/>
    <w:rsid w:val="00057E91"/>
    <w:rPr>
      <w:sz w:val="24"/>
      <w:szCs w:val="24"/>
      <w:lang w:val="es-ES" w:eastAsia="es-ES"/>
    </w:rPr>
  </w:style>
  <w:style w:type="paragraph" w:styleId="Listaconvietas">
    <w:name w:val="List Bullet"/>
    <w:basedOn w:val="Normal"/>
    <w:uiPriority w:val="99"/>
    <w:unhideWhenUsed/>
    <w:rsid w:val="00057E91"/>
    <w:pPr>
      <w:numPr>
        <w:numId w:val="48"/>
      </w:numPr>
      <w:contextualSpacing/>
    </w:pPr>
  </w:style>
  <w:style w:type="paragraph" w:styleId="Listaconvietas2">
    <w:name w:val="List Bullet 2"/>
    <w:basedOn w:val="Normal"/>
    <w:uiPriority w:val="99"/>
    <w:unhideWhenUsed/>
    <w:rsid w:val="00057E91"/>
    <w:pPr>
      <w:numPr>
        <w:numId w:val="49"/>
      </w:numPr>
      <w:contextualSpacing/>
    </w:pPr>
  </w:style>
  <w:style w:type="paragraph" w:styleId="Listaconvietas3">
    <w:name w:val="List Bullet 3"/>
    <w:basedOn w:val="Normal"/>
    <w:uiPriority w:val="99"/>
    <w:unhideWhenUsed/>
    <w:rsid w:val="00057E91"/>
    <w:pPr>
      <w:numPr>
        <w:numId w:val="50"/>
      </w:numPr>
      <w:contextualSpacing/>
    </w:pPr>
  </w:style>
  <w:style w:type="paragraph" w:styleId="Continuarlista">
    <w:name w:val="List Continue"/>
    <w:basedOn w:val="Normal"/>
    <w:uiPriority w:val="99"/>
    <w:unhideWhenUsed/>
    <w:rsid w:val="00057E91"/>
    <w:pPr>
      <w:spacing w:after="120"/>
      <w:ind w:left="283"/>
      <w:contextualSpacing/>
    </w:pPr>
  </w:style>
  <w:style w:type="paragraph" w:styleId="Continuarlista2">
    <w:name w:val="List Continue 2"/>
    <w:basedOn w:val="Normal"/>
    <w:uiPriority w:val="99"/>
    <w:unhideWhenUsed/>
    <w:rsid w:val="00057E91"/>
    <w:pPr>
      <w:spacing w:after="120"/>
      <w:ind w:left="566"/>
      <w:contextualSpacing/>
    </w:pPr>
  </w:style>
  <w:style w:type="paragraph" w:styleId="Sangradetextonormal">
    <w:name w:val="Body Text Indent"/>
    <w:basedOn w:val="Normal"/>
    <w:link w:val="SangradetextonormalCar"/>
    <w:uiPriority w:val="99"/>
    <w:semiHidden/>
    <w:unhideWhenUsed/>
    <w:rsid w:val="00057E91"/>
    <w:pPr>
      <w:spacing w:after="120"/>
      <w:ind w:left="283"/>
    </w:pPr>
  </w:style>
  <w:style w:type="character" w:customStyle="1" w:styleId="SangradetextonormalCar">
    <w:name w:val="Sangría de texto normal Car"/>
    <w:basedOn w:val="Fuentedeprrafopredeter"/>
    <w:link w:val="Sangradetextonormal"/>
    <w:uiPriority w:val="99"/>
    <w:semiHidden/>
    <w:rsid w:val="00057E91"/>
    <w:rPr>
      <w:sz w:val="24"/>
      <w:szCs w:val="24"/>
      <w:lang w:val="es-ES" w:eastAsia="es-ES"/>
    </w:rPr>
  </w:style>
  <w:style w:type="paragraph" w:styleId="Textoindependienteprimerasangra2">
    <w:name w:val="Body Text First Indent 2"/>
    <w:basedOn w:val="Sangradetextonormal"/>
    <w:link w:val="Textoindependienteprimerasangra2Car"/>
    <w:uiPriority w:val="99"/>
    <w:unhideWhenUsed/>
    <w:rsid w:val="00057E91"/>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057E91"/>
    <w:rPr>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896824">
      <w:bodyDiv w:val="1"/>
      <w:marLeft w:val="0"/>
      <w:marRight w:val="0"/>
      <w:marTop w:val="0"/>
      <w:marBottom w:val="0"/>
      <w:divBdr>
        <w:top w:val="none" w:sz="0" w:space="0" w:color="auto"/>
        <w:left w:val="none" w:sz="0" w:space="0" w:color="auto"/>
        <w:bottom w:val="none" w:sz="0" w:space="0" w:color="auto"/>
        <w:right w:val="none" w:sz="0" w:space="0" w:color="auto"/>
      </w:divBdr>
    </w:div>
    <w:div w:id="139812122">
      <w:bodyDiv w:val="1"/>
      <w:marLeft w:val="0"/>
      <w:marRight w:val="0"/>
      <w:marTop w:val="0"/>
      <w:marBottom w:val="0"/>
      <w:divBdr>
        <w:top w:val="none" w:sz="0" w:space="0" w:color="auto"/>
        <w:left w:val="none" w:sz="0" w:space="0" w:color="auto"/>
        <w:bottom w:val="none" w:sz="0" w:space="0" w:color="auto"/>
        <w:right w:val="none" w:sz="0" w:space="0" w:color="auto"/>
      </w:divBdr>
    </w:div>
    <w:div w:id="263348269">
      <w:bodyDiv w:val="1"/>
      <w:marLeft w:val="0"/>
      <w:marRight w:val="0"/>
      <w:marTop w:val="0"/>
      <w:marBottom w:val="0"/>
      <w:divBdr>
        <w:top w:val="none" w:sz="0" w:space="0" w:color="auto"/>
        <w:left w:val="none" w:sz="0" w:space="0" w:color="auto"/>
        <w:bottom w:val="none" w:sz="0" w:space="0" w:color="auto"/>
        <w:right w:val="none" w:sz="0" w:space="0" w:color="auto"/>
      </w:divBdr>
    </w:div>
    <w:div w:id="397293177">
      <w:bodyDiv w:val="1"/>
      <w:marLeft w:val="0"/>
      <w:marRight w:val="0"/>
      <w:marTop w:val="0"/>
      <w:marBottom w:val="0"/>
      <w:divBdr>
        <w:top w:val="none" w:sz="0" w:space="0" w:color="auto"/>
        <w:left w:val="none" w:sz="0" w:space="0" w:color="auto"/>
        <w:bottom w:val="none" w:sz="0" w:space="0" w:color="auto"/>
        <w:right w:val="none" w:sz="0" w:space="0" w:color="auto"/>
      </w:divBdr>
    </w:div>
    <w:div w:id="552544505">
      <w:bodyDiv w:val="1"/>
      <w:marLeft w:val="0"/>
      <w:marRight w:val="0"/>
      <w:marTop w:val="0"/>
      <w:marBottom w:val="0"/>
      <w:divBdr>
        <w:top w:val="none" w:sz="0" w:space="0" w:color="auto"/>
        <w:left w:val="none" w:sz="0" w:space="0" w:color="auto"/>
        <w:bottom w:val="none" w:sz="0" w:space="0" w:color="auto"/>
        <w:right w:val="none" w:sz="0" w:space="0" w:color="auto"/>
      </w:divBdr>
    </w:div>
    <w:div w:id="716471014">
      <w:bodyDiv w:val="1"/>
      <w:marLeft w:val="150"/>
      <w:marRight w:val="150"/>
      <w:marTop w:val="150"/>
      <w:marBottom w:val="150"/>
      <w:divBdr>
        <w:top w:val="none" w:sz="0" w:space="0" w:color="auto"/>
        <w:left w:val="none" w:sz="0" w:space="0" w:color="auto"/>
        <w:bottom w:val="none" w:sz="0" w:space="0" w:color="auto"/>
        <w:right w:val="none" w:sz="0" w:space="0" w:color="auto"/>
      </w:divBdr>
      <w:divsChild>
        <w:div w:id="288705887">
          <w:marLeft w:val="0"/>
          <w:marRight w:val="0"/>
          <w:marTop w:val="0"/>
          <w:marBottom w:val="0"/>
          <w:divBdr>
            <w:top w:val="none" w:sz="0" w:space="0" w:color="auto"/>
            <w:left w:val="none" w:sz="0" w:space="0" w:color="auto"/>
            <w:bottom w:val="none" w:sz="0" w:space="0" w:color="auto"/>
            <w:right w:val="none" w:sz="0" w:space="0" w:color="auto"/>
          </w:divBdr>
        </w:div>
        <w:div w:id="1757969934">
          <w:marLeft w:val="0"/>
          <w:marRight w:val="0"/>
          <w:marTop w:val="0"/>
          <w:marBottom w:val="0"/>
          <w:divBdr>
            <w:top w:val="none" w:sz="0" w:space="0" w:color="auto"/>
            <w:left w:val="none" w:sz="0" w:space="0" w:color="auto"/>
            <w:bottom w:val="none" w:sz="0" w:space="0" w:color="auto"/>
            <w:right w:val="none" w:sz="0" w:space="0" w:color="auto"/>
          </w:divBdr>
        </w:div>
      </w:divsChild>
    </w:div>
    <w:div w:id="1119107422">
      <w:bodyDiv w:val="1"/>
      <w:marLeft w:val="0"/>
      <w:marRight w:val="0"/>
      <w:marTop w:val="0"/>
      <w:marBottom w:val="0"/>
      <w:divBdr>
        <w:top w:val="none" w:sz="0" w:space="0" w:color="auto"/>
        <w:left w:val="none" w:sz="0" w:space="0" w:color="auto"/>
        <w:bottom w:val="none" w:sz="0" w:space="0" w:color="auto"/>
        <w:right w:val="none" w:sz="0" w:space="0" w:color="auto"/>
      </w:divBdr>
    </w:div>
    <w:div w:id="1240094043">
      <w:bodyDiv w:val="1"/>
      <w:marLeft w:val="0"/>
      <w:marRight w:val="0"/>
      <w:marTop w:val="0"/>
      <w:marBottom w:val="0"/>
      <w:divBdr>
        <w:top w:val="none" w:sz="0" w:space="0" w:color="auto"/>
        <w:left w:val="none" w:sz="0" w:space="0" w:color="auto"/>
        <w:bottom w:val="none" w:sz="0" w:space="0" w:color="auto"/>
        <w:right w:val="none" w:sz="0" w:space="0" w:color="auto"/>
      </w:divBdr>
    </w:div>
    <w:div w:id="1418090638">
      <w:bodyDiv w:val="1"/>
      <w:marLeft w:val="0"/>
      <w:marRight w:val="0"/>
      <w:marTop w:val="0"/>
      <w:marBottom w:val="0"/>
      <w:divBdr>
        <w:top w:val="none" w:sz="0" w:space="0" w:color="auto"/>
        <w:left w:val="none" w:sz="0" w:space="0" w:color="auto"/>
        <w:bottom w:val="none" w:sz="0" w:space="0" w:color="auto"/>
        <w:right w:val="none" w:sz="0" w:space="0" w:color="auto"/>
      </w:divBdr>
    </w:div>
    <w:div w:id="1485121137">
      <w:bodyDiv w:val="1"/>
      <w:marLeft w:val="0"/>
      <w:marRight w:val="0"/>
      <w:marTop w:val="0"/>
      <w:marBottom w:val="0"/>
      <w:divBdr>
        <w:top w:val="none" w:sz="0" w:space="0" w:color="auto"/>
        <w:left w:val="none" w:sz="0" w:space="0" w:color="auto"/>
        <w:bottom w:val="none" w:sz="0" w:space="0" w:color="auto"/>
        <w:right w:val="none" w:sz="0" w:space="0" w:color="auto"/>
      </w:divBdr>
    </w:div>
    <w:div w:id="1704743982">
      <w:bodyDiv w:val="1"/>
      <w:marLeft w:val="0"/>
      <w:marRight w:val="0"/>
      <w:marTop w:val="0"/>
      <w:marBottom w:val="0"/>
      <w:divBdr>
        <w:top w:val="none" w:sz="0" w:space="0" w:color="auto"/>
        <w:left w:val="none" w:sz="0" w:space="0" w:color="auto"/>
        <w:bottom w:val="none" w:sz="0" w:space="0" w:color="auto"/>
        <w:right w:val="none" w:sz="0" w:space="0" w:color="auto"/>
      </w:divBdr>
    </w:div>
    <w:div w:id="1795562345">
      <w:bodyDiv w:val="1"/>
      <w:marLeft w:val="0"/>
      <w:marRight w:val="0"/>
      <w:marTop w:val="0"/>
      <w:marBottom w:val="0"/>
      <w:divBdr>
        <w:top w:val="none" w:sz="0" w:space="0" w:color="auto"/>
        <w:left w:val="none" w:sz="0" w:space="0" w:color="auto"/>
        <w:bottom w:val="none" w:sz="0" w:space="0" w:color="auto"/>
        <w:right w:val="none" w:sz="0" w:space="0" w:color="auto"/>
      </w:divBdr>
    </w:div>
    <w:div w:id="1989940946">
      <w:bodyDiv w:val="1"/>
      <w:marLeft w:val="0"/>
      <w:marRight w:val="0"/>
      <w:marTop w:val="0"/>
      <w:marBottom w:val="0"/>
      <w:divBdr>
        <w:top w:val="none" w:sz="0" w:space="0" w:color="auto"/>
        <w:left w:val="none" w:sz="0" w:space="0" w:color="auto"/>
        <w:bottom w:val="none" w:sz="0" w:space="0" w:color="auto"/>
        <w:right w:val="none" w:sz="0" w:space="0" w:color="auto"/>
      </w:divBdr>
    </w:div>
    <w:div w:id="2053072381">
      <w:bodyDiv w:val="1"/>
      <w:marLeft w:val="0"/>
      <w:marRight w:val="0"/>
      <w:marTop w:val="0"/>
      <w:marBottom w:val="0"/>
      <w:divBdr>
        <w:top w:val="none" w:sz="0" w:space="0" w:color="auto"/>
        <w:left w:val="none" w:sz="0" w:space="0" w:color="auto"/>
        <w:bottom w:val="none" w:sz="0" w:space="0" w:color="auto"/>
        <w:right w:val="none" w:sz="0" w:space="0" w:color="auto"/>
      </w:divBdr>
    </w:div>
    <w:div w:id="2137865384">
      <w:bodyDiv w:val="1"/>
      <w:marLeft w:val="150"/>
      <w:marRight w:val="150"/>
      <w:marTop w:val="150"/>
      <w:marBottom w:val="150"/>
      <w:divBdr>
        <w:top w:val="none" w:sz="0" w:space="0" w:color="auto"/>
        <w:left w:val="none" w:sz="0" w:space="0" w:color="auto"/>
        <w:bottom w:val="none" w:sz="0" w:space="0" w:color="auto"/>
        <w:right w:val="none" w:sz="0" w:space="0" w:color="auto"/>
      </w:divBdr>
      <w:divsChild>
        <w:div w:id="565459489">
          <w:marLeft w:val="0"/>
          <w:marRight w:val="0"/>
          <w:marTop w:val="0"/>
          <w:marBottom w:val="0"/>
          <w:divBdr>
            <w:top w:val="none" w:sz="0" w:space="0" w:color="auto"/>
            <w:left w:val="none" w:sz="0" w:space="0" w:color="auto"/>
            <w:bottom w:val="none" w:sz="0" w:space="0" w:color="auto"/>
            <w:right w:val="none" w:sz="0" w:space="0" w:color="auto"/>
          </w:divBdr>
        </w:div>
        <w:div w:id="573516656">
          <w:marLeft w:val="0"/>
          <w:marRight w:val="0"/>
          <w:marTop w:val="0"/>
          <w:marBottom w:val="0"/>
          <w:divBdr>
            <w:top w:val="none" w:sz="0" w:space="0" w:color="auto"/>
            <w:left w:val="none" w:sz="0" w:space="0" w:color="auto"/>
            <w:bottom w:val="none" w:sz="0" w:space="0" w:color="auto"/>
            <w:right w:val="none" w:sz="0" w:space="0" w:color="auto"/>
          </w:divBdr>
        </w:div>
        <w:div w:id="598031288">
          <w:marLeft w:val="29"/>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7B6FFC-A987-46A6-99B1-9D417D384E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25</Pages>
  <Words>8878</Words>
  <Characters>48829</Characters>
  <Application>Microsoft Office Word</Application>
  <DocSecurity>0</DocSecurity>
  <Lines>406</Lines>
  <Paragraphs>115</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57592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Administrador</dc:creator>
  <cp:lastModifiedBy>Luz Stella Rojas Macias</cp:lastModifiedBy>
  <cp:revision>2</cp:revision>
  <cp:lastPrinted>2014-04-07T20:00:00Z</cp:lastPrinted>
  <dcterms:created xsi:type="dcterms:W3CDTF">2014-04-10T16:43:00Z</dcterms:created>
  <dcterms:modified xsi:type="dcterms:W3CDTF">2014-04-10T16:43:00Z</dcterms:modified>
</cp:coreProperties>
</file>