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DF3765" w:rsidP="005B3F95">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702454999" r:id="rId12"/>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4A41E096"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proofErr w:type="gramStart"/>
      <w:r w:rsidR="005C3D2E">
        <w:rPr>
          <w:rFonts w:ascii="Bookman Old Style" w:hAnsi="Bookman Old Style"/>
          <w:sz w:val="32"/>
          <w:szCs w:val="32"/>
        </w:rPr>
        <w:t xml:space="preserve">241  </w:t>
      </w:r>
      <w:r w:rsidRPr="001954E9">
        <w:rPr>
          <w:rFonts w:ascii="Bookman Old Style" w:hAnsi="Bookman Old Style"/>
          <w:sz w:val="24"/>
          <w:szCs w:val="24"/>
        </w:rPr>
        <w:t>DE</w:t>
      </w:r>
      <w:proofErr w:type="gramEnd"/>
      <w:r w:rsidRPr="001954E9">
        <w:rPr>
          <w:rFonts w:ascii="Bookman Old Style" w:hAnsi="Bookman Old Style"/>
          <w:sz w:val="24"/>
          <w:szCs w:val="24"/>
        </w:rPr>
        <w:t xml:space="preserve"> </w:t>
      </w:r>
      <w:r w:rsidR="007E0A6B">
        <w:rPr>
          <w:rFonts w:ascii="Bookman Old Style" w:hAnsi="Bookman Old Style"/>
          <w:sz w:val="24"/>
          <w:szCs w:val="24"/>
        </w:rPr>
        <w:t>202</w:t>
      </w:r>
      <w:r w:rsidR="00DC1A1B">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82A9B30"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proofErr w:type="gramEnd"/>
      <w:r w:rsidRPr="001954E9">
        <w:rPr>
          <w:rFonts w:ascii="Bookman Old Style" w:hAnsi="Bookman Old Style"/>
          <w:b w:val="0"/>
          <w:szCs w:val="24"/>
        </w:rPr>
        <w:t xml:space="preserve"> </w:t>
      </w:r>
      <w:r w:rsidR="005C3D2E">
        <w:rPr>
          <w:rFonts w:ascii="Bookman Old Style" w:hAnsi="Bookman Old Style"/>
          <w:bCs/>
          <w:sz w:val="32"/>
          <w:szCs w:val="32"/>
        </w:rPr>
        <w:t>29 DIC.</w:t>
      </w:r>
      <w:r w:rsidR="007D73FF" w:rsidRPr="007D73FF">
        <w:rPr>
          <w:rFonts w:ascii="Bookman Old Style" w:hAnsi="Bookman Old Style"/>
          <w:bCs/>
          <w:sz w:val="32"/>
          <w:szCs w:val="32"/>
        </w:rPr>
        <w:t xml:space="preserve"> 202</w:t>
      </w:r>
      <w:r w:rsidR="00DC1A1B">
        <w:rPr>
          <w:rFonts w:ascii="Bookman Old Style" w:hAnsi="Bookman Old Style"/>
          <w:bCs/>
          <w:sz w:val="32"/>
          <w:szCs w:val="32"/>
        </w:rPr>
        <w:t>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29295C6C" w14:textId="47CD0587" w:rsidR="00280C73" w:rsidRPr="00341E8F" w:rsidRDefault="00273C2C" w:rsidP="00DC1A1B">
      <w:pPr>
        <w:ind w:left="0"/>
        <w:jc w:val="center"/>
        <w:rPr>
          <w:rFonts w:ascii="Bookman Old Style" w:hAnsi="Bookman Old Style" w:cs="Arial"/>
          <w:lang w:val="es-ES_tradnl"/>
        </w:rPr>
      </w:pPr>
      <w:r w:rsidRPr="001954E9">
        <w:rPr>
          <w:rFonts w:ascii="Bookman Old Style" w:hAnsi="Bookman Old Style" w:cs="Arial"/>
          <w:lang w:val="es-ES_tradnl"/>
        </w:rPr>
        <w:t xml:space="preserve">Por la cual se </w:t>
      </w:r>
      <w:r w:rsidR="005F5071">
        <w:rPr>
          <w:rFonts w:ascii="Bookman Old Style" w:hAnsi="Bookman Old Style" w:cs="Arial"/>
          <w:lang w:val="es-ES_tradnl"/>
        </w:rPr>
        <w:t xml:space="preserve">resuelve el recurso interpuesto por </w:t>
      </w:r>
      <w:r w:rsidR="00DC1A1B">
        <w:rPr>
          <w:rFonts w:ascii="Bookman Old Style" w:hAnsi="Bookman Old Style" w:cs="Arial"/>
          <w:lang w:val="es-ES_tradnl"/>
        </w:rPr>
        <w:t xml:space="preserve">la empresa </w:t>
      </w:r>
      <w:r w:rsidR="00465D74">
        <w:rPr>
          <w:rFonts w:ascii="Bookman Old Style" w:hAnsi="Bookman Old Style" w:cs="Arial"/>
          <w:lang w:val="es-ES_tradnl"/>
        </w:rPr>
        <w:t>ENERCER</w:t>
      </w:r>
      <w:r w:rsidR="00480F35">
        <w:rPr>
          <w:rFonts w:ascii="Bookman Old Style" w:hAnsi="Bookman Old Style" w:cs="Arial"/>
          <w:lang w:val="es-ES_tradnl"/>
        </w:rPr>
        <w:t xml:space="preserve"> S.A. E.S.P. contra la Resolución CREG </w:t>
      </w:r>
      <w:r w:rsidR="00DC1A1B">
        <w:rPr>
          <w:rFonts w:ascii="Bookman Old Style" w:hAnsi="Bookman Old Style" w:cs="Arial"/>
          <w:lang w:val="es-ES_tradnl"/>
        </w:rPr>
        <w:t>162</w:t>
      </w:r>
      <w:r w:rsidR="008728AC">
        <w:rPr>
          <w:rFonts w:ascii="Bookman Old Style" w:hAnsi="Bookman Old Style" w:cs="Arial"/>
          <w:lang w:val="es-ES_tradnl"/>
        </w:rPr>
        <w:t xml:space="preserve"> de 202</w:t>
      </w:r>
      <w:r w:rsidR="00DC1A1B">
        <w:rPr>
          <w:rFonts w:ascii="Bookman Old Style" w:hAnsi="Bookman Old Style" w:cs="Arial"/>
          <w:lang w:val="es-ES_tradnl"/>
        </w:rPr>
        <w:t>1</w:t>
      </w:r>
      <w:r w:rsidR="008728AC">
        <w:rPr>
          <w:rFonts w:ascii="Bookman Old Style" w:hAnsi="Bookman Old Style" w:cs="Arial"/>
          <w:lang w:val="es-ES_tradnl"/>
        </w:rPr>
        <w:t>, “</w:t>
      </w:r>
      <w:r w:rsidR="00DC1A1B" w:rsidRPr="00DC1A1B">
        <w:rPr>
          <w:rFonts w:ascii="Bookman Old Style" w:hAnsi="Bookman Old Style" w:cs="Arial"/>
          <w:i/>
          <w:iCs/>
          <w:lang w:val="es-ES_tradnl"/>
        </w:rPr>
        <w:t>Por la cual se aprueba el cargo de distribución por uso del sistema de</w:t>
      </w:r>
      <w:r w:rsidR="00DC1A1B">
        <w:rPr>
          <w:rFonts w:ascii="Bookman Old Style" w:hAnsi="Bookman Old Style" w:cs="Arial"/>
          <w:i/>
          <w:iCs/>
          <w:lang w:val="es-ES_tradnl"/>
        </w:rPr>
        <w:t xml:space="preserve"> </w:t>
      </w:r>
      <w:r w:rsidR="00DC1A1B" w:rsidRPr="00DC1A1B">
        <w:rPr>
          <w:rFonts w:ascii="Bookman Old Style" w:hAnsi="Bookman Old Style" w:cs="Arial"/>
          <w:i/>
          <w:iCs/>
          <w:lang w:val="es-ES_tradnl"/>
        </w:rPr>
        <w:t>distribución de Gas Natural Comprimido (GNC) por redes de tubería para el</w:t>
      </w:r>
      <w:r w:rsidR="00DC1A1B">
        <w:rPr>
          <w:rFonts w:ascii="Bookman Old Style" w:hAnsi="Bookman Old Style" w:cs="Arial"/>
          <w:i/>
          <w:iCs/>
          <w:lang w:val="es-ES_tradnl"/>
        </w:rPr>
        <w:t xml:space="preserve"> </w:t>
      </w:r>
      <w:r w:rsidR="00DC1A1B" w:rsidRPr="00DC1A1B">
        <w:rPr>
          <w:rFonts w:ascii="Bookman Old Style" w:hAnsi="Bookman Old Style" w:cs="Arial"/>
          <w:i/>
          <w:iCs/>
          <w:lang w:val="es-ES_tradnl"/>
        </w:rPr>
        <w:t>mercado relevante conformado por el Municipio de Úmbita en el Departamento</w:t>
      </w:r>
      <w:r w:rsidR="00DC1A1B">
        <w:rPr>
          <w:rFonts w:ascii="Bookman Old Style" w:hAnsi="Bookman Old Style" w:cs="Arial"/>
          <w:i/>
          <w:iCs/>
          <w:lang w:val="es-ES_tradnl"/>
        </w:rPr>
        <w:t xml:space="preserve"> </w:t>
      </w:r>
      <w:r w:rsidR="00DC1A1B" w:rsidRPr="00DC1A1B">
        <w:rPr>
          <w:rFonts w:ascii="Bookman Old Style" w:hAnsi="Bookman Old Style" w:cs="Arial"/>
          <w:i/>
          <w:iCs/>
          <w:lang w:val="es-ES_tradnl"/>
        </w:rPr>
        <w:t>de Boyacá</w:t>
      </w:r>
      <w:r w:rsidR="00B56578" w:rsidRPr="008728AC">
        <w:rPr>
          <w:rFonts w:ascii="Bookman Old Style" w:hAnsi="Bookman Old Style" w:cs="Arial"/>
          <w:i/>
          <w:iCs/>
          <w:lang w:val="es-ES_tradnl"/>
        </w:rPr>
        <w:t>.</w:t>
      </w:r>
      <w:r w:rsidR="008728AC">
        <w:rPr>
          <w:rFonts w:ascii="Bookman Old Style" w:hAnsi="Bookman Old Style" w:cs="Arial"/>
          <w:lang w:val="es-ES_tradnl"/>
        </w:rPr>
        <w:t>”</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EBEDFFE" w:rsidR="009D138E"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BA3C074" w14:textId="77777777" w:rsidR="00ED112D" w:rsidRPr="001954E9" w:rsidRDefault="00ED112D" w:rsidP="00B565E2">
      <w:pPr>
        <w:ind w:left="0"/>
        <w:jc w:val="center"/>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29464284" w14:textId="587E4DA2" w:rsidR="00F45D92" w:rsidRDefault="00F45D92" w:rsidP="00CE551F">
      <w:pPr>
        <w:adjustRightInd w:val="0"/>
        <w:spacing w:before="240" w:after="240"/>
        <w:ind w:left="0"/>
        <w:jc w:val="both"/>
        <w:rPr>
          <w:rFonts w:ascii="Bookman Old Style" w:hAnsi="Bookman Old Style" w:cs="Arial"/>
          <w:lang w:val="es-ES_tradnl"/>
        </w:rPr>
      </w:pPr>
      <w:r>
        <w:rPr>
          <w:rFonts w:ascii="Bookman Old Style" w:hAnsi="Bookman Old Style" w:cs="Arial"/>
        </w:rPr>
        <w:t xml:space="preserve">La </w:t>
      </w:r>
      <w:r w:rsidR="00EA675A">
        <w:rPr>
          <w:rFonts w:ascii="Bookman Old Style" w:hAnsi="Bookman Old Style" w:cs="Arial"/>
        </w:rPr>
        <w:t>C</w:t>
      </w:r>
      <w:r>
        <w:rPr>
          <w:rFonts w:ascii="Bookman Old Style" w:hAnsi="Bookman Old Style" w:cs="Arial"/>
        </w:rPr>
        <w:t xml:space="preserve">omisión de Regulación de Energía y Gas, en su sesión No. </w:t>
      </w:r>
      <w:r w:rsidR="00F0635D">
        <w:rPr>
          <w:rFonts w:ascii="Bookman Old Style" w:hAnsi="Bookman Old Style" w:cs="Arial"/>
        </w:rPr>
        <w:t>1</w:t>
      </w:r>
      <w:r w:rsidR="00CE551F">
        <w:rPr>
          <w:rFonts w:ascii="Bookman Old Style" w:hAnsi="Bookman Old Style" w:cs="Arial"/>
        </w:rPr>
        <w:t>125</w:t>
      </w:r>
      <w:r>
        <w:rPr>
          <w:rFonts w:ascii="Bookman Old Style" w:hAnsi="Bookman Old Style" w:cs="Arial"/>
        </w:rPr>
        <w:t xml:space="preserve"> de</w:t>
      </w:r>
      <w:r w:rsidR="00CE551F">
        <w:rPr>
          <w:rFonts w:ascii="Bookman Old Style" w:hAnsi="Bookman Old Style" w:cs="Arial"/>
        </w:rPr>
        <w:t xml:space="preserve"> 24</w:t>
      </w:r>
      <w:r w:rsidR="00824950">
        <w:rPr>
          <w:rFonts w:ascii="Bookman Old Style" w:hAnsi="Bookman Old Style" w:cs="Arial"/>
        </w:rPr>
        <w:t xml:space="preserve"> de </w:t>
      </w:r>
      <w:r w:rsidR="00F0635D">
        <w:rPr>
          <w:rFonts w:ascii="Bookman Old Style" w:hAnsi="Bookman Old Style" w:cs="Arial"/>
        </w:rPr>
        <w:t>septiembre</w:t>
      </w:r>
      <w:r w:rsidR="00824950">
        <w:rPr>
          <w:rFonts w:ascii="Bookman Old Style" w:hAnsi="Bookman Old Style" w:cs="Arial"/>
        </w:rPr>
        <w:t xml:space="preserve"> de 2020, aprobó expedir la Resolución CREG </w:t>
      </w:r>
      <w:r w:rsidR="00CE551F">
        <w:rPr>
          <w:rFonts w:ascii="Bookman Old Style" w:hAnsi="Bookman Old Style" w:cs="Arial"/>
        </w:rPr>
        <w:t>No. 162 de 2021</w:t>
      </w:r>
      <w:r w:rsidR="00824950">
        <w:rPr>
          <w:rFonts w:ascii="Bookman Old Style" w:hAnsi="Bookman Old Style" w:cs="Arial"/>
        </w:rPr>
        <w:t xml:space="preserve">, </w:t>
      </w:r>
      <w:r w:rsidR="00824950">
        <w:rPr>
          <w:rFonts w:ascii="Bookman Old Style" w:hAnsi="Bookman Old Style" w:cs="Arial"/>
          <w:lang w:val="es-ES_tradnl"/>
        </w:rPr>
        <w:t>“</w:t>
      </w:r>
      <w:r w:rsidR="00CE551F" w:rsidRPr="00CE551F">
        <w:rPr>
          <w:rFonts w:ascii="Bookman Old Style" w:hAnsi="Bookman Old Style" w:cs="Arial"/>
          <w:i/>
          <w:iCs/>
          <w:lang w:val="es-ES_tradnl"/>
        </w:rPr>
        <w:t>Por la cual se aprueba el cargo de distribución por uso del sistema de</w:t>
      </w:r>
      <w:r w:rsidR="00CE551F">
        <w:rPr>
          <w:rFonts w:ascii="Bookman Old Style" w:hAnsi="Bookman Old Style" w:cs="Arial"/>
          <w:i/>
          <w:iCs/>
          <w:lang w:val="es-ES_tradnl"/>
        </w:rPr>
        <w:t xml:space="preserve"> </w:t>
      </w:r>
      <w:r w:rsidR="00CE551F" w:rsidRPr="00CE551F">
        <w:rPr>
          <w:rFonts w:ascii="Bookman Old Style" w:hAnsi="Bookman Old Style" w:cs="Arial"/>
          <w:i/>
          <w:iCs/>
          <w:lang w:val="es-ES_tradnl"/>
        </w:rPr>
        <w:t>distribución de Gas Natural Comprimido (GNC) por redes de tubería para el</w:t>
      </w:r>
      <w:r w:rsidR="00CE551F">
        <w:rPr>
          <w:rFonts w:ascii="Bookman Old Style" w:hAnsi="Bookman Old Style" w:cs="Arial"/>
          <w:i/>
          <w:iCs/>
          <w:lang w:val="es-ES_tradnl"/>
        </w:rPr>
        <w:t xml:space="preserve"> </w:t>
      </w:r>
      <w:r w:rsidR="00CE551F" w:rsidRPr="00CE551F">
        <w:rPr>
          <w:rFonts w:ascii="Bookman Old Style" w:hAnsi="Bookman Old Style" w:cs="Arial"/>
          <w:i/>
          <w:iCs/>
          <w:lang w:val="es-ES_tradnl"/>
        </w:rPr>
        <w:t>mercado relevante conformado por el Municipio de Úmbita en el Departamento</w:t>
      </w:r>
      <w:r w:rsidR="00CE551F">
        <w:rPr>
          <w:rFonts w:ascii="Bookman Old Style" w:hAnsi="Bookman Old Style" w:cs="Arial"/>
          <w:i/>
          <w:iCs/>
          <w:lang w:val="es-ES_tradnl"/>
        </w:rPr>
        <w:t xml:space="preserve"> </w:t>
      </w:r>
      <w:r w:rsidR="00CE551F" w:rsidRPr="00CE551F">
        <w:rPr>
          <w:rFonts w:ascii="Bookman Old Style" w:hAnsi="Bookman Old Style" w:cs="Arial"/>
          <w:i/>
          <w:iCs/>
          <w:lang w:val="es-ES_tradnl"/>
        </w:rPr>
        <w:t xml:space="preserve">de Boyacá, según solicitud tarifaria presentada por la empresa </w:t>
      </w:r>
      <w:r w:rsidR="00465D74">
        <w:rPr>
          <w:rFonts w:ascii="Bookman Old Style" w:hAnsi="Bookman Old Style" w:cs="Arial"/>
          <w:i/>
          <w:iCs/>
          <w:lang w:val="es-ES_tradnl"/>
        </w:rPr>
        <w:t>ENERCER</w:t>
      </w:r>
      <w:r w:rsidR="00CE551F" w:rsidRPr="00CE551F">
        <w:rPr>
          <w:rFonts w:ascii="Bookman Old Style" w:hAnsi="Bookman Old Style" w:cs="Arial"/>
          <w:i/>
          <w:iCs/>
          <w:lang w:val="es-ES_tradnl"/>
        </w:rPr>
        <w:t xml:space="preserve"> S.A.</w:t>
      </w:r>
      <w:r w:rsidR="00CE551F">
        <w:rPr>
          <w:rFonts w:ascii="Bookman Old Style" w:hAnsi="Bookman Old Style" w:cs="Arial"/>
          <w:i/>
          <w:iCs/>
          <w:lang w:val="es-ES_tradnl"/>
        </w:rPr>
        <w:t xml:space="preserve"> </w:t>
      </w:r>
      <w:r w:rsidR="00CE551F" w:rsidRPr="00CE551F">
        <w:rPr>
          <w:rFonts w:ascii="Bookman Old Style" w:hAnsi="Bookman Old Style" w:cs="Arial"/>
          <w:i/>
          <w:iCs/>
          <w:lang w:val="es-ES_tradnl"/>
        </w:rPr>
        <w:t>E.S.P.</w:t>
      </w:r>
      <w:r w:rsidR="00824950" w:rsidRPr="008728AC">
        <w:rPr>
          <w:rFonts w:ascii="Bookman Old Style" w:hAnsi="Bookman Old Style" w:cs="Arial"/>
          <w:i/>
          <w:iCs/>
          <w:lang w:val="es-ES_tradnl"/>
        </w:rPr>
        <w:t>.</w:t>
      </w:r>
      <w:r w:rsidR="00824950">
        <w:rPr>
          <w:rFonts w:ascii="Bookman Old Style" w:hAnsi="Bookman Old Style" w:cs="Arial"/>
          <w:lang w:val="es-ES_tradnl"/>
        </w:rPr>
        <w:t>”</w:t>
      </w:r>
      <w:r w:rsidR="0080224F">
        <w:rPr>
          <w:rFonts w:ascii="Bookman Old Style" w:hAnsi="Bookman Old Style" w:cs="Arial"/>
          <w:lang w:val="es-ES_tradnl"/>
        </w:rPr>
        <w:t xml:space="preserve">, con sujeción a la metodología vigente para el efecto, contenida en las Resoluciones CREG 202 de 2013, 138 de 2014, </w:t>
      </w:r>
      <w:r w:rsidR="00F57150">
        <w:rPr>
          <w:rFonts w:ascii="Bookman Old Style" w:hAnsi="Bookman Old Style" w:cs="Arial"/>
          <w:lang w:val="es-ES_tradnl"/>
        </w:rPr>
        <w:t>090 y 132 de 2018 y 011 de 2020, en adelante la Metodología.</w:t>
      </w:r>
    </w:p>
    <w:p w14:paraId="4596E574" w14:textId="36F907AF" w:rsidR="00633A73" w:rsidRPr="0076689B" w:rsidRDefault="00F57150" w:rsidP="009353D2">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 xml:space="preserve">El mercado relevante aprobado mediante </w:t>
      </w:r>
      <w:r w:rsidR="00633A73">
        <w:rPr>
          <w:rFonts w:ascii="Bookman Old Style" w:hAnsi="Bookman Old Style" w:cs="Arial"/>
          <w:lang w:val="es-ES_tradnl"/>
        </w:rPr>
        <w:t>R</w:t>
      </w:r>
      <w:r>
        <w:rPr>
          <w:rFonts w:ascii="Bookman Old Style" w:hAnsi="Bookman Old Style" w:cs="Arial"/>
          <w:lang w:val="es-ES_tradnl"/>
        </w:rPr>
        <w:t xml:space="preserve">esolución CREG </w:t>
      </w:r>
      <w:r w:rsidR="00CE551F">
        <w:rPr>
          <w:rFonts w:ascii="Bookman Old Style" w:hAnsi="Bookman Old Style" w:cs="Arial"/>
          <w:lang w:val="es-ES_tradnl"/>
        </w:rPr>
        <w:t>No. 162 de</w:t>
      </w:r>
      <w:r w:rsidR="008F35D2">
        <w:rPr>
          <w:rFonts w:ascii="Bookman Old Style" w:hAnsi="Bookman Old Style" w:cs="Arial"/>
          <w:lang w:val="es-ES_tradnl"/>
        </w:rPr>
        <w:t>l</w:t>
      </w:r>
      <w:r w:rsidR="00DE1700">
        <w:rPr>
          <w:rFonts w:ascii="Bookman Old Style" w:hAnsi="Bookman Old Style" w:cs="Arial"/>
          <w:lang w:val="es-ES_tradnl"/>
        </w:rPr>
        <w:t xml:space="preserve"> 24 de septiembre de</w:t>
      </w:r>
      <w:r w:rsidR="00CE551F">
        <w:rPr>
          <w:rFonts w:ascii="Bookman Old Style" w:hAnsi="Bookman Old Style" w:cs="Arial"/>
          <w:lang w:val="es-ES_tradnl"/>
        </w:rPr>
        <w:t xml:space="preserve"> 2021</w:t>
      </w:r>
      <w:r w:rsidR="008F35D2">
        <w:rPr>
          <w:rFonts w:ascii="Bookman Old Style" w:hAnsi="Bookman Old Style" w:cs="Arial"/>
          <w:lang w:val="es-ES_tradnl"/>
        </w:rPr>
        <w:t>,</w:t>
      </w:r>
      <w:r w:rsidR="00B60A22">
        <w:rPr>
          <w:rFonts w:ascii="Bookman Old Style" w:hAnsi="Bookman Old Style" w:cs="Arial"/>
          <w:lang w:val="es-ES_tradnl"/>
        </w:rPr>
        <w:t xml:space="preserve"> cuenta con recursos públicos</w:t>
      </w:r>
      <w:r w:rsidR="00CE551F">
        <w:rPr>
          <w:rFonts w:ascii="Bookman Old Style" w:hAnsi="Bookman Old Style" w:cs="Arial"/>
          <w:lang w:val="es-ES_tradnl"/>
        </w:rPr>
        <w:t xml:space="preserve"> provenientes del Fondo Especial Cuota de Fomento</w:t>
      </w:r>
      <w:r w:rsidR="008F35D2">
        <w:rPr>
          <w:rFonts w:ascii="Bookman Old Style" w:hAnsi="Bookman Old Style" w:cs="Arial"/>
          <w:lang w:val="es-ES_tradnl"/>
        </w:rPr>
        <w:t>,</w:t>
      </w:r>
      <w:r w:rsidR="006A5965">
        <w:rPr>
          <w:rFonts w:ascii="Bookman Old Style" w:hAnsi="Bookman Old Style" w:cs="Arial"/>
          <w:lang w:val="es-ES_tradnl"/>
        </w:rPr>
        <w:t xml:space="preserve"> </w:t>
      </w:r>
      <w:r w:rsidR="00CE551F">
        <w:rPr>
          <w:rFonts w:ascii="Bookman Old Style" w:hAnsi="Bookman Old Style" w:cs="Arial"/>
          <w:lang w:val="es-ES_tradnl"/>
        </w:rPr>
        <w:t xml:space="preserve">FECF, para la construcción del sistema de distribución de gas natural </w:t>
      </w:r>
      <w:r w:rsidR="006A5965">
        <w:rPr>
          <w:rFonts w:ascii="Bookman Old Style" w:hAnsi="Bookman Old Style" w:cs="Arial"/>
          <w:lang w:val="es-ES_tradnl"/>
        </w:rPr>
        <w:t xml:space="preserve">comprimido </w:t>
      </w:r>
      <w:r w:rsidR="00CE551F">
        <w:rPr>
          <w:rFonts w:ascii="Bookman Old Style" w:hAnsi="Bookman Old Style" w:cs="Arial"/>
          <w:lang w:val="es-ES_tradnl"/>
        </w:rPr>
        <w:t xml:space="preserve">por redes, </w:t>
      </w:r>
      <w:r w:rsidR="00633A73">
        <w:rPr>
          <w:rFonts w:ascii="Bookman Old Style" w:hAnsi="Bookman Old Style" w:cs="Arial"/>
          <w:lang w:val="es-ES_tradnl"/>
        </w:rPr>
        <w:t>derivados de la celebración del Convenio de Cofinanciación GGC 592 de 2020</w:t>
      </w:r>
      <w:r w:rsidR="0076689B">
        <w:rPr>
          <w:rFonts w:ascii="Bookman Old Style" w:hAnsi="Bookman Old Style" w:cs="Arial"/>
          <w:lang w:val="es-ES_tradnl"/>
        </w:rPr>
        <w:t>.</w:t>
      </w:r>
    </w:p>
    <w:p w14:paraId="4FEFD9C6" w14:textId="0071FA10" w:rsidR="00633A73" w:rsidRDefault="00703A1F" w:rsidP="009353D2">
      <w:pPr>
        <w:adjustRightInd w:val="0"/>
        <w:spacing w:before="240" w:after="240"/>
        <w:ind w:left="0"/>
        <w:jc w:val="both"/>
        <w:rPr>
          <w:rFonts w:ascii="Bookman Old Style" w:hAnsi="Bookman Old Style" w:cs="Arial"/>
        </w:rPr>
      </w:pPr>
      <w:r>
        <w:rPr>
          <w:rFonts w:ascii="Bookman Old Style" w:hAnsi="Bookman Old Style" w:cs="Arial"/>
        </w:rPr>
        <w:t xml:space="preserve">La Resolución </w:t>
      </w:r>
      <w:r w:rsidR="00633A73">
        <w:rPr>
          <w:rFonts w:ascii="Bookman Old Style" w:hAnsi="Bookman Old Style" w:cs="Arial"/>
          <w:lang w:val="es-ES_tradnl"/>
        </w:rPr>
        <w:t xml:space="preserve">CREG No. 162 de 2021 </w:t>
      </w:r>
      <w:r>
        <w:rPr>
          <w:rFonts w:ascii="Bookman Old Style" w:hAnsi="Bookman Old Style" w:cs="Arial"/>
        </w:rPr>
        <w:t xml:space="preserve">fue notificada </w:t>
      </w:r>
      <w:r w:rsidR="00D120B7">
        <w:rPr>
          <w:rFonts w:ascii="Bookman Old Style" w:hAnsi="Bookman Old Style" w:cs="Arial"/>
        </w:rPr>
        <w:t>vía</w:t>
      </w:r>
      <w:r>
        <w:rPr>
          <w:rFonts w:ascii="Bookman Old Style" w:hAnsi="Bookman Old Style" w:cs="Arial"/>
        </w:rPr>
        <w:t xml:space="preserve"> correo electrónico </w:t>
      </w:r>
      <w:r w:rsidR="00521EDF">
        <w:rPr>
          <w:rFonts w:ascii="Bookman Old Style" w:hAnsi="Bookman Old Style" w:cs="Arial"/>
        </w:rPr>
        <w:t xml:space="preserve">al </w:t>
      </w:r>
      <w:r w:rsidR="00633A73">
        <w:rPr>
          <w:rFonts w:ascii="Bookman Old Style" w:hAnsi="Bookman Old Style" w:cs="Arial"/>
        </w:rPr>
        <w:t xml:space="preserve">señor </w:t>
      </w:r>
      <w:r w:rsidR="00521EDF">
        <w:rPr>
          <w:rFonts w:ascii="Bookman Old Style" w:hAnsi="Bookman Old Style" w:cs="Arial"/>
        </w:rPr>
        <w:t xml:space="preserve">Representante Legal de la empresa </w:t>
      </w:r>
      <w:r w:rsidR="00465D74">
        <w:rPr>
          <w:rFonts w:ascii="Bookman Old Style" w:hAnsi="Bookman Old Style" w:cs="Arial"/>
        </w:rPr>
        <w:t>ENERCER</w:t>
      </w:r>
      <w:r w:rsidR="00633A73">
        <w:rPr>
          <w:rFonts w:ascii="Bookman Old Style" w:hAnsi="Bookman Old Style" w:cs="Arial"/>
        </w:rPr>
        <w:t xml:space="preserve"> S.A. E.S.P</w:t>
      </w:r>
      <w:r w:rsidR="008F35D2">
        <w:rPr>
          <w:rFonts w:ascii="Bookman Old Style" w:hAnsi="Bookman Old Style" w:cs="Arial"/>
        </w:rPr>
        <w:t>.</w:t>
      </w:r>
      <w:r w:rsidR="00521EDF">
        <w:rPr>
          <w:rFonts w:ascii="Bookman Old Style" w:hAnsi="Bookman Old Style" w:cs="Arial"/>
        </w:rPr>
        <w:t xml:space="preserve"> el día </w:t>
      </w:r>
      <w:r w:rsidR="00633A73">
        <w:rPr>
          <w:rFonts w:ascii="Bookman Old Style" w:hAnsi="Bookman Old Style" w:cs="Arial"/>
        </w:rPr>
        <w:t>2</w:t>
      </w:r>
      <w:r w:rsidR="0067296D">
        <w:rPr>
          <w:rFonts w:ascii="Bookman Old Style" w:hAnsi="Bookman Old Style" w:cs="Arial"/>
        </w:rPr>
        <w:t>7</w:t>
      </w:r>
      <w:r w:rsidR="006C35AA">
        <w:rPr>
          <w:rFonts w:ascii="Bookman Old Style" w:hAnsi="Bookman Old Style" w:cs="Arial"/>
        </w:rPr>
        <w:t xml:space="preserve"> de </w:t>
      </w:r>
      <w:r w:rsidR="0067296D">
        <w:rPr>
          <w:rFonts w:ascii="Bookman Old Style" w:hAnsi="Bookman Old Style" w:cs="Arial"/>
        </w:rPr>
        <w:t>octubre</w:t>
      </w:r>
      <w:r w:rsidR="006C35AA">
        <w:rPr>
          <w:rFonts w:ascii="Bookman Old Style" w:hAnsi="Bookman Old Style" w:cs="Arial"/>
        </w:rPr>
        <w:t xml:space="preserve"> de 202</w:t>
      </w:r>
      <w:r w:rsidR="00633A73">
        <w:rPr>
          <w:rFonts w:ascii="Bookman Old Style" w:hAnsi="Bookman Old Style" w:cs="Arial"/>
        </w:rPr>
        <w:t>1</w:t>
      </w:r>
      <w:r w:rsidR="006C35AA">
        <w:rPr>
          <w:rFonts w:ascii="Bookman Old Style" w:hAnsi="Bookman Old Style" w:cs="Arial"/>
        </w:rPr>
        <w:t>,</w:t>
      </w:r>
      <w:r w:rsidR="00633A73">
        <w:rPr>
          <w:rFonts w:ascii="Bookman Old Style" w:hAnsi="Bookman Old Style" w:cs="Arial"/>
        </w:rPr>
        <w:t xml:space="preserve"> y en esa misma fecha tuvo acceso al contenido de la notificación, </w:t>
      </w:r>
      <w:r w:rsidR="00CB0E9E">
        <w:rPr>
          <w:rFonts w:ascii="Bookman Old Style" w:hAnsi="Bookman Old Style" w:cs="Arial"/>
        </w:rPr>
        <w:t>tal como consta en el radicado CREG I-202</w:t>
      </w:r>
      <w:r w:rsidR="00633A73">
        <w:rPr>
          <w:rFonts w:ascii="Bookman Old Style" w:hAnsi="Bookman Old Style" w:cs="Arial"/>
        </w:rPr>
        <w:t>1-003166</w:t>
      </w:r>
      <w:r w:rsidR="001425A9">
        <w:rPr>
          <w:rFonts w:ascii="Bookman Old Style" w:hAnsi="Bookman Old Style" w:cs="Arial"/>
        </w:rPr>
        <w:t>.</w:t>
      </w:r>
      <w:r w:rsidR="00633A73">
        <w:rPr>
          <w:rFonts w:ascii="Bookman Old Style" w:hAnsi="Bookman Old Style" w:cs="Arial"/>
        </w:rPr>
        <w:t xml:space="preserve"> </w:t>
      </w:r>
    </w:p>
    <w:p w14:paraId="660775AF" w14:textId="2F92F46E" w:rsidR="00633A73" w:rsidRDefault="00C4611F" w:rsidP="009353D2">
      <w:pPr>
        <w:adjustRightInd w:val="0"/>
        <w:spacing w:before="240" w:after="240"/>
        <w:ind w:left="0"/>
        <w:jc w:val="both"/>
        <w:rPr>
          <w:rFonts w:ascii="Bookman Old Style" w:hAnsi="Bookman Old Style" w:cs="Arial"/>
          <w:i/>
        </w:rPr>
      </w:pPr>
      <w:r>
        <w:rPr>
          <w:rFonts w:ascii="Bookman Old Style" w:hAnsi="Bookman Old Style" w:cs="Arial"/>
        </w:rPr>
        <w:lastRenderedPageBreak/>
        <w:t xml:space="preserve">Mediante </w:t>
      </w:r>
      <w:r w:rsidR="00DE1700">
        <w:rPr>
          <w:rFonts w:ascii="Bookman Old Style" w:hAnsi="Bookman Old Style" w:cs="Arial"/>
        </w:rPr>
        <w:t xml:space="preserve">comunicación </w:t>
      </w:r>
      <w:r w:rsidR="00DE1700" w:rsidRPr="00DE1700">
        <w:rPr>
          <w:rFonts w:ascii="Bookman Old Style" w:hAnsi="Bookman Old Style" w:cs="Arial"/>
        </w:rPr>
        <w:t>E-2021-012923</w:t>
      </w:r>
      <w:r w:rsidR="00DE1700">
        <w:rPr>
          <w:rFonts w:ascii="Bookman Old Style" w:hAnsi="Bookman Old Style" w:cs="Arial"/>
        </w:rPr>
        <w:t xml:space="preserve"> de</w:t>
      </w:r>
      <w:r w:rsidR="008F35D2">
        <w:rPr>
          <w:rFonts w:ascii="Bookman Old Style" w:hAnsi="Bookman Old Style" w:cs="Arial"/>
        </w:rPr>
        <w:t>l</w:t>
      </w:r>
      <w:r w:rsidR="00DE1700">
        <w:rPr>
          <w:rFonts w:ascii="Bookman Old Style" w:hAnsi="Bookman Old Style" w:cs="Arial"/>
        </w:rPr>
        <w:t xml:space="preserve"> 3 de noviembre de 2021, </w:t>
      </w:r>
      <w:r w:rsidR="00633A73">
        <w:rPr>
          <w:rFonts w:ascii="Bookman Old Style" w:hAnsi="Bookman Old Style" w:cs="Arial"/>
        </w:rPr>
        <w:t xml:space="preserve">la empresa </w:t>
      </w:r>
      <w:r w:rsidR="00465D74">
        <w:rPr>
          <w:rFonts w:ascii="Bookman Old Style" w:hAnsi="Bookman Old Style" w:cs="Arial"/>
        </w:rPr>
        <w:t>ENERCER</w:t>
      </w:r>
      <w:r w:rsidR="00633A73">
        <w:rPr>
          <w:rFonts w:ascii="Bookman Old Style" w:hAnsi="Bookman Old Style" w:cs="Arial"/>
        </w:rPr>
        <w:t xml:space="preserve"> S.A. E.S.P.</w:t>
      </w:r>
      <w:r w:rsidR="00DE1700">
        <w:rPr>
          <w:rFonts w:ascii="Bookman Old Style" w:hAnsi="Bookman Old Style" w:cs="Arial"/>
        </w:rPr>
        <w:t xml:space="preserve"> interpuso recurso de reposición en contra de los numerales 3 y 4 de la Resolución No. 162 de 2021 (…) </w:t>
      </w:r>
      <w:r w:rsidR="00DE1700" w:rsidRPr="00DE1700">
        <w:rPr>
          <w:rFonts w:ascii="Bookman Old Style" w:hAnsi="Bookman Old Style" w:cs="Arial"/>
          <w:i/>
        </w:rPr>
        <w:t>que establecen la Inversión Base y los Gastos de Administración, Operación y Mantenimiento – AOM, utilizados para el cálculo del cargo de distribución del mercado relevante conformado por el municipio de Úmbita, en el Departamento de Boyacá</w:t>
      </w:r>
      <w:r w:rsidR="00DE1700">
        <w:rPr>
          <w:rFonts w:ascii="Bookman Old Style" w:hAnsi="Bookman Old Style" w:cs="Arial"/>
          <w:i/>
        </w:rPr>
        <w:t>.”</w:t>
      </w:r>
    </w:p>
    <w:p w14:paraId="6DF7CE23" w14:textId="51893DD1" w:rsidR="00A52EE0" w:rsidRPr="00F107ED" w:rsidRDefault="00A52EE0" w:rsidP="00A52EE0">
      <w:pPr>
        <w:keepNext/>
        <w:numPr>
          <w:ilvl w:val="0"/>
          <w:numId w:val="14"/>
        </w:numPr>
        <w:adjustRightInd w:val="0"/>
        <w:spacing w:before="480" w:after="240"/>
        <w:ind w:hanging="720"/>
        <w:jc w:val="both"/>
        <w:rPr>
          <w:rFonts w:ascii="Bookman Old Style" w:hAnsi="Bookman Old Style"/>
          <w:b/>
        </w:rPr>
      </w:pPr>
      <w:r>
        <w:rPr>
          <w:rFonts w:ascii="Bookman Old Style" w:hAnsi="Bookman Old Style"/>
          <w:b/>
        </w:rPr>
        <w:t>FUNDAMENTOS DEL RECURSO DE REPOSICIÓN INTERPUESTO POR</w:t>
      </w:r>
      <w:r w:rsidR="00DE1700">
        <w:rPr>
          <w:rFonts w:ascii="Bookman Old Style" w:hAnsi="Bookman Old Style"/>
          <w:b/>
        </w:rPr>
        <w:t xml:space="preserve"> LA EMPRESA</w:t>
      </w:r>
      <w:r>
        <w:rPr>
          <w:rFonts w:ascii="Bookman Old Style" w:hAnsi="Bookman Old Style"/>
          <w:b/>
        </w:rPr>
        <w:t xml:space="preserve"> </w:t>
      </w:r>
      <w:r w:rsidR="00465D74">
        <w:rPr>
          <w:rFonts w:ascii="Bookman Old Style" w:hAnsi="Bookman Old Style"/>
          <w:b/>
        </w:rPr>
        <w:t>ENERCER</w:t>
      </w:r>
      <w:r>
        <w:rPr>
          <w:rFonts w:ascii="Bookman Old Style" w:hAnsi="Bookman Old Style"/>
          <w:b/>
        </w:rPr>
        <w:t xml:space="preserve"> S.A. E.S.P.</w:t>
      </w:r>
    </w:p>
    <w:p w14:paraId="56AC0E66" w14:textId="3D0E012B" w:rsidR="00A52EE0" w:rsidRDefault="00A52EE0" w:rsidP="00A52EE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La empresa </w:t>
      </w:r>
      <w:r w:rsidR="00607AA4">
        <w:rPr>
          <w:rFonts w:ascii="Bookman Old Style" w:hAnsi="Bookman Old Style" w:cs="Arial"/>
        </w:rPr>
        <w:t>r</w:t>
      </w:r>
      <w:r>
        <w:rPr>
          <w:rFonts w:ascii="Bookman Old Style" w:hAnsi="Bookman Old Style" w:cs="Arial"/>
        </w:rPr>
        <w:t xml:space="preserve">ecurrente presenta los motivos de su </w:t>
      </w:r>
      <w:r w:rsidRPr="00B95362">
        <w:rPr>
          <w:rFonts w:ascii="Bookman Old Style" w:hAnsi="Bookman Old Style" w:cs="Arial"/>
        </w:rPr>
        <w:t xml:space="preserve">inconformidad </w:t>
      </w:r>
      <w:r>
        <w:rPr>
          <w:rFonts w:ascii="Bookman Old Style" w:hAnsi="Bookman Old Style" w:cs="Arial"/>
        </w:rPr>
        <w:t>y sustenta su solicitud en los siguientes términos:</w:t>
      </w:r>
    </w:p>
    <w:p w14:paraId="3DD2E5EC" w14:textId="1A556237" w:rsidR="00DE1700" w:rsidRPr="00864E8A" w:rsidRDefault="00DE1700" w:rsidP="00A52EE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b/>
          <w:i/>
          <w:lang w:val="es-CO"/>
        </w:rPr>
      </w:pPr>
      <w:r w:rsidRPr="00864E8A">
        <w:rPr>
          <w:rFonts w:ascii="Bookman Old Style" w:hAnsi="Bookman Old Style" w:cs="Arial"/>
          <w:b/>
          <w:i/>
          <w:lang w:val="es-CO"/>
        </w:rPr>
        <w:t>1. Uso indistinto de cifras como valores referidos a la Fecha Base</w:t>
      </w:r>
    </w:p>
    <w:p w14:paraId="0A606AA2" w14:textId="65641237" w:rsidR="00DE1700" w:rsidRPr="00DE1700" w:rsidRDefault="00DE1700" w:rsidP="00DE1700">
      <w:pPr>
        <w:autoSpaceDE w:val="0"/>
        <w:autoSpaceDN w:val="0"/>
        <w:adjustRightInd w:val="0"/>
        <w:ind w:left="0"/>
        <w:jc w:val="both"/>
        <w:rPr>
          <w:rFonts w:ascii="Bookman Old Style" w:hAnsi="Bookman Old Style" w:cs="Arial"/>
          <w:i/>
          <w:sz w:val="22"/>
          <w:szCs w:val="22"/>
          <w:lang w:val="es-CO" w:eastAsia="es-CO"/>
        </w:rPr>
      </w:pPr>
      <w:r w:rsidRPr="00DE1700">
        <w:rPr>
          <w:rFonts w:ascii="Bookman Old Style" w:hAnsi="Bookman Old Style" w:cs="Arial"/>
          <w:i/>
          <w:color w:val="000000"/>
          <w:sz w:val="22"/>
          <w:szCs w:val="22"/>
          <w:lang w:val="es-CO" w:eastAsia="es-CO"/>
        </w:rPr>
        <w:t xml:space="preserve">Mediante comunicación con radicado CREG E-2021-000547 del 15 de enero de 2021, </w:t>
      </w:r>
      <w:r w:rsidR="00465D74">
        <w:rPr>
          <w:rFonts w:ascii="Bookman Old Style" w:hAnsi="Bookman Old Style" w:cs="Arial"/>
          <w:i/>
          <w:color w:val="000000"/>
          <w:sz w:val="22"/>
          <w:szCs w:val="22"/>
          <w:lang w:val="es-CO" w:eastAsia="es-CO"/>
        </w:rPr>
        <w:t>ENERCER</w:t>
      </w:r>
      <w:r w:rsidRPr="00DE1700">
        <w:rPr>
          <w:rFonts w:ascii="Bookman Old Style" w:hAnsi="Bookman Old Style" w:cs="Arial"/>
          <w:i/>
          <w:color w:val="000000"/>
          <w:sz w:val="22"/>
          <w:szCs w:val="22"/>
          <w:lang w:val="es-CO" w:eastAsia="es-CO"/>
        </w:rPr>
        <w:t xml:space="preserve"> S.A. E.S.P. solicitó la aprobación de los cargos de distribución y comercialización de gas natural </w:t>
      </w:r>
      <w:r w:rsidRPr="00DE1700">
        <w:rPr>
          <w:rFonts w:ascii="Bookman Old Style" w:hAnsi="Bookman Old Style" w:cs="Arial"/>
          <w:i/>
          <w:sz w:val="22"/>
          <w:szCs w:val="22"/>
          <w:lang w:val="es-CO" w:eastAsia="es-CO"/>
        </w:rPr>
        <w:t xml:space="preserve">comprimido (GNC) para el mercado relevante conformado por el municipio de Úmbita, en el departamento de Boyacá. </w:t>
      </w:r>
    </w:p>
    <w:p w14:paraId="06AD1B55" w14:textId="77777777" w:rsidR="00DE1700" w:rsidRPr="00DE1700" w:rsidRDefault="00DE1700" w:rsidP="00DE1700">
      <w:pPr>
        <w:autoSpaceDE w:val="0"/>
        <w:autoSpaceDN w:val="0"/>
        <w:adjustRightInd w:val="0"/>
        <w:ind w:left="0"/>
        <w:jc w:val="both"/>
        <w:rPr>
          <w:rFonts w:ascii="Bookman Old Style" w:hAnsi="Bookman Old Style" w:cs="Arial"/>
          <w:i/>
          <w:sz w:val="22"/>
          <w:szCs w:val="22"/>
          <w:lang w:val="es-CO" w:eastAsia="es-CO"/>
        </w:rPr>
      </w:pPr>
    </w:p>
    <w:p w14:paraId="2FE77CC7" w14:textId="676D1346" w:rsidR="00DE1700" w:rsidRPr="00DE1700" w:rsidRDefault="00DE1700" w:rsidP="00DE1700">
      <w:pPr>
        <w:autoSpaceDE w:val="0"/>
        <w:autoSpaceDN w:val="0"/>
        <w:adjustRightInd w:val="0"/>
        <w:ind w:left="0"/>
        <w:jc w:val="both"/>
        <w:rPr>
          <w:rFonts w:ascii="Bookman Old Style" w:hAnsi="Bookman Old Style" w:cs="Arial"/>
          <w:i/>
          <w:sz w:val="22"/>
          <w:szCs w:val="22"/>
          <w:lang w:val="es-CO" w:eastAsia="es-CO"/>
        </w:rPr>
      </w:pPr>
      <w:r w:rsidRPr="00DE1700">
        <w:rPr>
          <w:rFonts w:ascii="Bookman Old Style" w:hAnsi="Bookman Old Style" w:cs="Arial"/>
          <w:i/>
          <w:sz w:val="22"/>
          <w:szCs w:val="22"/>
          <w:lang w:val="es-CO" w:eastAsia="es-CO"/>
        </w:rPr>
        <w:t xml:space="preserve">De acuerdo con las definiciones del artículo 2 de la Resolución CREG 202 de 2013, Fecha Base </w:t>
      </w:r>
      <w:r w:rsidRPr="00DE1700">
        <w:rPr>
          <w:rFonts w:ascii="Bookman Old Style" w:hAnsi="Bookman Old Style" w:cs="Arial"/>
          <w:i/>
          <w:iCs/>
          <w:sz w:val="22"/>
          <w:szCs w:val="22"/>
          <w:lang w:val="es-CO" w:eastAsia="es-CO"/>
        </w:rPr>
        <w:t xml:space="preserve">“Es la fecha de referencia que se tiene en cuenta para realizar los cálculos de los cargos que el Distribuidor presenta a la CREG en cada Período Tarifario, </w:t>
      </w:r>
      <w:r w:rsidRPr="00DE1700">
        <w:rPr>
          <w:rFonts w:ascii="Bookman Old Style" w:hAnsi="Bookman Old Style" w:cs="Arial"/>
          <w:b/>
          <w:bCs/>
          <w:i/>
          <w:iCs/>
          <w:sz w:val="22"/>
          <w:szCs w:val="22"/>
          <w:lang w:val="es-CO" w:eastAsia="es-CO"/>
        </w:rPr>
        <w:t>y que corresponde al 31 de diciembre del año anterior al año de la solicitud tarifaria</w:t>
      </w:r>
      <w:r w:rsidRPr="00DE1700">
        <w:rPr>
          <w:rFonts w:ascii="Bookman Old Style" w:hAnsi="Bookman Old Style" w:cs="Arial"/>
          <w:i/>
          <w:iCs/>
          <w:sz w:val="22"/>
          <w:szCs w:val="22"/>
          <w:lang w:val="es-CO" w:eastAsia="es-CO"/>
        </w:rPr>
        <w:t xml:space="preserve">.” </w:t>
      </w:r>
      <w:r w:rsidRPr="00DE1700">
        <w:rPr>
          <w:rFonts w:ascii="Bookman Old Style" w:hAnsi="Bookman Old Style" w:cs="Arial"/>
          <w:i/>
          <w:sz w:val="22"/>
          <w:szCs w:val="22"/>
          <w:lang w:val="es-CO" w:eastAsia="es-CO"/>
        </w:rPr>
        <w:t xml:space="preserve">(Negrilla y subrayado fuera de texto). </w:t>
      </w:r>
    </w:p>
    <w:p w14:paraId="5E895F9C" w14:textId="77777777" w:rsidR="00DE1700" w:rsidRPr="00DE1700" w:rsidRDefault="00DE1700" w:rsidP="00DE1700">
      <w:pPr>
        <w:autoSpaceDE w:val="0"/>
        <w:autoSpaceDN w:val="0"/>
        <w:adjustRightInd w:val="0"/>
        <w:ind w:left="0"/>
        <w:jc w:val="both"/>
        <w:rPr>
          <w:rFonts w:ascii="Bookman Old Style" w:hAnsi="Bookman Old Style" w:cs="Arial"/>
          <w:i/>
          <w:sz w:val="22"/>
          <w:szCs w:val="22"/>
          <w:lang w:val="es-CO" w:eastAsia="es-CO"/>
        </w:rPr>
      </w:pPr>
    </w:p>
    <w:p w14:paraId="5EAAB369" w14:textId="5725D530" w:rsidR="00DE1700" w:rsidRPr="00DE1700" w:rsidRDefault="00DE1700" w:rsidP="00DE1700">
      <w:pPr>
        <w:autoSpaceDE w:val="0"/>
        <w:autoSpaceDN w:val="0"/>
        <w:adjustRightInd w:val="0"/>
        <w:ind w:left="0"/>
        <w:jc w:val="both"/>
        <w:rPr>
          <w:rFonts w:ascii="Bookman Old Style" w:hAnsi="Bookman Old Style" w:cs="Arial"/>
          <w:i/>
          <w:iCs/>
          <w:sz w:val="22"/>
          <w:szCs w:val="22"/>
          <w:lang w:val="es-CO" w:eastAsia="es-CO"/>
        </w:rPr>
      </w:pPr>
      <w:r w:rsidRPr="00DE1700">
        <w:rPr>
          <w:rFonts w:ascii="Bookman Old Style" w:hAnsi="Bookman Old Style" w:cs="Arial"/>
          <w:i/>
          <w:sz w:val="22"/>
          <w:szCs w:val="22"/>
          <w:lang w:val="es-CO" w:eastAsia="es-CO"/>
        </w:rPr>
        <w:t xml:space="preserve">De acuerdo con esta definición y considerando que la solicitud tarifaria se radicó el 15 de enero de 2021, la Fecha Base para realizar los cálculos de los cargos de distribución para el mercado relevante conformado por el municipio de Úmbita en el Departamento de Boyacá corresponde al </w:t>
      </w:r>
      <w:r w:rsidRPr="00DE1700">
        <w:rPr>
          <w:rFonts w:ascii="Bookman Old Style" w:hAnsi="Bookman Old Style" w:cs="Arial"/>
          <w:b/>
          <w:bCs/>
          <w:i/>
          <w:sz w:val="22"/>
          <w:szCs w:val="22"/>
          <w:lang w:val="es-CO" w:eastAsia="es-CO"/>
        </w:rPr>
        <w:t xml:space="preserve">31 de diciembre de 2020. </w:t>
      </w:r>
      <w:r w:rsidRPr="00DE1700">
        <w:rPr>
          <w:rFonts w:ascii="Bookman Old Style" w:hAnsi="Bookman Old Style" w:cs="Arial"/>
          <w:i/>
          <w:sz w:val="22"/>
          <w:szCs w:val="22"/>
          <w:lang w:val="es-CO" w:eastAsia="es-CO"/>
        </w:rPr>
        <w:t xml:space="preserve">No obstante, tal como se mencionó en el numeral 2 de la solicitud tarifaria, a la fecha de elaboración del referido documento </w:t>
      </w:r>
      <w:r w:rsidRPr="00DE1700">
        <w:rPr>
          <w:rFonts w:ascii="Bookman Old Style" w:hAnsi="Bookman Old Style" w:cs="Arial"/>
          <w:i/>
          <w:iCs/>
          <w:sz w:val="22"/>
          <w:szCs w:val="22"/>
          <w:lang w:val="es-CO" w:eastAsia="es-CO"/>
        </w:rPr>
        <w:t xml:space="preserve">“(…) la información cargada al aplicativo Apligas se muestra con fecha de corte diciembre de 2019 aun cuando ya se dispone de los respectivos factores de actualización a diciembre de 2020.” </w:t>
      </w:r>
    </w:p>
    <w:p w14:paraId="61707365" w14:textId="77777777" w:rsidR="00DE1700" w:rsidRPr="00DE1700" w:rsidRDefault="00DE1700" w:rsidP="00DE1700">
      <w:pPr>
        <w:autoSpaceDE w:val="0"/>
        <w:autoSpaceDN w:val="0"/>
        <w:adjustRightInd w:val="0"/>
        <w:ind w:left="0"/>
        <w:jc w:val="both"/>
        <w:rPr>
          <w:rFonts w:ascii="Bookman Old Style" w:hAnsi="Bookman Old Style" w:cs="Arial"/>
          <w:i/>
          <w:sz w:val="22"/>
          <w:szCs w:val="22"/>
          <w:lang w:val="es-CO" w:eastAsia="es-CO"/>
        </w:rPr>
      </w:pPr>
    </w:p>
    <w:p w14:paraId="55B1AA2C" w14:textId="77777777" w:rsidR="00DE1700" w:rsidRPr="00DE1700" w:rsidRDefault="00DE1700" w:rsidP="00DE1700">
      <w:pPr>
        <w:autoSpaceDE w:val="0"/>
        <w:autoSpaceDN w:val="0"/>
        <w:adjustRightInd w:val="0"/>
        <w:ind w:left="0"/>
        <w:jc w:val="both"/>
        <w:rPr>
          <w:rFonts w:ascii="Bookman Old Style" w:hAnsi="Bookman Old Style" w:cs="Arial"/>
          <w:i/>
          <w:sz w:val="22"/>
          <w:szCs w:val="22"/>
          <w:lang w:val="es-CO" w:eastAsia="es-CO"/>
        </w:rPr>
      </w:pPr>
      <w:r w:rsidRPr="00DE1700">
        <w:rPr>
          <w:rFonts w:ascii="Bookman Old Style" w:hAnsi="Bookman Old Style" w:cs="Arial"/>
          <w:i/>
          <w:sz w:val="22"/>
          <w:szCs w:val="22"/>
          <w:lang w:val="es-CO" w:eastAsia="es-CO"/>
        </w:rPr>
        <w:t xml:space="preserve">Es decir que a la fecha de elaboración y presentación de la solicitud tarifaria (15 de enero de 2021), la valoración de las unidades constructivas disponibles en el aplicativo Apligas no habían sido actualizadas a la fecha Base del momento (31 de diciembre de 2020), sino que continuaban mostrando valores referidos al 31 de diciembre de 2019. </w:t>
      </w:r>
    </w:p>
    <w:p w14:paraId="58A59D83" w14:textId="7F40F9C4" w:rsidR="00DE1700" w:rsidRPr="00DE1700" w:rsidRDefault="00DE1700" w:rsidP="00DE170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lang w:val="es-CO"/>
        </w:rPr>
      </w:pPr>
      <w:r w:rsidRPr="00DE1700">
        <w:rPr>
          <w:rFonts w:ascii="Bookman Old Style" w:hAnsi="Bookman Old Style" w:cs="Arial"/>
          <w:i/>
          <w:sz w:val="22"/>
          <w:szCs w:val="22"/>
          <w:lang w:val="es-CO" w:eastAsia="es-CO"/>
        </w:rPr>
        <w:t xml:space="preserve">Es así como el Plan de Nuevas Inversiones reportado y certificado en Apligas fue valorado </w:t>
      </w:r>
      <w:r w:rsidRPr="00DE1700">
        <w:rPr>
          <w:rFonts w:ascii="Bookman Old Style" w:hAnsi="Bookman Old Style" w:cs="Arial"/>
          <w:b/>
          <w:bCs/>
          <w:i/>
          <w:sz w:val="22"/>
          <w:szCs w:val="22"/>
          <w:lang w:val="es-CO" w:eastAsia="es-CO"/>
        </w:rPr>
        <w:t xml:space="preserve">por el mismo sistema </w:t>
      </w:r>
      <w:r w:rsidRPr="00DE1700">
        <w:rPr>
          <w:rFonts w:ascii="Bookman Old Style" w:hAnsi="Bookman Old Style" w:cs="Arial"/>
          <w:i/>
          <w:sz w:val="22"/>
          <w:szCs w:val="22"/>
          <w:lang w:val="es-CO" w:eastAsia="es-CO"/>
        </w:rPr>
        <w:t xml:space="preserve">en pesos del 31 de diciembre de 2019. Al margen de lo anterior, y para dar cumplimiento a la definición de Fecha Base, </w:t>
      </w:r>
      <w:r w:rsidR="00465D74">
        <w:rPr>
          <w:rFonts w:ascii="Bookman Old Style" w:hAnsi="Bookman Old Style" w:cs="Arial"/>
          <w:i/>
          <w:sz w:val="22"/>
          <w:szCs w:val="22"/>
          <w:lang w:val="es-CO" w:eastAsia="es-CO"/>
        </w:rPr>
        <w:t>ENERCER</w:t>
      </w:r>
      <w:r w:rsidRPr="00DE1700">
        <w:rPr>
          <w:rFonts w:ascii="Bookman Old Style" w:hAnsi="Bookman Old Style" w:cs="Arial"/>
          <w:i/>
          <w:sz w:val="22"/>
          <w:szCs w:val="22"/>
          <w:lang w:val="es-CO" w:eastAsia="es-CO"/>
        </w:rPr>
        <w:t xml:space="preserve"> S.A. E.S.P., en el documento de solicitud tarifaria presentó la información valorada tanto en pesos de diciembre de 2019 en consistencia con la información certificada en Apligas, como en pesos de diciembre de 2020 en cumplimiento de la definición de la </w:t>
      </w:r>
      <w:r w:rsidRPr="00DE1700">
        <w:rPr>
          <w:rFonts w:ascii="Bookman Old Style" w:hAnsi="Bookman Old Style" w:cs="Arial"/>
          <w:i/>
          <w:iCs/>
          <w:sz w:val="22"/>
          <w:szCs w:val="22"/>
          <w:lang w:val="es-CO" w:eastAsia="es-CO"/>
        </w:rPr>
        <w:t>Fecha Base</w:t>
      </w:r>
      <w:r w:rsidRPr="00DE1700">
        <w:rPr>
          <w:rFonts w:ascii="Bookman Old Style" w:hAnsi="Bookman Old Style" w:cs="Arial"/>
          <w:i/>
          <w:sz w:val="22"/>
          <w:szCs w:val="22"/>
          <w:lang w:val="es-CO" w:eastAsia="es-CO"/>
        </w:rPr>
        <w:t>.</w:t>
      </w:r>
    </w:p>
    <w:p w14:paraId="3A77F818" w14:textId="7745B272" w:rsidR="00DE1700" w:rsidRDefault="00DE1700" w:rsidP="00DE170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DE1700">
        <w:rPr>
          <w:rFonts w:ascii="Bookman Old Style" w:hAnsi="Bookman Old Style" w:cs="Arial"/>
          <w:i/>
          <w:sz w:val="22"/>
          <w:szCs w:val="22"/>
        </w:rPr>
        <w:t xml:space="preserve">El resumen de las nuevas inversiones presentado por </w:t>
      </w:r>
      <w:r w:rsidR="00465D74">
        <w:rPr>
          <w:rFonts w:ascii="Bookman Old Style" w:hAnsi="Bookman Old Style" w:cs="Arial"/>
          <w:i/>
          <w:sz w:val="22"/>
          <w:szCs w:val="22"/>
        </w:rPr>
        <w:t>ENERCER</w:t>
      </w:r>
      <w:r w:rsidRPr="00DE1700">
        <w:rPr>
          <w:rFonts w:ascii="Bookman Old Style" w:hAnsi="Bookman Old Style" w:cs="Arial"/>
          <w:i/>
          <w:sz w:val="22"/>
          <w:szCs w:val="22"/>
        </w:rPr>
        <w:t xml:space="preserve"> S.A. E.S.P. en la solicitud tarifaria se consolida a continuación:</w:t>
      </w:r>
    </w:p>
    <w:p w14:paraId="47DBB38E" w14:textId="77777777" w:rsidR="0076689B" w:rsidRPr="00DE1700" w:rsidRDefault="0076689B" w:rsidP="00DE170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p>
    <w:p w14:paraId="63F25A60" w14:textId="26AD182B" w:rsidR="00DE1700" w:rsidRPr="00DE1700" w:rsidRDefault="00DE1700" w:rsidP="00DE1700">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b/>
          <w:sz w:val="22"/>
          <w:szCs w:val="22"/>
        </w:rPr>
      </w:pPr>
      <w:r>
        <w:rPr>
          <w:rFonts w:ascii="Arial" w:hAnsi="Arial" w:cs="Arial"/>
        </w:rPr>
        <w:lastRenderedPageBreak/>
        <w:tab/>
      </w:r>
      <w:r w:rsidRPr="00DE1700">
        <w:rPr>
          <w:rFonts w:ascii="Bookman Old Style" w:hAnsi="Bookman Old Style" w:cs="Arial"/>
          <w:b/>
          <w:sz w:val="22"/>
          <w:szCs w:val="22"/>
        </w:rPr>
        <w:t>Tabla 1. Programa de Nuevas Inversiones, Mercado Relevante Úmbita - Boyacá</w:t>
      </w:r>
    </w:p>
    <w:p w14:paraId="104733C0" w14:textId="79306C1E" w:rsidR="00DE1700" w:rsidRDefault="00864E8A" w:rsidP="00864E8A">
      <w:pPr>
        <w:widowControl w:val="0"/>
        <w:tabs>
          <w:tab w:val="center" w:pos="4512"/>
          <w:tab w:val="left" w:pos="7088"/>
        </w:tabs>
        <w:suppressAutoHyphens/>
        <w:adjustRightInd w:val="0"/>
        <w:spacing w:before="240" w:after="240"/>
        <w:ind w:left="0" w:right="51"/>
        <w:jc w:val="center"/>
        <w:textAlignment w:val="baseline"/>
        <w:rPr>
          <w:rFonts w:ascii="Arial" w:hAnsi="Arial" w:cs="Arial"/>
        </w:rPr>
      </w:pPr>
      <w:r w:rsidRPr="00864E8A">
        <w:rPr>
          <w:rFonts w:ascii="Arial" w:hAnsi="Arial" w:cs="Arial"/>
          <w:noProof/>
        </w:rPr>
        <w:drawing>
          <wp:inline distT="0" distB="0" distL="0" distR="0" wp14:anchorId="6C5C9AAE" wp14:editId="6F03A07A">
            <wp:extent cx="4413250" cy="1046391"/>
            <wp:effectExtent l="0" t="0" r="635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4070" cy="1048956"/>
                    </a:xfrm>
                    <a:prstGeom prst="rect">
                      <a:avLst/>
                    </a:prstGeom>
                    <a:noFill/>
                    <a:ln>
                      <a:noFill/>
                    </a:ln>
                  </pic:spPr>
                </pic:pic>
              </a:graphicData>
            </a:graphic>
          </wp:inline>
        </w:drawing>
      </w:r>
    </w:p>
    <w:p w14:paraId="51B0A838" w14:textId="4FD03F05"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No obstante, al revisar el documento D-132-2021 soporte de la Resolución CREG 162 de 2021, se encuentra que el regulador tomó el resultado a diciembre de 2019 como valor a la Fecha Base, es decir a diciembre de 2020 (Cuadro 5 del D-132-2021):</w:t>
      </w:r>
    </w:p>
    <w:p w14:paraId="030E776A" w14:textId="37D53F47" w:rsidR="00864E8A" w:rsidRDefault="00864E8A" w:rsidP="00864E8A">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cs="Arial"/>
          <w:i/>
          <w:sz w:val="22"/>
          <w:szCs w:val="22"/>
        </w:rPr>
      </w:pPr>
      <w:r w:rsidRPr="00864E8A">
        <w:rPr>
          <w:rFonts w:ascii="Bookman Old Style" w:hAnsi="Bookman Old Style" w:cs="Arial"/>
          <w:i/>
          <w:noProof/>
          <w:sz w:val="22"/>
          <w:szCs w:val="22"/>
        </w:rPr>
        <w:drawing>
          <wp:inline distT="0" distB="0" distL="0" distR="0" wp14:anchorId="4FC74052" wp14:editId="3BF4C9E8">
            <wp:extent cx="4057650" cy="121003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9678" cy="1216604"/>
                    </a:xfrm>
                    <a:prstGeom prst="rect">
                      <a:avLst/>
                    </a:prstGeom>
                    <a:noFill/>
                    <a:ln>
                      <a:noFill/>
                    </a:ln>
                  </pic:spPr>
                </pic:pic>
              </a:graphicData>
            </a:graphic>
          </wp:inline>
        </w:drawing>
      </w:r>
    </w:p>
    <w:p w14:paraId="42BBE107" w14:textId="7596B940"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 xml:space="preserve">Nótese que la valoración de la inversión por $980.370.335 tomado por la Comisión como resultado a diciembre de 20201, corresponde con el valor reportado por </w:t>
      </w:r>
      <w:r w:rsidR="00465D74">
        <w:rPr>
          <w:rFonts w:ascii="Bookman Old Style" w:hAnsi="Bookman Old Style" w:cs="Arial"/>
          <w:i/>
          <w:sz w:val="22"/>
          <w:szCs w:val="22"/>
        </w:rPr>
        <w:t>ENERCER</w:t>
      </w:r>
      <w:r w:rsidRPr="00864E8A">
        <w:rPr>
          <w:rFonts w:ascii="Bookman Old Style" w:hAnsi="Bookman Old Style" w:cs="Arial"/>
          <w:i/>
          <w:sz w:val="22"/>
          <w:szCs w:val="22"/>
        </w:rPr>
        <w:t xml:space="preserve"> S.A. E.S.P. a diciembre de 2019. El hecho que la Comisión tome dicho valor como resultado a la Fecha Base del 31 de diciembre de 2020 impacta a la baja la valoración de la inversión presentada por </w:t>
      </w:r>
      <w:r w:rsidR="00465D74">
        <w:rPr>
          <w:rFonts w:ascii="Bookman Old Style" w:hAnsi="Bookman Old Style" w:cs="Arial"/>
          <w:i/>
          <w:sz w:val="22"/>
          <w:szCs w:val="22"/>
        </w:rPr>
        <w:t>ENERCER</w:t>
      </w:r>
      <w:r w:rsidRPr="00864E8A">
        <w:rPr>
          <w:rFonts w:ascii="Bookman Old Style" w:hAnsi="Bookman Old Style" w:cs="Arial"/>
          <w:i/>
          <w:sz w:val="22"/>
          <w:szCs w:val="22"/>
        </w:rPr>
        <w:t xml:space="preserve"> S.A. E.S.P. en $16.184.603, equivalente a la variación del factor de actualización IPP entre 2019 y 2020 (1,65%).</w:t>
      </w:r>
    </w:p>
    <w:p w14:paraId="0AE9474F" w14:textId="7779E8F4"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Por lo anterior atentamente nos permitimos solicitar a la Comisión que corrija el monto de nuevas inversiones empleado en el cálculo tarifario para que se tome como referencia el resultado en pesos de la Fecha Base de diciembre de 2020, esto es un monto de $996.554.938 tal como se refiere en la Tabla 1 anterior.</w:t>
      </w:r>
    </w:p>
    <w:p w14:paraId="1AEAD2ED" w14:textId="0193C0BB"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b/>
          <w:i/>
          <w:sz w:val="22"/>
          <w:szCs w:val="22"/>
        </w:rPr>
      </w:pPr>
      <w:r w:rsidRPr="00864E8A">
        <w:rPr>
          <w:rFonts w:ascii="Bookman Old Style" w:hAnsi="Bookman Old Style" w:cs="Arial"/>
          <w:b/>
          <w:i/>
          <w:sz w:val="22"/>
          <w:szCs w:val="22"/>
        </w:rPr>
        <w:t>2. Activos Especiales – Adecuación Lote Estación GNC</w:t>
      </w:r>
    </w:p>
    <w:p w14:paraId="5DE3DD76" w14:textId="77777777"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En el numeral 3.2.2.4 del documento D-132-2021_Programa de Nuevas Inversiones para Municipios Nuevos (IPNI), se hace referencia a la Unidad Constructiva Especial denominada “ADECUACIÓN LOTE ESTACIÓN GNC 200M3/HORA”, por valor de $181.496.952 (en pesos de diciembre de 2019), y se menciona que “no hace parte de las Unidades Constructivas observadas históricamente en lo reportado por otras empresas distribuidoras para Mercados Relevantes ya aprobados en los que la prestación del servicio se hace con Gas Natural Comprimido, GNC”, por lo cual se elimina de la base de activos del sistema de distribución.</w:t>
      </w:r>
    </w:p>
    <w:p w14:paraId="1C557AB0" w14:textId="555AFD93"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Así mismo se menciona que para la prestación del servicio con GNC ya existe una Unidad Constructiva que forma parte de los Activos Inherentes a la Operación, y que esta incluye lo correspondiente a la instalación de la Estación GNC 200m3/hora (RM200) con la volumetría que se presenta a continuación:</w:t>
      </w:r>
    </w:p>
    <w:p w14:paraId="1EBEE538" w14:textId="197C0F3F"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sz w:val="22"/>
          <w:szCs w:val="22"/>
        </w:rPr>
      </w:pPr>
      <w:r w:rsidRPr="00864E8A">
        <w:rPr>
          <w:rFonts w:ascii="Bookman Old Style" w:hAnsi="Bookman Old Style" w:cs="Arial"/>
          <w:sz w:val="22"/>
          <w:szCs w:val="22"/>
        </w:rPr>
        <w:t>(…)</w:t>
      </w:r>
    </w:p>
    <w:p w14:paraId="249778F6" w14:textId="63023FBD"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 xml:space="preserve">Nótese que la volumetría de la Unidad Constructiva RM200 no contiene componentes de </w:t>
      </w:r>
      <w:r w:rsidRPr="00864E8A">
        <w:rPr>
          <w:rFonts w:ascii="Bookman Old Style" w:hAnsi="Bookman Old Style" w:cs="Arial"/>
          <w:i/>
          <w:sz w:val="22"/>
          <w:szCs w:val="22"/>
        </w:rPr>
        <w:lastRenderedPageBreak/>
        <w:t>cerramiento, placas para ubicación de la estación ni cubierta (exigidos en la Resolución 40278 de 2017 expedida por el MME) que permitan proteger dicho activo contra la intervención de terceros, es allí donde surge la necesidad de ejecutar la infraestructura adicional detallada en el APU de la Unidad Especial Adecuación Lote Estación GNC y que se detalla a continuación:</w:t>
      </w:r>
    </w:p>
    <w:p w14:paraId="68541B56" w14:textId="33D97242"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Pr>
          <w:rFonts w:ascii="Bookman Old Style" w:hAnsi="Bookman Old Style" w:cs="Arial"/>
          <w:i/>
          <w:sz w:val="22"/>
          <w:szCs w:val="22"/>
        </w:rPr>
        <w:t>(…)</w:t>
      </w:r>
    </w:p>
    <w:p w14:paraId="5DE53929" w14:textId="69E65B22"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 xml:space="preserve">Es así, como </w:t>
      </w:r>
      <w:r w:rsidR="00465D74">
        <w:rPr>
          <w:rFonts w:ascii="Bookman Old Style" w:hAnsi="Bookman Old Style" w:cs="Arial"/>
          <w:i/>
          <w:sz w:val="22"/>
          <w:szCs w:val="22"/>
        </w:rPr>
        <w:t>ENERCER</w:t>
      </w:r>
      <w:r w:rsidRPr="00864E8A">
        <w:rPr>
          <w:rFonts w:ascii="Bookman Old Style" w:hAnsi="Bookman Old Style" w:cs="Arial"/>
          <w:i/>
          <w:sz w:val="22"/>
          <w:szCs w:val="22"/>
        </w:rPr>
        <w:t xml:space="preserve"> S.A. E.S.P. ha identificado la necesidad de ejecutar algunas instalaciones complementarias a las previstas en la Unidad Constructiva RM200, con el objeto de salvaguardar la infraestructura de la intervención de terceros y por esta vía garantizar la continuidad en la prestación del servicio, preservar mayor tiempo la unidad constructiva y garantizar un aislamiento físico de los transeúntes preservando la seguridad de la comunidad dada la alta presión a la que opera esta infraestructura.</w:t>
      </w:r>
    </w:p>
    <w:p w14:paraId="38011C6D" w14:textId="1DB0AEE0"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A continuación, se presenta un registro fotográfico del lote objeto de la adecuación mediante la Unidad Constructiva “</w:t>
      </w:r>
      <w:r w:rsidRPr="00864E8A">
        <w:rPr>
          <w:rFonts w:ascii="Bookman Old Style" w:hAnsi="Bookman Old Style" w:cs="Arial"/>
          <w:b/>
          <w:i/>
          <w:sz w:val="22"/>
          <w:szCs w:val="22"/>
        </w:rPr>
        <w:t>Adecuación Lote Estación GNC</w:t>
      </w:r>
      <w:r w:rsidRPr="00864E8A">
        <w:rPr>
          <w:rFonts w:ascii="Bookman Old Style" w:hAnsi="Bookman Old Style" w:cs="Arial"/>
          <w:i/>
          <w:sz w:val="22"/>
          <w:szCs w:val="22"/>
        </w:rPr>
        <w:t>”, antes y después de su ejecución</w:t>
      </w:r>
    </w:p>
    <w:p w14:paraId="1E318FD5" w14:textId="349C91E6"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Pr>
          <w:rFonts w:ascii="Bookman Old Style" w:hAnsi="Bookman Old Style" w:cs="Arial"/>
          <w:i/>
          <w:sz w:val="22"/>
          <w:szCs w:val="22"/>
        </w:rPr>
        <w:t>(…)</w:t>
      </w:r>
    </w:p>
    <w:p w14:paraId="296DEAB8" w14:textId="77777777"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Por otro lado, el Activo Especial denominado Adecuación Lote Estación GNC fue presentado y aprobado por el Ministerio de Minas y Energía - MME en el marco del convenio de cofinanciación GGC 592 de 2020, recursos que fueron asignados mediante Resolución MME 40324 del 30 de octubre de 2020 por lo que, vía interventoría, se deberá garantizar su ejecución como parte la infraestructura de distribución.</w:t>
      </w:r>
    </w:p>
    <w:p w14:paraId="78D26C0F" w14:textId="3C2BE5F1"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 xml:space="preserve">Eliminar el Activo Especial Adecuación Lote Estación GNC de la base de activos presentados tiene como consecuencia una redistribución de las inversiones según su fuente de financiación, y por tanto una menor remuneración del componente de inversión propia de </w:t>
      </w:r>
      <w:r w:rsidR="00465D74">
        <w:rPr>
          <w:rFonts w:ascii="Bookman Old Style" w:hAnsi="Bookman Old Style" w:cs="Arial"/>
          <w:i/>
          <w:sz w:val="22"/>
          <w:szCs w:val="22"/>
        </w:rPr>
        <w:t>ENERCER</w:t>
      </w:r>
      <w:r w:rsidRPr="00864E8A">
        <w:rPr>
          <w:rFonts w:ascii="Bookman Old Style" w:hAnsi="Bookman Old Style" w:cs="Arial"/>
          <w:i/>
          <w:sz w:val="22"/>
          <w:szCs w:val="22"/>
        </w:rPr>
        <w:t xml:space="preserve"> S.A. E.S.P., afectando el principio de suficiencia financiera según el cual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p>
    <w:p w14:paraId="3B887146" w14:textId="6BC97118" w:rsidR="00864E8A" w:rsidRP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En este sentido insistimos en que Activo Especial denominado Adecuación Lote Estación GNC debe ser reconocido como parte del sistema de distribución siguiendo el criterio empleado por la Comisión en el marco de las aprobaciones tarifarias que se relacionan a continuación:</w:t>
      </w:r>
    </w:p>
    <w:p w14:paraId="7C6E695C" w14:textId="0727451F" w:rsidR="00864E8A" w:rsidRPr="00864E8A" w:rsidRDefault="00864E8A" w:rsidP="00864E8A">
      <w:pPr>
        <w:pStyle w:val="Prrafodelista"/>
        <w:widowControl w:val="0"/>
        <w:numPr>
          <w:ilvl w:val="0"/>
          <w:numId w:val="27"/>
        </w:numPr>
        <w:tabs>
          <w:tab w:val="center" w:pos="4512"/>
          <w:tab w:val="left" w:pos="7088"/>
        </w:tabs>
        <w:suppressAutoHyphens/>
        <w:adjustRightInd w:val="0"/>
        <w:spacing w:before="240" w:after="240"/>
        <w:ind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Resolución CREG 197 de 2013 (Mercado Campohermoso)</w:t>
      </w:r>
    </w:p>
    <w:p w14:paraId="32CCF3F2" w14:textId="3409C82F" w:rsidR="00864E8A" w:rsidRPr="00864E8A" w:rsidRDefault="00864E8A" w:rsidP="00864E8A">
      <w:pPr>
        <w:pStyle w:val="Prrafodelista"/>
        <w:widowControl w:val="0"/>
        <w:numPr>
          <w:ilvl w:val="0"/>
          <w:numId w:val="27"/>
        </w:numPr>
        <w:tabs>
          <w:tab w:val="center" w:pos="4512"/>
          <w:tab w:val="left" w:pos="7088"/>
        </w:tabs>
        <w:suppressAutoHyphens/>
        <w:adjustRightInd w:val="0"/>
        <w:spacing w:before="240" w:after="240"/>
        <w:ind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Resolución CREG 094 de 2018 (Mercado Chinavita-Pachavita)</w:t>
      </w:r>
    </w:p>
    <w:p w14:paraId="7BB758C3" w14:textId="36C1792E" w:rsidR="00864E8A" w:rsidRPr="00864E8A" w:rsidRDefault="00864E8A" w:rsidP="00864E8A">
      <w:pPr>
        <w:pStyle w:val="Prrafodelista"/>
        <w:widowControl w:val="0"/>
        <w:numPr>
          <w:ilvl w:val="0"/>
          <w:numId w:val="27"/>
        </w:numPr>
        <w:tabs>
          <w:tab w:val="center" w:pos="4512"/>
          <w:tab w:val="left" w:pos="7088"/>
        </w:tabs>
        <w:suppressAutoHyphens/>
        <w:adjustRightInd w:val="0"/>
        <w:spacing w:before="240" w:after="240"/>
        <w:ind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Resolución CREG 101 de 2018 (Mercado San Luis de Gaceno)</w:t>
      </w:r>
    </w:p>
    <w:p w14:paraId="75960642" w14:textId="5284170A"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rPr>
      </w:pPr>
      <w:r w:rsidRPr="00864E8A">
        <w:rPr>
          <w:rFonts w:ascii="Bookman Old Style" w:hAnsi="Bookman Old Style" w:cs="Arial"/>
          <w:i/>
          <w:sz w:val="22"/>
          <w:szCs w:val="22"/>
        </w:rPr>
        <w:t xml:space="preserve">Bajo esa misma línea conceptual atentamente nos permitimos solicitar a la Comisión que el Activo Especial denominado Adecuación Lote Estación GNC, no sea eliminado de la base de activos, y por el contrario sea reconocido dentro del cargo de distribución, de la misma manera en que la Comisión lo hizo en las Resoluciones CREG 197 de 2013 y CREG </w:t>
      </w:r>
      <w:r w:rsidRPr="00864E8A">
        <w:rPr>
          <w:rFonts w:ascii="Bookman Old Style" w:hAnsi="Bookman Old Style" w:cs="Arial"/>
          <w:i/>
          <w:sz w:val="22"/>
          <w:szCs w:val="22"/>
        </w:rPr>
        <w:lastRenderedPageBreak/>
        <w:t>094 y 101 de 2018.</w:t>
      </w:r>
    </w:p>
    <w:p w14:paraId="0E920997" w14:textId="2EB2D2E2"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b/>
          <w:sz w:val="22"/>
          <w:szCs w:val="22"/>
          <w:lang w:val="es-CO"/>
        </w:rPr>
      </w:pPr>
      <w:r w:rsidRPr="00864E8A">
        <w:rPr>
          <w:rFonts w:ascii="Bookman Old Style" w:hAnsi="Bookman Old Style" w:cs="Arial"/>
          <w:b/>
          <w:sz w:val="22"/>
          <w:szCs w:val="22"/>
          <w:lang w:val="es-CO"/>
        </w:rPr>
        <w:t>3. Valor cofinanciado del sistema de distribución</w:t>
      </w:r>
    </w:p>
    <w:p w14:paraId="1D50E9F7" w14:textId="526C1AA5" w:rsidR="00864E8A"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r w:rsidRPr="00864E8A">
        <w:rPr>
          <w:rFonts w:ascii="Bookman Old Style" w:hAnsi="Bookman Old Style" w:cs="Arial"/>
          <w:i/>
          <w:sz w:val="22"/>
          <w:szCs w:val="22"/>
          <w:lang w:val="es-CO"/>
        </w:rPr>
        <w:t>En el mismo numeral 3.2.2.4 del documento D-132-</w:t>
      </w:r>
      <w:r w:rsidR="00607AA4" w:rsidRPr="00864E8A">
        <w:rPr>
          <w:rFonts w:ascii="Bookman Old Style" w:hAnsi="Bookman Old Style" w:cs="Arial"/>
          <w:i/>
          <w:sz w:val="22"/>
          <w:szCs w:val="22"/>
          <w:lang w:val="es-CO"/>
        </w:rPr>
        <w:t>2021 Programa</w:t>
      </w:r>
      <w:r w:rsidRPr="00864E8A">
        <w:rPr>
          <w:rFonts w:ascii="Bookman Old Style" w:hAnsi="Bookman Old Style" w:cs="Arial"/>
          <w:i/>
          <w:sz w:val="22"/>
          <w:szCs w:val="22"/>
          <w:lang w:val="es-CO"/>
        </w:rPr>
        <w:t xml:space="preserve"> de Nuevas Inversiones para Municipios Nuevos (IPNI), se menciona que el proyecto cuenta con recursos públicos según lo previsto en el Convenio de Cofinanciación GGC No. 592 de 2020 por un monto de $682.586.470, y que en el reporte realizado en la solicitud Apligas 2451, se relaciona un valor de $671.500.888 en pesos de diciembre de 2019.</w:t>
      </w:r>
    </w:p>
    <w:p w14:paraId="1CD998FA" w14:textId="41E41792" w:rsidR="00864E8A" w:rsidRPr="007544EF"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t>También se menciona una diferencia entre lo reportado en Apligas en el Programa de Nuevas Inversiones y el total de inversiones del sistema de distribución, diferencias que nos permitimos esclarecer a continuación.</w:t>
      </w:r>
    </w:p>
    <w:p w14:paraId="6887AD69" w14:textId="3E6F99DC" w:rsidR="00864E8A" w:rsidRPr="007544EF"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t>Sea lo primero aclarar que el Convenio de Cofinanciación GGC No. 592 de 2020, fue suscrito el veintiocho (28) de diciembre de 2020, por lo que los valores que allí se presentan fueron determinados con las unidades constructivas disponibles durante el año 2020, esto es en pesos de diciembre de 2019. De esta manera, el valor cofinanciado del sistema de distribución que muestra el referido Convenio por un monto de $682.586.470, se encuentra en pesos de diciembre de 2019, y no en pesos de diciembre de 2020, como erróneamente se mencionó en la solicitud tarifaria.</w:t>
      </w:r>
    </w:p>
    <w:p w14:paraId="023A7FA7" w14:textId="5D92762B" w:rsidR="00864E8A" w:rsidRPr="007544EF" w:rsidRDefault="00864E8A" w:rsidP="00864E8A">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t>Ahora bien, para que la inversión se muestre en pesos de la Fecha Base, es necesario actualizarla con el Índice de Precios al Productor - IPP entre la fecha de referencia y la Fecha Base (2019 Vs 2020). El resultado del esquema de cofinanciación del Convenio 592 en pesos de diciembre de 2019 y su valor actualizado a la Fecha Base se presenta en la Tabla 4:</w:t>
      </w:r>
    </w:p>
    <w:p w14:paraId="56CC25F0" w14:textId="7E574AE3" w:rsidR="00864E8A" w:rsidRPr="007544EF" w:rsidRDefault="00864E8A" w:rsidP="00864E8A">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cs="Arial"/>
          <w:b/>
          <w:i/>
          <w:sz w:val="22"/>
          <w:szCs w:val="22"/>
          <w:lang w:val="es-CO"/>
        </w:rPr>
      </w:pPr>
      <w:r w:rsidRPr="007544EF">
        <w:rPr>
          <w:rFonts w:ascii="Bookman Old Style" w:hAnsi="Bookman Old Style" w:cs="Arial"/>
          <w:b/>
          <w:i/>
          <w:sz w:val="22"/>
          <w:szCs w:val="22"/>
          <w:lang w:val="es-CO"/>
        </w:rPr>
        <w:t>Tabla 4. Esquema de cofinanciación Proyecto Úmbita</w:t>
      </w:r>
    </w:p>
    <w:p w14:paraId="78A8A315" w14:textId="3EB00C27" w:rsidR="00864E8A" w:rsidRDefault="00864E8A" w:rsidP="00864E8A">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cs="Arial"/>
          <w:b/>
          <w:sz w:val="22"/>
          <w:szCs w:val="22"/>
          <w:lang w:val="es-CO"/>
        </w:rPr>
      </w:pPr>
      <w:r w:rsidRPr="00864E8A">
        <w:rPr>
          <w:rFonts w:ascii="Bookman Old Style" w:hAnsi="Bookman Old Style" w:cs="Arial"/>
          <w:b/>
          <w:noProof/>
          <w:sz w:val="22"/>
          <w:szCs w:val="22"/>
          <w:lang w:val="es-CO"/>
        </w:rPr>
        <w:drawing>
          <wp:inline distT="0" distB="0" distL="0" distR="0" wp14:anchorId="6E87A88A" wp14:editId="50029EA9">
            <wp:extent cx="4264740" cy="836315"/>
            <wp:effectExtent l="0" t="0" r="254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9907" cy="845172"/>
                    </a:xfrm>
                    <a:prstGeom prst="rect">
                      <a:avLst/>
                    </a:prstGeom>
                    <a:noFill/>
                    <a:ln>
                      <a:noFill/>
                    </a:ln>
                  </pic:spPr>
                </pic:pic>
              </a:graphicData>
            </a:graphic>
          </wp:inline>
        </w:drawing>
      </w:r>
    </w:p>
    <w:p w14:paraId="02CF0146" w14:textId="44EFF665" w:rsidR="007544EF" w:rsidRPr="007544EF" w:rsidRDefault="007544EF" w:rsidP="007544EF">
      <w:pPr>
        <w:widowControl w:val="0"/>
        <w:tabs>
          <w:tab w:val="center" w:pos="4512"/>
          <w:tab w:val="left" w:pos="7088"/>
        </w:tabs>
        <w:suppressAutoHyphens/>
        <w:adjustRightInd w:val="0"/>
        <w:spacing w:before="240" w:after="240"/>
        <w:ind w:left="0" w:right="51"/>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t>Al comparar este resultado con la valoración del programa de inversiones se obtiene el siguiente resultado:</w:t>
      </w:r>
    </w:p>
    <w:p w14:paraId="44CC4FF7" w14:textId="75FD048F" w:rsidR="007544EF" w:rsidRDefault="007544EF" w:rsidP="007544EF">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cs="Arial"/>
          <w:sz w:val="22"/>
          <w:szCs w:val="22"/>
          <w:lang w:val="es-CO"/>
        </w:rPr>
      </w:pPr>
      <w:r w:rsidRPr="007544EF">
        <w:rPr>
          <w:rFonts w:ascii="Bookman Old Style" w:hAnsi="Bookman Old Style" w:cs="Arial"/>
          <w:noProof/>
          <w:sz w:val="22"/>
          <w:szCs w:val="22"/>
          <w:lang w:val="es-CO"/>
        </w:rPr>
        <w:drawing>
          <wp:inline distT="0" distB="0" distL="0" distR="0" wp14:anchorId="06A4C755" wp14:editId="7A7FB236">
            <wp:extent cx="4222750" cy="78917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0385" cy="790597"/>
                    </a:xfrm>
                    <a:prstGeom prst="rect">
                      <a:avLst/>
                    </a:prstGeom>
                    <a:noFill/>
                    <a:ln>
                      <a:noFill/>
                    </a:ln>
                  </pic:spPr>
                </pic:pic>
              </a:graphicData>
            </a:graphic>
          </wp:inline>
        </w:drawing>
      </w:r>
    </w:p>
    <w:p w14:paraId="311F7A05" w14:textId="7DEA5AF0" w:rsidR="007544EF" w:rsidRDefault="007544EF" w:rsidP="007544E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t>La diferencia existente entre los valores reportados en el programa de Nuevas Inversiones y el total de la inversión prevista en el Convenio GGC 592 de 2020 es de $1.780.659 en pesos de diciembre de 2020, y corresponde con la valoración de los Activos de Calidad necesarios para la operación del sistema de distribución que fueron reportados en el Programa de Nuevas Inversiones, pero que no fueron previstos en la valoración del referido Convenio.</w:t>
      </w:r>
    </w:p>
    <w:p w14:paraId="22AFA13A" w14:textId="77777777" w:rsidR="005C3D2E" w:rsidRPr="007544EF" w:rsidRDefault="005C3D2E" w:rsidP="007544E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p>
    <w:p w14:paraId="2FCDB713" w14:textId="0BF3CCD3" w:rsidR="007544EF" w:rsidRDefault="007544EF" w:rsidP="007544E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lastRenderedPageBreak/>
        <w:t>Los Activos de Calidad están representados en 4 cabezas de prueba o columnas de agua (PLI02), valoradas a $445.162,22 cada una.</w:t>
      </w:r>
    </w:p>
    <w:p w14:paraId="796BF4B9" w14:textId="3EAC8447" w:rsidR="007544EF" w:rsidRDefault="007544EF" w:rsidP="007544EF">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b/>
          <w:bCs/>
          <w:sz w:val="22"/>
          <w:szCs w:val="22"/>
        </w:rPr>
      </w:pPr>
      <w:r w:rsidRPr="007544EF">
        <w:rPr>
          <w:rFonts w:ascii="Bookman Old Style" w:hAnsi="Bookman Old Style"/>
          <w:b/>
          <w:bCs/>
          <w:sz w:val="22"/>
          <w:szCs w:val="22"/>
        </w:rPr>
        <w:t>Tabla 6. Detalle Activos de Calidad (PLI02)</w:t>
      </w:r>
    </w:p>
    <w:p w14:paraId="7B5B77A0" w14:textId="34E3E888" w:rsidR="007544EF" w:rsidRDefault="007544EF" w:rsidP="007544EF">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cs="Arial"/>
          <w:i/>
          <w:sz w:val="22"/>
          <w:szCs w:val="22"/>
          <w:lang w:val="es-CO"/>
        </w:rPr>
      </w:pPr>
      <w:r w:rsidRPr="007544EF">
        <w:rPr>
          <w:rFonts w:ascii="Bookman Old Style" w:hAnsi="Bookman Old Style" w:cs="Arial"/>
          <w:i/>
          <w:noProof/>
          <w:sz w:val="22"/>
          <w:szCs w:val="22"/>
          <w:lang w:val="es-CO"/>
        </w:rPr>
        <w:drawing>
          <wp:inline distT="0" distB="0" distL="0" distR="0" wp14:anchorId="1E4A884E" wp14:editId="569F2707">
            <wp:extent cx="3841750" cy="566816"/>
            <wp:effectExtent l="0" t="0" r="635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0633" cy="569602"/>
                    </a:xfrm>
                    <a:prstGeom prst="rect">
                      <a:avLst/>
                    </a:prstGeom>
                    <a:noFill/>
                    <a:ln>
                      <a:noFill/>
                    </a:ln>
                  </pic:spPr>
                </pic:pic>
              </a:graphicData>
            </a:graphic>
          </wp:inline>
        </w:drawing>
      </w:r>
    </w:p>
    <w:p w14:paraId="1A85945B" w14:textId="46C8E13F" w:rsidR="007544EF" w:rsidRDefault="007544EF" w:rsidP="005C3D2E">
      <w:pPr>
        <w:widowControl w:val="0"/>
        <w:tabs>
          <w:tab w:val="center" w:pos="4512"/>
          <w:tab w:val="left" w:pos="7088"/>
        </w:tabs>
        <w:suppressAutoHyphens/>
        <w:adjustRightInd w:val="0"/>
        <w:spacing w:before="240"/>
        <w:ind w:left="0" w:right="51"/>
        <w:jc w:val="both"/>
        <w:textAlignment w:val="baseline"/>
        <w:rPr>
          <w:rFonts w:ascii="Bookman Old Style" w:hAnsi="Bookman Old Style" w:cs="Arial"/>
          <w:i/>
          <w:sz w:val="22"/>
          <w:szCs w:val="22"/>
          <w:lang w:val="es-CO"/>
        </w:rPr>
      </w:pPr>
      <w:r w:rsidRPr="007544EF">
        <w:rPr>
          <w:rFonts w:ascii="Bookman Old Style" w:hAnsi="Bookman Old Style" w:cs="Arial"/>
          <w:i/>
          <w:sz w:val="22"/>
          <w:szCs w:val="22"/>
          <w:lang w:val="es-CO"/>
        </w:rPr>
        <w:t>Al sumar los Activos de Calidad al resultado de la inversión prevista en el Convenio 592 de 2020, se</w:t>
      </w:r>
      <w:r>
        <w:rPr>
          <w:rFonts w:ascii="Bookman Old Style" w:hAnsi="Bookman Old Style" w:cs="Arial"/>
          <w:i/>
          <w:sz w:val="22"/>
          <w:szCs w:val="22"/>
          <w:lang w:val="es-CO"/>
        </w:rPr>
        <w:t xml:space="preserve"> </w:t>
      </w:r>
      <w:r w:rsidRPr="007544EF">
        <w:rPr>
          <w:rFonts w:ascii="Bookman Old Style" w:hAnsi="Bookman Old Style" w:cs="Arial"/>
          <w:i/>
          <w:sz w:val="22"/>
          <w:szCs w:val="22"/>
          <w:lang w:val="es-CO"/>
        </w:rPr>
        <w:t>obtiene como resultado el mismo valor reportado en la Tabla 1 como Programa de Nuevas</w:t>
      </w:r>
      <w:r>
        <w:rPr>
          <w:rFonts w:ascii="Bookman Old Style" w:hAnsi="Bookman Old Style" w:cs="Arial"/>
          <w:i/>
          <w:sz w:val="22"/>
          <w:szCs w:val="22"/>
          <w:lang w:val="es-CO"/>
        </w:rPr>
        <w:t xml:space="preserve"> </w:t>
      </w:r>
      <w:r w:rsidRPr="007544EF">
        <w:rPr>
          <w:rFonts w:ascii="Bookman Old Style" w:hAnsi="Bookman Old Style" w:cs="Arial"/>
          <w:i/>
          <w:sz w:val="22"/>
          <w:szCs w:val="22"/>
          <w:lang w:val="es-CO"/>
        </w:rPr>
        <w:t>Inversiones:</w:t>
      </w:r>
    </w:p>
    <w:p w14:paraId="23760A0D" w14:textId="77777777" w:rsidR="005C3D2E" w:rsidRDefault="005C3D2E" w:rsidP="00F3487B">
      <w:pPr>
        <w:widowControl w:val="0"/>
        <w:tabs>
          <w:tab w:val="center" w:pos="4512"/>
          <w:tab w:val="left" w:pos="7088"/>
        </w:tabs>
        <w:suppressAutoHyphens/>
        <w:adjustRightInd w:val="0"/>
        <w:ind w:left="0" w:right="51"/>
        <w:jc w:val="both"/>
        <w:textAlignment w:val="baseline"/>
        <w:rPr>
          <w:rFonts w:ascii="Bookman Old Style" w:hAnsi="Bookman Old Style" w:cs="Arial"/>
          <w:i/>
          <w:sz w:val="22"/>
          <w:szCs w:val="22"/>
          <w:lang w:val="es-CO"/>
        </w:rPr>
      </w:pPr>
    </w:p>
    <w:p w14:paraId="473AAE9A" w14:textId="279BA206" w:rsidR="007544EF" w:rsidRDefault="007544EF" w:rsidP="00F3487B">
      <w:pPr>
        <w:widowControl w:val="0"/>
        <w:tabs>
          <w:tab w:val="center" w:pos="4512"/>
          <w:tab w:val="left" w:pos="7088"/>
        </w:tabs>
        <w:suppressAutoHyphens/>
        <w:adjustRightInd w:val="0"/>
        <w:ind w:left="0" w:right="51"/>
        <w:jc w:val="center"/>
        <w:textAlignment w:val="baseline"/>
        <w:rPr>
          <w:rFonts w:ascii="Bookman Old Style" w:hAnsi="Bookman Old Style" w:cs="Arial"/>
          <w:b/>
          <w:i/>
          <w:sz w:val="22"/>
          <w:szCs w:val="22"/>
          <w:lang w:val="es-CO"/>
        </w:rPr>
      </w:pPr>
      <w:r w:rsidRPr="007544EF">
        <w:rPr>
          <w:rFonts w:ascii="Bookman Old Style" w:hAnsi="Bookman Old Style" w:cs="Arial"/>
          <w:b/>
          <w:i/>
          <w:sz w:val="22"/>
          <w:szCs w:val="22"/>
          <w:lang w:val="es-CO"/>
        </w:rPr>
        <w:t>Tabla 7. Inversión adicional a la prevista en Convenio 592 de 2020</w:t>
      </w:r>
    </w:p>
    <w:p w14:paraId="18A39740" w14:textId="0AFCA1A4" w:rsidR="007544EF" w:rsidRPr="007544EF" w:rsidRDefault="007544EF" w:rsidP="007544EF">
      <w:pPr>
        <w:widowControl w:val="0"/>
        <w:tabs>
          <w:tab w:val="center" w:pos="4512"/>
          <w:tab w:val="left" w:pos="7088"/>
        </w:tabs>
        <w:suppressAutoHyphens/>
        <w:adjustRightInd w:val="0"/>
        <w:spacing w:before="240" w:after="240"/>
        <w:ind w:left="0" w:right="51"/>
        <w:jc w:val="center"/>
        <w:textAlignment w:val="baseline"/>
        <w:rPr>
          <w:rFonts w:ascii="Bookman Old Style" w:hAnsi="Bookman Old Style" w:cs="Arial"/>
          <w:b/>
          <w:i/>
          <w:sz w:val="22"/>
          <w:szCs w:val="22"/>
          <w:lang w:val="es-CO"/>
        </w:rPr>
      </w:pPr>
      <w:r w:rsidRPr="007544EF">
        <w:rPr>
          <w:rFonts w:ascii="Bookman Old Style" w:hAnsi="Bookman Old Style" w:cs="Arial"/>
          <w:b/>
          <w:i/>
          <w:noProof/>
          <w:sz w:val="22"/>
          <w:szCs w:val="22"/>
          <w:lang w:val="es-CO"/>
        </w:rPr>
        <w:drawing>
          <wp:inline distT="0" distB="0" distL="0" distR="0" wp14:anchorId="3FBEA440" wp14:editId="680460A6">
            <wp:extent cx="4476750" cy="873039"/>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2307" cy="876073"/>
                    </a:xfrm>
                    <a:prstGeom prst="rect">
                      <a:avLst/>
                    </a:prstGeom>
                    <a:noFill/>
                    <a:ln>
                      <a:noFill/>
                    </a:ln>
                  </pic:spPr>
                </pic:pic>
              </a:graphicData>
            </a:graphic>
          </wp:inline>
        </w:drawing>
      </w:r>
    </w:p>
    <w:p w14:paraId="645C1B95" w14:textId="02EC12AE" w:rsidR="007544EF" w:rsidRPr="007544EF" w:rsidRDefault="007544EF" w:rsidP="007544EF">
      <w:pPr>
        <w:autoSpaceDE w:val="0"/>
        <w:autoSpaceDN w:val="0"/>
        <w:adjustRightInd w:val="0"/>
        <w:ind w:left="0"/>
        <w:jc w:val="both"/>
        <w:rPr>
          <w:rFonts w:ascii="Bookman Old Style" w:hAnsi="Bookman Old Style" w:cs="Arial"/>
          <w:i/>
          <w:color w:val="000000"/>
          <w:sz w:val="22"/>
          <w:szCs w:val="22"/>
          <w:lang w:val="es-CO" w:eastAsia="es-CO"/>
        </w:rPr>
      </w:pPr>
      <w:r w:rsidRPr="007544EF">
        <w:rPr>
          <w:rFonts w:ascii="Bookman Old Style" w:hAnsi="Bookman Old Style" w:cs="Arial"/>
          <w:i/>
          <w:color w:val="000000"/>
          <w:sz w:val="22"/>
          <w:szCs w:val="22"/>
          <w:lang w:val="es-CO" w:eastAsia="es-CO"/>
        </w:rPr>
        <w:t xml:space="preserve">Como se pude observar existe total consistencia entre los valores previstos en el Convenio 592 de 202 y los reportados en la solicitud tarifaria que considera de forma adicional el rubro de </w:t>
      </w:r>
      <w:r w:rsidRPr="007544EF">
        <w:rPr>
          <w:rFonts w:ascii="Bookman Old Style" w:hAnsi="Bookman Old Style" w:cs="Arial"/>
          <w:i/>
          <w:iCs/>
          <w:color w:val="000000"/>
          <w:sz w:val="22"/>
          <w:szCs w:val="22"/>
          <w:lang w:val="es-CO" w:eastAsia="es-CO"/>
        </w:rPr>
        <w:t xml:space="preserve">Activos de Calidad, </w:t>
      </w:r>
      <w:r w:rsidRPr="007544EF">
        <w:rPr>
          <w:rFonts w:ascii="Bookman Old Style" w:hAnsi="Bookman Old Style" w:cs="Arial"/>
          <w:i/>
          <w:color w:val="000000"/>
          <w:sz w:val="22"/>
          <w:szCs w:val="22"/>
          <w:lang w:val="es-CO" w:eastAsia="es-CO"/>
        </w:rPr>
        <w:t xml:space="preserve">con el cual se habilita el cumplimiento de la regulación técnica vigente para la prestación del servicio público de distribución de gas combustible por red. Esta consistencia se aprecia también al mantener la diferencia entre los valores reportados en pesos de diciembre de 2019 y en pesos de diciembre de 2020. </w:t>
      </w:r>
    </w:p>
    <w:p w14:paraId="35956166" w14:textId="77777777" w:rsidR="007544EF" w:rsidRPr="007544EF" w:rsidRDefault="007544EF" w:rsidP="007544EF">
      <w:pPr>
        <w:autoSpaceDE w:val="0"/>
        <w:autoSpaceDN w:val="0"/>
        <w:adjustRightInd w:val="0"/>
        <w:ind w:left="0"/>
        <w:jc w:val="both"/>
        <w:rPr>
          <w:rFonts w:ascii="Bookman Old Style" w:hAnsi="Bookman Old Style" w:cs="Arial"/>
          <w:i/>
          <w:color w:val="000000"/>
          <w:sz w:val="22"/>
          <w:szCs w:val="22"/>
          <w:lang w:val="es-CO" w:eastAsia="es-CO"/>
        </w:rPr>
      </w:pPr>
    </w:p>
    <w:p w14:paraId="3C9B0AAE" w14:textId="3EC644C6" w:rsidR="007544EF" w:rsidRPr="007544EF" w:rsidRDefault="007544EF" w:rsidP="007544EF">
      <w:pPr>
        <w:autoSpaceDE w:val="0"/>
        <w:autoSpaceDN w:val="0"/>
        <w:adjustRightInd w:val="0"/>
        <w:ind w:left="0"/>
        <w:jc w:val="both"/>
        <w:rPr>
          <w:rFonts w:ascii="Bookman Old Style" w:hAnsi="Bookman Old Style" w:cs="Arial"/>
          <w:i/>
          <w:color w:val="000000"/>
          <w:sz w:val="22"/>
          <w:szCs w:val="22"/>
          <w:lang w:val="es-CO" w:eastAsia="es-CO"/>
        </w:rPr>
      </w:pPr>
      <w:r w:rsidRPr="007544EF">
        <w:rPr>
          <w:rFonts w:ascii="Bookman Old Style" w:hAnsi="Bookman Old Style" w:cs="Arial"/>
          <w:i/>
          <w:color w:val="000000"/>
          <w:sz w:val="22"/>
          <w:szCs w:val="22"/>
          <w:lang w:val="es-CO" w:eastAsia="es-CO"/>
        </w:rPr>
        <w:t>De acuerdo con lo anterior y en línea con la definición de Fecha Base, atentamente nos permitimos solicitar a la CREG que tome como valor del convenio GGC 592 de 2020, el monto actualizado a pesos de diciembre de 2020, esto es $994.774.280, y que considere de forma adicional el rubro correspondiente a los Activos de Calidad por $1.780.659, para obtener un valor total de la inversión consistente con el Programa de Nuevas Inversiones por $</w:t>
      </w:r>
      <w:r w:rsidRPr="007544EF">
        <w:rPr>
          <w:rFonts w:ascii="Bookman Old Style" w:hAnsi="Bookman Old Style" w:cs="Arial"/>
          <w:b/>
          <w:bCs/>
          <w:i/>
          <w:color w:val="000000"/>
          <w:sz w:val="22"/>
          <w:szCs w:val="22"/>
          <w:lang w:val="es-CO" w:eastAsia="es-CO"/>
        </w:rPr>
        <w:t xml:space="preserve">996.554.938 </w:t>
      </w:r>
      <w:r w:rsidRPr="007544EF">
        <w:rPr>
          <w:rFonts w:ascii="Bookman Old Style" w:hAnsi="Bookman Old Style" w:cs="Arial"/>
          <w:i/>
          <w:color w:val="000000"/>
          <w:sz w:val="22"/>
          <w:szCs w:val="22"/>
          <w:lang w:val="es-CO" w:eastAsia="es-CO"/>
        </w:rPr>
        <w:t xml:space="preserve">en pesos de diciembre de 2020. </w:t>
      </w:r>
    </w:p>
    <w:p w14:paraId="57492BAE" w14:textId="77777777" w:rsidR="007544EF" w:rsidRPr="007544EF" w:rsidRDefault="007544EF" w:rsidP="007544EF">
      <w:pPr>
        <w:autoSpaceDE w:val="0"/>
        <w:autoSpaceDN w:val="0"/>
        <w:adjustRightInd w:val="0"/>
        <w:ind w:left="0"/>
        <w:jc w:val="both"/>
        <w:rPr>
          <w:rFonts w:ascii="Bookman Old Style" w:hAnsi="Bookman Old Style" w:cs="Arial"/>
          <w:i/>
          <w:color w:val="000000"/>
          <w:sz w:val="22"/>
          <w:szCs w:val="22"/>
          <w:lang w:val="es-CO" w:eastAsia="es-CO"/>
        </w:rPr>
      </w:pPr>
    </w:p>
    <w:p w14:paraId="22F5901A" w14:textId="77777777" w:rsidR="007544EF" w:rsidRPr="007544EF" w:rsidRDefault="007544EF" w:rsidP="007544EF">
      <w:pPr>
        <w:autoSpaceDE w:val="0"/>
        <w:autoSpaceDN w:val="0"/>
        <w:adjustRightInd w:val="0"/>
        <w:ind w:left="0"/>
        <w:jc w:val="both"/>
        <w:rPr>
          <w:rFonts w:ascii="Bookman Old Style" w:hAnsi="Bookman Old Style" w:cs="Arial"/>
          <w:i/>
          <w:color w:val="000000"/>
          <w:sz w:val="22"/>
          <w:szCs w:val="22"/>
          <w:lang w:val="es-CO" w:eastAsia="es-CO"/>
        </w:rPr>
      </w:pPr>
      <w:r w:rsidRPr="007544EF">
        <w:rPr>
          <w:rFonts w:ascii="Bookman Old Style" w:hAnsi="Bookman Old Style" w:cs="Arial"/>
          <w:i/>
          <w:color w:val="000000"/>
          <w:sz w:val="22"/>
          <w:szCs w:val="22"/>
          <w:lang w:val="es-CO" w:eastAsia="es-CO"/>
        </w:rPr>
        <w:t xml:space="preserve">No encontramos razones para que se desconozca la necesidad de contar con activos de control de calidad o que los mismos no sean reconocidos dentro del cargo de distribución del mercado relevante en cuestión aun cuando no fueron contemplados durante la formulación del Convenio GGC 592 de 2020. </w:t>
      </w:r>
    </w:p>
    <w:p w14:paraId="18D1C22F" w14:textId="0ED9E71C" w:rsidR="007544EF" w:rsidRDefault="007544EF" w:rsidP="005C3D2E">
      <w:pPr>
        <w:widowControl w:val="0"/>
        <w:tabs>
          <w:tab w:val="center" w:pos="4512"/>
          <w:tab w:val="left" w:pos="7088"/>
        </w:tabs>
        <w:suppressAutoHyphens/>
        <w:adjustRightInd w:val="0"/>
        <w:ind w:left="0" w:right="51"/>
        <w:jc w:val="both"/>
        <w:textAlignment w:val="baseline"/>
        <w:rPr>
          <w:rFonts w:ascii="Bookman Old Style" w:hAnsi="Bookman Old Style" w:cs="Arial"/>
          <w:i/>
          <w:color w:val="000000"/>
          <w:sz w:val="22"/>
          <w:szCs w:val="22"/>
          <w:lang w:val="es-CO" w:eastAsia="es-CO"/>
        </w:rPr>
      </w:pPr>
      <w:r w:rsidRPr="007544EF">
        <w:rPr>
          <w:rFonts w:ascii="Bookman Old Style" w:hAnsi="Bookman Old Style" w:cs="Arial"/>
          <w:i/>
          <w:color w:val="000000"/>
          <w:sz w:val="22"/>
          <w:szCs w:val="22"/>
          <w:lang w:val="es-CO" w:eastAsia="es-CO"/>
        </w:rPr>
        <w:t xml:space="preserve">Teniendo en cuenta que la confusión generada en la Comisión al usar indistintamente cifras en pesos de diciembre de 2019 con cifras en pesos de diciembre de 2020 tanto en el Programa de Nuevas Inversiones como en el esquema de cofinanciación, sumado al no reconocimiento del Activo Especial denominado </w:t>
      </w:r>
      <w:r w:rsidRPr="007544EF">
        <w:rPr>
          <w:rFonts w:ascii="Bookman Old Style" w:hAnsi="Bookman Old Style" w:cs="Arial"/>
          <w:i/>
          <w:iCs/>
          <w:color w:val="000000"/>
          <w:sz w:val="22"/>
          <w:szCs w:val="22"/>
          <w:lang w:val="es-CO" w:eastAsia="es-CO"/>
        </w:rPr>
        <w:t>Adecuación Lote Estación GNC</w:t>
      </w:r>
      <w:r w:rsidRPr="007544EF">
        <w:rPr>
          <w:rFonts w:ascii="Bookman Old Style" w:hAnsi="Bookman Old Style" w:cs="Arial"/>
          <w:i/>
          <w:color w:val="000000"/>
          <w:sz w:val="22"/>
          <w:szCs w:val="22"/>
          <w:lang w:val="es-CO" w:eastAsia="es-CO"/>
        </w:rPr>
        <w:t xml:space="preserve">, y considerando que el uso indistinto de cifras en pesos de 2019 y en pesos de 2020 anteriormente señalados, sumado al no reconocimiento del Activo Especial denominado </w:t>
      </w:r>
      <w:r w:rsidRPr="007544EF">
        <w:rPr>
          <w:rFonts w:ascii="Bookman Old Style" w:hAnsi="Bookman Old Style" w:cs="Arial"/>
          <w:i/>
          <w:iCs/>
          <w:color w:val="000000"/>
          <w:sz w:val="22"/>
          <w:szCs w:val="22"/>
          <w:lang w:val="es-CO" w:eastAsia="es-CO"/>
        </w:rPr>
        <w:t>Adecuación Lote Estación GNC</w:t>
      </w:r>
      <w:r w:rsidRPr="007544EF">
        <w:rPr>
          <w:rFonts w:ascii="Bookman Old Style" w:hAnsi="Bookman Old Style" w:cs="Arial"/>
          <w:i/>
          <w:color w:val="000000"/>
          <w:sz w:val="22"/>
          <w:szCs w:val="22"/>
          <w:lang w:val="es-CO" w:eastAsia="es-CO"/>
        </w:rPr>
        <w:t>, conlleva a la afectación del principio de</w:t>
      </w:r>
      <w:r>
        <w:rPr>
          <w:rFonts w:ascii="Bookman Old Style" w:hAnsi="Bookman Old Style" w:cs="Arial"/>
          <w:i/>
          <w:color w:val="000000"/>
          <w:sz w:val="22"/>
          <w:szCs w:val="22"/>
          <w:lang w:val="es-CO" w:eastAsia="es-CO"/>
        </w:rPr>
        <w:t xml:space="preserve"> </w:t>
      </w:r>
      <w:r w:rsidRPr="007544EF">
        <w:rPr>
          <w:rFonts w:ascii="Bookman Old Style" w:hAnsi="Bookman Old Style" w:cs="Arial"/>
          <w:i/>
          <w:color w:val="000000"/>
          <w:sz w:val="22"/>
          <w:szCs w:val="22"/>
          <w:lang w:val="es-CO" w:eastAsia="es-CO"/>
        </w:rPr>
        <w:t xml:space="preserve">suficiencia financiera de la empresa conforme a lo previsto en el artículo 87.4 de la Ley 142 de 19943, lesionando injustamente los intereses de </w:t>
      </w:r>
      <w:r w:rsidR="00465D74">
        <w:rPr>
          <w:rFonts w:ascii="Bookman Old Style" w:hAnsi="Bookman Old Style" w:cs="Arial"/>
          <w:i/>
          <w:color w:val="000000"/>
          <w:sz w:val="22"/>
          <w:szCs w:val="22"/>
          <w:lang w:val="es-CO" w:eastAsia="es-CO"/>
        </w:rPr>
        <w:t>ENERCER</w:t>
      </w:r>
      <w:r w:rsidRPr="007544EF">
        <w:rPr>
          <w:rFonts w:ascii="Bookman Old Style" w:hAnsi="Bookman Old Style" w:cs="Arial"/>
          <w:i/>
          <w:color w:val="000000"/>
          <w:sz w:val="22"/>
          <w:szCs w:val="22"/>
          <w:lang w:val="es-CO" w:eastAsia="es-CO"/>
        </w:rPr>
        <w:t xml:space="preserve"> S.A. E.S.P y de los usuarios, en tanto el acotamiento de la inversión base hará inviable la prestación del servicio público domiciliario en el municipio de Úmbita, comedidamente se solicita a la Comisión tener en cuenta los argumentos y explicaciones aportadas en el presente Recurso para el cálculo del cargo de distribución.</w:t>
      </w:r>
      <w:r>
        <w:rPr>
          <w:rFonts w:ascii="Bookman Old Style" w:hAnsi="Bookman Old Style" w:cs="Arial"/>
          <w:i/>
          <w:color w:val="000000"/>
          <w:sz w:val="22"/>
          <w:szCs w:val="22"/>
          <w:lang w:val="es-CO" w:eastAsia="es-CO"/>
        </w:rPr>
        <w:t>”</w:t>
      </w:r>
    </w:p>
    <w:p w14:paraId="464DBCF9" w14:textId="529DB0D9" w:rsidR="009F1BB4" w:rsidRDefault="00993F9B" w:rsidP="005C3D2E">
      <w:pPr>
        <w:keepNext/>
        <w:numPr>
          <w:ilvl w:val="0"/>
          <w:numId w:val="14"/>
        </w:numPr>
        <w:adjustRightInd w:val="0"/>
        <w:ind w:hanging="720"/>
        <w:jc w:val="both"/>
        <w:rPr>
          <w:rFonts w:ascii="Bookman Old Style" w:hAnsi="Bookman Old Style"/>
          <w:b/>
        </w:rPr>
      </w:pPr>
      <w:r w:rsidRPr="00107A60">
        <w:rPr>
          <w:rFonts w:ascii="Bookman Old Style" w:hAnsi="Bookman Old Style"/>
          <w:b/>
        </w:rPr>
        <w:lastRenderedPageBreak/>
        <w:t>ANÁLISIS DEL RECURSO INTERPUESTO</w:t>
      </w:r>
    </w:p>
    <w:p w14:paraId="06965BCA" w14:textId="77777777" w:rsidR="005C3D2E" w:rsidRDefault="005C3D2E" w:rsidP="005C3D2E">
      <w:pPr>
        <w:keepNext/>
        <w:adjustRightInd w:val="0"/>
        <w:ind w:left="720"/>
        <w:jc w:val="both"/>
        <w:rPr>
          <w:rFonts w:ascii="Bookman Old Style" w:hAnsi="Bookman Old Style"/>
          <w:b/>
        </w:rPr>
      </w:pPr>
    </w:p>
    <w:p w14:paraId="2EF5EA97" w14:textId="34B13F72" w:rsidR="009F1BB4" w:rsidRDefault="009F1BB4" w:rsidP="005C3D2E">
      <w:pPr>
        <w:keepNext/>
        <w:adjustRightInd w:val="0"/>
        <w:ind w:left="0"/>
        <w:jc w:val="both"/>
        <w:rPr>
          <w:rFonts w:ascii="Bookman Old Style" w:hAnsi="Bookman Old Style"/>
          <w:b/>
        </w:rPr>
      </w:pPr>
      <w:r>
        <w:rPr>
          <w:rFonts w:ascii="Bookman Old Style" w:hAnsi="Bookman Old Style"/>
          <w:b/>
        </w:rPr>
        <w:t>2.1. Sobre la oportunidad del recurso de reposición</w:t>
      </w:r>
    </w:p>
    <w:p w14:paraId="0EDBC54B" w14:textId="33B7F7C7" w:rsidR="009F1BB4" w:rsidRDefault="009F1BB4" w:rsidP="001425A9">
      <w:pPr>
        <w:keepNext/>
        <w:adjustRightInd w:val="0"/>
        <w:ind w:left="0"/>
        <w:jc w:val="both"/>
        <w:rPr>
          <w:rFonts w:ascii="Bookman Old Style" w:hAnsi="Bookman Old Style"/>
        </w:rPr>
      </w:pPr>
      <w:r>
        <w:rPr>
          <w:rFonts w:ascii="Bookman Old Style" w:hAnsi="Bookman Old Style"/>
        </w:rPr>
        <w:t xml:space="preserve">El </w:t>
      </w:r>
      <w:r w:rsidR="00CB227D">
        <w:rPr>
          <w:rFonts w:ascii="Bookman Old Style" w:hAnsi="Bookman Old Style"/>
        </w:rPr>
        <w:t>artículo</w:t>
      </w:r>
      <w:r>
        <w:rPr>
          <w:rFonts w:ascii="Bookman Old Style" w:hAnsi="Bookman Old Style"/>
        </w:rPr>
        <w:t xml:space="preserve"> 113 de la Ley 142 de 199</w:t>
      </w:r>
      <w:r w:rsidR="007614BA">
        <w:rPr>
          <w:rFonts w:ascii="Bookman Old Style" w:hAnsi="Bookman Old Style"/>
        </w:rPr>
        <w:t>4 establece que contra las decisiones de las Comisiones de Regulación que pongan fin a las actuaciones administrativas sólo procede el recurso de reposición, el cual podrá interponerse dentro de los cinco (5) días hábiles siguientes a su notificación y/o publicación</w:t>
      </w:r>
      <w:r w:rsidR="008F35D2">
        <w:rPr>
          <w:rFonts w:ascii="Bookman Old Style" w:hAnsi="Bookman Old Style"/>
        </w:rPr>
        <w:t>,</w:t>
      </w:r>
      <w:r w:rsidR="007614BA">
        <w:rPr>
          <w:rFonts w:ascii="Bookman Old Style" w:hAnsi="Bookman Old Style"/>
        </w:rPr>
        <w:t xml:space="preserve"> según sea el caso.</w:t>
      </w:r>
    </w:p>
    <w:p w14:paraId="42DBB7F8" w14:textId="77777777" w:rsidR="001425A9" w:rsidRDefault="001425A9" w:rsidP="001425A9">
      <w:pPr>
        <w:keepNext/>
        <w:adjustRightInd w:val="0"/>
        <w:ind w:left="0"/>
        <w:jc w:val="both"/>
        <w:rPr>
          <w:rFonts w:ascii="Bookman Old Style" w:hAnsi="Bookman Old Style"/>
        </w:rPr>
      </w:pPr>
    </w:p>
    <w:p w14:paraId="1BB35B1F" w14:textId="59BCC715" w:rsidR="007614BA" w:rsidRDefault="007614BA" w:rsidP="001425A9">
      <w:pPr>
        <w:keepNext/>
        <w:adjustRightInd w:val="0"/>
        <w:ind w:left="0"/>
        <w:jc w:val="both"/>
        <w:rPr>
          <w:rFonts w:ascii="Bookman Old Style" w:hAnsi="Bookman Old Style"/>
        </w:rPr>
      </w:pPr>
      <w:r>
        <w:rPr>
          <w:rFonts w:ascii="Bookman Old Style" w:hAnsi="Bookman Old Style"/>
        </w:rPr>
        <w:t xml:space="preserve">Así mismo, el </w:t>
      </w:r>
      <w:r w:rsidR="00CB227D">
        <w:rPr>
          <w:rFonts w:ascii="Bookman Old Style" w:hAnsi="Bookman Old Style"/>
        </w:rPr>
        <w:t>artículo</w:t>
      </w:r>
      <w:r>
        <w:rPr>
          <w:rFonts w:ascii="Bookman Old Style" w:hAnsi="Bookman Old Style"/>
        </w:rPr>
        <w:t xml:space="preserve"> 10 de la Resolución CREG No. 162 de 2021 </w:t>
      </w:r>
      <w:r w:rsidR="001425A9">
        <w:rPr>
          <w:rFonts w:ascii="Bookman Old Style" w:hAnsi="Bookman Old Style"/>
        </w:rPr>
        <w:t>dispuso que “</w:t>
      </w:r>
      <w:r w:rsidR="001425A9" w:rsidRPr="001425A9">
        <w:rPr>
          <w:rFonts w:ascii="Bookman Old Style" w:hAnsi="Bookman Old Style"/>
          <w:i/>
        </w:rPr>
        <w:t>Contra las disposiciones contenidas en esta Resolución procede el Recurso de Reposición, el cual podrá interponerse ante la Dirección Ejecutiva de la CREG dentro de los cinco (5) días hábiles siguientes a la fecha de su notificación</w:t>
      </w:r>
      <w:r w:rsidR="001425A9">
        <w:rPr>
          <w:rFonts w:ascii="Bookman Old Style" w:hAnsi="Bookman Old Style"/>
        </w:rPr>
        <w:t>”.</w:t>
      </w:r>
    </w:p>
    <w:p w14:paraId="0CE7059E" w14:textId="0FF54A71" w:rsidR="001425A9" w:rsidRDefault="001425A9" w:rsidP="001425A9">
      <w:pPr>
        <w:keepNext/>
        <w:adjustRightInd w:val="0"/>
        <w:ind w:left="0"/>
        <w:jc w:val="both"/>
        <w:rPr>
          <w:rFonts w:ascii="Bookman Old Style" w:hAnsi="Bookman Old Style"/>
        </w:rPr>
      </w:pPr>
    </w:p>
    <w:p w14:paraId="50358D5E" w14:textId="05F318EF" w:rsidR="001425A9" w:rsidRDefault="001425A9" w:rsidP="001425A9">
      <w:pPr>
        <w:keepNext/>
        <w:adjustRightInd w:val="0"/>
        <w:ind w:left="0"/>
        <w:jc w:val="both"/>
        <w:rPr>
          <w:rFonts w:ascii="Bookman Old Style" w:hAnsi="Bookman Old Style"/>
        </w:rPr>
      </w:pPr>
      <w:r>
        <w:rPr>
          <w:rFonts w:ascii="Bookman Old Style" w:hAnsi="Bookman Old Style"/>
        </w:rPr>
        <w:t>El 27 de octubre de 2021 esta Comisión</w:t>
      </w:r>
      <w:r w:rsidR="008F35D2">
        <w:rPr>
          <w:rFonts w:ascii="Bookman Old Style" w:hAnsi="Bookman Old Style"/>
        </w:rPr>
        <w:t>,</w:t>
      </w:r>
      <w:r>
        <w:rPr>
          <w:rFonts w:ascii="Bookman Old Style" w:hAnsi="Bookman Old Style"/>
        </w:rPr>
        <w:t xml:space="preserve"> a través del servicio </w:t>
      </w:r>
      <w:r w:rsidR="00607AA4">
        <w:rPr>
          <w:rFonts w:ascii="Bookman Old Style" w:hAnsi="Bookman Old Style"/>
        </w:rPr>
        <w:t>de</w:t>
      </w:r>
      <w:r>
        <w:rPr>
          <w:rFonts w:ascii="Bookman Old Style" w:hAnsi="Bookman Old Style"/>
        </w:rPr>
        <w:t xml:space="preserve"> notificación por correo certificado, notificó a la empresa </w:t>
      </w:r>
      <w:r w:rsidR="00465D74">
        <w:rPr>
          <w:rFonts w:ascii="Bookman Old Style" w:hAnsi="Bookman Old Style"/>
        </w:rPr>
        <w:t>ENERCER</w:t>
      </w:r>
      <w:r>
        <w:rPr>
          <w:rFonts w:ascii="Bookman Old Style" w:hAnsi="Bookman Old Style"/>
        </w:rPr>
        <w:t xml:space="preserve"> S.A. E.S.P.  la </w:t>
      </w:r>
      <w:r w:rsidRPr="001425A9">
        <w:rPr>
          <w:rFonts w:ascii="Bookman Old Style" w:hAnsi="Bookman Old Style"/>
        </w:rPr>
        <w:t>Resolución CREG No. 162 de 2021</w:t>
      </w:r>
      <w:r>
        <w:rPr>
          <w:rFonts w:ascii="Bookman Old Style" w:hAnsi="Bookman Old Style"/>
        </w:rPr>
        <w:t>.</w:t>
      </w:r>
    </w:p>
    <w:p w14:paraId="43EBCABD" w14:textId="47CD8821" w:rsidR="001425A9" w:rsidRDefault="001425A9" w:rsidP="001425A9">
      <w:pPr>
        <w:keepNext/>
        <w:adjustRightInd w:val="0"/>
        <w:ind w:left="0"/>
        <w:jc w:val="both"/>
        <w:rPr>
          <w:rFonts w:ascii="Bookman Old Style" w:hAnsi="Bookman Old Style"/>
        </w:rPr>
      </w:pPr>
    </w:p>
    <w:p w14:paraId="6F8C1245" w14:textId="77777777" w:rsidR="005C3D2E" w:rsidRDefault="001425A9" w:rsidP="001425A9">
      <w:pPr>
        <w:keepNext/>
        <w:adjustRightInd w:val="0"/>
        <w:ind w:left="0"/>
        <w:jc w:val="both"/>
        <w:rPr>
          <w:rFonts w:ascii="Bookman Old Style" w:hAnsi="Bookman Old Style"/>
        </w:rPr>
      </w:pPr>
      <w:r>
        <w:rPr>
          <w:rFonts w:ascii="Bookman Old Style" w:hAnsi="Bookman Old Style"/>
        </w:rPr>
        <w:t xml:space="preserve">En la misma fecha, la empresa </w:t>
      </w:r>
      <w:r w:rsidR="00465D74">
        <w:rPr>
          <w:rFonts w:ascii="Bookman Old Style" w:hAnsi="Bookman Old Style"/>
        </w:rPr>
        <w:t>ENERCER</w:t>
      </w:r>
      <w:r>
        <w:rPr>
          <w:rFonts w:ascii="Bookman Old Style" w:hAnsi="Bookman Old Style"/>
        </w:rPr>
        <w:t xml:space="preserve"> S.A. E.S.P. tuvo acceso al contenido de la referida notificación</w:t>
      </w:r>
      <w:r w:rsidR="00FA1274">
        <w:rPr>
          <w:rFonts w:ascii="Bookman Old Style" w:hAnsi="Bookman Old Style"/>
        </w:rPr>
        <w:t xml:space="preserve">, por lo que </w:t>
      </w:r>
      <w:r>
        <w:rPr>
          <w:rFonts w:ascii="Bookman Old Style" w:hAnsi="Bookman Old Style"/>
        </w:rPr>
        <w:t>el término para interponer el recurso de</w:t>
      </w:r>
      <w:r w:rsidR="005C3D2E">
        <w:rPr>
          <w:rFonts w:ascii="Bookman Old Style" w:hAnsi="Bookman Old Style"/>
        </w:rPr>
        <w:t xml:space="preserve"> </w:t>
      </w:r>
    </w:p>
    <w:p w14:paraId="5C22FC37" w14:textId="343BA740" w:rsidR="001425A9" w:rsidRDefault="001425A9" w:rsidP="001425A9">
      <w:pPr>
        <w:keepNext/>
        <w:adjustRightInd w:val="0"/>
        <w:ind w:left="0"/>
        <w:jc w:val="both"/>
        <w:rPr>
          <w:rFonts w:ascii="Bookman Old Style" w:hAnsi="Bookman Old Style"/>
        </w:rPr>
      </w:pPr>
      <w:r>
        <w:rPr>
          <w:rFonts w:ascii="Bookman Old Style" w:hAnsi="Bookman Old Style"/>
        </w:rPr>
        <w:t>reposición en contra del Acto Administrativo inició su computo el 28 de octubre y venció el 4 de noviembre de 2021.</w:t>
      </w:r>
    </w:p>
    <w:p w14:paraId="2ADF14F8" w14:textId="77777777" w:rsidR="001425A9" w:rsidRDefault="001425A9" w:rsidP="001425A9">
      <w:pPr>
        <w:keepNext/>
        <w:adjustRightInd w:val="0"/>
        <w:ind w:left="0"/>
        <w:jc w:val="both"/>
        <w:rPr>
          <w:rFonts w:ascii="Bookman Old Style" w:hAnsi="Bookman Old Style"/>
        </w:rPr>
      </w:pPr>
    </w:p>
    <w:p w14:paraId="75D8FBE2" w14:textId="513BD5D0" w:rsidR="001425A9" w:rsidRDefault="001425A9" w:rsidP="001425A9">
      <w:pPr>
        <w:keepNext/>
        <w:adjustRightInd w:val="0"/>
        <w:ind w:left="0"/>
        <w:jc w:val="both"/>
        <w:rPr>
          <w:rFonts w:ascii="Bookman Old Style" w:hAnsi="Bookman Old Style" w:cs="Arial"/>
        </w:rPr>
      </w:pPr>
      <w:r>
        <w:rPr>
          <w:rFonts w:ascii="Bookman Old Style" w:hAnsi="Bookman Old Style" w:cs="Arial"/>
        </w:rPr>
        <w:t xml:space="preserve">Mediante comunicación </w:t>
      </w:r>
      <w:r w:rsidR="00FA1274" w:rsidRPr="00DE1700">
        <w:rPr>
          <w:rFonts w:ascii="Bookman Old Style" w:hAnsi="Bookman Old Style" w:cs="Arial"/>
        </w:rPr>
        <w:t>E-2021-012923</w:t>
      </w:r>
      <w:r w:rsidR="00FA1274">
        <w:rPr>
          <w:rFonts w:ascii="Bookman Old Style" w:hAnsi="Bookman Old Style" w:cs="Arial"/>
        </w:rPr>
        <w:t xml:space="preserve"> de 3 de noviembre de 2021, la empresa </w:t>
      </w:r>
      <w:r w:rsidR="00465D74">
        <w:rPr>
          <w:rFonts w:ascii="Bookman Old Style" w:hAnsi="Bookman Old Style" w:cs="Arial"/>
        </w:rPr>
        <w:t>ENERCER</w:t>
      </w:r>
      <w:r w:rsidR="00FA1274">
        <w:rPr>
          <w:rFonts w:ascii="Bookman Old Style" w:hAnsi="Bookman Old Style" w:cs="Arial"/>
        </w:rPr>
        <w:t xml:space="preserve"> S.A. E.S.P. interpuso recurso de reposición en contra de los numerales 3 y 4 de la Resolución No. 162 de 2021.</w:t>
      </w:r>
    </w:p>
    <w:p w14:paraId="220F970C" w14:textId="4B226ED7" w:rsidR="00FA1274" w:rsidRDefault="00FA1274" w:rsidP="001425A9">
      <w:pPr>
        <w:keepNext/>
        <w:adjustRightInd w:val="0"/>
        <w:ind w:left="0"/>
        <w:jc w:val="both"/>
        <w:rPr>
          <w:rFonts w:ascii="Bookman Old Style" w:hAnsi="Bookman Old Style" w:cs="Arial"/>
        </w:rPr>
      </w:pPr>
    </w:p>
    <w:p w14:paraId="030312E3" w14:textId="409DB605" w:rsidR="00FA1274" w:rsidRDefault="00FA1274" w:rsidP="001425A9">
      <w:pPr>
        <w:keepNext/>
        <w:adjustRightInd w:val="0"/>
        <w:ind w:left="0"/>
        <w:jc w:val="both"/>
        <w:rPr>
          <w:rFonts w:ascii="Bookman Old Style" w:hAnsi="Bookman Old Style" w:cs="Arial"/>
        </w:rPr>
      </w:pPr>
      <w:r>
        <w:rPr>
          <w:rFonts w:ascii="Bookman Old Style" w:hAnsi="Bookman Old Style" w:cs="Arial"/>
        </w:rPr>
        <w:t xml:space="preserve">Teniendo en cuenta lo anterior, esta Comisión advierte que el recurso de reposición fue presentado dentro de la oportunidad legal, por lo que se hace necesario analizar el contenido </w:t>
      </w:r>
      <w:proofErr w:type="gramStart"/>
      <w:r>
        <w:rPr>
          <w:rFonts w:ascii="Bookman Old Style" w:hAnsi="Bookman Old Style" w:cs="Arial"/>
        </w:rPr>
        <w:t>del mismo</w:t>
      </w:r>
      <w:proofErr w:type="gramEnd"/>
      <w:r>
        <w:rPr>
          <w:rFonts w:ascii="Bookman Old Style" w:hAnsi="Bookman Old Style" w:cs="Arial"/>
        </w:rPr>
        <w:t>.</w:t>
      </w:r>
    </w:p>
    <w:p w14:paraId="6CDF052B" w14:textId="77777777" w:rsidR="001425A9" w:rsidRDefault="001425A9" w:rsidP="001425A9">
      <w:pPr>
        <w:keepNext/>
        <w:adjustRightInd w:val="0"/>
        <w:ind w:left="0"/>
        <w:jc w:val="both"/>
        <w:rPr>
          <w:rFonts w:ascii="Bookman Old Style" w:hAnsi="Bookman Old Style" w:cs="Arial"/>
        </w:rPr>
      </w:pPr>
    </w:p>
    <w:p w14:paraId="069E02E3" w14:textId="0932995C" w:rsidR="001425A9" w:rsidRDefault="00FA1274" w:rsidP="001425A9">
      <w:pPr>
        <w:keepNext/>
        <w:adjustRightInd w:val="0"/>
        <w:ind w:left="0"/>
        <w:jc w:val="both"/>
        <w:rPr>
          <w:rFonts w:ascii="Bookman Old Style" w:hAnsi="Bookman Old Style" w:cs="Arial"/>
        </w:rPr>
      </w:pPr>
      <w:r w:rsidRPr="00FA1274">
        <w:rPr>
          <w:rFonts w:ascii="Bookman Old Style" w:hAnsi="Bookman Old Style" w:cs="Arial"/>
          <w:b/>
        </w:rPr>
        <w:t xml:space="preserve">2.2. Sobre las </w:t>
      </w:r>
      <w:r>
        <w:rPr>
          <w:rFonts w:ascii="Bookman Old Style" w:hAnsi="Bookman Old Style" w:cs="Arial"/>
          <w:b/>
        </w:rPr>
        <w:t>razones que sustentan el recurso de reposición:</w:t>
      </w:r>
    </w:p>
    <w:p w14:paraId="52212DAF" w14:textId="5A104D58" w:rsidR="009F1BB4" w:rsidRPr="004D76A9" w:rsidRDefault="004D76A9" w:rsidP="009C0101">
      <w:pPr>
        <w:keepNext/>
        <w:adjustRightInd w:val="0"/>
        <w:spacing w:before="240" w:after="240"/>
        <w:ind w:left="0"/>
        <w:jc w:val="both"/>
        <w:rPr>
          <w:rFonts w:ascii="Bookman Old Style" w:hAnsi="Bookman Old Style" w:cs="Arial"/>
        </w:rPr>
      </w:pPr>
      <w:r>
        <w:rPr>
          <w:rFonts w:ascii="Bookman Old Style" w:hAnsi="Bookman Old Style" w:cs="Arial"/>
        </w:rPr>
        <w:t xml:space="preserve">La empresa </w:t>
      </w:r>
      <w:r w:rsidR="00465D74">
        <w:rPr>
          <w:rFonts w:ascii="Bookman Old Style" w:hAnsi="Bookman Old Style" w:cs="Arial"/>
        </w:rPr>
        <w:t>ENERCER</w:t>
      </w:r>
      <w:r>
        <w:rPr>
          <w:rFonts w:ascii="Bookman Old Style" w:hAnsi="Bookman Old Style" w:cs="Arial"/>
        </w:rPr>
        <w:t xml:space="preserve"> S.A. E.S.P. formula su recurso de reposición basándose </w:t>
      </w:r>
      <w:r w:rsidRPr="004D76A9">
        <w:rPr>
          <w:rFonts w:ascii="Bookman Old Style" w:hAnsi="Bookman Old Style" w:cs="Arial"/>
        </w:rPr>
        <w:t>en tres inconformidades</w:t>
      </w:r>
      <w:r w:rsidR="008F35D2">
        <w:rPr>
          <w:rFonts w:ascii="Bookman Old Style" w:hAnsi="Bookman Old Style" w:cs="Arial"/>
        </w:rPr>
        <w:t>,</w:t>
      </w:r>
      <w:r w:rsidRPr="004D76A9">
        <w:rPr>
          <w:rFonts w:ascii="Bookman Old Style" w:hAnsi="Bookman Old Style" w:cs="Arial"/>
        </w:rPr>
        <w:t xml:space="preserve"> a saber:</w:t>
      </w:r>
    </w:p>
    <w:p w14:paraId="65C27BAF" w14:textId="6CD4ED72" w:rsidR="004D76A9" w:rsidRPr="004D76A9" w:rsidRDefault="004D76A9" w:rsidP="004D76A9">
      <w:pPr>
        <w:pStyle w:val="Prrafodelista"/>
        <w:keepNext/>
        <w:numPr>
          <w:ilvl w:val="0"/>
          <w:numId w:val="29"/>
        </w:numPr>
        <w:adjustRightInd w:val="0"/>
        <w:spacing w:before="240" w:after="240"/>
        <w:jc w:val="both"/>
        <w:rPr>
          <w:rFonts w:ascii="Bookman Old Style" w:hAnsi="Bookman Old Style" w:cs="Arial"/>
          <w:i/>
          <w:sz w:val="24"/>
          <w:szCs w:val="24"/>
        </w:rPr>
      </w:pPr>
      <w:r w:rsidRPr="004D76A9">
        <w:rPr>
          <w:rFonts w:ascii="Bookman Old Style" w:hAnsi="Bookman Old Style" w:cs="Arial"/>
          <w:i/>
          <w:sz w:val="24"/>
          <w:szCs w:val="24"/>
        </w:rPr>
        <w:t>Uso indistinto de cifras como valores referidos a la Fecha Base</w:t>
      </w:r>
    </w:p>
    <w:p w14:paraId="3FA6210E" w14:textId="679BA066" w:rsidR="004D76A9" w:rsidRPr="004D76A9" w:rsidRDefault="004D76A9" w:rsidP="004D76A9">
      <w:pPr>
        <w:pStyle w:val="Prrafodelista"/>
        <w:keepNext/>
        <w:numPr>
          <w:ilvl w:val="0"/>
          <w:numId w:val="29"/>
        </w:numPr>
        <w:adjustRightInd w:val="0"/>
        <w:spacing w:before="240" w:after="240"/>
        <w:jc w:val="both"/>
        <w:rPr>
          <w:rFonts w:ascii="Bookman Old Style" w:hAnsi="Bookman Old Style" w:cs="Arial"/>
          <w:i/>
          <w:sz w:val="24"/>
          <w:szCs w:val="24"/>
        </w:rPr>
      </w:pPr>
      <w:r w:rsidRPr="004D76A9">
        <w:rPr>
          <w:rFonts w:ascii="Bookman Old Style" w:hAnsi="Bookman Old Style" w:cs="Arial"/>
          <w:i/>
          <w:sz w:val="24"/>
          <w:szCs w:val="24"/>
        </w:rPr>
        <w:t>Activos Especiales – Adecuación Lote Estación GNC</w:t>
      </w:r>
    </w:p>
    <w:p w14:paraId="368AFF93" w14:textId="41B8465C" w:rsidR="004D76A9" w:rsidRDefault="004D76A9" w:rsidP="004D76A9">
      <w:pPr>
        <w:pStyle w:val="Prrafodelista"/>
        <w:keepNext/>
        <w:numPr>
          <w:ilvl w:val="0"/>
          <w:numId w:val="29"/>
        </w:numPr>
        <w:adjustRightInd w:val="0"/>
        <w:spacing w:before="240" w:after="240"/>
        <w:jc w:val="both"/>
        <w:rPr>
          <w:rFonts w:ascii="Bookman Old Style" w:hAnsi="Bookman Old Style" w:cs="Arial"/>
          <w:sz w:val="24"/>
          <w:szCs w:val="24"/>
        </w:rPr>
      </w:pPr>
      <w:r w:rsidRPr="004D76A9">
        <w:rPr>
          <w:rFonts w:ascii="Bookman Old Style" w:hAnsi="Bookman Old Style" w:cs="Arial"/>
          <w:i/>
          <w:sz w:val="24"/>
          <w:szCs w:val="24"/>
        </w:rPr>
        <w:t>Valor cofinanciado del sistema de distribución</w:t>
      </w:r>
      <w:r>
        <w:rPr>
          <w:rFonts w:ascii="Bookman Old Style" w:hAnsi="Bookman Old Style" w:cs="Arial"/>
          <w:sz w:val="24"/>
          <w:szCs w:val="24"/>
        </w:rPr>
        <w:t>.</w:t>
      </w:r>
    </w:p>
    <w:p w14:paraId="55701CA6" w14:textId="3E741A39" w:rsidR="004D76A9" w:rsidRDefault="004D76A9" w:rsidP="004D76A9">
      <w:pPr>
        <w:keepNext/>
        <w:adjustRightInd w:val="0"/>
        <w:spacing w:before="240" w:after="240"/>
        <w:ind w:left="0"/>
        <w:jc w:val="both"/>
        <w:rPr>
          <w:rFonts w:ascii="Bookman Old Style" w:hAnsi="Bookman Old Style" w:cs="Arial"/>
        </w:rPr>
      </w:pPr>
      <w:r>
        <w:rPr>
          <w:rFonts w:ascii="Bookman Old Style" w:hAnsi="Bookman Old Style" w:cs="Arial"/>
        </w:rPr>
        <w:t>Para efectos de su análisis</w:t>
      </w:r>
      <w:r w:rsidR="008F35D2">
        <w:rPr>
          <w:rFonts w:ascii="Bookman Old Style" w:hAnsi="Bookman Old Style" w:cs="Arial"/>
        </w:rPr>
        <w:t>,</w:t>
      </w:r>
      <w:r>
        <w:rPr>
          <w:rFonts w:ascii="Bookman Old Style" w:hAnsi="Bookman Old Style" w:cs="Arial"/>
        </w:rPr>
        <w:t xml:space="preserve"> esta Comisión procederá a pronunciarse en el orden en que fueron planteadas en el recurso de reposición:</w:t>
      </w:r>
    </w:p>
    <w:p w14:paraId="4A9F12F9" w14:textId="0AD053DE" w:rsidR="004D76A9" w:rsidRDefault="004D76A9" w:rsidP="004D76A9">
      <w:pPr>
        <w:keepNext/>
        <w:adjustRightInd w:val="0"/>
        <w:spacing w:before="240" w:after="240"/>
        <w:ind w:left="0"/>
        <w:jc w:val="both"/>
        <w:rPr>
          <w:rFonts w:ascii="Bookman Old Style" w:hAnsi="Bookman Old Style" w:cs="Arial"/>
          <w:b/>
          <w:i/>
        </w:rPr>
      </w:pPr>
      <w:r w:rsidRPr="004D76A9">
        <w:rPr>
          <w:rFonts w:ascii="Bookman Old Style" w:hAnsi="Bookman Old Style" w:cs="Arial"/>
          <w:b/>
        </w:rPr>
        <w:t xml:space="preserve">2.2.1 </w:t>
      </w:r>
      <w:r w:rsidRPr="004D76A9">
        <w:rPr>
          <w:rFonts w:ascii="Bookman Old Style" w:hAnsi="Bookman Old Style" w:cs="Arial"/>
          <w:b/>
          <w:i/>
        </w:rPr>
        <w:t>Uso indistinto de cifras como valores referidos a la Fecha Base</w:t>
      </w:r>
    </w:p>
    <w:p w14:paraId="752E18FA" w14:textId="071ED86C" w:rsidR="004D76A9" w:rsidRDefault="00123268"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La empresa recurrente manifiesta su inconformidad respecto de los valores que fueron tomados por esta Comisión en relación con la </w:t>
      </w:r>
      <w:r w:rsidR="00AA04D2">
        <w:rPr>
          <w:rFonts w:ascii="Bookman Old Style" w:hAnsi="Bookman Old Style" w:cs="Arial"/>
          <w:lang w:val="es-CO"/>
        </w:rPr>
        <w:t xml:space="preserve">fecha </w:t>
      </w:r>
      <w:r w:rsidR="00FC1922">
        <w:rPr>
          <w:rFonts w:ascii="Bookman Old Style" w:hAnsi="Bookman Old Style" w:cs="Arial"/>
          <w:lang w:val="es-CO"/>
        </w:rPr>
        <w:t>b</w:t>
      </w:r>
      <w:r w:rsidR="00AA04D2">
        <w:rPr>
          <w:rFonts w:ascii="Bookman Old Style" w:hAnsi="Bookman Old Style" w:cs="Arial"/>
          <w:lang w:val="es-CO"/>
        </w:rPr>
        <w:t xml:space="preserve">ase </w:t>
      </w:r>
      <w:r w:rsidR="008C588B">
        <w:rPr>
          <w:rFonts w:ascii="Bookman Old Style" w:hAnsi="Bookman Old Style" w:cs="Arial"/>
          <w:lang w:val="es-CO"/>
        </w:rPr>
        <w:t>usada</w:t>
      </w:r>
      <w:r w:rsidR="00AA04D2">
        <w:rPr>
          <w:rFonts w:ascii="Bookman Old Style" w:hAnsi="Bookman Old Style" w:cs="Arial"/>
          <w:lang w:val="es-CO"/>
        </w:rPr>
        <w:t xml:space="preserve"> para la </w:t>
      </w:r>
      <w:r w:rsidR="00AA04D2">
        <w:rPr>
          <w:rFonts w:ascii="Bookman Old Style" w:hAnsi="Bookman Old Style" w:cs="Arial"/>
          <w:lang w:val="es-CO"/>
        </w:rPr>
        <w:lastRenderedPageBreak/>
        <w:t xml:space="preserve">valoración de la </w:t>
      </w:r>
      <w:r>
        <w:rPr>
          <w:rFonts w:ascii="Bookman Old Style" w:hAnsi="Bookman Old Style" w:cs="Arial"/>
          <w:lang w:val="es-CO"/>
        </w:rPr>
        <w:t>Inversión Base</w:t>
      </w:r>
      <w:r w:rsidR="008F35D2">
        <w:rPr>
          <w:rFonts w:ascii="Bookman Old Style" w:hAnsi="Bookman Old Style" w:cs="Arial"/>
          <w:lang w:val="es-CO"/>
        </w:rPr>
        <w:t>,</w:t>
      </w:r>
      <w:r>
        <w:rPr>
          <w:rFonts w:ascii="Bookman Old Style" w:hAnsi="Bookman Old Style" w:cs="Arial"/>
          <w:lang w:val="es-CO"/>
        </w:rPr>
        <w:t xml:space="preserve"> </w:t>
      </w:r>
      <w:r w:rsidR="008C588B">
        <w:rPr>
          <w:rFonts w:ascii="Bookman Old Style" w:hAnsi="Bookman Old Style" w:cs="Arial"/>
          <w:lang w:val="es-CO"/>
        </w:rPr>
        <w:t xml:space="preserve">y </w:t>
      </w:r>
      <w:r>
        <w:rPr>
          <w:rFonts w:ascii="Bookman Old Style" w:hAnsi="Bookman Old Style" w:cs="Arial"/>
          <w:lang w:val="es-CO"/>
        </w:rPr>
        <w:t xml:space="preserve">que fue </w:t>
      </w:r>
      <w:r w:rsidR="008C588B">
        <w:rPr>
          <w:rFonts w:ascii="Bookman Old Style" w:hAnsi="Bookman Old Style" w:cs="Arial"/>
          <w:lang w:val="es-CO"/>
        </w:rPr>
        <w:t>utilizada</w:t>
      </w:r>
      <w:r>
        <w:rPr>
          <w:rFonts w:ascii="Bookman Old Style" w:hAnsi="Bookman Old Style" w:cs="Arial"/>
          <w:lang w:val="es-CO"/>
        </w:rPr>
        <w:t xml:space="preserve"> para el </w:t>
      </w:r>
      <w:r w:rsidR="005A2D94">
        <w:rPr>
          <w:rFonts w:ascii="Bookman Old Style" w:hAnsi="Bookman Old Style" w:cs="Arial"/>
          <w:lang w:val="es-CO"/>
        </w:rPr>
        <w:t>cálculo</w:t>
      </w:r>
      <w:r>
        <w:rPr>
          <w:rFonts w:ascii="Bookman Old Style" w:hAnsi="Bookman Old Style" w:cs="Arial"/>
          <w:lang w:val="es-CO"/>
        </w:rPr>
        <w:t xml:space="preserve"> del cargo de distribución para el mercado relevante propuesto.</w:t>
      </w:r>
    </w:p>
    <w:p w14:paraId="17751AFD" w14:textId="4BC64E58" w:rsidR="00AA04D2" w:rsidRDefault="00AA04D2"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Señala la empresa recurrente que la “(…) </w:t>
      </w:r>
      <w:r w:rsidRPr="00AA04D2">
        <w:rPr>
          <w:rFonts w:ascii="Bookman Old Style" w:hAnsi="Bookman Old Style"/>
          <w:i/>
        </w:rPr>
        <w:t>fecha de elaboración y presentación de la solicitud tarifaria (15 de enero de 2021), la valoración de las unidades constructivas disponibles en el aplicativo Apligas no habían sido actualizadas a la fecha Base del momento (31 de diciembre de 2020), sino que continuaban mostrando valores referidos al 31 de diciembre de 2019</w:t>
      </w:r>
      <w:r>
        <w:rPr>
          <w:sz w:val="22"/>
          <w:szCs w:val="22"/>
        </w:rPr>
        <w:t>.</w:t>
      </w:r>
    </w:p>
    <w:p w14:paraId="72D2407F" w14:textId="1FBA4EF0" w:rsidR="00590A69" w:rsidRDefault="00AA04D2"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Además de lo anterior, sostiene la empresa </w:t>
      </w:r>
      <w:r w:rsidR="00465D74">
        <w:rPr>
          <w:rFonts w:ascii="Bookman Old Style" w:hAnsi="Bookman Old Style" w:cs="Arial"/>
          <w:lang w:val="es-CO"/>
        </w:rPr>
        <w:t>ENERCER</w:t>
      </w:r>
      <w:r>
        <w:rPr>
          <w:rFonts w:ascii="Bookman Old Style" w:hAnsi="Bookman Old Style" w:cs="Arial"/>
          <w:lang w:val="es-CO"/>
        </w:rPr>
        <w:t xml:space="preserve"> S.A. E.S.P. “(</w:t>
      </w:r>
      <w:r w:rsidR="00781B6A">
        <w:rPr>
          <w:rFonts w:ascii="Bookman Old Style" w:hAnsi="Bookman Old Style" w:cs="Arial"/>
          <w:lang w:val="es-CO"/>
        </w:rPr>
        <w:t>…)</w:t>
      </w:r>
      <w:r w:rsidR="00781B6A" w:rsidRPr="00AA04D2">
        <w:rPr>
          <w:rFonts w:ascii="Bookman Old Style" w:hAnsi="Bookman Old Style" w:cs="Arial"/>
          <w:i/>
          <w:lang w:val="es-CO"/>
        </w:rPr>
        <w:t xml:space="preserve"> que</w:t>
      </w:r>
      <w:r w:rsidRPr="00AA04D2">
        <w:rPr>
          <w:rFonts w:ascii="Bookman Old Style" w:hAnsi="Bookman Old Style" w:cs="Arial"/>
          <w:i/>
          <w:lang w:val="es-CO"/>
        </w:rPr>
        <w:t xml:space="preserve"> la valoración de la inversión por $980.370.335 tomado por la Comisión como resultado a diciembre de 2020, corresponde con el valor reportado por </w:t>
      </w:r>
      <w:r w:rsidR="00465D74">
        <w:rPr>
          <w:rFonts w:ascii="Bookman Old Style" w:hAnsi="Bookman Old Style" w:cs="Arial"/>
          <w:i/>
          <w:lang w:val="es-CO"/>
        </w:rPr>
        <w:t>ENERCER</w:t>
      </w:r>
      <w:r w:rsidRPr="00AA04D2">
        <w:rPr>
          <w:rFonts w:ascii="Bookman Old Style" w:hAnsi="Bookman Old Style" w:cs="Arial"/>
          <w:i/>
          <w:lang w:val="es-CO"/>
        </w:rPr>
        <w:t xml:space="preserve"> S.A. E.S.P. a diciembre de 2019. El hecho que la Comisión tome dicho valor como resultado a la Fecha Base del 31 de diciembre de 2020 impacta a la baja la valoración de la inversión presentada por </w:t>
      </w:r>
      <w:r w:rsidR="00465D74">
        <w:rPr>
          <w:rFonts w:ascii="Bookman Old Style" w:hAnsi="Bookman Old Style" w:cs="Arial"/>
          <w:i/>
          <w:lang w:val="es-CO"/>
        </w:rPr>
        <w:t>ENERCER</w:t>
      </w:r>
      <w:r w:rsidRPr="00AA04D2">
        <w:rPr>
          <w:rFonts w:ascii="Bookman Old Style" w:hAnsi="Bookman Old Style" w:cs="Arial"/>
          <w:i/>
          <w:lang w:val="es-CO"/>
        </w:rPr>
        <w:t xml:space="preserve"> S.A. E.S.P. en $16.184.603, equivalente a la variación del factor de actualización IPP entre 2019 y 2020 (1,65%)</w:t>
      </w:r>
      <w:r w:rsidRPr="00AA04D2">
        <w:rPr>
          <w:rFonts w:ascii="Bookman Old Style" w:hAnsi="Bookman Old Style" w:cs="Arial"/>
          <w:lang w:val="es-CO"/>
        </w:rPr>
        <w:t>.</w:t>
      </w:r>
      <w:r>
        <w:rPr>
          <w:rFonts w:ascii="Bookman Old Style" w:hAnsi="Bookman Old Style" w:cs="Arial"/>
          <w:lang w:val="es-CO"/>
        </w:rPr>
        <w:t>”</w:t>
      </w:r>
    </w:p>
    <w:p w14:paraId="342DBE5C" w14:textId="4561674C" w:rsidR="008C588B" w:rsidRDefault="009C3F23" w:rsidP="00B504AA">
      <w:pPr>
        <w:keepNext/>
        <w:adjustRightInd w:val="0"/>
        <w:ind w:left="0"/>
        <w:jc w:val="both"/>
        <w:rPr>
          <w:rFonts w:ascii="Bookman Old Style" w:hAnsi="Bookman Old Style" w:cs="Arial"/>
          <w:lang w:val="es-CO"/>
        </w:rPr>
      </w:pPr>
      <w:r>
        <w:rPr>
          <w:rFonts w:ascii="Bookman Old Style" w:hAnsi="Bookman Old Style" w:cs="Arial"/>
          <w:lang w:val="es-CO"/>
        </w:rPr>
        <w:t xml:space="preserve">Para resolver este punto, </w:t>
      </w:r>
      <w:r w:rsidR="008C588B">
        <w:rPr>
          <w:rFonts w:ascii="Bookman Old Style" w:hAnsi="Bookman Old Style" w:cs="Arial"/>
          <w:lang w:val="es-CO"/>
        </w:rPr>
        <w:t xml:space="preserve">esta Comisión </w:t>
      </w:r>
      <w:r>
        <w:rPr>
          <w:rFonts w:ascii="Bookman Old Style" w:hAnsi="Bookman Old Style" w:cs="Arial"/>
          <w:lang w:val="es-CO"/>
        </w:rPr>
        <w:t>verificó que l</w:t>
      </w:r>
      <w:r w:rsidR="00E6020F" w:rsidRPr="00D44D62">
        <w:rPr>
          <w:rFonts w:ascii="Bookman Old Style" w:hAnsi="Bookman Old Style" w:cs="Arial"/>
          <w:lang w:val="es-CO"/>
        </w:rPr>
        <w:t xml:space="preserve">a </w:t>
      </w:r>
      <w:r w:rsidR="00E6020F">
        <w:rPr>
          <w:rFonts w:ascii="Bookman Old Style" w:hAnsi="Bookman Old Style" w:cs="Arial"/>
          <w:lang w:val="es-CO"/>
        </w:rPr>
        <w:t>e</w:t>
      </w:r>
      <w:r w:rsidR="00E6020F" w:rsidRPr="00D44D62">
        <w:rPr>
          <w:rFonts w:ascii="Bookman Old Style" w:hAnsi="Bookman Old Style" w:cs="Arial"/>
          <w:lang w:val="es-CO"/>
        </w:rPr>
        <w:t>mpresa efectuó el reporte de información de la solicitud tarifaria en cuestión en el aplicativo Apligas</w:t>
      </w:r>
      <w:r w:rsidR="008F35D2">
        <w:rPr>
          <w:rFonts w:ascii="Bookman Old Style" w:hAnsi="Bookman Old Style" w:cs="Arial"/>
          <w:lang w:val="es-CO"/>
        </w:rPr>
        <w:t>,</w:t>
      </w:r>
      <w:r w:rsidR="00E6020F" w:rsidRPr="00D44D62">
        <w:rPr>
          <w:rFonts w:ascii="Bookman Old Style" w:hAnsi="Bookman Old Style" w:cs="Arial"/>
          <w:lang w:val="es-CO"/>
        </w:rPr>
        <w:t xml:space="preserve"> y l</w:t>
      </w:r>
      <w:r w:rsidR="00466A7C">
        <w:rPr>
          <w:rFonts w:ascii="Bookman Old Style" w:hAnsi="Bookman Old Style" w:cs="Arial"/>
          <w:lang w:val="es-CO"/>
        </w:rPr>
        <w:t>a</w:t>
      </w:r>
      <w:r w:rsidR="00E6020F" w:rsidRPr="00D44D62">
        <w:rPr>
          <w:rFonts w:ascii="Bookman Old Style" w:hAnsi="Bookman Old Style" w:cs="Arial"/>
          <w:lang w:val="es-CO"/>
        </w:rPr>
        <w:t xml:space="preserve"> confirmó </w:t>
      </w:r>
      <w:r w:rsidR="00E6020F" w:rsidRPr="00F43645">
        <w:rPr>
          <w:rFonts w:ascii="Bookman Old Style" w:hAnsi="Bookman Old Style" w:cs="Arial"/>
          <w:lang w:val="es-CO"/>
        </w:rPr>
        <w:t xml:space="preserve">el día 4 de enero de 2021 </w:t>
      </w:r>
      <w:r w:rsidR="00E6020F" w:rsidRPr="00D44D62">
        <w:rPr>
          <w:rFonts w:ascii="Bookman Old Style" w:hAnsi="Bookman Old Style" w:cs="Arial"/>
          <w:lang w:val="es-CO"/>
        </w:rPr>
        <w:t>bajo el N° 2451 asignado por el Aplicativo</w:t>
      </w:r>
      <w:r w:rsidR="00E6020F">
        <w:rPr>
          <w:rFonts w:ascii="Bookman Old Style" w:hAnsi="Bookman Old Style" w:cs="Arial"/>
          <w:lang w:val="es-CO"/>
        </w:rPr>
        <w:t xml:space="preserve">. </w:t>
      </w:r>
    </w:p>
    <w:p w14:paraId="67AD5AEE" w14:textId="77777777" w:rsidR="008C588B" w:rsidRDefault="008C588B" w:rsidP="00B504AA">
      <w:pPr>
        <w:keepNext/>
        <w:adjustRightInd w:val="0"/>
        <w:ind w:left="0"/>
        <w:jc w:val="both"/>
        <w:rPr>
          <w:rFonts w:ascii="Bookman Old Style" w:hAnsi="Bookman Old Style" w:cs="Arial"/>
          <w:lang w:val="es-CO"/>
        </w:rPr>
      </w:pPr>
    </w:p>
    <w:p w14:paraId="0329115C" w14:textId="00865A58" w:rsidR="003A2480" w:rsidRDefault="00E6020F" w:rsidP="00B504AA">
      <w:pPr>
        <w:keepNext/>
        <w:adjustRightInd w:val="0"/>
        <w:ind w:left="0"/>
        <w:jc w:val="both"/>
        <w:rPr>
          <w:rFonts w:ascii="Bookman Old Style" w:hAnsi="Bookman Old Style" w:cs="Arial"/>
          <w:lang w:val="es-CO"/>
        </w:rPr>
      </w:pPr>
      <w:r>
        <w:rPr>
          <w:rFonts w:ascii="Bookman Old Style" w:hAnsi="Bookman Old Style" w:cs="Arial"/>
          <w:lang w:val="es-CO"/>
        </w:rPr>
        <w:t>Así mismo, l</w:t>
      </w:r>
      <w:r w:rsidRPr="00F43645">
        <w:rPr>
          <w:rFonts w:ascii="Bookman Old Style" w:hAnsi="Bookman Old Style" w:cs="Arial"/>
          <w:lang w:val="es-CO"/>
        </w:rPr>
        <w:t xml:space="preserve">a solicitud </w:t>
      </w:r>
      <w:r>
        <w:rPr>
          <w:rFonts w:ascii="Bookman Old Style" w:hAnsi="Bookman Old Style" w:cs="Arial"/>
          <w:lang w:val="es-CO"/>
        </w:rPr>
        <w:t xml:space="preserve">fue </w:t>
      </w:r>
      <w:r w:rsidRPr="00F43645">
        <w:rPr>
          <w:rFonts w:ascii="Bookman Old Style" w:hAnsi="Bookman Old Style" w:cs="Arial"/>
          <w:lang w:val="es-CO"/>
        </w:rPr>
        <w:t xml:space="preserve">radicada el 20 de enero de 2021 y completada el 21 de mayo de 2021, razón por la cual la Fecha Base corresponde al 31 de diciembre de 2020. </w:t>
      </w:r>
    </w:p>
    <w:p w14:paraId="7C91C731" w14:textId="77777777" w:rsidR="008C588B" w:rsidRDefault="008C588B" w:rsidP="00B504AA">
      <w:pPr>
        <w:keepNext/>
        <w:adjustRightInd w:val="0"/>
        <w:ind w:left="0"/>
        <w:jc w:val="both"/>
        <w:rPr>
          <w:rFonts w:ascii="Bookman Old Style" w:hAnsi="Bookman Old Style" w:cs="Arial"/>
          <w:lang w:val="es-CO"/>
        </w:rPr>
      </w:pPr>
    </w:p>
    <w:p w14:paraId="405712E2" w14:textId="44C4B410" w:rsidR="00B504AA" w:rsidRDefault="0094561A" w:rsidP="00B504AA">
      <w:pPr>
        <w:keepNext/>
        <w:adjustRightInd w:val="0"/>
        <w:ind w:left="0"/>
        <w:jc w:val="both"/>
        <w:rPr>
          <w:rFonts w:ascii="Bookman Old Style" w:hAnsi="Bookman Old Style" w:cs="Arial"/>
          <w:lang w:val="es-CO"/>
        </w:rPr>
      </w:pPr>
      <w:r>
        <w:rPr>
          <w:rFonts w:ascii="Bookman Old Style" w:hAnsi="Bookman Old Style" w:cs="Arial"/>
          <w:lang w:val="es-CO"/>
        </w:rPr>
        <w:t>Adicionalmente, d</w:t>
      </w:r>
      <w:r w:rsidR="00B504AA">
        <w:rPr>
          <w:rFonts w:ascii="Bookman Old Style" w:hAnsi="Bookman Old Style" w:cs="Arial"/>
          <w:lang w:val="es-CO"/>
        </w:rPr>
        <w:t>e conformidad con el artículo 17 de la Resolución No. 90325 de 2013, en lo que se refiere a la valoración de los sistemas de distribución</w:t>
      </w:r>
      <w:r w:rsidR="008F35D2">
        <w:rPr>
          <w:rFonts w:ascii="Bookman Old Style" w:hAnsi="Bookman Old Style" w:cs="Arial"/>
          <w:lang w:val="es-CO"/>
        </w:rPr>
        <w:t>,</w:t>
      </w:r>
      <w:r w:rsidR="00B504AA">
        <w:rPr>
          <w:rFonts w:ascii="Bookman Old Style" w:hAnsi="Bookman Old Style" w:cs="Arial"/>
          <w:lang w:val="es-CO"/>
        </w:rPr>
        <w:t xml:space="preserve"> se indica que “(…) </w:t>
      </w:r>
      <w:r w:rsidR="00B504AA" w:rsidRPr="00ED7FAE">
        <w:rPr>
          <w:rFonts w:ascii="Bookman Old Style" w:hAnsi="Bookman Old Style" w:cs="Arial"/>
          <w:i/>
          <w:lang w:val="es-CO"/>
        </w:rPr>
        <w:t xml:space="preserve">para establecer el valor de un Sistema de Distribución o un Sistema de Transporte cofinanciado con recursos del FECFGN </w:t>
      </w:r>
      <w:r w:rsidR="00B504AA" w:rsidRPr="00B504AA">
        <w:rPr>
          <w:rFonts w:ascii="Bookman Old Style" w:hAnsi="Bookman Old Style" w:cs="Arial"/>
          <w:i/>
          <w:u w:val="single"/>
          <w:lang w:val="es-CO"/>
        </w:rPr>
        <w:t>se tendrá en cuenta la Inversión Base establecida a partir del inventario más reciente disponible con base en las unidades constructivas vigentes establecidas por la CREG y valorado con los costos unitarios de las mismas.</w:t>
      </w:r>
      <w:r w:rsidR="00B504AA">
        <w:rPr>
          <w:rFonts w:ascii="Bookman Old Style" w:hAnsi="Bookman Old Style" w:cs="Arial"/>
          <w:i/>
          <w:lang w:val="es-CO"/>
        </w:rPr>
        <w:t xml:space="preserve">” </w:t>
      </w:r>
      <w:r w:rsidR="00B504AA">
        <w:rPr>
          <w:rFonts w:ascii="Bookman Old Style" w:hAnsi="Bookman Old Style" w:cs="Arial"/>
          <w:lang w:val="es-CO"/>
        </w:rPr>
        <w:t>(Subrayado fuera del texto).</w:t>
      </w:r>
    </w:p>
    <w:p w14:paraId="30F5E9CE" w14:textId="651763BE" w:rsidR="00B504AA" w:rsidRDefault="00B504AA" w:rsidP="00B504AA">
      <w:pPr>
        <w:keepNext/>
        <w:adjustRightInd w:val="0"/>
        <w:ind w:left="0"/>
        <w:jc w:val="both"/>
        <w:rPr>
          <w:rFonts w:ascii="Bookman Old Style" w:hAnsi="Bookman Old Style" w:cs="Arial"/>
          <w:lang w:val="es-CO"/>
        </w:rPr>
      </w:pPr>
    </w:p>
    <w:p w14:paraId="1800179B" w14:textId="08DC2CA8" w:rsidR="00B504AA" w:rsidRDefault="005A3365" w:rsidP="005A3365">
      <w:pPr>
        <w:keepNext/>
        <w:adjustRightInd w:val="0"/>
        <w:ind w:left="0"/>
        <w:jc w:val="both"/>
        <w:rPr>
          <w:rFonts w:ascii="Bookman Old Style" w:hAnsi="Bookman Old Style" w:cs="Arial"/>
          <w:lang w:val="es-CO"/>
        </w:rPr>
      </w:pPr>
      <w:r>
        <w:rPr>
          <w:rFonts w:ascii="Bookman Old Style" w:hAnsi="Bookman Old Style" w:cs="Arial"/>
          <w:lang w:val="es-CO"/>
        </w:rPr>
        <w:t xml:space="preserve">Teniendo en cuenta lo anterior, es </w:t>
      </w:r>
      <w:r w:rsidR="00B504AA">
        <w:rPr>
          <w:rFonts w:ascii="Bookman Old Style" w:hAnsi="Bookman Old Style" w:cs="Arial"/>
          <w:lang w:val="es-CO"/>
        </w:rPr>
        <w:t xml:space="preserve">claro que la empresa </w:t>
      </w:r>
      <w:r w:rsidR="00465D74">
        <w:rPr>
          <w:rFonts w:ascii="Bookman Old Style" w:hAnsi="Bookman Old Style" w:cs="Arial"/>
          <w:lang w:val="es-CO"/>
        </w:rPr>
        <w:t>ENERCER</w:t>
      </w:r>
      <w:r w:rsidR="00B504AA">
        <w:rPr>
          <w:rFonts w:ascii="Bookman Old Style" w:hAnsi="Bookman Old Style" w:cs="Arial"/>
          <w:lang w:val="es-CO"/>
        </w:rPr>
        <w:t xml:space="preserve"> S.A. E.S.P. formul</w:t>
      </w:r>
      <w:r w:rsidR="00607AA4">
        <w:rPr>
          <w:rFonts w:ascii="Bookman Old Style" w:hAnsi="Bookman Old Style" w:cs="Arial"/>
          <w:lang w:val="es-CO"/>
        </w:rPr>
        <w:t>ó</w:t>
      </w:r>
      <w:r w:rsidR="00B504AA">
        <w:rPr>
          <w:rFonts w:ascii="Bookman Old Style" w:hAnsi="Bookman Old Style" w:cs="Arial"/>
          <w:lang w:val="es-CO"/>
        </w:rPr>
        <w:t xml:space="preserve"> su proyecto de construcción del sistema de distribución tomando las Unidades </w:t>
      </w:r>
      <w:r>
        <w:rPr>
          <w:rFonts w:ascii="Bookman Old Style" w:hAnsi="Bookman Old Style" w:cs="Arial"/>
          <w:lang w:val="es-CO"/>
        </w:rPr>
        <w:t>Constructivas,</w:t>
      </w:r>
      <w:r w:rsidR="00B504AA">
        <w:rPr>
          <w:rFonts w:ascii="Bookman Old Style" w:hAnsi="Bookman Old Style" w:cs="Arial"/>
          <w:lang w:val="es-CO"/>
        </w:rPr>
        <w:t xml:space="preserve"> </w:t>
      </w:r>
      <w:r>
        <w:rPr>
          <w:rFonts w:ascii="Bookman Old Style" w:hAnsi="Bookman Old Style" w:cs="Arial"/>
          <w:lang w:val="es-CO"/>
        </w:rPr>
        <w:t>así como sus valores a costos unitarios aprobados por esta Comisión en el Anexo 8 de la Metodología.</w:t>
      </w:r>
    </w:p>
    <w:p w14:paraId="134044CA" w14:textId="239BC463" w:rsidR="00477210" w:rsidRDefault="00477210" w:rsidP="005A3365">
      <w:pPr>
        <w:keepNext/>
        <w:adjustRightInd w:val="0"/>
        <w:ind w:left="0"/>
        <w:jc w:val="both"/>
        <w:rPr>
          <w:rFonts w:ascii="Bookman Old Style" w:hAnsi="Bookman Old Style" w:cs="Arial"/>
          <w:lang w:val="es-CO"/>
        </w:rPr>
      </w:pPr>
    </w:p>
    <w:p w14:paraId="77F81C4A" w14:textId="493CA167" w:rsidR="00640BF4" w:rsidRDefault="00640BF4" w:rsidP="00640BF4">
      <w:pPr>
        <w:keepNext/>
        <w:adjustRightInd w:val="0"/>
        <w:ind w:left="0"/>
        <w:jc w:val="both"/>
        <w:rPr>
          <w:rFonts w:ascii="Bookman Old Style" w:hAnsi="Bookman Old Style" w:cs="Arial"/>
          <w:lang w:val="es-CO"/>
        </w:rPr>
      </w:pPr>
      <w:r>
        <w:rPr>
          <w:rFonts w:ascii="Bookman Old Style" w:hAnsi="Bookman Old Style" w:cs="Arial"/>
          <w:lang w:val="es-CO"/>
        </w:rPr>
        <w:t xml:space="preserve">Así mismo, </w:t>
      </w:r>
      <w:r w:rsidR="00477210">
        <w:rPr>
          <w:rFonts w:ascii="Bookman Old Style" w:hAnsi="Bookman Old Style" w:cs="Arial"/>
          <w:lang w:val="es-CO"/>
        </w:rPr>
        <w:t>es pertinente señalar que</w:t>
      </w:r>
      <w:r w:rsidR="008F35D2">
        <w:rPr>
          <w:rFonts w:ascii="Bookman Old Style" w:hAnsi="Bookman Old Style" w:cs="Arial"/>
          <w:lang w:val="es-CO"/>
        </w:rPr>
        <w:t>,</w:t>
      </w:r>
      <w:r w:rsidR="00477210">
        <w:rPr>
          <w:rFonts w:ascii="Bookman Old Style" w:hAnsi="Bookman Old Style" w:cs="Arial"/>
          <w:lang w:val="es-CO"/>
        </w:rPr>
        <w:t xml:space="preserve"> </w:t>
      </w:r>
      <w:r>
        <w:rPr>
          <w:rFonts w:ascii="Bookman Old Style" w:hAnsi="Bookman Old Style" w:cs="Arial"/>
          <w:lang w:val="es-CO"/>
        </w:rPr>
        <w:t>revisado el Anexo 1 de la Resolución UPME No. 417 de 29 de septiembre de 2010 “</w:t>
      </w:r>
      <w:r w:rsidRPr="00640BF4">
        <w:rPr>
          <w:rFonts w:ascii="Bookman Old Style" w:hAnsi="Bookman Old Style" w:cs="Arial"/>
          <w:i/>
          <w:lang w:val="es-CO"/>
        </w:rPr>
        <w:t>Por la cual se establecen los requisitos de presentación de los proyectos de infraestructura que requieran cofinanciación del Fondo Especial Cuota de Fomento, se adopta la metodología aplicable para la evaluación de los mismos y se adopta la metodología para el cálculo del índice de priorización</w:t>
      </w:r>
      <w:r w:rsidRPr="00640BF4">
        <w:rPr>
          <w:rFonts w:ascii="Bookman Old Style" w:hAnsi="Bookman Old Style" w:cs="Arial"/>
          <w:lang w:val="es-CO"/>
        </w:rPr>
        <w:t>.</w:t>
      </w:r>
      <w:r>
        <w:rPr>
          <w:rFonts w:ascii="Bookman Old Style" w:hAnsi="Bookman Old Style" w:cs="Arial"/>
          <w:lang w:val="es-CO"/>
        </w:rPr>
        <w:t>”, en el capítulo que se refiere a los requisitos básicos para la presentación de los proyectos de infraestructura, se indicó que “</w:t>
      </w:r>
      <w:r w:rsidRPr="00640BF4">
        <w:rPr>
          <w:rFonts w:ascii="Bookman Old Style" w:hAnsi="Bookman Old Style" w:cs="Arial"/>
          <w:i/>
          <w:lang w:val="es-CO"/>
        </w:rPr>
        <w:t xml:space="preserve">Todos los proyectos deben ser presentados por los Solicitantes </w:t>
      </w:r>
      <w:r w:rsidRPr="00CD7BE5">
        <w:rPr>
          <w:rFonts w:ascii="Bookman Old Style" w:hAnsi="Bookman Old Style" w:cs="Arial"/>
          <w:i/>
          <w:u w:val="single"/>
          <w:lang w:val="es-CO"/>
        </w:rPr>
        <w:t xml:space="preserve">en precios corrientes del año </w:t>
      </w:r>
      <w:r w:rsidRPr="00CD7BE5">
        <w:rPr>
          <w:rFonts w:ascii="Bookman Old Style" w:hAnsi="Bookman Old Style" w:cs="Arial"/>
          <w:i/>
          <w:u w:val="single"/>
          <w:lang w:val="es-CO"/>
        </w:rPr>
        <w:lastRenderedPageBreak/>
        <w:t>en curso</w:t>
      </w:r>
      <w:r w:rsidRPr="00640BF4">
        <w:rPr>
          <w:rFonts w:ascii="Bookman Old Style" w:hAnsi="Bookman Old Style" w:cs="Arial"/>
          <w:i/>
          <w:lang w:val="es-CO"/>
        </w:rPr>
        <w:t xml:space="preserve"> </w:t>
      </w:r>
      <w:r w:rsidRPr="00640BF4">
        <w:rPr>
          <w:rFonts w:ascii="Bookman Old Style" w:hAnsi="Bookman Old Style" w:cs="Arial"/>
          <w:i/>
          <w:u w:val="single"/>
          <w:lang w:val="es-CO"/>
        </w:rPr>
        <w:t>y se actualizarán utilizando el IPP, en caso de que permanezcan en el listado de priorización durante más de una vigencia</w:t>
      </w:r>
      <w:r w:rsidRPr="00640BF4">
        <w:rPr>
          <w:rFonts w:ascii="Bookman Old Style" w:hAnsi="Bookman Old Style" w:cs="Arial"/>
          <w:lang w:val="es-CO"/>
        </w:rPr>
        <w:t>.</w:t>
      </w:r>
      <w:r>
        <w:rPr>
          <w:rFonts w:ascii="Bookman Old Style" w:hAnsi="Bookman Old Style" w:cs="Arial"/>
          <w:lang w:val="es-CO"/>
        </w:rPr>
        <w:t>” (Se destaca)</w:t>
      </w:r>
      <w:r w:rsidR="00477210">
        <w:rPr>
          <w:rFonts w:ascii="Bookman Old Style" w:hAnsi="Bookman Old Style" w:cs="Arial"/>
          <w:lang w:val="es-CO"/>
        </w:rPr>
        <w:t>.</w:t>
      </w:r>
    </w:p>
    <w:p w14:paraId="60B2686D" w14:textId="375D0380" w:rsidR="00477210" w:rsidRDefault="00477210" w:rsidP="00640BF4">
      <w:pPr>
        <w:keepNext/>
        <w:adjustRightInd w:val="0"/>
        <w:ind w:left="0"/>
        <w:jc w:val="both"/>
        <w:rPr>
          <w:rFonts w:ascii="Bookman Old Style" w:hAnsi="Bookman Old Style" w:cs="Arial"/>
          <w:lang w:val="es-CO"/>
        </w:rPr>
      </w:pPr>
    </w:p>
    <w:p w14:paraId="7C013456" w14:textId="7A34DDF7" w:rsidR="00477210" w:rsidRDefault="00477210" w:rsidP="00477210">
      <w:pPr>
        <w:keepNext/>
        <w:adjustRightInd w:val="0"/>
        <w:ind w:left="0"/>
        <w:jc w:val="both"/>
        <w:rPr>
          <w:rFonts w:ascii="Bookman Old Style" w:hAnsi="Bookman Old Style" w:cs="Arial"/>
          <w:lang w:val="es-CO"/>
        </w:rPr>
      </w:pPr>
      <w:r>
        <w:rPr>
          <w:rFonts w:ascii="Bookman Old Style" w:hAnsi="Bookman Old Style" w:cs="Arial"/>
          <w:lang w:val="es-CO"/>
        </w:rPr>
        <w:t xml:space="preserve">Para el caso concreto, según se desprende de las consideraciones de </w:t>
      </w:r>
      <w:r w:rsidR="00640BF4">
        <w:rPr>
          <w:rFonts w:ascii="Bookman Old Style" w:hAnsi="Bookman Old Style" w:cs="Arial"/>
          <w:lang w:val="es-CO"/>
        </w:rPr>
        <w:t>la Resolución No. 4023 de</w:t>
      </w:r>
      <w:r w:rsidR="008F35D2">
        <w:rPr>
          <w:rFonts w:ascii="Bookman Old Style" w:hAnsi="Bookman Old Style" w:cs="Arial"/>
          <w:lang w:val="es-CO"/>
        </w:rPr>
        <w:t>l</w:t>
      </w:r>
      <w:r w:rsidR="00640BF4">
        <w:rPr>
          <w:rFonts w:ascii="Bookman Old Style" w:hAnsi="Bookman Old Style" w:cs="Arial"/>
          <w:lang w:val="es-CO"/>
        </w:rPr>
        <w:t xml:space="preserve"> 30 de </w:t>
      </w:r>
      <w:r>
        <w:rPr>
          <w:rFonts w:ascii="Bookman Old Style" w:hAnsi="Bookman Old Style" w:cs="Arial"/>
          <w:lang w:val="es-CO"/>
        </w:rPr>
        <w:t>octubre</w:t>
      </w:r>
      <w:r w:rsidR="00640BF4">
        <w:rPr>
          <w:rFonts w:ascii="Bookman Old Style" w:hAnsi="Bookman Old Style" w:cs="Arial"/>
          <w:lang w:val="es-CO"/>
        </w:rPr>
        <w:t xml:space="preserve"> de 2020 “</w:t>
      </w:r>
      <w:r w:rsidR="00640BF4" w:rsidRPr="00640BF4">
        <w:rPr>
          <w:rFonts w:ascii="Bookman Old Style" w:hAnsi="Bookman Old Style" w:cs="Arial"/>
          <w:i/>
          <w:lang w:val="es-CO"/>
        </w:rPr>
        <w:t>Por la cual se asignan recursos del Fondo Especial Cuota de Fomento de Gas Natural</w:t>
      </w:r>
      <w:r w:rsidR="00640BF4">
        <w:rPr>
          <w:rFonts w:ascii="Bookman Old Style" w:hAnsi="Bookman Old Style" w:cs="Arial"/>
          <w:lang w:val="es-CO"/>
        </w:rPr>
        <w:t>”</w:t>
      </w:r>
      <w:r w:rsidR="008F35D2">
        <w:rPr>
          <w:rFonts w:ascii="Bookman Old Style" w:hAnsi="Bookman Old Style" w:cs="Arial"/>
          <w:lang w:val="es-CO"/>
        </w:rPr>
        <w:t>,</w:t>
      </w:r>
      <w:r>
        <w:rPr>
          <w:rFonts w:ascii="Bookman Old Style" w:hAnsi="Bookman Old Style" w:cs="Arial"/>
          <w:lang w:val="es-CO"/>
        </w:rPr>
        <w:t xml:space="preserve"> en el segundo trimestre</w:t>
      </w:r>
      <w:r w:rsidR="008F35D2">
        <w:rPr>
          <w:rFonts w:ascii="Bookman Old Style" w:hAnsi="Bookman Old Style" w:cs="Arial"/>
          <w:lang w:val="es-CO"/>
        </w:rPr>
        <w:t>,</w:t>
      </w:r>
      <w:r>
        <w:rPr>
          <w:rFonts w:ascii="Bookman Old Style" w:hAnsi="Bookman Old Style" w:cs="Arial"/>
          <w:lang w:val="es-CO"/>
        </w:rPr>
        <w:t xml:space="preserve"> </w:t>
      </w:r>
      <w:r w:rsidR="00AF7213">
        <w:rPr>
          <w:rFonts w:ascii="Bookman Old Style" w:hAnsi="Bookman Old Style" w:cs="Arial"/>
          <w:lang w:val="es-CO"/>
        </w:rPr>
        <w:t>esto es,</w:t>
      </w:r>
      <w:r>
        <w:rPr>
          <w:rFonts w:ascii="Bookman Old Style" w:hAnsi="Bookman Old Style" w:cs="Arial"/>
          <w:lang w:val="es-CO"/>
        </w:rPr>
        <w:t xml:space="preserve"> el 9 de julio</w:t>
      </w:r>
      <w:r w:rsidR="00AF7213">
        <w:rPr>
          <w:rFonts w:ascii="Bookman Old Style" w:hAnsi="Bookman Old Style" w:cs="Arial"/>
          <w:lang w:val="es-CO"/>
        </w:rPr>
        <w:t xml:space="preserve"> de 2020,</w:t>
      </w:r>
      <w:r>
        <w:rPr>
          <w:rFonts w:ascii="Bookman Old Style" w:hAnsi="Bookman Old Style" w:cs="Arial"/>
          <w:lang w:val="es-CO"/>
        </w:rPr>
        <w:t xml:space="preserve"> la Unidad de Planeación Minero Energética remitió </w:t>
      </w:r>
      <w:r w:rsidRPr="00477210">
        <w:rPr>
          <w:rFonts w:ascii="Bookman Old Style" w:hAnsi="Bookman Old Style" w:cs="Arial"/>
          <w:lang w:val="es-CO"/>
        </w:rPr>
        <w:t xml:space="preserve">el listado de priorización de recursos del Fondo Especial Cuota de Fomento de Gas Natural -FECFGN </w:t>
      </w:r>
      <w:r w:rsidR="00AF7213">
        <w:rPr>
          <w:rFonts w:ascii="Bookman Old Style" w:hAnsi="Bookman Old Style" w:cs="Arial"/>
          <w:lang w:val="es-CO"/>
        </w:rPr>
        <w:t xml:space="preserve">“(…) </w:t>
      </w:r>
      <w:r w:rsidRPr="00AF7213">
        <w:rPr>
          <w:rFonts w:ascii="Bookman Old Style" w:hAnsi="Bookman Old Style" w:cs="Arial"/>
          <w:i/>
          <w:lang w:val="es-CO"/>
        </w:rPr>
        <w:t>el cual corresponde a un solo proyecto</w:t>
      </w:r>
      <w:r w:rsidR="00AF7213" w:rsidRPr="00AF7213">
        <w:rPr>
          <w:rFonts w:ascii="Bookman Old Style" w:hAnsi="Bookman Old Style" w:cs="Arial"/>
          <w:i/>
          <w:lang w:val="es-CO"/>
        </w:rPr>
        <w:t xml:space="preserve"> consistente en </w:t>
      </w:r>
      <w:r w:rsidR="00AF7213" w:rsidRPr="00AF7213">
        <w:rPr>
          <w:rFonts w:ascii="Bookman Old Style" w:hAnsi="Bookman Old Style" w:cs="Arial"/>
          <w:i/>
          <w:u w:val="single"/>
          <w:lang w:val="es-CO"/>
        </w:rPr>
        <w:t xml:space="preserve">la actualización del proyecto de gas natural - Municipio de Úmbita en el Departamento de Boyacá, presentado por la empresa </w:t>
      </w:r>
      <w:r w:rsidR="00465D74">
        <w:rPr>
          <w:rFonts w:ascii="Bookman Old Style" w:hAnsi="Bookman Old Style" w:cs="Arial"/>
          <w:i/>
          <w:u w:val="single"/>
          <w:lang w:val="es-CO"/>
        </w:rPr>
        <w:t>ENERCER</w:t>
      </w:r>
      <w:r w:rsidR="00AF7213" w:rsidRPr="00AF7213">
        <w:rPr>
          <w:rFonts w:ascii="Bookman Old Style" w:hAnsi="Bookman Old Style" w:cs="Arial"/>
          <w:i/>
          <w:u w:val="single"/>
          <w:lang w:val="es-CO"/>
        </w:rPr>
        <w:t xml:space="preserve"> S.A E.S.P, el cual inicialmente habla sido presentado para el cuarto trimestre de 2019</w:t>
      </w:r>
      <w:r w:rsidR="00AF7213" w:rsidRPr="00AF7213">
        <w:rPr>
          <w:rFonts w:ascii="Bookman Old Style" w:hAnsi="Bookman Old Style" w:cs="Arial"/>
          <w:u w:val="single"/>
          <w:lang w:val="es-CO"/>
        </w:rPr>
        <w:t>.</w:t>
      </w:r>
      <w:r w:rsidR="00AF7213">
        <w:rPr>
          <w:rFonts w:ascii="Bookman Old Style" w:hAnsi="Bookman Old Style" w:cs="Arial"/>
          <w:lang w:val="es-CO"/>
        </w:rPr>
        <w:t>”.</w:t>
      </w:r>
    </w:p>
    <w:p w14:paraId="079D4125" w14:textId="36D8E18A" w:rsidR="00117F3A" w:rsidRDefault="00117F3A" w:rsidP="00477210">
      <w:pPr>
        <w:keepNext/>
        <w:adjustRightInd w:val="0"/>
        <w:ind w:left="0"/>
        <w:jc w:val="both"/>
        <w:rPr>
          <w:rFonts w:ascii="Bookman Old Style" w:hAnsi="Bookman Old Style" w:cs="Arial"/>
          <w:lang w:val="es-CO"/>
        </w:rPr>
      </w:pPr>
    </w:p>
    <w:p w14:paraId="39512E58" w14:textId="5C01649C" w:rsidR="00117F3A" w:rsidRDefault="00117F3A" w:rsidP="00477210">
      <w:pPr>
        <w:keepNext/>
        <w:adjustRightInd w:val="0"/>
        <w:ind w:left="0"/>
        <w:jc w:val="both"/>
        <w:rPr>
          <w:rFonts w:ascii="Bookman Old Style" w:hAnsi="Bookman Old Style" w:cs="Arial"/>
          <w:lang w:val="es-CO"/>
        </w:rPr>
      </w:pPr>
      <w:r>
        <w:rPr>
          <w:rFonts w:ascii="Bookman Old Style" w:hAnsi="Bookman Old Style" w:cs="Arial"/>
          <w:lang w:val="es-CO"/>
        </w:rPr>
        <w:t>Analizado lo anterior, esta Comisión evidencia que, si bien el valor de las unidades constructivas al momento de la presentación de</w:t>
      </w:r>
      <w:r w:rsidR="008F35D2">
        <w:rPr>
          <w:rFonts w:ascii="Bookman Old Style" w:hAnsi="Bookman Old Style" w:cs="Arial"/>
          <w:lang w:val="es-CO"/>
        </w:rPr>
        <w:t>l</w:t>
      </w:r>
      <w:r>
        <w:rPr>
          <w:rFonts w:ascii="Bookman Old Style" w:hAnsi="Bookman Old Style" w:cs="Arial"/>
          <w:lang w:val="es-CO"/>
        </w:rPr>
        <w:t xml:space="preserve"> proyecto</w:t>
      </w:r>
      <w:r w:rsidR="00F66091">
        <w:rPr>
          <w:rFonts w:ascii="Bookman Old Style" w:hAnsi="Bookman Old Style" w:cs="Arial"/>
          <w:lang w:val="es-CO"/>
        </w:rPr>
        <w:t xml:space="preserve"> ante el Fondo</w:t>
      </w:r>
      <w:r>
        <w:rPr>
          <w:rFonts w:ascii="Bookman Old Style" w:hAnsi="Bookman Old Style" w:cs="Arial"/>
          <w:lang w:val="es-CO"/>
        </w:rPr>
        <w:t xml:space="preserve"> estaba expresad</w:t>
      </w:r>
      <w:r w:rsidR="008F35D2">
        <w:rPr>
          <w:rFonts w:ascii="Bookman Old Style" w:hAnsi="Bookman Old Style" w:cs="Arial"/>
          <w:lang w:val="es-CO"/>
        </w:rPr>
        <w:t>o</w:t>
      </w:r>
      <w:r>
        <w:rPr>
          <w:rFonts w:ascii="Bookman Old Style" w:hAnsi="Bookman Old Style" w:cs="Arial"/>
          <w:lang w:val="es-CO"/>
        </w:rPr>
        <w:t xml:space="preserve"> a pesos de 2019, este valor fue actualizado y tenido en cuenta al momento de la aprobación de los proyectos contenidos en la Resolución No. 4023 de 2020, documento el cual autorizaba la realización de los trámites para la celebración del respectivo convenio de cofinanciación.</w:t>
      </w:r>
    </w:p>
    <w:p w14:paraId="20006B74" w14:textId="48F9EAD6" w:rsidR="00477210" w:rsidRDefault="00477210" w:rsidP="00640BF4">
      <w:pPr>
        <w:keepNext/>
        <w:adjustRightInd w:val="0"/>
        <w:ind w:left="0"/>
        <w:jc w:val="both"/>
        <w:rPr>
          <w:rFonts w:ascii="Bookman Old Style" w:hAnsi="Bookman Old Style" w:cs="Arial"/>
          <w:lang w:val="es-CO"/>
        </w:rPr>
      </w:pPr>
    </w:p>
    <w:p w14:paraId="1AF0745E" w14:textId="7D133C05" w:rsidR="004663DD" w:rsidRDefault="00117F3A" w:rsidP="005A3365">
      <w:pPr>
        <w:keepNext/>
        <w:adjustRightInd w:val="0"/>
        <w:ind w:left="0"/>
        <w:jc w:val="both"/>
        <w:rPr>
          <w:rFonts w:ascii="Bookman Old Style" w:hAnsi="Bookman Old Style" w:cs="Arial"/>
          <w:lang w:val="es-CO"/>
        </w:rPr>
      </w:pPr>
      <w:r>
        <w:rPr>
          <w:rFonts w:ascii="Bookman Old Style" w:hAnsi="Bookman Old Style" w:cs="Arial"/>
          <w:lang w:val="es-CO"/>
        </w:rPr>
        <w:t xml:space="preserve">Igualmente, de una verificación </w:t>
      </w:r>
      <w:r w:rsidR="005A3220">
        <w:rPr>
          <w:rFonts w:ascii="Bookman Old Style" w:hAnsi="Bookman Old Style" w:cs="Arial"/>
          <w:lang w:val="es-CO"/>
        </w:rPr>
        <w:t>al</w:t>
      </w:r>
      <w:r w:rsidR="004663DD">
        <w:rPr>
          <w:rFonts w:ascii="Bookman Old Style" w:hAnsi="Bookman Old Style" w:cs="Arial"/>
          <w:lang w:val="es-CO"/>
        </w:rPr>
        <w:t xml:space="preserve"> clausulado del Convenio de Cofinanciación No. 592 de</w:t>
      </w:r>
      <w:r w:rsidR="007A097D">
        <w:rPr>
          <w:rFonts w:ascii="Bookman Old Style" w:hAnsi="Bookman Old Style" w:cs="Arial"/>
          <w:lang w:val="es-CO"/>
        </w:rPr>
        <w:t>l</w:t>
      </w:r>
      <w:r w:rsidR="004663DD">
        <w:rPr>
          <w:rFonts w:ascii="Bookman Old Style" w:hAnsi="Bookman Old Style" w:cs="Arial"/>
          <w:lang w:val="es-CO"/>
        </w:rPr>
        <w:t xml:space="preserve"> 28 de diciembre de 202</w:t>
      </w:r>
      <w:r w:rsidR="004C787E">
        <w:rPr>
          <w:rFonts w:ascii="Bookman Old Style" w:hAnsi="Bookman Old Style" w:cs="Arial"/>
          <w:lang w:val="es-CO"/>
        </w:rPr>
        <w:t>0</w:t>
      </w:r>
      <w:r w:rsidR="004663DD">
        <w:rPr>
          <w:rFonts w:ascii="Bookman Old Style" w:hAnsi="Bookman Old Style" w:cs="Arial"/>
          <w:lang w:val="es-CO"/>
        </w:rPr>
        <w:t xml:space="preserve"> suscrito entre el Ministerio de Minas y Energía y la empresa </w:t>
      </w:r>
      <w:r w:rsidR="00465D74">
        <w:rPr>
          <w:rFonts w:ascii="Bookman Old Style" w:hAnsi="Bookman Old Style" w:cs="Arial"/>
          <w:lang w:val="es-CO"/>
        </w:rPr>
        <w:t>ENERCER</w:t>
      </w:r>
      <w:r w:rsidR="004663DD">
        <w:rPr>
          <w:rFonts w:ascii="Bookman Old Style" w:hAnsi="Bookman Old Style" w:cs="Arial"/>
          <w:lang w:val="es-CO"/>
        </w:rPr>
        <w:t xml:space="preserve"> S.A. E.S.P., </w:t>
      </w:r>
      <w:r w:rsidR="005A3220">
        <w:rPr>
          <w:rFonts w:ascii="Bookman Old Style" w:hAnsi="Bookman Old Style" w:cs="Arial"/>
          <w:lang w:val="es-CO"/>
        </w:rPr>
        <w:t>se encuentra</w:t>
      </w:r>
      <w:r w:rsidR="004663DD">
        <w:rPr>
          <w:rFonts w:ascii="Bookman Old Style" w:hAnsi="Bookman Old Style" w:cs="Arial"/>
          <w:lang w:val="es-CO"/>
        </w:rPr>
        <w:t xml:space="preserve"> que</w:t>
      </w:r>
      <w:r w:rsidR="007A097D">
        <w:rPr>
          <w:rFonts w:ascii="Bookman Old Style" w:hAnsi="Bookman Old Style" w:cs="Arial"/>
          <w:lang w:val="es-CO"/>
        </w:rPr>
        <w:t>,</w:t>
      </w:r>
      <w:r w:rsidR="004663DD">
        <w:rPr>
          <w:rFonts w:ascii="Bookman Old Style" w:hAnsi="Bookman Old Style" w:cs="Arial"/>
          <w:lang w:val="es-CO"/>
        </w:rPr>
        <w:t xml:space="preserve"> según lo dispuesto en numeral 1 de la Cláusula Sexta del referido Convenio</w:t>
      </w:r>
      <w:r w:rsidR="007A097D">
        <w:rPr>
          <w:rFonts w:ascii="Bookman Old Style" w:hAnsi="Bookman Old Style" w:cs="Arial"/>
          <w:lang w:val="es-CO"/>
        </w:rPr>
        <w:t>,</w:t>
      </w:r>
      <w:r w:rsidR="004663DD">
        <w:rPr>
          <w:rFonts w:ascii="Bookman Old Style" w:hAnsi="Bookman Old Style" w:cs="Arial"/>
          <w:lang w:val="es-CO"/>
        </w:rPr>
        <w:t xml:space="preserve"> en lo que se refiere </w:t>
      </w:r>
      <w:r w:rsidR="00176720">
        <w:rPr>
          <w:rFonts w:ascii="Bookman Old Style" w:hAnsi="Bookman Old Style" w:cs="Arial"/>
          <w:lang w:val="es-CO"/>
        </w:rPr>
        <w:t>a los aportes</w:t>
      </w:r>
      <w:r w:rsidR="0072061C">
        <w:rPr>
          <w:rFonts w:ascii="Bookman Old Style" w:hAnsi="Bookman Old Style" w:cs="Arial"/>
          <w:lang w:val="es-CO"/>
        </w:rPr>
        <w:t xml:space="preserve"> del Ministerio para la construcción del sistema de distribución</w:t>
      </w:r>
      <w:r w:rsidR="007A097D">
        <w:rPr>
          <w:rFonts w:ascii="Bookman Old Style" w:hAnsi="Bookman Old Style" w:cs="Arial"/>
          <w:lang w:val="es-CO"/>
        </w:rPr>
        <w:t>,</w:t>
      </w:r>
      <w:r w:rsidR="0072061C">
        <w:rPr>
          <w:rFonts w:ascii="Bookman Old Style" w:hAnsi="Bookman Old Style" w:cs="Arial"/>
          <w:lang w:val="es-CO"/>
        </w:rPr>
        <w:t xml:space="preserve"> lo siguiente:</w:t>
      </w:r>
    </w:p>
    <w:p w14:paraId="7559B502" w14:textId="77777777" w:rsidR="00117F3A" w:rsidRDefault="00117F3A" w:rsidP="005A3365">
      <w:pPr>
        <w:keepNext/>
        <w:adjustRightInd w:val="0"/>
        <w:ind w:left="0"/>
        <w:jc w:val="both"/>
        <w:rPr>
          <w:rFonts w:ascii="Bookman Old Style" w:hAnsi="Bookman Old Style" w:cs="Arial"/>
          <w:lang w:val="es-CO"/>
        </w:rPr>
      </w:pPr>
    </w:p>
    <w:p w14:paraId="4A7F9226" w14:textId="0D82174C" w:rsidR="0072061C" w:rsidRDefault="0072061C" w:rsidP="005A3365">
      <w:pPr>
        <w:keepNext/>
        <w:adjustRightInd w:val="0"/>
        <w:ind w:left="0"/>
        <w:jc w:val="both"/>
        <w:rPr>
          <w:rFonts w:ascii="Bookman Old Style" w:hAnsi="Bookman Old Style" w:cs="Arial"/>
          <w:i/>
          <w:lang w:val="es-CO"/>
        </w:rPr>
      </w:pPr>
      <w:r>
        <w:rPr>
          <w:rFonts w:ascii="Bookman Old Style" w:hAnsi="Bookman Old Style" w:cs="Arial"/>
          <w:lang w:val="es-CO"/>
        </w:rPr>
        <w:t xml:space="preserve">a) </w:t>
      </w:r>
      <w:r w:rsidRPr="0072061C">
        <w:rPr>
          <w:rFonts w:ascii="Bookman Old Style" w:hAnsi="Bookman Old Style" w:cs="Arial"/>
          <w:i/>
          <w:lang w:val="es-CO"/>
        </w:rPr>
        <w:t>El MINISTERIO aportará la suma SEISCIENTOS OCHENTA Y DOS MILLONES QUINIENTOS OCHENTA Y SEIS MIL CUATROCIENTOS SETENTA PESOS M/CTE ($682.586.470), con cargo al CDP N° 1520 expedido el 24 de agosto de 2020, lo correspondiente a la vigencia presupuestal 2020.</w:t>
      </w:r>
    </w:p>
    <w:p w14:paraId="52C484F7" w14:textId="77777777" w:rsidR="00117F3A" w:rsidRDefault="00117F3A" w:rsidP="005A3365">
      <w:pPr>
        <w:keepNext/>
        <w:adjustRightInd w:val="0"/>
        <w:ind w:left="0"/>
        <w:jc w:val="both"/>
        <w:rPr>
          <w:rFonts w:ascii="Bookman Old Style" w:hAnsi="Bookman Old Style" w:cs="Arial"/>
          <w:i/>
          <w:lang w:val="es-CO"/>
        </w:rPr>
      </w:pPr>
    </w:p>
    <w:p w14:paraId="595D7124" w14:textId="582DE713" w:rsidR="0072061C" w:rsidRDefault="0072061C" w:rsidP="005A3365">
      <w:pPr>
        <w:keepNext/>
        <w:adjustRightInd w:val="0"/>
        <w:ind w:left="0"/>
        <w:jc w:val="both"/>
        <w:rPr>
          <w:rFonts w:ascii="Bookman Old Style" w:hAnsi="Bookman Old Style" w:cs="Arial"/>
          <w:i/>
          <w:lang w:val="es-CO"/>
        </w:rPr>
      </w:pPr>
      <w:r w:rsidRPr="00CA5DEF">
        <w:rPr>
          <w:rFonts w:ascii="Bookman Old Style" w:hAnsi="Bookman Old Style" w:cs="Arial"/>
          <w:i/>
          <w:lang w:val="es-CO"/>
        </w:rPr>
        <w:t>b) (…)</w:t>
      </w:r>
    </w:p>
    <w:p w14:paraId="74069A97" w14:textId="77777777" w:rsidR="00117F3A" w:rsidRPr="00CA5DEF" w:rsidRDefault="00117F3A" w:rsidP="005A3365">
      <w:pPr>
        <w:keepNext/>
        <w:adjustRightInd w:val="0"/>
        <w:ind w:left="0"/>
        <w:jc w:val="both"/>
        <w:rPr>
          <w:rFonts w:ascii="Bookman Old Style" w:hAnsi="Bookman Old Style" w:cs="Arial"/>
          <w:i/>
          <w:lang w:val="es-CO"/>
        </w:rPr>
      </w:pPr>
    </w:p>
    <w:p w14:paraId="517FA457" w14:textId="074E85E5" w:rsidR="0072061C" w:rsidRDefault="0072061C" w:rsidP="005A3365">
      <w:pPr>
        <w:keepNext/>
        <w:adjustRightInd w:val="0"/>
        <w:ind w:left="0"/>
        <w:jc w:val="both"/>
        <w:rPr>
          <w:rFonts w:ascii="Bookman Old Style" w:hAnsi="Bookman Old Style" w:cs="Arial"/>
          <w:lang w:val="es-CO"/>
        </w:rPr>
      </w:pPr>
      <w:r>
        <w:rPr>
          <w:rFonts w:ascii="Bookman Old Style" w:hAnsi="Bookman Old Style" w:cs="Arial"/>
          <w:lang w:val="es-CO"/>
        </w:rPr>
        <w:t xml:space="preserve">c) </w:t>
      </w:r>
      <w:r w:rsidRPr="0072061C">
        <w:rPr>
          <w:rFonts w:ascii="Bookman Old Style" w:hAnsi="Bookman Old Style" w:cs="Arial"/>
          <w:i/>
          <w:lang w:val="es-CO"/>
        </w:rPr>
        <w:t>Los recursos de cofinanciación aportados por el MINISTERIO para la construcción del sistema de distribución, serán de destinación exclusiva, y deberán utilizarse únicamente en erogaciones relacionadas con “Activos Inherentes a la Operación” o con la “Infraestructura de Distribución”. Dichas erogaciones servirán de insumo para efectos de valoración de la red, liquidación del Convenio y determinación de la copropiedad de la infraestructura</w:t>
      </w:r>
      <w:r w:rsidRPr="0072061C">
        <w:rPr>
          <w:rFonts w:ascii="Bookman Old Style" w:hAnsi="Bookman Old Style" w:cs="Arial"/>
          <w:lang w:val="es-CO"/>
        </w:rPr>
        <w:t>.</w:t>
      </w:r>
    </w:p>
    <w:p w14:paraId="6A73664D" w14:textId="77777777" w:rsidR="0072061C" w:rsidRDefault="0072061C" w:rsidP="005A3365">
      <w:pPr>
        <w:keepNext/>
        <w:adjustRightInd w:val="0"/>
        <w:ind w:left="0"/>
        <w:jc w:val="both"/>
        <w:rPr>
          <w:rFonts w:ascii="Bookman Old Style" w:hAnsi="Bookman Old Style" w:cs="Arial"/>
          <w:lang w:val="es-CO"/>
        </w:rPr>
      </w:pPr>
    </w:p>
    <w:p w14:paraId="753CF09B" w14:textId="68287615" w:rsidR="0072061C" w:rsidRPr="00CA5DEF" w:rsidRDefault="0072061C" w:rsidP="005A3365">
      <w:pPr>
        <w:keepNext/>
        <w:adjustRightInd w:val="0"/>
        <w:ind w:left="0"/>
        <w:jc w:val="both"/>
        <w:rPr>
          <w:rFonts w:ascii="Bookman Old Style" w:hAnsi="Bookman Old Style" w:cs="Arial"/>
          <w:i/>
          <w:lang w:val="es-CO"/>
        </w:rPr>
      </w:pPr>
      <w:r w:rsidRPr="00CA5DEF">
        <w:rPr>
          <w:rFonts w:ascii="Bookman Old Style" w:hAnsi="Bookman Old Style" w:cs="Arial"/>
          <w:i/>
          <w:lang w:val="es-CO"/>
        </w:rPr>
        <w:t>d) (…)</w:t>
      </w:r>
    </w:p>
    <w:p w14:paraId="7346E2DC" w14:textId="77777777" w:rsidR="0072061C" w:rsidRDefault="0072061C" w:rsidP="0072061C">
      <w:pPr>
        <w:keepNext/>
        <w:adjustRightInd w:val="0"/>
        <w:ind w:left="0"/>
        <w:jc w:val="both"/>
        <w:rPr>
          <w:rFonts w:ascii="Bookman Old Style" w:hAnsi="Bookman Old Style" w:cs="Arial"/>
          <w:lang w:val="es-CO"/>
        </w:rPr>
      </w:pPr>
    </w:p>
    <w:p w14:paraId="73D312DB" w14:textId="74873405" w:rsidR="0072061C" w:rsidRDefault="0072061C" w:rsidP="0072061C">
      <w:pPr>
        <w:keepNext/>
        <w:adjustRightInd w:val="0"/>
        <w:ind w:left="0"/>
        <w:jc w:val="both"/>
        <w:rPr>
          <w:rFonts w:ascii="Bookman Old Style" w:hAnsi="Bookman Old Style" w:cs="Arial"/>
          <w:lang w:val="es-CO"/>
        </w:rPr>
      </w:pPr>
      <w:r w:rsidRPr="00CA5DEF">
        <w:rPr>
          <w:rFonts w:ascii="Bookman Old Style" w:hAnsi="Bookman Old Style" w:cs="Arial"/>
          <w:i/>
          <w:lang w:val="es-CO"/>
        </w:rPr>
        <w:t>e)</w:t>
      </w:r>
      <w:r>
        <w:rPr>
          <w:rFonts w:ascii="Bookman Old Style" w:hAnsi="Bookman Old Style" w:cs="Arial"/>
          <w:lang w:val="es-CO"/>
        </w:rPr>
        <w:t xml:space="preserve">  </w:t>
      </w:r>
      <w:r w:rsidRPr="0072061C">
        <w:rPr>
          <w:rFonts w:ascii="Bookman Old Style" w:hAnsi="Bookman Old Style" w:cs="Arial"/>
          <w:i/>
          <w:u w:val="single"/>
          <w:lang w:val="es-CO"/>
        </w:rPr>
        <w:t>Los recursos de cofinanciación aportados por el MINISTERIO se entenderán entregados en pesos colombianos de 2020</w:t>
      </w:r>
      <w:r w:rsidRPr="0072061C">
        <w:rPr>
          <w:rFonts w:ascii="Bookman Old Style" w:hAnsi="Bookman Old Style" w:cs="Arial"/>
          <w:i/>
          <w:lang w:val="es-CO"/>
        </w:rPr>
        <w:t xml:space="preserve">. La cifra aportada será fija y por lo </w:t>
      </w:r>
      <w:r>
        <w:rPr>
          <w:rFonts w:ascii="Bookman Old Style" w:hAnsi="Bookman Old Style" w:cs="Arial"/>
          <w:i/>
          <w:lang w:val="es-CO"/>
        </w:rPr>
        <w:lastRenderedPageBreak/>
        <w:t>t</w:t>
      </w:r>
      <w:r w:rsidRPr="0072061C">
        <w:rPr>
          <w:rFonts w:ascii="Bookman Old Style" w:hAnsi="Bookman Old Style" w:cs="Arial"/>
          <w:i/>
          <w:lang w:val="es-CO"/>
        </w:rPr>
        <w:t>anto no podrá ser objeto de actualización por inflación ni por ningún otro concepto.</w:t>
      </w:r>
      <w:r>
        <w:rPr>
          <w:rFonts w:ascii="Bookman Old Style" w:hAnsi="Bookman Old Style" w:cs="Arial"/>
          <w:i/>
          <w:lang w:val="es-CO"/>
        </w:rPr>
        <w:t xml:space="preserve"> </w:t>
      </w:r>
      <w:r>
        <w:rPr>
          <w:rFonts w:ascii="Bookman Old Style" w:hAnsi="Bookman Old Style" w:cs="Arial"/>
          <w:lang w:val="es-CO"/>
        </w:rPr>
        <w:t>(Se destaca).</w:t>
      </w:r>
    </w:p>
    <w:p w14:paraId="01E39364" w14:textId="129A0247" w:rsidR="0072061C" w:rsidRDefault="0072061C" w:rsidP="0072061C">
      <w:pPr>
        <w:keepNext/>
        <w:adjustRightInd w:val="0"/>
        <w:ind w:left="0"/>
        <w:jc w:val="both"/>
        <w:rPr>
          <w:rFonts w:ascii="Bookman Old Style" w:hAnsi="Bookman Old Style" w:cs="Arial"/>
          <w:lang w:val="es-CO"/>
        </w:rPr>
      </w:pPr>
    </w:p>
    <w:p w14:paraId="61BEFC9D" w14:textId="65F299E1" w:rsidR="005A3220" w:rsidRDefault="005A3220" w:rsidP="0072061C">
      <w:pPr>
        <w:keepNext/>
        <w:adjustRightInd w:val="0"/>
        <w:ind w:left="0"/>
        <w:jc w:val="both"/>
        <w:rPr>
          <w:rFonts w:ascii="Bookman Old Style" w:hAnsi="Bookman Old Style" w:cs="Arial"/>
          <w:lang w:val="es-CO"/>
        </w:rPr>
      </w:pPr>
      <w:r>
        <w:rPr>
          <w:rFonts w:ascii="Bookman Old Style" w:hAnsi="Bookman Old Style" w:cs="Arial"/>
          <w:lang w:val="es-CO"/>
        </w:rPr>
        <w:t>Con base en lo expuesto, se evidencia que los valores de las unidades constructivas se encuentran expresadas a pesos de 2020, teniendo en cuenta que dichos valores fueron actualizados al momento de la aprobación de los proyectos ante el Fondo Especial Cuota de Fomento</w:t>
      </w:r>
      <w:r w:rsidR="007A097D">
        <w:rPr>
          <w:rFonts w:ascii="Bookman Old Style" w:hAnsi="Bookman Old Style" w:cs="Arial"/>
          <w:lang w:val="es-CO"/>
        </w:rPr>
        <w:t>,</w:t>
      </w:r>
      <w:r>
        <w:rPr>
          <w:rFonts w:ascii="Bookman Old Style" w:hAnsi="Bookman Old Style" w:cs="Arial"/>
          <w:lang w:val="es-CO"/>
        </w:rPr>
        <w:t xml:space="preserve"> y cuyas sumas igualmente fueron aceptadas por las partes al momento de la celebración del Convenio de Cofinanciación No. 592 de 28 de diciembre de 202</w:t>
      </w:r>
      <w:r w:rsidR="001A7BF8">
        <w:rPr>
          <w:rFonts w:ascii="Bookman Old Style" w:hAnsi="Bookman Old Style" w:cs="Arial"/>
          <w:lang w:val="es-CO"/>
        </w:rPr>
        <w:t>0</w:t>
      </w:r>
      <w:r>
        <w:rPr>
          <w:rFonts w:ascii="Bookman Old Style" w:hAnsi="Bookman Old Style" w:cs="Arial"/>
          <w:lang w:val="es-CO"/>
        </w:rPr>
        <w:t>.</w:t>
      </w:r>
    </w:p>
    <w:p w14:paraId="20C4BDA0" w14:textId="77777777" w:rsidR="005A3220" w:rsidRDefault="005A3220" w:rsidP="0072061C">
      <w:pPr>
        <w:keepNext/>
        <w:adjustRightInd w:val="0"/>
        <w:ind w:left="0"/>
        <w:jc w:val="both"/>
        <w:rPr>
          <w:rFonts w:ascii="Bookman Old Style" w:hAnsi="Bookman Old Style" w:cs="Arial"/>
          <w:lang w:val="es-CO"/>
        </w:rPr>
      </w:pPr>
    </w:p>
    <w:p w14:paraId="2DE00BAB" w14:textId="5792D535" w:rsidR="00A433A7" w:rsidRDefault="005A3220" w:rsidP="0072061C">
      <w:pPr>
        <w:keepNext/>
        <w:adjustRightInd w:val="0"/>
        <w:ind w:left="0"/>
        <w:jc w:val="both"/>
        <w:rPr>
          <w:rFonts w:ascii="Bookman Old Style" w:hAnsi="Bookman Old Style" w:cs="Arial"/>
          <w:lang w:val="es-CO"/>
        </w:rPr>
      </w:pPr>
      <w:r>
        <w:rPr>
          <w:rFonts w:ascii="Bookman Old Style" w:hAnsi="Bookman Old Style" w:cs="Arial"/>
          <w:lang w:val="es-CO"/>
        </w:rPr>
        <w:t>Debe recalcarse que el Convenio de Cofinanciación constituye ley para las partes</w:t>
      </w:r>
      <w:r w:rsidR="007A097D">
        <w:rPr>
          <w:rFonts w:ascii="Bookman Old Style" w:hAnsi="Bookman Old Style" w:cs="Arial"/>
          <w:lang w:val="es-CO"/>
        </w:rPr>
        <w:t>,</w:t>
      </w:r>
      <w:r>
        <w:rPr>
          <w:rFonts w:ascii="Bookman Old Style" w:hAnsi="Bookman Old Style" w:cs="Arial"/>
          <w:lang w:val="es-CO"/>
        </w:rPr>
        <w:t xml:space="preserve"> y cualquier modif</w:t>
      </w:r>
      <w:r w:rsidR="00A433A7">
        <w:rPr>
          <w:rFonts w:ascii="Bookman Old Style" w:hAnsi="Bookman Old Style" w:cs="Arial"/>
          <w:lang w:val="es-CO"/>
        </w:rPr>
        <w:t>icación en sus valores deberá ser materializada mediante documento contractual adicional avalado por los intervinientes de la relación negocial, por lo que no le es dado a esta Comisión</w:t>
      </w:r>
      <w:r w:rsidR="007A097D">
        <w:rPr>
          <w:rFonts w:ascii="Bookman Old Style" w:hAnsi="Bookman Old Style" w:cs="Arial"/>
          <w:lang w:val="es-CO"/>
        </w:rPr>
        <w:t>,</w:t>
      </w:r>
      <w:r w:rsidR="00A433A7">
        <w:rPr>
          <w:rFonts w:ascii="Bookman Old Style" w:hAnsi="Bookman Old Style" w:cs="Arial"/>
          <w:lang w:val="es-CO"/>
        </w:rPr>
        <w:t xml:space="preserve"> como un tercero ajeno al contrato</w:t>
      </w:r>
      <w:r w:rsidR="007A097D">
        <w:rPr>
          <w:rFonts w:ascii="Bookman Old Style" w:hAnsi="Bookman Old Style" w:cs="Arial"/>
          <w:lang w:val="es-CO"/>
        </w:rPr>
        <w:t>,</w:t>
      </w:r>
      <w:r w:rsidR="00A433A7">
        <w:rPr>
          <w:rFonts w:ascii="Bookman Old Style" w:hAnsi="Bookman Old Style" w:cs="Arial"/>
          <w:lang w:val="es-CO"/>
        </w:rPr>
        <w:t xml:space="preserve"> actualizar valores que modifiquen los aportes para la construcción del sistema de distribución.</w:t>
      </w:r>
    </w:p>
    <w:p w14:paraId="5804FC22" w14:textId="77777777" w:rsidR="00C53E61" w:rsidRDefault="00C53E61" w:rsidP="0072061C">
      <w:pPr>
        <w:keepNext/>
        <w:adjustRightInd w:val="0"/>
        <w:ind w:left="0"/>
        <w:jc w:val="both"/>
        <w:rPr>
          <w:rFonts w:ascii="Bookman Old Style" w:hAnsi="Bookman Old Style" w:cs="Arial"/>
          <w:lang w:val="es-CO"/>
        </w:rPr>
      </w:pPr>
    </w:p>
    <w:p w14:paraId="4C60929F" w14:textId="370A450B" w:rsidR="00A433A7" w:rsidRDefault="00C53E61" w:rsidP="0072061C">
      <w:pPr>
        <w:keepNext/>
        <w:adjustRightInd w:val="0"/>
        <w:ind w:left="0"/>
        <w:jc w:val="both"/>
        <w:rPr>
          <w:rFonts w:ascii="Bookman Old Style" w:hAnsi="Bookman Old Style" w:cs="Arial"/>
          <w:lang w:val="es-CO"/>
        </w:rPr>
      </w:pPr>
      <w:r>
        <w:rPr>
          <w:rFonts w:ascii="Bookman Old Style" w:hAnsi="Bookman Old Style" w:cs="Arial"/>
          <w:lang w:val="es-CO"/>
        </w:rPr>
        <w:t xml:space="preserve">Teniendo en cuenta lo anterior, </w:t>
      </w:r>
      <w:r w:rsidRPr="00C53E61">
        <w:rPr>
          <w:rFonts w:ascii="Bookman Old Style" w:hAnsi="Bookman Old Style" w:cs="Arial"/>
          <w:lang w:val="es-CO"/>
        </w:rPr>
        <w:t xml:space="preserve">los valores de la solicitud </w:t>
      </w:r>
      <w:r w:rsidR="005A54BE">
        <w:rPr>
          <w:rFonts w:ascii="Bookman Old Style" w:hAnsi="Bookman Old Style" w:cs="Arial"/>
          <w:lang w:val="es-CO"/>
        </w:rPr>
        <w:t xml:space="preserve">tarifaria </w:t>
      </w:r>
      <w:r w:rsidRPr="00C53E61">
        <w:rPr>
          <w:rFonts w:ascii="Bookman Old Style" w:hAnsi="Bookman Old Style" w:cs="Arial"/>
          <w:lang w:val="es-CO"/>
        </w:rPr>
        <w:t xml:space="preserve">están expresados en pesos de </w:t>
      </w:r>
      <w:r w:rsidR="005A54BE">
        <w:rPr>
          <w:rFonts w:ascii="Bookman Old Style" w:hAnsi="Bookman Old Style" w:cs="Arial"/>
          <w:lang w:val="es-CO"/>
        </w:rPr>
        <w:t>la</w:t>
      </w:r>
      <w:r w:rsidRPr="00C53E61">
        <w:rPr>
          <w:rFonts w:ascii="Bookman Old Style" w:hAnsi="Bookman Old Style" w:cs="Arial"/>
          <w:lang w:val="es-CO"/>
        </w:rPr>
        <w:t xml:space="preserve"> Fecha Base</w:t>
      </w:r>
      <w:r w:rsidR="005A54BE">
        <w:rPr>
          <w:rFonts w:ascii="Bookman Old Style" w:hAnsi="Bookman Old Style" w:cs="Arial"/>
          <w:lang w:val="es-CO"/>
        </w:rPr>
        <w:t>, la cual corresponde a diciembre</w:t>
      </w:r>
      <w:r w:rsidRPr="00C53E61">
        <w:rPr>
          <w:rFonts w:ascii="Bookman Old Style" w:hAnsi="Bookman Old Style" w:cs="Arial"/>
          <w:lang w:val="es-CO"/>
        </w:rPr>
        <w:t xml:space="preserve"> 31 </w:t>
      </w:r>
      <w:r w:rsidR="005A54BE">
        <w:rPr>
          <w:rFonts w:ascii="Bookman Old Style" w:hAnsi="Bookman Old Style" w:cs="Arial"/>
          <w:lang w:val="es-CO"/>
        </w:rPr>
        <w:t>de</w:t>
      </w:r>
      <w:r w:rsidRPr="00C53E61">
        <w:rPr>
          <w:rFonts w:ascii="Bookman Old Style" w:hAnsi="Bookman Old Style" w:cs="Arial"/>
          <w:lang w:val="es-CO"/>
        </w:rPr>
        <w:t xml:space="preserve"> 2020</w:t>
      </w:r>
      <w:r w:rsidR="007A097D">
        <w:rPr>
          <w:rFonts w:ascii="Bookman Old Style" w:hAnsi="Bookman Old Style" w:cs="Arial"/>
          <w:lang w:val="es-CO"/>
        </w:rPr>
        <w:t>,</w:t>
      </w:r>
      <w:r w:rsidR="008C588B">
        <w:rPr>
          <w:rFonts w:ascii="Bookman Old Style" w:hAnsi="Bookman Old Style" w:cs="Arial"/>
          <w:lang w:val="es-CO"/>
        </w:rPr>
        <w:t xml:space="preserve"> y que a su vez</w:t>
      </w:r>
      <w:r w:rsidRPr="00C53E61">
        <w:rPr>
          <w:rFonts w:ascii="Bookman Old Style" w:hAnsi="Bookman Old Style" w:cs="Arial"/>
          <w:lang w:val="es-CO"/>
        </w:rPr>
        <w:t xml:space="preserve"> coinciden con los valores del </w:t>
      </w:r>
      <w:r w:rsidR="005A54BE">
        <w:rPr>
          <w:rFonts w:ascii="Bookman Old Style" w:hAnsi="Bookman Old Style" w:cs="Arial"/>
          <w:lang w:val="es-CO"/>
        </w:rPr>
        <w:t xml:space="preserve">referido </w:t>
      </w:r>
      <w:r w:rsidRPr="00C53E61">
        <w:rPr>
          <w:rFonts w:ascii="Bookman Old Style" w:hAnsi="Bookman Old Style" w:cs="Arial"/>
          <w:lang w:val="es-CO"/>
        </w:rPr>
        <w:t>Convenio de Cofinanciación</w:t>
      </w:r>
      <w:r w:rsidR="008C588B">
        <w:rPr>
          <w:rFonts w:ascii="Bookman Old Style" w:hAnsi="Bookman Old Style" w:cs="Arial"/>
          <w:lang w:val="es-CO"/>
        </w:rPr>
        <w:t>.</w:t>
      </w:r>
    </w:p>
    <w:p w14:paraId="0B70A63A" w14:textId="77777777" w:rsidR="008C588B" w:rsidRDefault="008C588B" w:rsidP="0072061C">
      <w:pPr>
        <w:keepNext/>
        <w:adjustRightInd w:val="0"/>
        <w:ind w:left="0"/>
        <w:jc w:val="both"/>
        <w:rPr>
          <w:rFonts w:ascii="Bookman Old Style" w:hAnsi="Bookman Old Style" w:cs="Arial"/>
          <w:lang w:val="es-CO"/>
        </w:rPr>
      </w:pPr>
    </w:p>
    <w:p w14:paraId="7CAE18C2" w14:textId="67A10E05" w:rsidR="00B72D31" w:rsidRDefault="00A433A7" w:rsidP="00B72D31">
      <w:pPr>
        <w:keepNext/>
        <w:adjustRightInd w:val="0"/>
        <w:ind w:left="0"/>
        <w:jc w:val="both"/>
        <w:rPr>
          <w:rFonts w:ascii="Bookman Old Style" w:hAnsi="Bookman Old Style" w:cs="Arial"/>
          <w:lang w:val="es-CO"/>
        </w:rPr>
      </w:pPr>
      <w:r>
        <w:rPr>
          <w:rFonts w:ascii="Bookman Old Style" w:hAnsi="Bookman Old Style" w:cs="Arial"/>
          <w:lang w:val="es-CO"/>
        </w:rPr>
        <w:t>En consecuencia, esta Comisión mantendrá su decisión respecto de los valores tomados para la valoración de la inversión base</w:t>
      </w:r>
      <w:r w:rsidR="00B72D31">
        <w:rPr>
          <w:rFonts w:ascii="Bookman Old Style" w:hAnsi="Bookman Old Style" w:cs="Arial"/>
          <w:lang w:val="es-CO"/>
        </w:rPr>
        <w:t>.</w:t>
      </w:r>
    </w:p>
    <w:p w14:paraId="0ADADA1A" w14:textId="77777777" w:rsidR="00B72D31" w:rsidRDefault="00B72D31" w:rsidP="00B72D31">
      <w:pPr>
        <w:keepNext/>
        <w:adjustRightInd w:val="0"/>
        <w:ind w:left="0"/>
        <w:jc w:val="both"/>
        <w:rPr>
          <w:rFonts w:ascii="Bookman Old Style" w:hAnsi="Bookman Old Style" w:cs="Arial"/>
          <w:lang w:val="es-CO"/>
        </w:rPr>
      </w:pPr>
    </w:p>
    <w:p w14:paraId="576F0148" w14:textId="7F875B04" w:rsidR="00590A69" w:rsidRPr="00B72D31" w:rsidRDefault="00B72D31" w:rsidP="00B72D31">
      <w:pPr>
        <w:keepNext/>
        <w:adjustRightInd w:val="0"/>
        <w:ind w:left="0"/>
        <w:jc w:val="both"/>
        <w:rPr>
          <w:rFonts w:ascii="Bookman Old Style" w:hAnsi="Bookman Old Style" w:cs="Arial"/>
          <w:b/>
          <w:lang w:val="es-CO"/>
        </w:rPr>
      </w:pPr>
      <w:bookmarkStart w:id="0" w:name="_Hlk89340197"/>
      <w:r w:rsidRPr="00B72D31">
        <w:rPr>
          <w:rFonts w:ascii="Bookman Old Style" w:hAnsi="Bookman Old Style" w:cs="Arial"/>
          <w:b/>
          <w:lang w:val="es-CO"/>
        </w:rPr>
        <w:t>2.2.2</w:t>
      </w:r>
      <w:bookmarkEnd w:id="0"/>
      <w:r w:rsidRPr="00B72D31">
        <w:rPr>
          <w:rFonts w:ascii="Bookman Old Style" w:hAnsi="Bookman Old Style" w:cs="Arial"/>
          <w:b/>
          <w:lang w:val="es-CO"/>
        </w:rPr>
        <w:t>. Activos Especiales – Adecuación Lote Estación GNC</w:t>
      </w:r>
    </w:p>
    <w:p w14:paraId="50780A6F" w14:textId="20079B54" w:rsidR="00590A69" w:rsidRDefault="003D32BA"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La empresa </w:t>
      </w:r>
      <w:r w:rsidR="00465D74">
        <w:rPr>
          <w:rFonts w:ascii="Bookman Old Style" w:hAnsi="Bookman Old Style" w:cs="Arial"/>
          <w:lang w:val="es-CO"/>
        </w:rPr>
        <w:t>ENERCER</w:t>
      </w:r>
      <w:r>
        <w:rPr>
          <w:rFonts w:ascii="Bookman Old Style" w:hAnsi="Bookman Old Style" w:cs="Arial"/>
          <w:lang w:val="es-CO"/>
        </w:rPr>
        <w:t xml:space="preserve"> S.A. E.S.P.</w:t>
      </w:r>
      <w:r w:rsidR="007A097D">
        <w:rPr>
          <w:rFonts w:ascii="Bookman Old Style" w:hAnsi="Bookman Old Style" w:cs="Arial"/>
          <w:lang w:val="es-CO"/>
        </w:rPr>
        <w:t>,</w:t>
      </w:r>
      <w:r>
        <w:rPr>
          <w:rFonts w:ascii="Bookman Old Style" w:hAnsi="Bookman Old Style" w:cs="Arial"/>
          <w:lang w:val="es-CO"/>
        </w:rPr>
        <w:t xml:space="preserve"> luego de citar varios apartes del documento soporte de la Resolución objeto de impugnación en relación a los argumentos expuestos por esta Comisión para el no reconocimiento de la Unidad Constructiva Especial denominada “</w:t>
      </w:r>
      <w:r w:rsidRPr="003D32BA">
        <w:rPr>
          <w:rFonts w:ascii="Bookman Old Style" w:hAnsi="Bookman Old Style" w:cs="Arial"/>
          <w:i/>
          <w:lang w:val="es-CO"/>
        </w:rPr>
        <w:t>ADECUACIÓN LOTE ESTACIÓN GNC 200M3/HORA</w:t>
      </w:r>
      <w:r w:rsidRPr="003D32BA">
        <w:rPr>
          <w:rFonts w:ascii="Bookman Old Style" w:hAnsi="Bookman Old Style" w:cs="Arial"/>
          <w:lang w:val="es-CO"/>
        </w:rPr>
        <w:t>”</w:t>
      </w:r>
      <w:r>
        <w:rPr>
          <w:rFonts w:ascii="Bookman Old Style" w:hAnsi="Bookman Old Style" w:cs="Arial"/>
          <w:lang w:val="es-CO"/>
        </w:rPr>
        <w:t xml:space="preserve">, </w:t>
      </w:r>
      <w:r w:rsidR="00317759">
        <w:rPr>
          <w:rFonts w:ascii="Bookman Old Style" w:hAnsi="Bookman Old Style" w:cs="Arial"/>
          <w:lang w:val="es-CO"/>
        </w:rPr>
        <w:t xml:space="preserve">presentada en la solicitud tarifaria, sostiene que la volumetría de la </w:t>
      </w:r>
      <w:r w:rsidR="00317759" w:rsidRPr="00317759">
        <w:rPr>
          <w:rFonts w:ascii="Bookman Old Style" w:hAnsi="Bookman Old Style" w:cs="Arial"/>
          <w:lang w:val="es-CO"/>
        </w:rPr>
        <w:t>Unidad Constructiva RM200</w:t>
      </w:r>
      <w:r w:rsidR="00317759">
        <w:rPr>
          <w:rFonts w:ascii="Bookman Old Style" w:hAnsi="Bookman Old Style" w:cs="Arial"/>
          <w:lang w:val="es-CO"/>
        </w:rPr>
        <w:t xml:space="preserve"> reconocida por esta Comisión como activo inherente a la operación no contiene “(…) </w:t>
      </w:r>
      <w:r w:rsidR="00317759" w:rsidRPr="00317759">
        <w:rPr>
          <w:rFonts w:ascii="Bookman Old Style" w:hAnsi="Bookman Old Style" w:cs="Arial"/>
          <w:i/>
          <w:lang w:val="es-CO"/>
        </w:rPr>
        <w:t xml:space="preserve">componentes de cerramiento, placas para ubicación de la estación ni cubierta (exigidos en la </w:t>
      </w:r>
      <w:bookmarkStart w:id="1" w:name="_Hlk89265481"/>
      <w:r w:rsidR="00317759" w:rsidRPr="00317759">
        <w:rPr>
          <w:rFonts w:ascii="Bookman Old Style" w:hAnsi="Bookman Old Style" w:cs="Arial"/>
          <w:i/>
          <w:lang w:val="es-CO"/>
        </w:rPr>
        <w:t xml:space="preserve">Resolución 40278 de 2017 </w:t>
      </w:r>
      <w:bookmarkEnd w:id="1"/>
      <w:r w:rsidR="00317759" w:rsidRPr="00317759">
        <w:rPr>
          <w:rFonts w:ascii="Bookman Old Style" w:hAnsi="Bookman Old Style" w:cs="Arial"/>
          <w:i/>
          <w:lang w:val="es-CO"/>
        </w:rPr>
        <w:t>expedida por el MME) que permitan proteger dicho activo contra la intervención de terceros, es allí donde surge la necesidad de ejecutar la infraestructura adicional detallada en el APU de la Unidad Especial Adecuación Lote Estación GNC</w:t>
      </w:r>
      <w:r w:rsidR="00317759">
        <w:rPr>
          <w:rFonts w:ascii="Bookman Old Style" w:hAnsi="Bookman Old Style" w:cs="Arial"/>
          <w:lang w:val="es-CO"/>
        </w:rPr>
        <w:t>”.</w:t>
      </w:r>
    </w:p>
    <w:p w14:paraId="765E6F5C" w14:textId="74B40FC3" w:rsidR="00317759" w:rsidRDefault="00317759"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Señala así mismo que “</w:t>
      </w:r>
      <w:r w:rsidRPr="00317759">
        <w:rPr>
          <w:rFonts w:ascii="Bookman Old Style" w:hAnsi="Bookman Old Style" w:cs="Arial"/>
          <w:i/>
          <w:lang w:val="es-CO"/>
        </w:rPr>
        <w:t>el Activo Especial denominado Adecuación Lote Estación GNC fue presentado y aprobado por el Ministerio de Minas y Energía - MME en el marco del convenio de cofinanciación GGC 592 de 2020, recursos que fueron asignados mediante Resolución MME 40324 del 30 de octubre de 2020 por lo que, vía interventoría, se deberá garantizar su ejecución como parte la infraestructura de distribución</w:t>
      </w:r>
      <w:r w:rsidRPr="00317759">
        <w:rPr>
          <w:rFonts w:ascii="Bookman Old Style" w:hAnsi="Bookman Old Style" w:cs="Arial"/>
          <w:lang w:val="es-CO"/>
        </w:rPr>
        <w:t>.</w:t>
      </w:r>
      <w:r>
        <w:rPr>
          <w:rFonts w:ascii="Bookman Old Style" w:hAnsi="Bookman Old Style" w:cs="Arial"/>
          <w:lang w:val="es-CO"/>
        </w:rPr>
        <w:t xml:space="preserve">”, y que su no aprobación “(…) </w:t>
      </w:r>
      <w:r w:rsidRPr="00317759">
        <w:rPr>
          <w:rFonts w:ascii="Bookman Old Style" w:hAnsi="Bookman Old Style" w:cs="Arial"/>
          <w:i/>
          <w:lang w:val="es-CO"/>
        </w:rPr>
        <w:t xml:space="preserve">tiene como consecuencia una redistribución de las inversiones según su fuente de financiación, y por tanto una </w:t>
      </w:r>
      <w:r w:rsidRPr="00317759">
        <w:rPr>
          <w:rFonts w:ascii="Bookman Old Style" w:hAnsi="Bookman Old Style" w:cs="Arial"/>
          <w:i/>
          <w:lang w:val="es-CO"/>
        </w:rPr>
        <w:lastRenderedPageBreak/>
        <w:t xml:space="preserve">menor remuneración del componente de inversión propia de </w:t>
      </w:r>
      <w:r w:rsidR="00465D74">
        <w:rPr>
          <w:rFonts w:ascii="Bookman Old Style" w:hAnsi="Bookman Old Style" w:cs="Arial"/>
          <w:i/>
          <w:lang w:val="es-CO"/>
        </w:rPr>
        <w:t>ENERCER</w:t>
      </w:r>
      <w:r w:rsidRPr="00317759">
        <w:rPr>
          <w:rFonts w:ascii="Bookman Old Style" w:hAnsi="Bookman Old Style" w:cs="Arial"/>
          <w:i/>
          <w:lang w:val="es-CO"/>
        </w:rPr>
        <w:t xml:space="preserve"> S.A. E.S.P., afectando el principio de suficiencia financiera</w:t>
      </w:r>
      <w:r>
        <w:rPr>
          <w:rFonts w:ascii="Bookman Old Style" w:hAnsi="Bookman Old Style" w:cs="Arial"/>
          <w:lang w:val="es-CO"/>
        </w:rPr>
        <w:t>.”</w:t>
      </w:r>
    </w:p>
    <w:p w14:paraId="16D39410" w14:textId="721ACA05" w:rsidR="00317759" w:rsidRDefault="00317759"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Finalmente </w:t>
      </w:r>
      <w:r w:rsidR="00886F98">
        <w:rPr>
          <w:rFonts w:ascii="Bookman Old Style" w:hAnsi="Bookman Old Style" w:cs="Arial"/>
          <w:lang w:val="es-CO"/>
        </w:rPr>
        <w:t>manifiesta que insist</w:t>
      </w:r>
      <w:r w:rsidR="000A02B2">
        <w:rPr>
          <w:rFonts w:ascii="Bookman Old Style" w:hAnsi="Bookman Old Style" w:cs="Arial"/>
          <w:lang w:val="es-CO"/>
        </w:rPr>
        <w:t>e</w:t>
      </w:r>
      <w:r w:rsidR="00886F98">
        <w:rPr>
          <w:rFonts w:ascii="Bookman Old Style" w:hAnsi="Bookman Old Style" w:cs="Arial"/>
          <w:lang w:val="es-CO"/>
        </w:rPr>
        <w:t xml:space="preserve"> en que sea reconocido</w:t>
      </w:r>
      <w:r w:rsidR="007A097D">
        <w:rPr>
          <w:rFonts w:ascii="Bookman Old Style" w:hAnsi="Bookman Old Style" w:cs="Arial"/>
          <w:lang w:val="es-CO"/>
        </w:rPr>
        <w:t xml:space="preserve"> un</w:t>
      </w:r>
      <w:r w:rsidR="00886F98">
        <w:rPr>
          <w:rFonts w:ascii="Bookman Old Style" w:hAnsi="Bookman Old Style" w:cs="Arial"/>
          <w:lang w:val="es-CO"/>
        </w:rPr>
        <w:t xml:space="preserve"> </w:t>
      </w:r>
      <w:r w:rsidR="00886F98" w:rsidRPr="00886F98">
        <w:rPr>
          <w:rFonts w:ascii="Bookman Old Style" w:hAnsi="Bookman Old Style" w:cs="Arial"/>
          <w:lang w:val="es-CO"/>
        </w:rPr>
        <w:t xml:space="preserve">Activo Especial denominado </w:t>
      </w:r>
      <w:r w:rsidR="00886F98" w:rsidRPr="00036435">
        <w:rPr>
          <w:rFonts w:ascii="Bookman Old Style" w:hAnsi="Bookman Old Style" w:cs="Arial"/>
          <w:i/>
          <w:lang w:val="es-CO"/>
        </w:rPr>
        <w:t>Adecuación Lote Estación GNC</w:t>
      </w:r>
      <w:r w:rsidR="00886F98" w:rsidRPr="00886F98">
        <w:rPr>
          <w:rFonts w:ascii="Bookman Old Style" w:hAnsi="Bookman Old Style" w:cs="Arial"/>
          <w:lang w:val="es-CO"/>
        </w:rPr>
        <w:t xml:space="preserve"> como parte del sistema de distribución</w:t>
      </w:r>
      <w:r w:rsidR="007A097D">
        <w:rPr>
          <w:rFonts w:ascii="Bookman Old Style" w:hAnsi="Bookman Old Style" w:cs="Arial"/>
          <w:lang w:val="es-CO"/>
        </w:rPr>
        <w:t>,</w:t>
      </w:r>
      <w:r w:rsidR="00886F98" w:rsidRPr="00886F98">
        <w:rPr>
          <w:rFonts w:ascii="Bookman Old Style" w:hAnsi="Bookman Old Style" w:cs="Arial"/>
          <w:lang w:val="es-CO"/>
        </w:rPr>
        <w:t xml:space="preserve"> siguiendo el criterio empleado por la Comisión</w:t>
      </w:r>
      <w:r w:rsidR="007A097D">
        <w:rPr>
          <w:rFonts w:ascii="Bookman Old Style" w:hAnsi="Bookman Old Style" w:cs="Arial"/>
          <w:lang w:val="es-CO"/>
        </w:rPr>
        <w:t>,</w:t>
      </w:r>
      <w:r w:rsidR="00886F98" w:rsidRPr="00886F98">
        <w:rPr>
          <w:rFonts w:ascii="Bookman Old Style" w:hAnsi="Bookman Old Style" w:cs="Arial"/>
          <w:lang w:val="es-CO"/>
        </w:rPr>
        <w:t xml:space="preserve"> </w:t>
      </w:r>
      <w:r w:rsidR="00886F98">
        <w:rPr>
          <w:rFonts w:ascii="Bookman Old Style" w:hAnsi="Bookman Old Style" w:cs="Arial"/>
          <w:lang w:val="es-CO"/>
        </w:rPr>
        <w:t>teniendo en cuenta que este ya había sido aprobado previamente en las Resoluciones CREG 197 de 2013, 094 y 101 de 2018.</w:t>
      </w:r>
    </w:p>
    <w:p w14:paraId="13655D7F" w14:textId="1AA9D1AD" w:rsidR="00B6412F" w:rsidRPr="008E360E" w:rsidRDefault="00B6412F" w:rsidP="004D76A9">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Para resolver sobre el particular, una vez revisada los argumentos expuestos por la empresa recurrente debe indicarse, por un lado, que la norma en que se justifica la exigencia de los componentes </w:t>
      </w:r>
      <w:r w:rsidRPr="00B6412F">
        <w:rPr>
          <w:rFonts w:ascii="Bookman Old Style" w:hAnsi="Bookman Old Style" w:cs="Arial"/>
          <w:lang w:val="es-CO"/>
        </w:rPr>
        <w:t xml:space="preserve">de cerramiento, placas para ubicación de la estación </w:t>
      </w:r>
      <w:r w:rsidR="007A097D">
        <w:rPr>
          <w:rFonts w:ascii="Bookman Old Style" w:hAnsi="Bookman Old Style" w:cs="Arial"/>
          <w:lang w:val="es-CO"/>
        </w:rPr>
        <w:t>y</w:t>
      </w:r>
      <w:r w:rsidRPr="00B6412F">
        <w:rPr>
          <w:rFonts w:ascii="Bookman Old Style" w:hAnsi="Bookman Old Style" w:cs="Arial"/>
          <w:lang w:val="es-CO"/>
        </w:rPr>
        <w:t xml:space="preserve"> cubierta</w:t>
      </w:r>
      <w:r>
        <w:rPr>
          <w:rFonts w:ascii="Bookman Old Style" w:hAnsi="Bookman Old Style" w:cs="Arial"/>
          <w:lang w:val="es-CO"/>
        </w:rPr>
        <w:t xml:space="preserve"> en la que se sustenta la realización de la adecuación del lote para la estación de GNC no es aplicable para el caso concreto</w:t>
      </w:r>
      <w:r w:rsidR="007A097D">
        <w:rPr>
          <w:rFonts w:ascii="Bookman Old Style" w:hAnsi="Bookman Old Style" w:cs="Arial"/>
          <w:lang w:val="es-CO"/>
        </w:rPr>
        <w:t>,</w:t>
      </w:r>
      <w:r>
        <w:rPr>
          <w:rFonts w:ascii="Bookman Old Style" w:hAnsi="Bookman Old Style" w:cs="Arial"/>
          <w:lang w:val="es-CO"/>
        </w:rPr>
        <w:t xml:space="preserve"> teniendo en cuenta que la </w:t>
      </w:r>
      <w:r w:rsidRPr="00B6412F">
        <w:rPr>
          <w:rFonts w:ascii="Bookman Old Style" w:hAnsi="Bookman Old Style" w:cs="Arial"/>
          <w:lang w:val="es-CO"/>
        </w:rPr>
        <w:t xml:space="preserve">Resolución 40278 de 2017 </w:t>
      </w:r>
      <w:r>
        <w:rPr>
          <w:rFonts w:ascii="Bookman Old Style" w:hAnsi="Bookman Old Style" w:cs="Arial"/>
          <w:lang w:val="es-CO"/>
        </w:rPr>
        <w:t xml:space="preserve">se refiere al </w:t>
      </w:r>
      <w:r w:rsidRPr="00B6412F">
        <w:rPr>
          <w:rFonts w:ascii="Bookman Old Style" w:hAnsi="Bookman Old Style" w:cs="Arial"/>
          <w:lang w:val="es-CO"/>
        </w:rPr>
        <w:t xml:space="preserve">reglamento técnico aplicable a las estaciones de servicio </w:t>
      </w:r>
      <w:r w:rsidRPr="00B6412F">
        <w:rPr>
          <w:rFonts w:ascii="Bookman Old Style" w:hAnsi="Bookman Old Style" w:cs="Arial"/>
          <w:u w:val="single"/>
          <w:lang w:val="es-CO"/>
        </w:rPr>
        <w:t xml:space="preserve">que suministran gas natural comprimido </w:t>
      </w:r>
      <w:r w:rsidRPr="008E360E">
        <w:rPr>
          <w:rFonts w:ascii="Bookman Old Style" w:hAnsi="Bookman Old Style" w:cs="Arial"/>
          <w:u w:val="single"/>
          <w:lang w:val="es-CO"/>
        </w:rPr>
        <w:t>para uso vehicular.</w:t>
      </w:r>
    </w:p>
    <w:p w14:paraId="569E8294" w14:textId="72862F2F" w:rsidR="00596A84" w:rsidRDefault="00BB6176" w:rsidP="00BB6176">
      <w:pPr>
        <w:keepNext/>
        <w:adjustRightInd w:val="0"/>
        <w:spacing w:before="240" w:after="240"/>
        <w:ind w:left="0"/>
        <w:jc w:val="both"/>
        <w:rPr>
          <w:rFonts w:ascii="Bookman Old Style" w:hAnsi="Bookman Old Style" w:cs="Arial"/>
          <w:lang w:val="es-CO"/>
        </w:rPr>
      </w:pPr>
      <w:r w:rsidRPr="008E360E">
        <w:rPr>
          <w:rFonts w:ascii="Bookman Old Style" w:hAnsi="Bookman Old Style" w:cs="Arial"/>
          <w:lang w:val="es-CO"/>
        </w:rPr>
        <w:t xml:space="preserve">De otra parte, </w:t>
      </w:r>
      <w:r w:rsidR="005D58F4">
        <w:rPr>
          <w:rFonts w:ascii="Bookman Old Style" w:hAnsi="Bookman Old Style" w:cs="Arial"/>
          <w:lang w:val="es-CO"/>
        </w:rPr>
        <w:t>se reitera que p</w:t>
      </w:r>
      <w:r w:rsidR="005D58F4" w:rsidRPr="008E360E">
        <w:rPr>
          <w:rFonts w:ascii="Bookman Old Style" w:hAnsi="Bookman Old Style" w:cs="Arial"/>
        </w:rPr>
        <w:t xml:space="preserve">ara la prestación del servicio </w:t>
      </w:r>
      <w:r w:rsidR="005D58F4">
        <w:rPr>
          <w:rFonts w:ascii="Bookman Old Style" w:hAnsi="Bookman Old Style" w:cs="Arial"/>
        </w:rPr>
        <w:t xml:space="preserve">público domiciliario de gas combustible por redes </w:t>
      </w:r>
      <w:r w:rsidR="005D58F4" w:rsidRPr="008E360E">
        <w:rPr>
          <w:rFonts w:ascii="Bookman Old Style" w:hAnsi="Bookman Old Style" w:cs="Arial"/>
        </w:rPr>
        <w:t xml:space="preserve">con GNC ya existe una Unidad Constructiva, que hace parte de los Activos Inherentes a la Operación, la cual incluye lo correspondiente a la instalación </w:t>
      </w:r>
      <w:r w:rsidR="005D58F4" w:rsidRPr="004D4DAC">
        <w:rPr>
          <w:rFonts w:ascii="Bookman Old Style" w:hAnsi="Bookman Old Style" w:cs="Arial"/>
        </w:rPr>
        <w:t>de la Estación GNC 200</w:t>
      </w:r>
      <w:r w:rsidR="007A097D">
        <w:rPr>
          <w:rFonts w:ascii="Bookman Old Style" w:hAnsi="Bookman Old Style" w:cs="Arial"/>
        </w:rPr>
        <w:t xml:space="preserve"> </w:t>
      </w:r>
      <w:r w:rsidR="005D58F4" w:rsidRPr="004D4DAC">
        <w:rPr>
          <w:rFonts w:ascii="Bookman Old Style" w:hAnsi="Bookman Old Style" w:cs="Arial"/>
        </w:rPr>
        <w:t>m3/hora (RM200)</w:t>
      </w:r>
      <w:r w:rsidR="007A097D">
        <w:rPr>
          <w:rFonts w:ascii="Bookman Old Style" w:hAnsi="Bookman Old Style" w:cs="Arial"/>
        </w:rPr>
        <w:t>.</w:t>
      </w:r>
    </w:p>
    <w:p w14:paraId="4464BF08" w14:textId="20CD0434" w:rsidR="00BB6176" w:rsidRDefault="00596A84" w:rsidP="00BB6176">
      <w:pPr>
        <w:keepNext/>
        <w:adjustRightInd w:val="0"/>
        <w:spacing w:before="240" w:after="240"/>
        <w:ind w:left="0"/>
        <w:jc w:val="both"/>
        <w:rPr>
          <w:rFonts w:ascii="Bookman Old Style" w:hAnsi="Bookman Old Style" w:cs="Arial"/>
        </w:rPr>
      </w:pPr>
      <w:r>
        <w:rPr>
          <w:rFonts w:ascii="Bookman Old Style" w:hAnsi="Bookman Old Style" w:cs="Arial"/>
          <w:lang w:val="es-CO"/>
        </w:rPr>
        <w:t xml:space="preserve">Finalmente, </w:t>
      </w:r>
      <w:r w:rsidR="005D58F4">
        <w:rPr>
          <w:rFonts w:ascii="Bookman Old Style" w:hAnsi="Bookman Old Style" w:cs="Arial"/>
        </w:rPr>
        <w:t>r</w:t>
      </w:r>
      <w:r w:rsidR="005D58F4" w:rsidRPr="00596A84">
        <w:rPr>
          <w:rFonts w:ascii="Bookman Old Style" w:hAnsi="Bookman Old Style" w:cs="Arial"/>
        </w:rPr>
        <w:t>evisadas las Resoluciones CREG 094 y 101 de 2018 se advierte que esta Comisión aprobó para esos mercados relevantes las Unidades Constructivas Especiales denominadas “Adecuación lote AD LOTE GNC 200” y “TMP-6” que corresponden a adecuaciones de lotes donde se ubicaran las Estaciones GNC - 200m3/hora</w:t>
      </w:r>
      <w:r w:rsidR="005D58F4">
        <w:rPr>
          <w:rFonts w:ascii="Bookman Old Style" w:hAnsi="Bookman Old Style" w:cs="Arial"/>
        </w:rPr>
        <w:t xml:space="preserve">. Sin embargo, </w:t>
      </w:r>
      <w:r w:rsidR="002709F5">
        <w:rPr>
          <w:rFonts w:ascii="Bookman Old Style" w:hAnsi="Bookman Old Style" w:cs="Arial"/>
        </w:rPr>
        <w:t xml:space="preserve">esta Comisión </w:t>
      </w:r>
      <w:r w:rsidR="005D58F4">
        <w:rPr>
          <w:rFonts w:ascii="Bookman Old Style" w:hAnsi="Bookman Old Style" w:cs="Arial"/>
        </w:rPr>
        <w:t xml:space="preserve">consideró que </w:t>
      </w:r>
      <w:r w:rsidR="00E9513D">
        <w:rPr>
          <w:rFonts w:ascii="Bookman Old Style" w:hAnsi="Bookman Old Style" w:cs="Arial"/>
        </w:rPr>
        <w:t xml:space="preserve">dicho activo especial no </w:t>
      </w:r>
      <w:r w:rsidR="007979A7">
        <w:rPr>
          <w:rFonts w:ascii="Bookman Old Style" w:hAnsi="Bookman Old Style" w:cs="Arial"/>
        </w:rPr>
        <w:t xml:space="preserve">hace parte de los requerimientos </w:t>
      </w:r>
      <w:r w:rsidR="0007411A">
        <w:rPr>
          <w:rFonts w:ascii="Bookman Old Style" w:hAnsi="Bookman Old Style" w:cs="Arial"/>
        </w:rPr>
        <w:t>para la construcción del sistema de distribución</w:t>
      </w:r>
      <w:r w:rsidR="007A097D">
        <w:rPr>
          <w:rFonts w:ascii="Bookman Old Style" w:hAnsi="Bookman Old Style" w:cs="Arial"/>
        </w:rPr>
        <w:t>,</w:t>
      </w:r>
      <w:r w:rsidR="002709F5">
        <w:rPr>
          <w:rFonts w:ascii="Bookman Old Style" w:hAnsi="Bookman Old Style" w:cs="Arial"/>
        </w:rPr>
        <w:t xml:space="preserve"> por cuanto la norma técnica referida no </w:t>
      </w:r>
      <w:r w:rsidR="00E939F0">
        <w:rPr>
          <w:rFonts w:ascii="Bookman Old Style" w:hAnsi="Bookman Old Style" w:cs="Arial"/>
        </w:rPr>
        <w:t xml:space="preserve">es </w:t>
      </w:r>
      <w:r w:rsidR="002709F5">
        <w:rPr>
          <w:rFonts w:ascii="Bookman Old Style" w:hAnsi="Bookman Old Style" w:cs="Arial"/>
        </w:rPr>
        <w:t>aplica</w:t>
      </w:r>
      <w:r w:rsidR="00E939F0">
        <w:rPr>
          <w:rFonts w:ascii="Bookman Old Style" w:hAnsi="Bookman Old Style" w:cs="Arial"/>
        </w:rPr>
        <w:t>ble</w:t>
      </w:r>
      <w:r w:rsidR="002709F5">
        <w:rPr>
          <w:rFonts w:ascii="Bookman Old Style" w:hAnsi="Bookman Old Style" w:cs="Arial"/>
        </w:rPr>
        <w:t xml:space="preserve"> a este caso en particular</w:t>
      </w:r>
      <w:r w:rsidR="00BB6176" w:rsidRPr="004D4DAC">
        <w:rPr>
          <w:rFonts w:ascii="Bookman Old Style" w:hAnsi="Bookman Old Style" w:cs="Arial"/>
        </w:rPr>
        <w:t>.</w:t>
      </w:r>
    </w:p>
    <w:p w14:paraId="12889274" w14:textId="58898E86" w:rsidR="0078270B" w:rsidRPr="004D4DAC" w:rsidRDefault="0078270B" w:rsidP="00BB6176">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Debe igualmente tenerse en cuenta que, si bien existen unidades constructivas </w:t>
      </w:r>
      <w:r w:rsidR="00CC1DDC">
        <w:rPr>
          <w:rFonts w:ascii="Bookman Old Style" w:hAnsi="Bookman Old Style" w:cs="Arial"/>
          <w:lang w:val="es-CO"/>
        </w:rPr>
        <w:t xml:space="preserve">similares </w:t>
      </w:r>
      <w:r>
        <w:rPr>
          <w:rFonts w:ascii="Bookman Old Style" w:hAnsi="Bookman Old Style" w:cs="Arial"/>
          <w:lang w:val="es-CO"/>
        </w:rPr>
        <w:t xml:space="preserve">aprobadas para otros mercados </w:t>
      </w:r>
      <w:r w:rsidR="00CC1DDC">
        <w:rPr>
          <w:rFonts w:ascii="Bookman Old Style" w:hAnsi="Bookman Old Style" w:cs="Arial"/>
          <w:lang w:val="es-CO"/>
        </w:rPr>
        <w:t>relevantes, dichas resoluciones no son vinculantes por si solas</w:t>
      </w:r>
      <w:r w:rsidR="00FD4083">
        <w:rPr>
          <w:rFonts w:ascii="Bookman Old Style" w:hAnsi="Bookman Old Style" w:cs="Arial"/>
          <w:lang w:val="es-CO"/>
        </w:rPr>
        <w:t xml:space="preserve"> para otras solicitudes,</w:t>
      </w:r>
      <w:r w:rsidR="00CC1DDC">
        <w:rPr>
          <w:rFonts w:ascii="Bookman Old Style" w:hAnsi="Bookman Old Style" w:cs="Arial"/>
          <w:lang w:val="es-CO"/>
        </w:rPr>
        <w:t xml:space="preserve"> pues </w:t>
      </w:r>
      <w:r w:rsidR="00FD4083">
        <w:rPr>
          <w:rFonts w:ascii="Bookman Old Style" w:hAnsi="Bookman Old Style" w:cs="Arial"/>
          <w:lang w:val="es-CO"/>
        </w:rPr>
        <w:t>la aprobación de unidades especiales obedece</w:t>
      </w:r>
      <w:r w:rsidR="00CC1DDC">
        <w:rPr>
          <w:rFonts w:ascii="Bookman Old Style" w:hAnsi="Bookman Old Style" w:cs="Arial"/>
          <w:lang w:val="es-CO"/>
        </w:rPr>
        <w:t xml:space="preserve"> a particularidades propias de cada mercado </w:t>
      </w:r>
      <w:r w:rsidR="00FD4083">
        <w:rPr>
          <w:rFonts w:ascii="Bookman Old Style" w:hAnsi="Bookman Old Style" w:cs="Arial"/>
          <w:lang w:val="es-CO"/>
        </w:rPr>
        <w:t xml:space="preserve">que </w:t>
      </w:r>
      <w:r w:rsidR="00F66091">
        <w:rPr>
          <w:rFonts w:ascii="Bookman Old Style" w:hAnsi="Bookman Old Style" w:cs="Arial"/>
          <w:lang w:val="es-CO"/>
        </w:rPr>
        <w:t>es sujeto</w:t>
      </w:r>
      <w:r w:rsidR="00CC1DDC">
        <w:rPr>
          <w:rFonts w:ascii="Bookman Old Style" w:hAnsi="Bookman Old Style" w:cs="Arial"/>
          <w:lang w:val="es-CO"/>
        </w:rPr>
        <w:t xml:space="preserve"> de aprobación por parte de esta Comisión.</w:t>
      </w:r>
    </w:p>
    <w:p w14:paraId="680165A1" w14:textId="35097095" w:rsidR="00BB6176" w:rsidRPr="004D4DAC" w:rsidRDefault="00BB6176" w:rsidP="00BB6176">
      <w:pPr>
        <w:keepNext/>
        <w:adjustRightInd w:val="0"/>
        <w:spacing w:before="240" w:after="240"/>
        <w:ind w:left="0"/>
        <w:jc w:val="both"/>
        <w:rPr>
          <w:rFonts w:ascii="Bookman Old Style" w:hAnsi="Bookman Old Style" w:cs="Arial"/>
          <w:lang w:val="es-CO"/>
        </w:rPr>
      </w:pPr>
      <w:r w:rsidRPr="004D4DAC">
        <w:rPr>
          <w:rFonts w:ascii="Bookman Old Style" w:hAnsi="Bookman Old Style" w:cs="Arial"/>
          <w:lang w:val="es-CO"/>
        </w:rPr>
        <w:t>Por lo anterior,</w:t>
      </w:r>
      <w:r>
        <w:rPr>
          <w:rFonts w:ascii="Bookman Old Style" w:hAnsi="Bookman Old Style" w:cs="Arial"/>
          <w:lang w:val="es-CO"/>
        </w:rPr>
        <w:t xml:space="preserve"> la Comisión</w:t>
      </w:r>
      <w:r w:rsidRPr="004D4DAC">
        <w:rPr>
          <w:rFonts w:ascii="Bookman Old Style" w:hAnsi="Bookman Old Style" w:cs="Arial"/>
          <w:lang w:val="es-CO"/>
        </w:rPr>
        <w:t xml:space="preserve"> </w:t>
      </w:r>
      <w:r>
        <w:rPr>
          <w:rFonts w:ascii="Bookman Old Style" w:hAnsi="Bookman Old Style" w:cs="Arial"/>
          <w:lang w:val="es-CO"/>
        </w:rPr>
        <w:t>c</w:t>
      </w:r>
      <w:r w:rsidRPr="004D4DAC">
        <w:rPr>
          <w:rFonts w:ascii="Bookman Old Style" w:hAnsi="Bookman Old Style" w:cs="Arial"/>
          <w:lang w:val="es-CO"/>
        </w:rPr>
        <w:t>onfirma</w:t>
      </w:r>
      <w:r w:rsidR="00FC1922">
        <w:rPr>
          <w:rFonts w:ascii="Bookman Old Style" w:hAnsi="Bookman Old Style" w:cs="Arial"/>
          <w:lang w:val="es-CO"/>
        </w:rPr>
        <w:t>rá</w:t>
      </w:r>
      <w:r w:rsidRPr="004D4DAC">
        <w:rPr>
          <w:rFonts w:ascii="Bookman Old Style" w:hAnsi="Bookman Old Style" w:cs="Arial"/>
          <w:lang w:val="es-CO"/>
        </w:rPr>
        <w:t xml:space="preserve"> la </w:t>
      </w:r>
      <w:r>
        <w:rPr>
          <w:rFonts w:ascii="Bookman Old Style" w:hAnsi="Bookman Old Style" w:cs="Arial"/>
          <w:lang w:val="es-CO"/>
        </w:rPr>
        <w:t>decisión referente a la no</w:t>
      </w:r>
      <w:r w:rsidRPr="004D4DAC">
        <w:rPr>
          <w:rFonts w:ascii="Bookman Old Style" w:hAnsi="Bookman Old Style" w:cs="Arial"/>
          <w:lang w:val="es-CO"/>
        </w:rPr>
        <w:t xml:space="preserve"> inclusión de </w:t>
      </w:r>
      <w:r w:rsidR="009E6FC4">
        <w:rPr>
          <w:rFonts w:ascii="Bookman Old Style" w:hAnsi="Bookman Old Style" w:cs="Arial"/>
          <w:lang w:val="es-CO"/>
        </w:rPr>
        <w:t>la</w:t>
      </w:r>
      <w:r w:rsidRPr="004D4DAC">
        <w:rPr>
          <w:rFonts w:ascii="Bookman Old Style" w:hAnsi="Bookman Old Style" w:cs="Arial"/>
          <w:lang w:val="es-CO"/>
        </w:rPr>
        <w:t xml:space="preserve"> U</w:t>
      </w:r>
      <w:r>
        <w:rPr>
          <w:rFonts w:ascii="Bookman Old Style" w:hAnsi="Bookman Old Style" w:cs="Arial"/>
          <w:lang w:val="es-CO"/>
        </w:rPr>
        <w:t xml:space="preserve">nidad </w:t>
      </w:r>
      <w:r w:rsidRPr="004D4DAC">
        <w:rPr>
          <w:rFonts w:ascii="Bookman Old Style" w:hAnsi="Bookman Old Style" w:cs="Arial"/>
          <w:lang w:val="es-CO"/>
        </w:rPr>
        <w:t>C</w:t>
      </w:r>
      <w:r>
        <w:rPr>
          <w:rFonts w:ascii="Bookman Old Style" w:hAnsi="Bookman Old Style" w:cs="Arial"/>
          <w:lang w:val="es-CO"/>
        </w:rPr>
        <w:t>onstructiva Especial</w:t>
      </w:r>
      <w:r w:rsidR="009E6FC4">
        <w:rPr>
          <w:rFonts w:ascii="Bookman Old Style" w:hAnsi="Bookman Old Style" w:cs="Arial"/>
          <w:lang w:val="es-CO"/>
        </w:rPr>
        <w:t xml:space="preserve"> denominada </w:t>
      </w:r>
      <w:r w:rsidR="00C005AB">
        <w:rPr>
          <w:rFonts w:ascii="Bookman Old Style" w:hAnsi="Bookman Old Style" w:cs="Arial"/>
          <w:lang w:val="es-CO"/>
        </w:rPr>
        <w:t>“</w:t>
      </w:r>
      <w:r w:rsidR="00C005AB" w:rsidRPr="0009427C">
        <w:rPr>
          <w:rFonts w:ascii="Bookman Old Style" w:hAnsi="Bookman Old Style" w:cs="Arial"/>
          <w:i/>
          <w:iCs/>
          <w:lang w:val="es-CO"/>
        </w:rPr>
        <w:t xml:space="preserve">Adecuación Lote Estación </w:t>
      </w:r>
      <w:r w:rsidR="00357C00" w:rsidRPr="0009427C">
        <w:rPr>
          <w:rFonts w:ascii="Bookman Old Style" w:hAnsi="Bookman Old Style" w:cs="Arial"/>
          <w:i/>
          <w:iCs/>
          <w:lang w:val="es-CO"/>
        </w:rPr>
        <w:t>GNC</w:t>
      </w:r>
      <w:r w:rsidR="00357C00">
        <w:rPr>
          <w:rFonts w:ascii="Bookman Old Style" w:hAnsi="Bookman Old Style" w:cs="Arial"/>
          <w:lang w:val="es-CO"/>
        </w:rPr>
        <w:t>”</w:t>
      </w:r>
      <w:r w:rsidR="00357C00" w:rsidRPr="00C005AB">
        <w:rPr>
          <w:rFonts w:ascii="Bookman Old Style" w:hAnsi="Bookman Old Style" w:cs="Arial"/>
          <w:lang w:val="es-CO"/>
        </w:rPr>
        <w:t xml:space="preserve"> </w:t>
      </w:r>
      <w:r w:rsidR="00357C00" w:rsidRPr="004D4DAC">
        <w:rPr>
          <w:rFonts w:ascii="Bookman Old Style" w:hAnsi="Bookman Old Style" w:cs="Arial"/>
          <w:lang w:val="es-CO"/>
        </w:rPr>
        <w:t>dentro</w:t>
      </w:r>
      <w:r w:rsidRPr="004D4DAC">
        <w:rPr>
          <w:rFonts w:ascii="Bookman Old Style" w:hAnsi="Bookman Old Style" w:cs="Arial"/>
          <w:lang w:val="es-CO"/>
        </w:rPr>
        <w:t xml:space="preserve"> del Programa de Nuevas Inversiones</w:t>
      </w:r>
      <w:r>
        <w:rPr>
          <w:rFonts w:ascii="Bookman Old Style" w:hAnsi="Bookman Old Style" w:cs="Arial"/>
          <w:lang w:val="es-CO"/>
        </w:rPr>
        <w:t>.</w:t>
      </w:r>
    </w:p>
    <w:p w14:paraId="37E0FFD7" w14:textId="2E5F2317" w:rsidR="00A54B72" w:rsidRPr="00A54B72" w:rsidRDefault="00A54B72" w:rsidP="00B87C9A">
      <w:pPr>
        <w:keepNext/>
        <w:adjustRightInd w:val="0"/>
        <w:spacing w:before="240" w:after="240"/>
        <w:ind w:left="0"/>
        <w:jc w:val="both"/>
        <w:rPr>
          <w:rFonts w:ascii="Bookman Old Style" w:hAnsi="Bookman Old Style" w:cs="Arial"/>
          <w:b/>
          <w:lang w:val="es-CO"/>
        </w:rPr>
      </w:pPr>
      <w:r w:rsidRPr="00A54B72">
        <w:rPr>
          <w:rFonts w:ascii="Bookman Old Style" w:hAnsi="Bookman Old Style" w:cs="Arial"/>
          <w:b/>
          <w:lang w:val="es-CO"/>
        </w:rPr>
        <w:t xml:space="preserve">2.2.3. </w:t>
      </w:r>
      <w:r w:rsidRPr="00A54B72">
        <w:rPr>
          <w:rFonts w:ascii="Bookman Old Style" w:hAnsi="Bookman Old Style" w:cs="Arial"/>
          <w:b/>
          <w:i/>
          <w:lang w:val="es-CO"/>
        </w:rPr>
        <w:t>Valor cofinanciado del sistema de distribución</w:t>
      </w:r>
    </w:p>
    <w:p w14:paraId="79C94618" w14:textId="0AD14386" w:rsidR="00123268" w:rsidRDefault="00A54B72" w:rsidP="00F3487B">
      <w:pPr>
        <w:keepNext/>
        <w:adjustRightInd w:val="0"/>
        <w:spacing w:before="240"/>
        <w:ind w:left="0"/>
        <w:jc w:val="both"/>
        <w:rPr>
          <w:rFonts w:ascii="Bookman Old Style" w:hAnsi="Bookman Old Style" w:cs="Arial"/>
          <w:i/>
        </w:rPr>
      </w:pPr>
      <w:r>
        <w:rPr>
          <w:rFonts w:ascii="Bookman Old Style" w:hAnsi="Bookman Old Style" w:cs="Arial"/>
          <w:lang w:val="es-CO"/>
        </w:rPr>
        <w:t>Sobre este punto la empresa recurrente s</w:t>
      </w:r>
      <w:r w:rsidR="00123268">
        <w:rPr>
          <w:rFonts w:ascii="Bookman Old Style" w:hAnsi="Bookman Old Style" w:cs="Arial"/>
          <w:lang w:val="es-CO"/>
        </w:rPr>
        <w:t>ostiene que los valore</w:t>
      </w:r>
      <w:r w:rsidR="00B740E9">
        <w:rPr>
          <w:rFonts w:ascii="Bookman Old Style" w:hAnsi="Bookman Old Style" w:cs="Arial"/>
          <w:lang w:val="es-CO"/>
        </w:rPr>
        <w:t>s</w:t>
      </w:r>
      <w:r w:rsidR="00123268">
        <w:rPr>
          <w:rFonts w:ascii="Bookman Old Style" w:hAnsi="Bookman Old Style" w:cs="Arial"/>
          <w:lang w:val="es-CO"/>
        </w:rPr>
        <w:t xml:space="preserve"> del Convenio de Cofinanciación No. 592 de 28 de diciembre de 202</w:t>
      </w:r>
      <w:r w:rsidR="00CB6916">
        <w:rPr>
          <w:rFonts w:ascii="Bookman Old Style" w:hAnsi="Bookman Old Style" w:cs="Arial"/>
          <w:lang w:val="es-CO"/>
        </w:rPr>
        <w:t>0</w:t>
      </w:r>
      <w:r w:rsidR="00123268">
        <w:rPr>
          <w:rFonts w:ascii="Bookman Old Style" w:hAnsi="Bookman Old Style" w:cs="Arial"/>
          <w:lang w:val="es-CO"/>
        </w:rPr>
        <w:t xml:space="preserve"> suscrito entre el Ministerio de Minas y Energía y la empresa </w:t>
      </w:r>
      <w:r w:rsidR="00465D74">
        <w:rPr>
          <w:rFonts w:ascii="Bookman Old Style" w:hAnsi="Bookman Old Style" w:cs="Arial"/>
          <w:lang w:val="es-CO"/>
        </w:rPr>
        <w:t>ENERCER</w:t>
      </w:r>
      <w:r w:rsidR="00123268">
        <w:rPr>
          <w:rFonts w:ascii="Bookman Old Style" w:hAnsi="Bookman Old Style" w:cs="Arial"/>
          <w:lang w:val="es-CO"/>
        </w:rPr>
        <w:t xml:space="preserve"> S.A. E.S.P. están expresados a pesos de diciembre de 2019, por lo que “(…) </w:t>
      </w:r>
      <w:r w:rsidR="00123268" w:rsidRPr="00123268">
        <w:rPr>
          <w:rFonts w:ascii="Bookman Old Style" w:hAnsi="Bookman Old Style" w:cs="Arial"/>
          <w:i/>
        </w:rPr>
        <w:t>el valor cofinanciado del sistema de distribución que muestra el referido Convenio por un monto de $</w:t>
      </w:r>
      <w:r w:rsidR="00163F5C">
        <w:rPr>
          <w:rFonts w:ascii="Bookman Old Style" w:hAnsi="Bookman Old Style" w:cs="Arial"/>
          <w:i/>
        </w:rPr>
        <w:t xml:space="preserve"> </w:t>
      </w:r>
      <w:r w:rsidR="00123268" w:rsidRPr="00123268">
        <w:rPr>
          <w:rFonts w:ascii="Bookman Old Style" w:hAnsi="Bookman Old Style" w:cs="Arial"/>
          <w:i/>
        </w:rPr>
        <w:t xml:space="preserve">682.586.470, se </w:t>
      </w:r>
      <w:r w:rsidR="00123268" w:rsidRPr="00123268">
        <w:rPr>
          <w:rFonts w:ascii="Bookman Old Style" w:hAnsi="Bookman Old Style" w:cs="Arial"/>
          <w:i/>
        </w:rPr>
        <w:lastRenderedPageBreak/>
        <w:t>encuentra en pesos de diciembre de 2019, y no en pesos de diciembre de 2020, como erróneamente se mencionó en la solicitud tarifaria.</w:t>
      </w:r>
      <w:r w:rsidR="00123268">
        <w:rPr>
          <w:rFonts w:ascii="Bookman Old Style" w:hAnsi="Bookman Old Style" w:cs="Arial"/>
          <w:i/>
        </w:rPr>
        <w:t>”</w:t>
      </w:r>
    </w:p>
    <w:p w14:paraId="75B468E2" w14:textId="6B58D68F" w:rsidR="00123268" w:rsidRDefault="00123268" w:rsidP="00123268">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Adicionalmente señaló que “(…) </w:t>
      </w:r>
      <w:r w:rsidRPr="00123268">
        <w:rPr>
          <w:rFonts w:ascii="Bookman Old Style" w:hAnsi="Bookman Old Style" w:cs="Arial"/>
          <w:i/>
          <w:lang w:val="es-CO"/>
        </w:rPr>
        <w:t>para que la inversión se muestre en pesos de la Fecha Base, es necesario actualizarla con el Índice de Precios al Productor - IPP entre la fecha de referencia y la Fecha Base (2019 Vs 2020).</w:t>
      </w:r>
      <w:r>
        <w:rPr>
          <w:rFonts w:ascii="Bookman Old Style" w:hAnsi="Bookman Old Style" w:cs="Arial"/>
          <w:lang w:val="es-CO"/>
        </w:rPr>
        <w:t>”, por lo que en su criterio el valor del esquema de cofinanciación del proyecto actualizado a la fecha base equivale a $</w:t>
      </w:r>
      <w:r w:rsidRPr="00123268">
        <w:t xml:space="preserve"> </w:t>
      </w:r>
      <w:r w:rsidRPr="00123268">
        <w:rPr>
          <w:rFonts w:ascii="Bookman Old Style" w:hAnsi="Bookman Old Style" w:cs="Arial"/>
          <w:lang w:val="es-CO"/>
        </w:rPr>
        <w:t>994.774.280</w:t>
      </w:r>
      <w:r>
        <w:rPr>
          <w:rFonts w:ascii="Bookman Old Style" w:hAnsi="Bookman Old Style" w:cs="Arial"/>
          <w:lang w:val="es-CO"/>
        </w:rPr>
        <w:t>.</w:t>
      </w:r>
    </w:p>
    <w:p w14:paraId="4A2C2602" w14:textId="74E4AE76" w:rsidR="00B740E9" w:rsidRDefault="001D47FC" w:rsidP="001D47FC">
      <w:pPr>
        <w:keepNext/>
        <w:adjustRightInd w:val="0"/>
        <w:spacing w:before="240" w:after="240"/>
        <w:ind w:left="0"/>
        <w:jc w:val="both"/>
        <w:rPr>
          <w:rFonts w:ascii="Bookman Old Style" w:hAnsi="Bookman Old Style" w:cs="Arial"/>
          <w:lang w:val="es-CO"/>
        </w:rPr>
      </w:pPr>
      <w:r>
        <w:rPr>
          <w:rFonts w:ascii="Bookman Old Style" w:hAnsi="Bookman Old Style" w:cs="Arial"/>
          <w:lang w:val="es-CO"/>
        </w:rPr>
        <w:t>Así mismo</w:t>
      </w:r>
      <w:r w:rsidR="007A097D">
        <w:rPr>
          <w:rFonts w:ascii="Bookman Old Style" w:hAnsi="Bookman Old Style" w:cs="Arial"/>
          <w:lang w:val="es-CO"/>
        </w:rPr>
        <w:t>,</w:t>
      </w:r>
      <w:r>
        <w:rPr>
          <w:rFonts w:ascii="Bookman Old Style" w:hAnsi="Bookman Old Style" w:cs="Arial"/>
          <w:lang w:val="es-CO"/>
        </w:rPr>
        <w:t xml:space="preserve"> indica </w:t>
      </w:r>
      <w:r w:rsidR="00A54B72">
        <w:rPr>
          <w:rFonts w:ascii="Bookman Old Style" w:hAnsi="Bookman Old Style" w:cs="Arial"/>
          <w:lang w:val="es-CO"/>
        </w:rPr>
        <w:t>la empresa</w:t>
      </w:r>
      <w:r>
        <w:rPr>
          <w:rFonts w:ascii="Bookman Old Style" w:hAnsi="Bookman Old Style" w:cs="Arial"/>
          <w:lang w:val="es-CO"/>
        </w:rPr>
        <w:t xml:space="preserve"> que</w:t>
      </w:r>
      <w:r w:rsidR="007A097D">
        <w:rPr>
          <w:rFonts w:ascii="Bookman Old Style" w:hAnsi="Bookman Old Style" w:cs="Arial"/>
          <w:lang w:val="es-CO"/>
        </w:rPr>
        <w:t>,</w:t>
      </w:r>
      <w:r>
        <w:rPr>
          <w:rFonts w:ascii="Bookman Old Style" w:hAnsi="Bookman Old Style" w:cs="Arial"/>
          <w:lang w:val="es-CO"/>
        </w:rPr>
        <w:t xml:space="preserve"> para efectos determinar el valor total del Convenio de Cofinanciación</w:t>
      </w:r>
      <w:r w:rsidR="007A097D">
        <w:rPr>
          <w:rFonts w:ascii="Bookman Old Style" w:hAnsi="Bookman Old Style" w:cs="Arial"/>
          <w:lang w:val="es-CO"/>
        </w:rPr>
        <w:t>,</w:t>
      </w:r>
      <w:r>
        <w:rPr>
          <w:rFonts w:ascii="Bookman Old Style" w:hAnsi="Bookman Old Style" w:cs="Arial"/>
          <w:lang w:val="es-CO"/>
        </w:rPr>
        <w:t xml:space="preserve"> debe tenerse en cuenta el rubro asignado para los activos de calidad equivalentes a la suma de </w:t>
      </w:r>
      <w:r w:rsidRPr="001D47FC">
        <w:rPr>
          <w:rFonts w:ascii="Bookman Old Style" w:hAnsi="Bookman Old Style" w:cs="Arial"/>
          <w:lang w:val="es-CO"/>
        </w:rPr>
        <w:t xml:space="preserve">1.780.659 </w:t>
      </w:r>
      <w:r>
        <w:rPr>
          <w:rFonts w:ascii="Bookman Old Style" w:hAnsi="Bookman Old Style" w:cs="Arial"/>
          <w:lang w:val="es-CO"/>
        </w:rPr>
        <w:t>(Precios 2020), los cuales se ven representados en 4</w:t>
      </w:r>
      <w:r w:rsidRPr="001D47FC">
        <w:rPr>
          <w:rFonts w:ascii="Bookman Old Style" w:hAnsi="Bookman Old Style" w:cs="Arial"/>
          <w:lang w:val="es-CO"/>
        </w:rPr>
        <w:t xml:space="preserve"> cabezas de prueba o columnas de agua (PLI02),</w:t>
      </w:r>
      <w:r>
        <w:rPr>
          <w:rFonts w:ascii="Bookman Old Style" w:hAnsi="Bookman Old Style" w:cs="Arial"/>
          <w:lang w:val="es-CO"/>
        </w:rPr>
        <w:t xml:space="preserve"> </w:t>
      </w:r>
      <w:r w:rsidRPr="001D47FC">
        <w:rPr>
          <w:rFonts w:ascii="Bookman Old Style" w:hAnsi="Bookman Old Style" w:cs="Arial"/>
          <w:lang w:val="es-CO"/>
        </w:rPr>
        <w:t>valoradas a $445.162</w:t>
      </w:r>
      <w:r>
        <w:rPr>
          <w:rFonts w:ascii="Bookman Old Style" w:hAnsi="Bookman Old Style" w:cs="Arial"/>
          <w:lang w:val="es-CO"/>
        </w:rPr>
        <w:t xml:space="preserve"> </w:t>
      </w:r>
      <w:r w:rsidRPr="001D47FC">
        <w:rPr>
          <w:rFonts w:ascii="Bookman Old Style" w:hAnsi="Bookman Old Style" w:cs="Arial"/>
          <w:lang w:val="es-CO"/>
        </w:rPr>
        <w:t>cada una.</w:t>
      </w:r>
    </w:p>
    <w:p w14:paraId="1BB3BE68" w14:textId="5525EA35" w:rsidR="00A54B72" w:rsidRDefault="00687BAD" w:rsidP="00F3487B">
      <w:pPr>
        <w:keepNext/>
        <w:adjustRightInd w:val="0"/>
        <w:spacing w:before="240"/>
        <w:ind w:left="0"/>
        <w:jc w:val="both"/>
        <w:rPr>
          <w:rFonts w:ascii="Bookman Old Style" w:hAnsi="Bookman Old Style" w:cs="Arial"/>
          <w:lang w:val="es-CO"/>
        </w:rPr>
      </w:pPr>
      <w:r>
        <w:rPr>
          <w:rFonts w:ascii="Bookman Old Style" w:hAnsi="Bookman Old Style" w:cs="Arial"/>
          <w:lang w:val="es-CO"/>
        </w:rPr>
        <w:t>Finalmente,</w:t>
      </w:r>
      <w:r w:rsidR="00A54B72">
        <w:rPr>
          <w:rFonts w:ascii="Bookman Old Style" w:hAnsi="Bookman Old Style" w:cs="Arial"/>
          <w:lang w:val="es-CO"/>
        </w:rPr>
        <w:t xml:space="preserve"> la empresa </w:t>
      </w:r>
      <w:r w:rsidR="00465D74">
        <w:rPr>
          <w:rFonts w:ascii="Bookman Old Style" w:hAnsi="Bookman Old Style" w:cs="Arial"/>
          <w:lang w:val="es-CO"/>
        </w:rPr>
        <w:t>ENERCER</w:t>
      </w:r>
      <w:r w:rsidR="00A54B72">
        <w:rPr>
          <w:rFonts w:ascii="Bookman Old Style" w:hAnsi="Bookman Old Style" w:cs="Arial"/>
          <w:lang w:val="es-CO"/>
        </w:rPr>
        <w:t xml:space="preserve"> S.A. E.S.P </w:t>
      </w:r>
      <w:r w:rsidR="00A54B72" w:rsidRPr="00A54B72">
        <w:rPr>
          <w:rFonts w:ascii="Bookman Old Style" w:hAnsi="Bookman Old Style" w:cs="Arial"/>
          <w:lang w:val="es-CO"/>
        </w:rPr>
        <w:t xml:space="preserve">solicita </w:t>
      </w:r>
      <w:r w:rsidR="00A54B72">
        <w:rPr>
          <w:rFonts w:ascii="Bookman Old Style" w:hAnsi="Bookman Old Style" w:cs="Arial"/>
          <w:lang w:val="es-CO"/>
        </w:rPr>
        <w:t>a esta Comisión</w:t>
      </w:r>
      <w:r w:rsidR="00A54B72" w:rsidRPr="00A54B72">
        <w:rPr>
          <w:rFonts w:ascii="Bookman Old Style" w:hAnsi="Bookman Old Style" w:cs="Arial"/>
          <w:lang w:val="es-CO"/>
        </w:rPr>
        <w:t xml:space="preserve"> </w:t>
      </w:r>
      <w:r w:rsidR="00A54B72">
        <w:rPr>
          <w:rFonts w:ascii="Bookman Old Style" w:hAnsi="Bookman Old Style" w:cs="Arial"/>
          <w:lang w:val="es-CO"/>
        </w:rPr>
        <w:t>que se tome el valor de convenio</w:t>
      </w:r>
      <w:r w:rsidR="00A54B72" w:rsidRPr="00A54B72">
        <w:rPr>
          <w:rFonts w:ascii="Bookman Old Style" w:hAnsi="Bookman Old Style" w:cs="Arial"/>
          <w:lang w:val="es-CO"/>
        </w:rPr>
        <w:t xml:space="preserve"> actualizado a</w:t>
      </w:r>
      <w:r w:rsidR="00A54B72">
        <w:rPr>
          <w:rFonts w:ascii="Bookman Old Style" w:hAnsi="Bookman Old Style" w:cs="Arial"/>
          <w:lang w:val="es-CO"/>
        </w:rPr>
        <w:t xml:space="preserve"> </w:t>
      </w:r>
      <w:r w:rsidR="00A54B72" w:rsidRPr="00A54B72">
        <w:rPr>
          <w:rFonts w:ascii="Bookman Old Style" w:hAnsi="Bookman Old Style" w:cs="Arial"/>
          <w:lang w:val="es-CO"/>
        </w:rPr>
        <w:t>pesos de diciembre de 2020, esto es $994.774.280, y que</w:t>
      </w:r>
      <w:r w:rsidR="00A54B72">
        <w:rPr>
          <w:rFonts w:ascii="Bookman Old Style" w:hAnsi="Bookman Old Style" w:cs="Arial"/>
          <w:lang w:val="es-CO"/>
        </w:rPr>
        <w:t xml:space="preserve"> se tenga en cuenta</w:t>
      </w:r>
      <w:r w:rsidR="00A54B72" w:rsidRPr="00A54B72">
        <w:rPr>
          <w:rFonts w:ascii="Bookman Old Style" w:hAnsi="Bookman Old Style" w:cs="Arial"/>
          <w:lang w:val="es-CO"/>
        </w:rPr>
        <w:t xml:space="preserve"> el rubro</w:t>
      </w:r>
      <w:r w:rsidR="00A54B72">
        <w:rPr>
          <w:rFonts w:ascii="Bookman Old Style" w:hAnsi="Bookman Old Style" w:cs="Arial"/>
          <w:lang w:val="es-CO"/>
        </w:rPr>
        <w:t xml:space="preserve"> </w:t>
      </w:r>
      <w:r w:rsidR="00A54B72" w:rsidRPr="00A54B72">
        <w:rPr>
          <w:rFonts w:ascii="Bookman Old Style" w:hAnsi="Bookman Old Style" w:cs="Arial"/>
          <w:lang w:val="es-CO"/>
        </w:rPr>
        <w:t>correspondiente a los Activos de Calidad por $1.780.659, para</w:t>
      </w:r>
      <w:r w:rsidR="00A54B72">
        <w:rPr>
          <w:rFonts w:ascii="Bookman Old Style" w:hAnsi="Bookman Old Style" w:cs="Arial"/>
          <w:lang w:val="es-CO"/>
        </w:rPr>
        <w:t xml:space="preserve"> un total de inversión para </w:t>
      </w:r>
      <w:r w:rsidR="00A54B72" w:rsidRPr="00A54B72">
        <w:rPr>
          <w:rFonts w:ascii="Bookman Old Style" w:hAnsi="Bookman Old Style" w:cs="Arial"/>
          <w:lang w:val="es-CO"/>
        </w:rPr>
        <w:t>el Programa de Nuevas Inversiones por $996.554.938 en pesos de diciembre de</w:t>
      </w:r>
      <w:r w:rsidR="00A54B72">
        <w:rPr>
          <w:rFonts w:ascii="Bookman Old Style" w:hAnsi="Bookman Old Style" w:cs="Arial"/>
          <w:lang w:val="es-CO"/>
        </w:rPr>
        <w:t xml:space="preserve"> </w:t>
      </w:r>
      <w:r w:rsidR="00A54B72" w:rsidRPr="00A54B72">
        <w:rPr>
          <w:rFonts w:ascii="Bookman Old Style" w:hAnsi="Bookman Old Style" w:cs="Arial"/>
          <w:lang w:val="es-CO"/>
        </w:rPr>
        <w:t>2020.</w:t>
      </w:r>
    </w:p>
    <w:p w14:paraId="18CC86EF" w14:textId="77777777" w:rsidR="00F3487B" w:rsidRDefault="00F3487B" w:rsidP="00F3487B">
      <w:pPr>
        <w:keepNext/>
        <w:adjustRightInd w:val="0"/>
        <w:ind w:left="0"/>
        <w:jc w:val="both"/>
        <w:rPr>
          <w:rFonts w:ascii="Bookman Old Style" w:hAnsi="Bookman Old Style" w:cs="Arial"/>
          <w:lang w:val="es-CO"/>
        </w:rPr>
      </w:pPr>
    </w:p>
    <w:p w14:paraId="2F86FF37" w14:textId="74D13433" w:rsidR="00577B7E" w:rsidRDefault="00577B7E" w:rsidP="00F3487B">
      <w:pPr>
        <w:keepNext/>
        <w:adjustRightInd w:val="0"/>
        <w:ind w:left="0"/>
        <w:jc w:val="both"/>
        <w:rPr>
          <w:rFonts w:ascii="Bookman Old Style" w:hAnsi="Bookman Old Style" w:cs="Arial"/>
          <w:lang w:val="es-CO"/>
        </w:rPr>
      </w:pPr>
      <w:r>
        <w:rPr>
          <w:rFonts w:ascii="Bookman Old Style" w:hAnsi="Bookman Old Style" w:cs="Arial"/>
          <w:lang w:val="es-CO"/>
        </w:rPr>
        <w:t>En relación a los argumentos expuestos por la parte recurrente sobre el valor en precios de 2020 del Convenio de Cofinanciación No.</w:t>
      </w:r>
      <w:r w:rsidRPr="00577B7E">
        <w:rPr>
          <w:rFonts w:ascii="Bookman Old Style" w:hAnsi="Bookman Old Style" w:cs="Arial"/>
          <w:lang w:val="es-CO"/>
        </w:rPr>
        <w:t xml:space="preserve"> </w:t>
      </w:r>
      <w:r>
        <w:rPr>
          <w:rFonts w:ascii="Bookman Old Style" w:hAnsi="Bookman Old Style" w:cs="Arial"/>
          <w:lang w:val="es-CO"/>
        </w:rPr>
        <w:t>592 de 28 de diciembre de 202</w:t>
      </w:r>
      <w:r w:rsidR="00E5771C">
        <w:rPr>
          <w:rFonts w:ascii="Bookman Old Style" w:hAnsi="Bookman Old Style" w:cs="Arial"/>
          <w:lang w:val="es-CO"/>
        </w:rPr>
        <w:t>0</w:t>
      </w:r>
      <w:r>
        <w:rPr>
          <w:rFonts w:ascii="Bookman Old Style" w:hAnsi="Bookman Old Style" w:cs="Arial"/>
          <w:lang w:val="es-CO"/>
        </w:rPr>
        <w:t xml:space="preserve">, esta Comisión reitera las razones expuestas en el numeral 2.2.1 de este documento, en donde expuso de manera detallada las razones por las cuales se considera que el referido convenio fue suscrito a pesos de 2020, teniendo en cuenta la actualización de los valores efectuados </w:t>
      </w:r>
      <w:r w:rsidRPr="00577B7E">
        <w:rPr>
          <w:rFonts w:ascii="Bookman Old Style" w:hAnsi="Bookman Old Style" w:cs="Arial"/>
          <w:lang w:val="es-CO"/>
        </w:rPr>
        <w:t>al momento de la aprobación de los proyectos contenidos en la Resolución No. 4023 de 2020, documento el cual autorizaba la realización de los trámites para la celebración del respectivo convenio de cofinanciación.</w:t>
      </w:r>
    </w:p>
    <w:p w14:paraId="363355BF" w14:textId="77777777" w:rsidR="00F3487B" w:rsidRDefault="00F3487B" w:rsidP="00F3487B">
      <w:pPr>
        <w:keepNext/>
        <w:adjustRightInd w:val="0"/>
        <w:ind w:left="0"/>
        <w:jc w:val="both"/>
        <w:rPr>
          <w:rFonts w:ascii="Bookman Old Style" w:hAnsi="Bookman Old Style" w:cs="Arial"/>
          <w:lang w:val="es-CO"/>
        </w:rPr>
      </w:pPr>
    </w:p>
    <w:p w14:paraId="11792252" w14:textId="6A6D44A5" w:rsidR="00577B7E" w:rsidRDefault="00577B7E" w:rsidP="00F3487B">
      <w:pPr>
        <w:keepNext/>
        <w:adjustRightInd w:val="0"/>
        <w:ind w:left="0"/>
        <w:jc w:val="both"/>
        <w:rPr>
          <w:rFonts w:ascii="Bookman Old Style" w:hAnsi="Bookman Old Style" w:cs="Arial"/>
          <w:lang w:val="es-CO"/>
        </w:rPr>
      </w:pPr>
      <w:r>
        <w:rPr>
          <w:rFonts w:ascii="Bookman Old Style" w:hAnsi="Bookman Old Style" w:cs="Arial"/>
          <w:lang w:val="es-CO"/>
        </w:rPr>
        <w:t>Así mismo</w:t>
      </w:r>
      <w:r w:rsidR="009A0303">
        <w:rPr>
          <w:rFonts w:ascii="Bookman Old Style" w:hAnsi="Bookman Old Style" w:cs="Arial"/>
          <w:lang w:val="es-CO"/>
        </w:rPr>
        <w:t>,</w:t>
      </w:r>
      <w:r>
        <w:rPr>
          <w:rFonts w:ascii="Bookman Old Style" w:hAnsi="Bookman Old Style" w:cs="Arial"/>
          <w:lang w:val="es-CO"/>
        </w:rPr>
        <w:t xml:space="preserve"> se reitera que no le es dable a esta Comisión actualizar los valores que constan en acuerdos suscritos entre las partes, teniendo en cuenta que esta entidad es un tercero ajeno a la relación contractual</w:t>
      </w:r>
      <w:r w:rsidR="00B35D05">
        <w:rPr>
          <w:rFonts w:ascii="Bookman Old Style" w:hAnsi="Bookman Old Style" w:cs="Arial"/>
          <w:lang w:val="es-CO"/>
        </w:rPr>
        <w:t>, por lo que las sumas que fueron tenidas en cuenta para efectos del c</w:t>
      </w:r>
      <w:r w:rsidR="00E1264F">
        <w:rPr>
          <w:rFonts w:ascii="Bookman Old Style" w:hAnsi="Bookman Old Style" w:cs="Arial"/>
          <w:lang w:val="es-CO"/>
        </w:rPr>
        <w:t>á</w:t>
      </w:r>
      <w:r w:rsidR="00B35D05">
        <w:rPr>
          <w:rFonts w:ascii="Bookman Old Style" w:hAnsi="Bookman Old Style" w:cs="Arial"/>
          <w:lang w:val="es-CO"/>
        </w:rPr>
        <w:t>lculo del respectivo cargo obedecen al tenor literal del convenio.</w:t>
      </w:r>
    </w:p>
    <w:p w14:paraId="7CEF59FC" w14:textId="77777777" w:rsidR="00F3487B" w:rsidRDefault="00F3487B" w:rsidP="00F3487B">
      <w:pPr>
        <w:keepNext/>
        <w:adjustRightInd w:val="0"/>
        <w:ind w:left="0"/>
        <w:jc w:val="both"/>
        <w:rPr>
          <w:rFonts w:ascii="Bookman Old Style" w:hAnsi="Bookman Old Style" w:cs="Arial"/>
          <w:lang w:val="es-CO"/>
        </w:rPr>
      </w:pPr>
    </w:p>
    <w:p w14:paraId="7D025638" w14:textId="414A7908" w:rsidR="00F3487B" w:rsidRDefault="00B35D05" w:rsidP="00F3487B">
      <w:pPr>
        <w:keepNext/>
        <w:adjustRightInd w:val="0"/>
        <w:ind w:left="0"/>
        <w:jc w:val="both"/>
        <w:rPr>
          <w:rFonts w:ascii="Bookman Old Style" w:hAnsi="Bookman Old Style" w:cs="Arial"/>
          <w:lang w:val="es-CO"/>
        </w:rPr>
      </w:pPr>
      <w:r>
        <w:rPr>
          <w:rFonts w:ascii="Bookman Old Style" w:hAnsi="Bookman Old Style" w:cs="Arial"/>
          <w:lang w:val="es-CO"/>
        </w:rPr>
        <w:t>Por otro lado, en lo que se refiere a la afirmación de que los activos de control de calidad</w:t>
      </w:r>
      <w:r w:rsidR="00062D7C">
        <w:rPr>
          <w:rFonts w:ascii="Bookman Old Style" w:hAnsi="Bookman Old Style" w:cs="Arial"/>
          <w:lang w:val="es-CO"/>
        </w:rPr>
        <w:t xml:space="preserve">, entendidos como </w:t>
      </w:r>
      <w:r w:rsidR="00D11953">
        <w:rPr>
          <w:rFonts w:ascii="Bookman Old Style" w:hAnsi="Bookman Old Style" w:cs="Arial"/>
          <w:lang w:val="es-CO"/>
        </w:rPr>
        <w:t>las 4</w:t>
      </w:r>
      <w:r w:rsidR="00D11953" w:rsidRPr="001D47FC">
        <w:rPr>
          <w:rFonts w:ascii="Bookman Old Style" w:hAnsi="Bookman Old Style" w:cs="Arial"/>
          <w:lang w:val="es-CO"/>
        </w:rPr>
        <w:t xml:space="preserve"> cabezas de prueba o columnas de agua (PLI02)</w:t>
      </w:r>
      <w:r w:rsidR="00D11953">
        <w:rPr>
          <w:rFonts w:ascii="Bookman Old Style" w:hAnsi="Bookman Old Style" w:cs="Arial"/>
          <w:lang w:val="es-CO"/>
        </w:rPr>
        <w:t>, no fueron tenido en cuenta en la Inversión Base y</w:t>
      </w:r>
      <w:r w:rsidR="009A0303">
        <w:rPr>
          <w:rFonts w:ascii="Bookman Old Style" w:hAnsi="Bookman Old Style" w:cs="Arial"/>
          <w:lang w:val="es-CO"/>
        </w:rPr>
        <w:t>,</w:t>
      </w:r>
      <w:r w:rsidR="00D11953">
        <w:rPr>
          <w:rFonts w:ascii="Bookman Old Style" w:hAnsi="Bookman Old Style" w:cs="Arial"/>
          <w:lang w:val="es-CO"/>
        </w:rPr>
        <w:t xml:space="preserve"> por tanto</w:t>
      </w:r>
      <w:r w:rsidR="009A0303">
        <w:rPr>
          <w:rFonts w:ascii="Bookman Old Style" w:hAnsi="Bookman Old Style" w:cs="Arial"/>
          <w:lang w:val="es-CO"/>
        </w:rPr>
        <w:t>,</w:t>
      </w:r>
      <w:r w:rsidR="00D11953">
        <w:rPr>
          <w:rFonts w:ascii="Bookman Old Style" w:hAnsi="Bookman Old Style" w:cs="Arial"/>
          <w:lang w:val="es-CO"/>
        </w:rPr>
        <w:t xml:space="preserve"> en el programa de nuevas inversiones para municipios nuevos (IPNI), esta Comisión</w:t>
      </w:r>
      <w:r w:rsidR="009A0303">
        <w:rPr>
          <w:rFonts w:ascii="Bookman Old Style" w:hAnsi="Bookman Old Style" w:cs="Arial"/>
          <w:lang w:val="es-CO"/>
        </w:rPr>
        <w:t>,</w:t>
      </w:r>
      <w:r w:rsidR="00D11953">
        <w:rPr>
          <w:rFonts w:ascii="Bookman Old Style" w:hAnsi="Bookman Old Style" w:cs="Arial"/>
          <w:lang w:val="es-CO"/>
        </w:rPr>
        <w:t xml:space="preserve"> una vez revisada la información contenida</w:t>
      </w:r>
      <w:r w:rsidR="009A0303">
        <w:rPr>
          <w:rFonts w:ascii="Bookman Old Style" w:hAnsi="Bookman Old Style" w:cs="Arial"/>
          <w:lang w:val="es-CO"/>
        </w:rPr>
        <w:t>,</w:t>
      </w:r>
      <w:r w:rsidR="00D11953">
        <w:rPr>
          <w:rFonts w:ascii="Bookman Old Style" w:hAnsi="Bookman Old Style" w:cs="Arial"/>
          <w:lang w:val="es-CO"/>
        </w:rPr>
        <w:t xml:space="preserve"> tanto en el documento soporte</w:t>
      </w:r>
      <w:r w:rsidR="009A0303">
        <w:rPr>
          <w:rFonts w:ascii="Bookman Old Style" w:hAnsi="Bookman Old Style" w:cs="Arial"/>
          <w:lang w:val="es-CO"/>
        </w:rPr>
        <w:t>,</w:t>
      </w:r>
      <w:r w:rsidR="00D11953">
        <w:rPr>
          <w:rFonts w:ascii="Bookman Old Style" w:hAnsi="Bookman Old Style" w:cs="Arial"/>
          <w:lang w:val="es-CO"/>
        </w:rPr>
        <w:t xml:space="preserve"> como en el Anexo 2 de la Resolución CREG 162 de 2021, evidencia que estas sí fueron incluidas por un valor total $</w:t>
      </w:r>
      <w:r w:rsidR="00D11953" w:rsidRPr="00D11953">
        <w:rPr>
          <w:rFonts w:ascii="Bookman Old Style" w:hAnsi="Bookman Old Style" w:cs="Arial"/>
          <w:lang w:val="es-CO"/>
        </w:rPr>
        <w:t>1.751.73</w:t>
      </w:r>
      <w:r w:rsidR="00D11953">
        <w:rPr>
          <w:rFonts w:ascii="Bookman Old Style" w:hAnsi="Bookman Old Style" w:cs="Arial"/>
          <w:lang w:val="es-CO"/>
        </w:rPr>
        <w:t>0 que</w:t>
      </w:r>
      <w:r w:rsidR="009A0303">
        <w:rPr>
          <w:rFonts w:ascii="Bookman Old Style" w:hAnsi="Bookman Old Style" w:cs="Arial"/>
          <w:lang w:val="es-CO"/>
        </w:rPr>
        <w:t>,</w:t>
      </w:r>
      <w:r w:rsidR="00D11953">
        <w:rPr>
          <w:rFonts w:ascii="Bookman Old Style" w:hAnsi="Bookman Old Style" w:cs="Arial"/>
          <w:lang w:val="es-CO"/>
        </w:rPr>
        <w:t xml:space="preserve"> como ya se ha desarrollado</w:t>
      </w:r>
      <w:r w:rsidR="002C06A1">
        <w:rPr>
          <w:rFonts w:ascii="Bookman Old Style" w:hAnsi="Bookman Old Style" w:cs="Arial"/>
          <w:lang w:val="es-CO"/>
        </w:rPr>
        <w:t xml:space="preserve"> </w:t>
      </w:r>
      <w:r w:rsidR="00D11953">
        <w:rPr>
          <w:rFonts w:ascii="Bookman Old Style" w:hAnsi="Bookman Old Style" w:cs="Arial"/>
          <w:lang w:val="es-CO"/>
        </w:rPr>
        <w:lastRenderedPageBreak/>
        <w:t>ampliamente</w:t>
      </w:r>
      <w:r w:rsidR="009A0303">
        <w:rPr>
          <w:rFonts w:ascii="Bookman Old Style" w:hAnsi="Bookman Old Style" w:cs="Arial"/>
          <w:lang w:val="es-CO"/>
        </w:rPr>
        <w:t>,</w:t>
      </w:r>
      <w:r w:rsidR="00D11953">
        <w:rPr>
          <w:rFonts w:ascii="Bookman Old Style" w:hAnsi="Bookman Old Style" w:cs="Arial"/>
          <w:lang w:val="es-CO"/>
        </w:rPr>
        <w:t xml:space="preserve"> se encuentran expresados en pesos de 2020 al tenor del Convenio de </w:t>
      </w:r>
      <w:r w:rsidR="00F36AC2">
        <w:rPr>
          <w:rFonts w:ascii="Bookman Old Style" w:hAnsi="Bookman Old Style" w:cs="Arial"/>
          <w:lang w:val="es-CO"/>
        </w:rPr>
        <w:t>Cofinanciación</w:t>
      </w:r>
      <w:r w:rsidR="00D11953">
        <w:rPr>
          <w:rFonts w:ascii="Bookman Old Style" w:hAnsi="Bookman Old Style" w:cs="Arial"/>
          <w:lang w:val="es-CO"/>
        </w:rPr>
        <w:t>.</w:t>
      </w:r>
    </w:p>
    <w:p w14:paraId="6111FC6C" w14:textId="77777777" w:rsidR="002C06A1" w:rsidRDefault="002C06A1" w:rsidP="00F3487B">
      <w:pPr>
        <w:keepNext/>
        <w:adjustRightInd w:val="0"/>
        <w:ind w:left="0"/>
        <w:jc w:val="both"/>
        <w:rPr>
          <w:rFonts w:ascii="Bookman Old Style" w:hAnsi="Bookman Old Style" w:cs="Arial"/>
          <w:lang w:val="es-CO"/>
        </w:rPr>
      </w:pPr>
    </w:p>
    <w:p w14:paraId="2022E8AB" w14:textId="5DB2A23F" w:rsidR="008353D9" w:rsidRDefault="008353D9" w:rsidP="00F3487B">
      <w:pPr>
        <w:keepNext/>
        <w:adjustRightInd w:val="0"/>
        <w:ind w:left="0"/>
        <w:jc w:val="both"/>
        <w:rPr>
          <w:rFonts w:ascii="Bookman Old Style" w:hAnsi="Bookman Old Style" w:cs="Arial"/>
        </w:rPr>
      </w:pPr>
      <w:proofErr w:type="gramStart"/>
      <w:r>
        <w:rPr>
          <w:rFonts w:ascii="Bookman Old Style" w:hAnsi="Bookman Old Style" w:cs="Arial"/>
        </w:rPr>
        <w:t>En razón de</w:t>
      </w:r>
      <w:proofErr w:type="gramEnd"/>
      <w:r>
        <w:rPr>
          <w:rFonts w:ascii="Bookman Old Style" w:hAnsi="Bookman Old Style" w:cs="Arial"/>
        </w:rPr>
        <w:t xml:space="preserve"> lo anterior, esta Comisión no encuentra procedente los argumentos expuestos por el recurrente y</w:t>
      </w:r>
      <w:r w:rsidR="009A0303">
        <w:rPr>
          <w:rFonts w:ascii="Bookman Old Style" w:hAnsi="Bookman Old Style" w:cs="Arial"/>
        </w:rPr>
        <w:t>,</w:t>
      </w:r>
      <w:r>
        <w:rPr>
          <w:rFonts w:ascii="Bookman Old Style" w:hAnsi="Bookman Old Style" w:cs="Arial"/>
        </w:rPr>
        <w:t xml:space="preserve"> por tanto</w:t>
      </w:r>
      <w:r w:rsidR="009A0303">
        <w:rPr>
          <w:rFonts w:ascii="Bookman Old Style" w:hAnsi="Bookman Old Style" w:cs="Arial"/>
        </w:rPr>
        <w:t>,</w:t>
      </w:r>
      <w:r>
        <w:rPr>
          <w:rFonts w:ascii="Bookman Old Style" w:hAnsi="Bookman Old Style" w:cs="Arial"/>
        </w:rPr>
        <w:t xml:space="preserve"> no repondrá de decisión.</w:t>
      </w:r>
    </w:p>
    <w:p w14:paraId="29072720" w14:textId="77777777" w:rsidR="00F3487B" w:rsidRDefault="00F3487B" w:rsidP="00F3487B">
      <w:pPr>
        <w:keepNext/>
        <w:adjustRightInd w:val="0"/>
        <w:ind w:left="0"/>
        <w:jc w:val="both"/>
        <w:rPr>
          <w:rFonts w:ascii="Bookman Old Style" w:hAnsi="Bookman Old Style" w:cs="Arial"/>
        </w:rPr>
      </w:pPr>
    </w:p>
    <w:p w14:paraId="31C369E8" w14:textId="31D24C5E" w:rsidR="00C727BA" w:rsidRDefault="00C727BA" w:rsidP="00F3487B">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bCs/>
        </w:rPr>
        <w:t xml:space="preserve">Con base en lo expuesto, </w:t>
      </w:r>
      <w:r>
        <w:rPr>
          <w:rFonts w:ascii="Bookman Old Style" w:hAnsi="Bookman Old Style" w:cs="Arial"/>
        </w:rPr>
        <w:t>la Comisión de Regulación de Energía y Gas, CREG</w:t>
      </w:r>
      <w:r w:rsidR="009A0303">
        <w:rPr>
          <w:rFonts w:ascii="Bookman Old Style" w:hAnsi="Bookman Old Style" w:cs="Arial"/>
        </w:rPr>
        <w:t>,</w:t>
      </w:r>
      <w:r>
        <w:rPr>
          <w:rFonts w:ascii="Bookman Old Style" w:hAnsi="Bookman Old Style" w:cs="Arial"/>
        </w:rPr>
        <w:t xml:space="preserve"> en su sesión No</w:t>
      </w:r>
      <w:r w:rsidRPr="00F3487B">
        <w:rPr>
          <w:rFonts w:ascii="Bookman Old Style" w:hAnsi="Bookman Old Style" w:cs="Arial"/>
        </w:rPr>
        <w:t>.</w:t>
      </w:r>
      <w:r w:rsidR="00F66091" w:rsidRPr="00F3487B">
        <w:rPr>
          <w:rFonts w:ascii="Bookman Old Style" w:hAnsi="Bookman Old Style" w:cs="Arial"/>
        </w:rPr>
        <w:t>1145</w:t>
      </w:r>
      <w:r w:rsidRPr="00F3487B">
        <w:rPr>
          <w:rFonts w:ascii="Bookman Old Style" w:hAnsi="Bookman Old Style" w:cs="Arial"/>
        </w:rPr>
        <w:t xml:space="preserve"> del </w:t>
      </w:r>
      <w:r w:rsidR="00F66091" w:rsidRPr="00F3487B">
        <w:rPr>
          <w:rFonts w:ascii="Bookman Old Style" w:hAnsi="Bookman Old Style" w:cs="Arial"/>
        </w:rPr>
        <w:t>29</w:t>
      </w:r>
      <w:r w:rsidRPr="00F3487B">
        <w:rPr>
          <w:rFonts w:ascii="Bookman Old Style" w:hAnsi="Bookman Old Style" w:cs="Arial"/>
        </w:rPr>
        <w:t xml:space="preserve"> de diciembre</w:t>
      </w:r>
      <w:r>
        <w:rPr>
          <w:rFonts w:ascii="Bookman Old Style" w:hAnsi="Bookman Old Style" w:cs="Arial"/>
        </w:rPr>
        <w:t xml:space="preserve"> de 2021, acordó expedir la presente Resolución y, en consecuencia,</w:t>
      </w:r>
    </w:p>
    <w:p w14:paraId="1E85E55B" w14:textId="77777777" w:rsidR="00C727BA" w:rsidRDefault="00C727BA" w:rsidP="00F3487B">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43AE507B" w14:textId="77777777" w:rsidR="00125DD7" w:rsidRDefault="00125DD7"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73EBAAC7" w14:textId="760A9C9F" w:rsidR="00FD4F75" w:rsidRDefault="00911018" w:rsidP="00911018">
      <w:pPr>
        <w:keepNext/>
        <w:suppressAutoHyphens/>
        <w:jc w:val="center"/>
        <w:rPr>
          <w:rFonts w:ascii="Bookman Old Style" w:hAnsi="Bookman Old Style"/>
          <w:b/>
          <w:spacing w:val="-3"/>
        </w:rPr>
      </w:pPr>
      <w:r>
        <w:rPr>
          <w:rFonts w:ascii="Bookman Old Style" w:hAnsi="Bookman Old Style"/>
          <w:b/>
          <w:spacing w:val="-3"/>
        </w:rPr>
        <w:t>R E S U E L V E:</w:t>
      </w:r>
    </w:p>
    <w:p w14:paraId="1027776D" w14:textId="77777777" w:rsidR="008353D9" w:rsidRDefault="008353D9" w:rsidP="00911018">
      <w:pPr>
        <w:keepNext/>
        <w:suppressAutoHyphens/>
        <w:jc w:val="center"/>
        <w:rPr>
          <w:rFonts w:ascii="Bookman Old Style" w:hAnsi="Bookman Old Style"/>
          <w:b/>
          <w:spacing w:val="-3"/>
        </w:rPr>
      </w:pPr>
    </w:p>
    <w:p w14:paraId="28ACFD2F" w14:textId="77777777" w:rsidR="00FD4F75" w:rsidRDefault="00FD4F75" w:rsidP="00911018">
      <w:pPr>
        <w:keepNext/>
        <w:suppressAutoHyphens/>
        <w:jc w:val="center"/>
        <w:rPr>
          <w:rFonts w:ascii="Bookman Old Style" w:hAnsi="Bookman Old Style"/>
          <w:b/>
          <w:spacing w:val="-3"/>
        </w:rPr>
      </w:pPr>
    </w:p>
    <w:p w14:paraId="09F8E1E1" w14:textId="2DDBAB45" w:rsidR="00C727BA" w:rsidRPr="00C727BA" w:rsidRDefault="00FD4F75" w:rsidP="00BB1153">
      <w:pPr>
        <w:ind w:left="0"/>
        <w:jc w:val="both"/>
        <w:rPr>
          <w:rFonts w:ascii="Bookman Old Style" w:hAnsi="Bookman Old Style"/>
        </w:rPr>
      </w:pPr>
      <w:r>
        <w:rPr>
          <w:rFonts w:ascii="Bookman Old Style" w:hAnsi="Bookman Old Style"/>
          <w:b/>
        </w:rPr>
        <w:t>ARTÍCULO</w:t>
      </w:r>
      <w:r w:rsidR="00612447">
        <w:rPr>
          <w:rFonts w:ascii="Bookman Old Style" w:hAnsi="Bookman Old Style"/>
          <w:b/>
        </w:rPr>
        <w:t xml:space="preserve"> 1</w:t>
      </w:r>
      <w:r w:rsidRPr="00C727BA">
        <w:rPr>
          <w:rFonts w:ascii="Bookman Old Style" w:hAnsi="Bookman Old Style"/>
        </w:rPr>
        <w:t xml:space="preserve">. </w:t>
      </w:r>
      <w:r w:rsidR="00C727BA" w:rsidRPr="00C727BA">
        <w:rPr>
          <w:rFonts w:ascii="Bookman Old Style" w:hAnsi="Bookman Old Style"/>
        </w:rPr>
        <w:t>Confirmar</w:t>
      </w:r>
      <w:r w:rsidR="00C727BA">
        <w:rPr>
          <w:rFonts w:ascii="Bookman Old Style" w:hAnsi="Bookman Old Style"/>
          <w:b/>
        </w:rPr>
        <w:t xml:space="preserve"> </w:t>
      </w:r>
      <w:r w:rsidR="00C727BA">
        <w:rPr>
          <w:rFonts w:ascii="Bookman Old Style" w:hAnsi="Bookman Old Style"/>
        </w:rPr>
        <w:t>en todas sus partes la Resolución CREG No. 162 de 2021 “</w:t>
      </w:r>
      <w:r w:rsidR="00C727BA" w:rsidRPr="00C727BA">
        <w:rPr>
          <w:rFonts w:ascii="Bookman Old Style" w:hAnsi="Bookman Old Style"/>
          <w:i/>
        </w:rPr>
        <w:t>Por la cual se aprueba el cargo de distribución por uso del sistema de distribución de Gas Natural Comprimido (GNC) por redes de tubería para el mercado relevante conformado por el Municipio de Úmbita en el Departamento de Boyacá</w:t>
      </w:r>
      <w:r w:rsidR="00C727BA">
        <w:rPr>
          <w:rFonts w:ascii="Bookman Old Style" w:hAnsi="Bookman Old Style"/>
          <w:i/>
        </w:rPr>
        <w:t xml:space="preserve">” </w:t>
      </w:r>
      <w:r w:rsidR="00C727BA">
        <w:rPr>
          <w:rFonts w:ascii="Bookman Old Style" w:hAnsi="Bookman Old Style"/>
        </w:rPr>
        <w:t>de conformidad con lo expuesto en la parte motiva de esta resolución.</w:t>
      </w:r>
    </w:p>
    <w:p w14:paraId="525F005F" w14:textId="77777777" w:rsidR="00C727BA" w:rsidRDefault="00C727BA" w:rsidP="00BB1153">
      <w:pPr>
        <w:ind w:left="0"/>
        <w:jc w:val="both"/>
        <w:rPr>
          <w:rFonts w:ascii="Bookman Old Style" w:hAnsi="Bookman Old Style"/>
          <w:bCs/>
        </w:rPr>
      </w:pPr>
    </w:p>
    <w:p w14:paraId="4E9815A6" w14:textId="4E593F5B" w:rsidR="00BB1153" w:rsidRDefault="00612447" w:rsidP="00BB1153">
      <w:pPr>
        <w:ind w:left="0"/>
        <w:jc w:val="both"/>
        <w:rPr>
          <w:rFonts w:ascii="Bookman Old Style" w:hAnsi="Bookman Old Style" w:cs="Arial"/>
          <w:spacing w:val="-4"/>
        </w:rPr>
      </w:pPr>
      <w:r w:rsidRPr="00612447">
        <w:rPr>
          <w:rFonts w:ascii="Bookman Old Style" w:hAnsi="Bookman Old Style"/>
          <w:b/>
          <w:iCs/>
        </w:rPr>
        <w:t xml:space="preserve">ARTÍCULO </w:t>
      </w:r>
      <w:r w:rsidR="003648EA">
        <w:rPr>
          <w:rFonts w:ascii="Bookman Old Style" w:hAnsi="Bookman Old Style"/>
          <w:b/>
          <w:iCs/>
        </w:rPr>
        <w:t>2</w:t>
      </w:r>
      <w:r w:rsidRPr="00612447">
        <w:rPr>
          <w:rFonts w:ascii="Bookman Old Style" w:hAnsi="Bookman Old Style"/>
          <w:b/>
          <w:iCs/>
        </w:rPr>
        <w:t>.</w:t>
      </w:r>
      <w:r>
        <w:rPr>
          <w:rFonts w:ascii="Bookman Old Style" w:hAnsi="Bookman Old Style"/>
          <w:iCs/>
        </w:rPr>
        <w:t xml:space="preserve"> </w:t>
      </w:r>
      <w:r w:rsidR="00BB1153">
        <w:rPr>
          <w:rFonts w:ascii="Bookman Old Style" w:hAnsi="Bookman Old Style"/>
          <w:iCs/>
        </w:rPr>
        <w:t xml:space="preserve">La presente Resolución deberá notificarse </w:t>
      </w:r>
      <w:r w:rsidR="00BB1153">
        <w:rPr>
          <w:rFonts w:ascii="Bookman Old Style" w:hAnsi="Bookman Old Style" w:cs="Arial"/>
          <w:spacing w:val="-4"/>
        </w:rPr>
        <w:t>a</w:t>
      </w:r>
      <w:r w:rsidR="0055189B">
        <w:rPr>
          <w:rFonts w:ascii="Bookman Old Style" w:hAnsi="Bookman Old Style" w:cs="Arial"/>
          <w:spacing w:val="-4"/>
        </w:rPr>
        <w:t>l Representante Legal de la</w:t>
      </w:r>
      <w:r w:rsidR="00BB1153">
        <w:rPr>
          <w:rFonts w:ascii="Bookman Old Style" w:hAnsi="Bookman Old Style" w:cs="Arial"/>
          <w:spacing w:val="-4"/>
        </w:rPr>
        <w:t xml:space="preserve"> empresa </w:t>
      </w:r>
      <w:r w:rsidR="00465D74">
        <w:rPr>
          <w:rFonts w:ascii="Bookman Old Style" w:hAnsi="Bookman Old Style" w:cs="Arial"/>
          <w:lang w:val="es-ES_tradnl"/>
        </w:rPr>
        <w:t>ENERCER</w:t>
      </w:r>
      <w:r w:rsidR="00BB1153">
        <w:rPr>
          <w:rFonts w:ascii="Bookman Old Style" w:hAnsi="Bookman Old Style" w:cs="Arial"/>
          <w:lang w:val="es-ES_tradnl"/>
        </w:rPr>
        <w:t xml:space="preserve"> S.A. E.S.P., advirtiéndole que contra la misma no procede recurso alguno; </w:t>
      </w:r>
      <w:r w:rsidR="00BB1153">
        <w:rPr>
          <w:rFonts w:ascii="Bookman Old Style" w:hAnsi="Bookman Old Style" w:cs="Arial"/>
          <w:spacing w:val="-4"/>
        </w:rPr>
        <w:t xml:space="preserve">y, surtidas dichas notificaciones deberá publicarse en el </w:t>
      </w:r>
      <w:r w:rsidR="00BB1153">
        <w:rPr>
          <w:rFonts w:ascii="Bookman Old Style" w:hAnsi="Bookman Old Style" w:cs="Arial"/>
          <w:i/>
          <w:iCs/>
          <w:spacing w:val="-4"/>
        </w:rPr>
        <w:t>Diario Oficial</w:t>
      </w:r>
      <w:r w:rsidR="00BB1153">
        <w:rPr>
          <w:rFonts w:ascii="Bookman Old Style" w:hAnsi="Bookman Old Style" w:cs="Arial"/>
          <w:spacing w:val="-4"/>
        </w:rPr>
        <w:t xml:space="preserve"> y en la página Web de la CREG. </w:t>
      </w:r>
    </w:p>
    <w:p w14:paraId="50E06AB0" w14:textId="77777777" w:rsidR="00F3487B" w:rsidRDefault="00F3487B" w:rsidP="00BB1153">
      <w:pPr>
        <w:ind w:left="0"/>
        <w:jc w:val="both"/>
        <w:rPr>
          <w:rFonts w:ascii="Bookman Old Style" w:hAnsi="Bookman Old Style" w:cs="Arial"/>
          <w:spacing w:val="-4"/>
        </w:rPr>
      </w:pPr>
    </w:p>
    <w:p w14:paraId="3B8358F9" w14:textId="77777777" w:rsidR="00BB1153" w:rsidRDefault="00BB1153" w:rsidP="00BB1153">
      <w:pPr>
        <w:jc w:val="both"/>
        <w:rPr>
          <w:rFonts w:ascii="Bookman Old Style" w:hAnsi="Bookman Old Style"/>
          <w:i/>
          <w:sz w:val="22"/>
        </w:rPr>
      </w:pPr>
    </w:p>
    <w:p w14:paraId="45E26F18" w14:textId="77777777" w:rsidR="00BB1153" w:rsidRDefault="00BB1153" w:rsidP="00BB1153">
      <w:pPr>
        <w:jc w:val="center"/>
        <w:rPr>
          <w:rFonts w:ascii="Bookman Old Style" w:hAnsi="Bookman Old Style"/>
          <w:b/>
        </w:rPr>
      </w:pPr>
      <w:r>
        <w:rPr>
          <w:rFonts w:ascii="Bookman Old Style" w:hAnsi="Bookman Old Style"/>
          <w:b/>
        </w:rPr>
        <w:t>NOTIFÍQUESE, PUBLÍQUESE Y CÚMPLASE</w:t>
      </w:r>
    </w:p>
    <w:p w14:paraId="1ACCD572" w14:textId="77777777" w:rsidR="00BB1153" w:rsidRDefault="00BB1153" w:rsidP="00BB1153">
      <w:pPr>
        <w:rPr>
          <w:rFonts w:ascii="Bookman Old Style" w:hAnsi="Bookman Old Style"/>
        </w:rPr>
      </w:pPr>
    </w:p>
    <w:p w14:paraId="3F253534" w14:textId="51373781" w:rsidR="00BB1153" w:rsidRPr="00854BC5" w:rsidRDefault="00BB1153" w:rsidP="00BB1153">
      <w:pPr>
        <w:ind w:left="0"/>
        <w:rPr>
          <w:rFonts w:ascii="Bookman Old Style" w:hAnsi="Bookman Old Style"/>
          <w:b/>
          <w:bCs/>
        </w:rPr>
      </w:pPr>
      <w:r>
        <w:rPr>
          <w:rFonts w:ascii="Bookman Old Style" w:hAnsi="Bookman Old Style"/>
        </w:rPr>
        <w:t>Dada en Bogotá, D.C.</w:t>
      </w:r>
      <w:r w:rsidR="00854BC5">
        <w:rPr>
          <w:rFonts w:ascii="Bookman Old Style" w:hAnsi="Bookman Old Style"/>
        </w:rPr>
        <w:t xml:space="preserve"> </w:t>
      </w:r>
      <w:r w:rsidR="00F3487B">
        <w:rPr>
          <w:rFonts w:ascii="Bookman Old Style" w:hAnsi="Bookman Old Style"/>
          <w:b/>
          <w:bCs/>
        </w:rPr>
        <w:t>29</w:t>
      </w:r>
      <w:r w:rsidR="00854BC5" w:rsidRPr="00854BC5">
        <w:rPr>
          <w:rFonts w:ascii="Bookman Old Style" w:hAnsi="Bookman Old Style"/>
          <w:b/>
          <w:bCs/>
        </w:rPr>
        <w:t xml:space="preserve"> DIC. 202</w:t>
      </w:r>
      <w:r w:rsidR="00612447">
        <w:rPr>
          <w:rFonts w:ascii="Bookman Old Style" w:hAnsi="Bookman Old Style"/>
          <w:b/>
          <w:bCs/>
        </w:rPr>
        <w:t>1</w:t>
      </w:r>
    </w:p>
    <w:p w14:paraId="1176EDFA" w14:textId="77777777" w:rsidR="00BB1153" w:rsidRDefault="00BB1153" w:rsidP="00BB1153">
      <w:pPr>
        <w:ind w:left="0"/>
        <w:rPr>
          <w:rFonts w:ascii="Bookman Old Style" w:hAnsi="Bookman Old Style"/>
        </w:rPr>
      </w:pPr>
    </w:p>
    <w:p w14:paraId="1A943A62" w14:textId="77777777" w:rsidR="00BB1153" w:rsidRDefault="00BB1153" w:rsidP="00BB1153">
      <w:pPr>
        <w:ind w:left="0"/>
        <w:rPr>
          <w:rFonts w:ascii="Bookman Old Style" w:hAnsi="Bookman Old Style"/>
        </w:rPr>
      </w:pPr>
    </w:p>
    <w:p w14:paraId="43907BAC" w14:textId="77777777" w:rsidR="00BB1153" w:rsidRDefault="00BB1153" w:rsidP="00BB1153">
      <w:pPr>
        <w:ind w:left="0"/>
        <w:rPr>
          <w:rFonts w:ascii="Bookman Old Style" w:hAnsi="Bookman Old Style"/>
        </w:rPr>
      </w:pPr>
    </w:p>
    <w:p w14:paraId="18E5468F" w14:textId="77777777" w:rsidR="00BB1153" w:rsidRDefault="00BB1153" w:rsidP="00BB1153">
      <w:pPr>
        <w:ind w:left="0"/>
        <w:rPr>
          <w:rFonts w:ascii="Bookman Old Style" w:hAnsi="Bookman Old Style"/>
        </w:rPr>
      </w:pPr>
    </w:p>
    <w:p w14:paraId="2ED0A3F5" w14:textId="77777777" w:rsidR="00BB1153" w:rsidRDefault="00BB1153" w:rsidP="00BB1153">
      <w:pPr>
        <w:ind w:left="0"/>
        <w:rPr>
          <w:rFonts w:ascii="Bookman Old Style" w:hAnsi="Bookman Old Style"/>
          <w:sz w:val="23"/>
          <w:szCs w:val="23"/>
        </w:rPr>
      </w:pPr>
    </w:p>
    <w:p w14:paraId="152EB6D6" w14:textId="77777777" w:rsidR="00BB1153" w:rsidRDefault="00BB1153" w:rsidP="00BB1153">
      <w:pPr>
        <w:ind w:left="0"/>
        <w:rPr>
          <w:rFonts w:ascii="Bookman Old Style" w:hAnsi="Bookman Old Style"/>
          <w:sz w:val="23"/>
          <w:szCs w:val="23"/>
        </w:rPr>
      </w:pPr>
    </w:p>
    <w:tbl>
      <w:tblPr>
        <w:tblW w:w="9690" w:type="dxa"/>
        <w:jc w:val="center"/>
        <w:tblLayout w:type="fixed"/>
        <w:tblCellMar>
          <w:left w:w="70" w:type="dxa"/>
          <w:right w:w="70" w:type="dxa"/>
        </w:tblCellMar>
        <w:tblLook w:val="04A0" w:firstRow="1" w:lastRow="0" w:firstColumn="1" w:lastColumn="0" w:noHBand="0" w:noVBand="1"/>
      </w:tblPr>
      <w:tblGrid>
        <w:gridCol w:w="4961"/>
        <w:gridCol w:w="4729"/>
      </w:tblGrid>
      <w:tr w:rsidR="00BB1153" w14:paraId="7B8BE494" w14:textId="77777777" w:rsidTr="00342606">
        <w:trPr>
          <w:trHeight w:val="887"/>
          <w:jc w:val="center"/>
        </w:trPr>
        <w:tc>
          <w:tcPr>
            <w:tcW w:w="4961" w:type="dxa"/>
            <w:hideMark/>
          </w:tcPr>
          <w:p w14:paraId="3C28F880" w14:textId="58D03590" w:rsidR="00BB1153" w:rsidRPr="00854BC5" w:rsidRDefault="00CC1DDC">
            <w:pPr>
              <w:tabs>
                <w:tab w:val="left" w:pos="-720"/>
              </w:tabs>
              <w:suppressAutoHyphens/>
              <w:ind w:left="0"/>
              <w:jc w:val="center"/>
              <w:rPr>
                <w:rFonts w:ascii="Bookman Old Style" w:hAnsi="Bookman Old Style"/>
                <w:b/>
              </w:rPr>
            </w:pPr>
            <w:r>
              <w:rPr>
                <w:rFonts w:ascii="Bookman Old Style" w:hAnsi="Bookman Old Style"/>
                <w:b/>
              </w:rPr>
              <w:t>LUIS JULIÁN ZULUAGA LÓPEZ</w:t>
            </w:r>
          </w:p>
          <w:p w14:paraId="2D57887B" w14:textId="2EF89DBE" w:rsidR="00854BC5" w:rsidRDefault="00BB1153" w:rsidP="00854BC5">
            <w:pPr>
              <w:tabs>
                <w:tab w:val="left" w:pos="-720"/>
              </w:tabs>
              <w:suppressAutoHyphens/>
              <w:ind w:left="0"/>
              <w:jc w:val="center"/>
              <w:rPr>
                <w:rFonts w:ascii="Bookman Old Style" w:hAnsi="Bookman Old Style"/>
              </w:rPr>
            </w:pPr>
            <w:r w:rsidRPr="00854BC5">
              <w:rPr>
                <w:rFonts w:ascii="Bookman Old Style" w:hAnsi="Bookman Old Style"/>
              </w:rPr>
              <w:t>Viceministro de Energía</w:t>
            </w:r>
            <w:r w:rsidR="00CC1DDC">
              <w:rPr>
                <w:rFonts w:ascii="Bookman Old Style" w:hAnsi="Bookman Old Style"/>
              </w:rPr>
              <w:t xml:space="preserve"> (E)</w:t>
            </w:r>
            <w:r w:rsidR="00854BC5">
              <w:rPr>
                <w:rFonts w:ascii="Bookman Old Style" w:hAnsi="Bookman Old Style"/>
              </w:rPr>
              <w:t xml:space="preserve">, </w:t>
            </w:r>
            <w:proofErr w:type="gramStart"/>
            <w:r w:rsidRPr="00854BC5">
              <w:rPr>
                <w:rFonts w:ascii="Bookman Old Style" w:hAnsi="Bookman Old Style"/>
              </w:rPr>
              <w:t>Delegado</w:t>
            </w:r>
            <w:proofErr w:type="gramEnd"/>
          </w:p>
          <w:p w14:paraId="3694C4CB" w14:textId="421EA973" w:rsidR="00BB1153" w:rsidRPr="00854BC5" w:rsidRDefault="00BB1153" w:rsidP="00854BC5">
            <w:pPr>
              <w:tabs>
                <w:tab w:val="left" w:pos="-720"/>
              </w:tabs>
              <w:suppressAutoHyphens/>
              <w:ind w:left="0"/>
              <w:jc w:val="center"/>
              <w:rPr>
                <w:rFonts w:ascii="Bookman Old Style" w:hAnsi="Bookman Old Style"/>
              </w:rPr>
            </w:pPr>
            <w:r w:rsidRPr="00854BC5">
              <w:rPr>
                <w:rFonts w:ascii="Bookman Old Style" w:hAnsi="Bookman Old Style"/>
              </w:rPr>
              <w:t xml:space="preserve">del </w:t>
            </w:r>
            <w:proofErr w:type="gramStart"/>
            <w:r w:rsidRPr="00854BC5">
              <w:rPr>
                <w:rFonts w:ascii="Bookman Old Style" w:hAnsi="Bookman Old Style"/>
              </w:rPr>
              <w:t>Ministro</w:t>
            </w:r>
            <w:proofErr w:type="gramEnd"/>
            <w:r w:rsidRPr="00854BC5">
              <w:rPr>
                <w:rFonts w:ascii="Bookman Old Style" w:hAnsi="Bookman Old Style"/>
              </w:rPr>
              <w:t xml:space="preserve"> de Minas y Energía</w:t>
            </w:r>
          </w:p>
          <w:p w14:paraId="5A8EE46A" w14:textId="77777777" w:rsidR="00BB1153" w:rsidRPr="00854BC5" w:rsidRDefault="00BB1153">
            <w:pPr>
              <w:tabs>
                <w:tab w:val="left" w:pos="-720"/>
              </w:tabs>
              <w:suppressAutoHyphens/>
              <w:ind w:left="0"/>
              <w:jc w:val="center"/>
              <w:rPr>
                <w:rFonts w:ascii="Bookman Old Style" w:hAnsi="Bookman Old Style"/>
              </w:rPr>
            </w:pPr>
            <w:r w:rsidRPr="00854BC5">
              <w:rPr>
                <w:rFonts w:ascii="Bookman Old Style" w:hAnsi="Bookman Old Style"/>
              </w:rPr>
              <w:t>Presidente</w:t>
            </w:r>
          </w:p>
          <w:p w14:paraId="044E6549" w14:textId="36DDA5C7" w:rsidR="00342606" w:rsidRPr="00854BC5" w:rsidRDefault="00342606">
            <w:pPr>
              <w:tabs>
                <w:tab w:val="left" w:pos="-720"/>
              </w:tabs>
              <w:suppressAutoHyphens/>
              <w:ind w:left="0"/>
              <w:jc w:val="center"/>
              <w:rPr>
                <w:rFonts w:ascii="Bookman Old Style" w:hAnsi="Bookman Old Style" w:cs="Arial"/>
                <w:b/>
                <w:strike/>
                <w:spacing w:val="-3"/>
              </w:rPr>
            </w:pPr>
          </w:p>
        </w:tc>
        <w:tc>
          <w:tcPr>
            <w:tcW w:w="4729" w:type="dxa"/>
            <w:hideMark/>
          </w:tcPr>
          <w:p w14:paraId="4E904436" w14:textId="1C72CC13" w:rsidR="00BB1153" w:rsidRPr="00854BC5" w:rsidRDefault="00612447">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0F95A948" w14:textId="58B62347" w:rsidR="00BB1153" w:rsidRPr="00854BC5" w:rsidRDefault="00BB1153">
            <w:pPr>
              <w:tabs>
                <w:tab w:val="left" w:pos="-720"/>
              </w:tabs>
              <w:suppressAutoHyphens/>
              <w:ind w:left="0"/>
              <w:jc w:val="center"/>
              <w:rPr>
                <w:rFonts w:ascii="Bookman Old Style" w:hAnsi="Bookman Old Style" w:cs="Arial"/>
                <w:b/>
                <w:spacing w:val="-3"/>
              </w:rPr>
            </w:pPr>
            <w:r w:rsidRPr="00854BC5">
              <w:rPr>
                <w:rFonts w:ascii="Bookman Old Style" w:hAnsi="Bookman Old Style" w:cs="Arial"/>
                <w:spacing w:val="-3"/>
              </w:rPr>
              <w:t>Directo</w:t>
            </w:r>
            <w:r w:rsidR="00612447">
              <w:rPr>
                <w:rFonts w:ascii="Bookman Old Style" w:hAnsi="Bookman Old Style" w:cs="Arial"/>
                <w:spacing w:val="-3"/>
              </w:rPr>
              <w:t>r</w:t>
            </w:r>
            <w:r w:rsidRPr="00854BC5">
              <w:rPr>
                <w:rFonts w:ascii="Bookman Old Style" w:hAnsi="Bookman Old Style" w:cs="Arial"/>
                <w:spacing w:val="-3"/>
              </w:rPr>
              <w:t xml:space="preserve"> Ejecutiv</w:t>
            </w:r>
            <w:r w:rsidR="00612447">
              <w:rPr>
                <w:rFonts w:ascii="Bookman Old Style" w:hAnsi="Bookman Old Style" w:cs="Arial"/>
                <w:spacing w:val="-3"/>
              </w:rPr>
              <w:t>o</w:t>
            </w:r>
            <w:r w:rsidRPr="00854BC5">
              <w:rPr>
                <w:rFonts w:ascii="Bookman Old Style" w:hAnsi="Bookman Old Style" w:cs="Arial"/>
                <w:spacing w:val="-3"/>
              </w:rPr>
              <w:t xml:space="preserve"> </w:t>
            </w:r>
          </w:p>
        </w:tc>
      </w:tr>
    </w:tbl>
    <w:p w14:paraId="06D1A33A" w14:textId="3BA7FF33" w:rsidR="00756823" w:rsidRDefault="00756823" w:rsidP="006B3017">
      <w:pPr>
        <w:widowControl w:val="0"/>
        <w:adjustRightInd w:val="0"/>
        <w:ind w:left="0"/>
        <w:jc w:val="center"/>
        <w:rPr>
          <w:rFonts w:ascii="Bookman Old Style" w:hAnsi="Bookman Old Style" w:cs="Arial"/>
          <w:b/>
          <w:sz w:val="20"/>
        </w:rPr>
      </w:pPr>
    </w:p>
    <w:p w14:paraId="36F60A11" w14:textId="17ECED0B" w:rsidR="00FB3A31" w:rsidRDefault="00FB3A31" w:rsidP="006B3017">
      <w:pPr>
        <w:widowControl w:val="0"/>
        <w:adjustRightInd w:val="0"/>
        <w:ind w:left="0"/>
        <w:jc w:val="center"/>
        <w:rPr>
          <w:rFonts w:ascii="Bookman Old Style" w:hAnsi="Bookman Old Style" w:cs="Arial"/>
          <w:b/>
          <w:sz w:val="20"/>
        </w:rPr>
      </w:pPr>
    </w:p>
    <w:p w14:paraId="774E81AE" w14:textId="19D1E361" w:rsidR="00FB3A31" w:rsidRDefault="00FB3A31" w:rsidP="006B3017">
      <w:pPr>
        <w:widowControl w:val="0"/>
        <w:adjustRightInd w:val="0"/>
        <w:ind w:left="0"/>
        <w:jc w:val="center"/>
        <w:rPr>
          <w:rFonts w:ascii="Bookman Old Style" w:hAnsi="Bookman Old Style" w:cs="Arial"/>
          <w:b/>
          <w:sz w:val="20"/>
        </w:rPr>
      </w:pPr>
    </w:p>
    <w:p w14:paraId="240CBAC2" w14:textId="77777777" w:rsidR="00FB3A31" w:rsidRDefault="00FB3A31" w:rsidP="006B3017">
      <w:pPr>
        <w:widowControl w:val="0"/>
        <w:adjustRightInd w:val="0"/>
        <w:ind w:left="0"/>
        <w:jc w:val="center"/>
        <w:rPr>
          <w:rFonts w:ascii="Bookman Old Style" w:hAnsi="Bookman Old Style" w:cs="Arial"/>
          <w:b/>
          <w:sz w:val="20"/>
        </w:rPr>
      </w:pPr>
    </w:p>
    <w:p w14:paraId="43615DB2" w14:textId="77777777" w:rsidR="00C32063" w:rsidRDefault="00C32063" w:rsidP="006B3017">
      <w:pPr>
        <w:widowControl w:val="0"/>
        <w:adjustRightInd w:val="0"/>
        <w:ind w:left="0"/>
        <w:jc w:val="center"/>
        <w:rPr>
          <w:rFonts w:ascii="Bookman Old Style" w:hAnsi="Bookman Old Style" w:cs="Arial"/>
          <w:b/>
          <w:sz w:val="20"/>
        </w:rPr>
      </w:pPr>
    </w:p>
    <w:p w14:paraId="3203A71B" w14:textId="7A7B8BB1" w:rsidR="001E4F2E" w:rsidRDefault="001E4F2E" w:rsidP="006B3017">
      <w:pPr>
        <w:widowControl w:val="0"/>
        <w:adjustRightInd w:val="0"/>
        <w:ind w:left="0"/>
        <w:jc w:val="center"/>
        <w:rPr>
          <w:rFonts w:ascii="Bookman Old Style" w:hAnsi="Bookman Old Style" w:cs="Arial"/>
          <w:b/>
          <w:sz w:val="20"/>
        </w:rPr>
      </w:pPr>
    </w:p>
    <w:p w14:paraId="70AB0893" w14:textId="3AF28D84" w:rsidR="00D0293E" w:rsidRDefault="00D0293E" w:rsidP="006B3017">
      <w:pPr>
        <w:widowControl w:val="0"/>
        <w:adjustRightInd w:val="0"/>
        <w:ind w:left="0"/>
        <w:jc w:val="center"/>
        <w:rPr>
          <w:rFonts w:ascii="Bookman Old Style" w:hAnsi="Bookman Old Style" w:cs="Arial"/>
          <w:b/>
          <w:sz w:val="20"/>
        </w:rPr>
      </w:pPr>
    </w:p>
    <w:p w14:paraId="062BE3B6" w14:textId="0FEF8558" w:rsidR="007400D7" w:rsidRDefault="007400D7" w:rsidP="006B3017">
      <w:pPr>
        <w:widowControl w:val="0"/>
        <w:adjustRightInd w:val="0"/>
        <w:ind w:left="0"/>
        <w:jc w:val="center"/>
        <w:rPr>
          <w:rFonts w:ascii="Bookman Old Style" w:hAnsi="Bookman Old Style" w:cs="Arial"/>
          <w:b/>
          <w:sz w:val="20"/>
        </w:rPr>
      </w:pPr>
    </w:p>
    <w:p w14:paraId="4FD3D1DA" w14:textId="77777777" w:rsidR="00447CFB" w:rsidRDefault="00447CFB" w:rsidP="006B3017">
      <w:pPr>
        <w:widowControl w:val="0"/>
        <w:adjustRightInd w:val="0"/>
        <w:ind w:left="0"/>
        <w:jc w:val="center"/>
        <w:rPr>
          <w:rFonts w:ascii="Bookman Old Style" w:hAnsi="Bookman Old Style" w:cs="Arial"/>
          <w:b/>
          <w:sz w:val="20"/>
        </w:rPr>
      </w:pPr>
    </w:p>
    <w:sectPr w:rsidR="00447CFB" w:rsidSect="0050413D">
      <w:headerReference w:type="default" r:id="rId19"/>
      <w:headerReference w:type="first" r:id="rId20"/>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FCC3" w14:textId="77777777" w:rsidR="00E33498" w:rsidRDefault="00E33498">
      <w:r>
        <w:separator/>
      </w:r>
    </w:p>
  </w:endnote>
  <w:endnote w:type="continuationSeparator" w:id="0">
    <w:p w14:paraId="7413596C" w14:textId="77777777" w:rsidR="00E33498" w:rsidRDefault="00E33498">
      <w:r>
        <w:continuationSeparator/>
      </w:r>
    </w:p>
  </w:endnote>
  <w:endnote w:type="continuationNotice" w:id="1">
    <w:p w14:paraId="19A67052" w14:textId="77777777" w:rsidR="00E33498" w:rsidRDefault="00E33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ACA6" w14:textId="77777777" w:rsidR="00E33498" w:rsidRDefault="00E33498">
      <w:r>
        <w:separator/>
      </w:r>
    </w:p>
  </w:footnote>
  <w:footnote w:type="continuationSeparator" w:id="0">
    <w:p w14:paraId="6FBA82DF" w14:textId="77777777" w:rsidR="00E33498" w:rsidRDefault="00E33498">
      <w:r>
        <w:continuationSeparator/>
      </w:r>
    </w:p>
  </w:footnote>
  <w:footnote w:type="continuationNotice" w:id="1">
    <w:p w14:paraId="44FC663B" w14:textId="77777777" w:rsidR="00E33498" w:rsidRDefault="00E33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CD7BE5" w:rsidRDefault="00CD7BE5" w:rsidP="00951F79">
    <w:pPr>
      <w:pStyle w:val="Ttulo1"/>
      <w:ind w:right="6"/>
      <w:jc w:val="left"/>
      <w:rPr>
        <w:rFonts w:ascii="Bookman Old Style" w:hAnsi="Bookman Old Style" w:cs="Arial"/>
        <w:b w:val="0"/>
        <w:sz w:val="22"/>
        <w:szCs w:val="22"/>
      </w:rPr>
    </w:pPr>
  </w:p>
  <w:p w14:paraId="7315D676" w14:textId="3C49FFE2" w:rsidR="00CD7BE5" w:rsidRPr="00951F79" w:rsidRDefault="00CD7BE5" w:rsidP="005B50DF">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5C3D2E">
      <w:rPr>
        <w:rFonts w:ascii="Bookman Old Style" w:hAnsi="Bookman Old Style" w:cs="Arial"/>
        <w:bCs/>
        <w:szCs w:val="24"/>
        <w:u w:val="single"/>
      </w:rPr>
      <w:t>241</w:t>
    </w:r>
    <w:proofErr w:type="gramEnd"/>
    <w:r>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5C3D2E">
      <w:rPr>
        <w:rFonts w:ascii="Bookman Old Style" w:hAnsi="Bookman Old Style" w:cs="Arial"/>
        <w:bCs/>
        <w:szCs w:val="24"/>
        <w:u w:val="single"/>
      </w:rPr>
      <w:t>29</w:t>
    </w:r>
    <w:r w:rsidRPr="007D73FF">
      <w:rPr>
        <w:rFonts w:ascii="Bookman Old Style" w:hAnsi="Bookman Old Style" w:cs="Arial"/>
        <w:bCs/>
        <w:szCs w:val="24"/>
        <w:u w:val="single"/>
      </w:rPr>
      <w:t xml:space="preserve"> DIC. 202</w:t>
    </w:r>
    <w:r>
      <w:rPr>
        <w:rFonts w:ascii="Bookman Old Style" w:hAnsi="Bookman Old Style" w:cs="Arial"/>
        <w:bCs/>
        <w:szCs w:val="24"/>
        <w:u w:val="single"/>
      </w:rPr>
      <w:t>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B75544">
      <w:rPr>
        <w:rFonts w:ascii="Bookman Old Style" w:hAnsi="Bookman Old Style" w:cs="Arial"/>
        <w:b w:val="0"/>
        <w:noProof/>
        <w:sz w:val="22"/>
        <w:szCs w:val="22"/>
      </w:rPr>
      <w:t>12</w:t>
    </w:r>
    <w:r>
      <w:rPr>
        <w:rFonts w:ascii="Bookman Old Style" w:hAnsi="Bookman Old Style" w:cs="Arial"/>
        <w:b w:val="0"/>
        <w:noProof/>
        <w:sz w:val="22"/>
        <w:szCs w:val="22"/>
      </w:rPr>
      <w:fldChar w:fldCharType="end"/>
    </w:r>
  </w:p>
  <w:p w14:paraId="27D15C8C" w14:textId="77777777" w:rsidR="00CD7BE5" w:rsidRDefault="00CD7BE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007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08B7F1CC" w14:textId="6847A567" w:rsidR="00CD7BE5" w:rsidRPr="005C3D2E" w:rsidRDefault="00CD7BE5" w:rsidP="00761659">
    <w:pPr>
      <w:ind w:left="0"/>
      <w:jc w:val="both"/>
      <w:rPr>
        <w:rFonts w:ascii="Bookman Old Style" w:hAnsi="Bookman Old Style" w:cs="Arial"/>
        <w:sz w:val="22"/>
        <w:szCs w:val="22"/>
        <w:lang w:val="es-ES_tradnl"/>
      </w:rPr>
    </w:pPr>
    <w:r w:rsidRPr="005C3D2E">
      <w:rPr>
        <w:rFonts w:ascii="Bookman Old Style" w:hAnsi="Bookman Old Style" w:cs="Arial"/>
        <w:sz w:val="22"/>
        <w:szCs w:val="22"/>
        <w:lang w:val="es-ES_tradnl"/>
      </w:rPr>
      <w:t xml:space="preserve">Por la cual se resuelve el recurso interpuesto por la empresa </w:t>
    </w:r>
    <w:r w:rsidR="00465D74" w:rsidRPr="005C3D2E">
      <w:rPr>
        <w:rFonts w:ascii="Bookman Old Style" w:hAnsi="Bookman Old Style" w:cs="Arial"/>
        <w:sz w:val="22"/>
        <w:szCs w:val="22"/>
        <w:lang w:val="es-ES_tradnl"/>
      </w:rPr>
      <w:t>ENERCER</w:t>
    </w:r>
    <w:r w:rsidRPr="005C3D2E">
      <w:rPr>
        <w:rFonts w:ascii="Bookman Old Style" w:hAnsi="Bookman Old Style" w:cs="Arial"/>
        <w:sz w:val="22"/>
        <w:szCs w:val="22"/>
        <w:lang w:val="es-ES_tradnl"/>
      </w:rPr>
      <w:t xml:space="preserve"> S.A. E.S.P. contra la Resolución CREG 162 de 2021, “</w:t>
    </w:r>
    <w:r w:rsidRPr="005C3D2E">
      <w:rPr>
        <w:rFonts w:ascii="Bookman Old Style" w:hAnsi="Bookman Old Style" w:cs="Arial"/>
        <w:i/>
        <w:sz w:val="22"/>
        <w:szCs w:val="22"/>
        <w:lang w:val="es-ES_tradnl"/>
      </w:rPr>
      <w:t>Por la cual se aprueba el cargo de distribución por uso del sistema de distribución de Gas Natural Comprimido (GNC) por redes de tubería para el mercado relevante conformado por el Municipio de Úmbita en el Departamento de Boyacá</w:t>
    </w:r>
    <w:r w:rsidRPr="005C3D2E">
      <w:rPr>
        <w:rFonts w:ascii="Bookman Old Style" w:hAnsi="Bookman Old Style" w:cs="Arial"/>
        <w:sz w:val="22"/>
        <w:szCs w:val="22"/>
        <w:lang w:val="es-ES_tradnl"/>
      </w:rPr>
      <w:t>.”</w:t>
    </w:r>
  </w:p>
  <w:p w14:paraId="3E935677" w14:textId="798A77E2" w:rsidR="00CD7BE5" w:rsidRPr="00761659" w:rsidRDefault="00CD7BE5"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CD7BE5" w:rsidRPr="00E93409" w:rsidRDefault="00CD7BE5"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CD7BE5" w:rsidRDefault="00CD7BE5"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CD7BE5" w:rsidRDefault="00CD7BE5">
    <w:pPr>
      <w:pStyle w:val="Encabezado"/>
      <w:jc w:val="center"/>
      <w:rPr>
        <w:rFonts w:ascii="Arial" w:hAnsi="Arial" w:cs="Arial"/>
        <w:spacing w:val="20"/>
        <w:sz w:val="20"/>
      </w:rPr>
    </w:pPr>
  </w:p>
  <w:p w14:paraId="6C7B22A4" w14:textId="77777777" w:rsidR="00CD7BE5" w:rsidRDefault="00CD7BE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3FF5"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931B96"/>
    <w:multiLevelType w:val="hybridMultilevel"/>
    <w:tmpl w:val="3B4ACE66"/>
    <w:lvl w:ilvl="0" w:tplc="7130E1C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574846"/>
    <w:multiLevelType w:val="hybridMultilevel"/>
    <w:tmpl w:val="C49659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8B"/>
    <w:multiLevelType w:val="hybridMultilevel"/>
    <w:tmpl w:val="75E8D60A"/>
    <w:lvl w:ilvl="0" w:tplc="E0E40F2C">
      <w:start w:val="5"/>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882078"/>
    <w:multiLevelType w:val="hybridMultilevel"/>
    <w:tmpl w:val="B840ECCE"/>
    <w:lvl w:ilvl="0" w:tplc="511E857C">
      <w:start w:val="7"/>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31640C"/>
    <w:multiLevelType w:val="multilevel"/>
    <w:tmpl w:val="FCEA2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192ED7"/>
    <w:multiLevelType w:val="hybridMultilevel"/>
    <w:tmpl w:val="36ACD3CA"/>
    <w:lvl w:ilvl="0" w:tplc="7130E1C0">
      <w:numFmt w:val="bullet"/>
      <w:lvlText w:val=""/>
      <w:lvlJc w:val="left"/>
      <w:pPr>
        <w:ind w:left="1080" w:hanging="360"/>
      </w:pPr>
      <w:rPr>
        <w:rFonts w:ascii="Bookman Old Style" w:eastAsia="Times New Roman" w:hAnsi="Bookman Old Style"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F1E58D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7496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AD7CBD"/>
    <w:multiLevelType w:val="hybridMultilevel"/>
    <w:tmpl w:val="54548A1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20399D"/>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F64BF7"/>
    <w:multiLevelType w:val="hybridMultilevel"/>
    <w:tmpl w:val="34E4871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63310EDF"/>
    <w:multiLevelType w:val="hybridMultilevel"/>
    <w:tmpl w:val="667AA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412DCD"/>
    <w:multiLevelType w:val="hybridMultilevel"/>
    <w:tmpl w:val="B3703FD4"/>
    <w:lvl w:ilvl="0" w:tplc="D8C2402A">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6F7371"/>
    <w:multiLevelType w:val="multilevel"/>
    <w:tmpl w:val="3B72CF30"/>
    <w:lvl w:ilvl="0">
      <w:start w:val="6"/>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710E08BE"/>
    <w:multiLevelType w:val="hybridMultilevel"/>
    <w:tmpl w:val="0AFA8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1714B7"/>
    <w:multiLevelType w:val="multilevel"/>
    <w:tmpl w:val="240A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7CC279F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43444"/>
    <w:multiLevelType w:val="hybridMultilevel"/>
    <w:tmpl w:val="11AC3156"/>
    <w:lvl w:ilvl="0" w:tplc="12FCC0BA">
      <w:start w:val="1"/>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F521DB"/>
    <w:multiLevelType w:val="hybridMultilevel"/>
    <w:tmpl w:val="2C7630C0"/>
    <w:lvl w:ilvl="0" w:tplc="EB825ACE">
      <w:start w:val="6"/>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6"/>
  </w:num>
  <w:num w:numId="9">
    <w:abstractNumId w:val="9"/>
  </w:num>
  <w:num w:numId="10">
    <w:abstractNumId w:val="4"/>
  </w:num>
  <w:num w:numId="11">
    <w:abstractNumId w:val="18"/>
  </w:num>
  <w:num w:numId="12">
    <w:abstractNumId w:val="22"/>
  </w:num>
  <w:num w:numId="13">
    <w:abstractNumId w:val="12"/>
  </w:num>
  <w:num w:numId="14">
    <w:abstractNumId w:val="23"/>
  </w:num>
  <w:num w:numId="15">
    <w:abstractNumId w:val="13"/>
  </w:num>
  <w:num w:numId="16">
    <w:abstractNumId w:val="19"/>
  </w:num>
  <w:num w:numId="17">
    <w:abstractNumId w:val="25"/>
  </w:num>
  <w:num w:numId="18">
    <w:abstractNumId w:val="14"/>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8"/>
  </w:num>
  <w:num w:numId="24">
    <w:abstractNumId w:val="16"/>
  </w:num>
  <w:num w:numId="25">
    <w:abstractNumId w:val="3"/>
  </w:num>
  <w:num w:numId="26">
    <w:abstractNumId w:val="10"/>
  </w:num>
  <w:num w:numId="27">
    <w:abstractNumId w:val="5"/>
  </w:num>
  <w:num w:numId="28">
    <w:abstractNumId w:val="24"/>
  </w:num>
  <w:num w:numId="2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0F28"/>
    <w:rsid w:val="000011BD"/>
    <w:rsid w:val="00002637"/>
    <w:rsid w:val="000029D1"/>
    <w:rsid w:val="00003A05"/>
    <w:rsid w:val="00003ED7"/>
    <w:rsid w:val="000048CB"/>
    <w:rsid w:val="000050E4"/>
    <w:rsid w:val="00005D8F"/>
    <w:rsid w:val="0000682F"/>
    <w:rsid w:val="00006AE2"/>
    <w:rsid w:val="000076A1"/>
    <w:rsid w:val="00007A7A"/>
    <w:rsid w:val="00007CA0"/>
    <w:rsid w:val="00007FB7"/>
    <w:rsid w:val="00010337"/>
    <w:rsid w:val="00010783"/>
    <w:rsid w:val="00010D37"/>
    <w:rsid w:val="00012259"/>
    <w:rsid w:val="000127D7"/>
    <w:rsid w:val="00014279"/>
    <w:rsid w:val="000143E8"/>
    <w:rsid w:val="000146D0"/>
    <w:rsid w:val="0001472D"/>
    <w:rsid w:val="00014E2E"/>
    <w:rsid w:val="00016C18"/>
    <w:rsid w:val="000175DD"/>
    <w:rsid w:val="0002011D"/>
    <w:rsid w:val="000211CD"/>
    <w:rsid w:val="00023FC2"/>
    <w:rsid w:val="00025383"/>
    <w:rsid w:val="00025654"/>
    <w:rsid w:val="00026C28"/>
    <w:rsid w:val="000275B9"/>
    <w:rsid w:val="0002789F"/>
    <w:rsid w:val="0003128C"/>
    <w:rsid w:val="000312F2"/>
    <w:rsid w:val="0003161B"/>
    <w:rsid w:val="000316CB"/>
    <w:rsid w:val="00031C20"/>
    <w:rsid w:val="00031D31"/>
    <w:rsid w:val="00031DA1"/>
    <w:rsid w:val="00033643"/>
    <w:rsid w:val="00033B17"/>
    <w:rsid w:val="00034210"/>
    <w:rsid w:val="00034816"/>
    <w:rsid w:val="00035B25"/>
    <w:rsid w:val="00035D47"/>
    <w:rsid w:val="00036435"/>
    <w:rsid w:val="00037EA4"/>
    <w:rsid w:val="000402AB"/>
    <w:rsid w:val="00040A9E"/>
    <w:rsid w:val="00040EE6"/>
    <w:rsid w:val="00040F56"/>
    <w:rsid w:val="00042A07"/>
    <w:rsid w:val="00043131"/>
    <w:rsid w:val="00043258"/>
    <w:rsid w:val="00043A9A"/>
    <w:rsid w:val="0004510B"/>
    <w:rsid w:val="000457EB"/>
    <w:rsid w:val="0004655A"/>
    <w:rsid w:val="00050211"/>
    <w:rsid w:val="00050F7F"/>
    <w:rsid w:val="000534E0"/>
    <w:rsid w:val="000537E8"/>
    <w:rsid w:val="00053F4C"/>
    <w:rsid w:val="0005493F"/>
    <w:rsid w:val="00055B77"/>
    <w:rsid w:val="00055DB0"/>
    <w:rsid w:val="00055ED2"/>
    <w:rsid w:val="000568BA"/>
    <w:rsid w:val="00056CFE"/>
    <w:rsid w:val="000571E5"/>
    <w:rsid w:val="0005728B"/>
    <w:rsid w:val="00057400"/>
    <w:rsid w:val="00060D57"/>
    <w:rsid w:val="00061CE9"/>
    <w:rsid w:val="0006208A"/>
    <w:rsid w:val="0006287B"/>
    <w:rsid w:val="00062D7C"/>
    <w:rsid w:val="000633D7"/>
    <w:rsid w:val="00063657"/>
    <w:rsid w:val="00064C12"/>
    <w:rsid w:val="00065E14"/>
    <w:rsid w:val="000664AE"/>
    <w:rsid w:val="000679CE"/>
    <w:rsid w:val="00067A66"/>
    <w:rsid w:val="000700EE"/>
    <w:rsid w:val="000715DB"/>
    <w:rsid w:val="00071793"/>
    <w:rsid w:val="000719A3"/>
    <w:rsid w:val="00072A62"/>
    <w:rsid w:val="00072CB1"/>
    <w:rsid w:val="00073DA2"/>
    <w:rsid w:val="0007411A"/>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48AE"/>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1E9"/>
    <w:rsid w:val="0009427C"/>
    <w:rsid w:val="000953F3"/>
    <w:rsid w:val="00095539"/>
    <w:rsid w:val="00096E1F"/>
    <w:rsid w:val="000A02B2"/>
    <w:rsid w:val="000A19AC"/>
    <w:rsid w:val="000A3172"/>
    <w:rsid w:val="000A3FDC"/>
    <w:rsid w:val="000A4571"/>
    <w:rsid w:val="000A4757"/>
    <w:rsid w:val="000A5A11"/>
    <w:rsid w:val="000A603C"/>
    <w:rsid w:val="000A64BA"/>
    <w:rsid w:val="000A7381"/>
    <w:rsid w:val="000A77FB"/>
    <w:rsid w:val="000A7E74"/>
    <w:rsid w:val="000B02BC"/>
    <w:rsid w:val="000B03C2"/>
    <w:rsid w:val="000B12B6"/>
    <w:rsid w:val="000B1611"/>
    <w:rsid w:val="000B17F7"/>
    <w:rsid w:val="000B1B19"/>
    <w:rsid w:val="000B1F1D"/>
    <w:rsid w:val="000B2345"/>
    <w:rsid w:val="000B2CF0"/>
    <w:rsid w:val="000B3AAB"/>
    <w:rsid w:val="000B3C29"/>
    <w:rsid w:val="000B4904"/>
    <w:rsid w:val="000B56BD"/>
    <w:rsid w:val="000B5CD1"/>
    <w:rsid w:val="000B6582"/>
    <w:rsid w:val="000B667A"/>
    <w:rsid w:val="000B71EB"/>
    <w:rsid w:val="000C1134"/>
    <w:rsid w:val="000C1E0E"/>
    <w:rsid w:val="000C2731"/>
    <w:rsid w:val="000C2A68"/>
    <w:rsid w:val="000C3239"/>
    <w:rsid w:val="000C3A8C"/>
    <w:rsid w:val="000C4768"/>
    <w:rsid w:val="000C6D28"/>
    <w:rsid w:val="000C750F"/>
    <w:rsid w:val="000C75DA"/>
    <w:rsid w:val="000D1308"/>
    <w:rsid w:val="000D26F8"/>
    <w:rsid w:val="000D2924"/>
    <w:rsid w:val="000D2F29"/>
    <w:rsid w:val="000D2FF3"/>
    <w:rsid w:val="000D329B"/>
    <w:rsid w:val="000D3571"/>
    <w:rsid w:val="000D3AAC"/>
    <w:rsid w:val="000D5E85"/>
    <w:rsid w:val="000E01B8"/>
    <w:rsid w:val="000E2037"/>
    <w:rsid w:val="000E2466"/>
    <w:rsid w:val="000E31B8"/>
    <w:rsid w:val="000E41E3"/>
    <w:rsid w:val="000E4585"/>
    <w:rsid w:val="000E58A2"/>
    <w:rsid w:val="000E5A0A"/>
    <w:rsid w:val="000E606B"/>
    <w:rsid w:val="000E6221"/>
    <w:rsid w:val="000E644D"/>
    <w:rsid w:val="000E65FF"/>
    <w:rsid w:val="000E6BBF"/>
    <w:rsid w:val="000E7A38"/>
    <w:rsid w:val="000E7D39"/>
    <w:rsid w:val="000E7F51"/>
    <w:rsid w:val="000F03C6"/>
    <w:rsid w:val="000F058F"/>
    <w:rsid w:val="000F0A3D"/>
    <w:rsid w:val="000F1132"/>
    <w:rsid w:val="000F18B2"/>
    <w:rsid w:val="000F1934"/>
    <w:rsid w:val="000F1B97"/>
    <w:rsid w:val="000F258C"/>
    <w:rsid w:val="000F2D9D"/>
    <w:rsid w:val="000F3230"/>
    <w:rsid w:val="000F378D"/>
    <w:rsid w:val="000F410B"/>
    <w:rsid w:val="000F70CB"/>
    <w:rsid w:val="000F7A63"/>
    <w:rsid w:val="0010055F"/>
    <w:rsid w:val="00101A42"/>
    <w:rsid w:val="00101B41"/>
    <w:rsid w:val="00103092"/>
    <w:rsid w:val="00103ADF"/>
    <w:rsid w:val="00103CA7"/>
    <w:rsid w:val="00104971"/>
    <w:rsid w:val="00104A91"/>
    <w:rsid w:val="00105238"/>
    <w:rsid w:val="00105372"/>
    <w:rsid w:val="001054DA"/>
    <w:rsid w:val="00106F63"/>
    <w:rsid w:val="0010707E"/>
    <w:rsid w:val="001072B9"/>
    <w:rsid w:val="001074BA"/>
    <w:rsid w:val="00107DF6"/>
    <w:rsid w:val="001105FE"/>
    <w:rsid w:val="00110B58"/>
    <w:rsid w:val="001112C5"/>
    <w:rsid w:val="0011285B"/>
    <w:rsid w:val="00112AEA"/>
    <w:rsid w:val="00113128"/>
    <w:rsid w:val="0011341F"/>
    <w:rsid w:val="00113949"/>
    <w:rsid w:val="001139FA"/>
    <w:rsid w:val="00113EC5"/>
    <w:rsid w:val="00115BD8"/>
    <w:rsid w:val="001173B6"/>
    <w:rsid w:val="0011783F"/>
    <w:rsid w:val="00117B62"/>
    <w:rsid w:val="00117F3A"/>
    <w:rsid w:val="001202B9"/>
    <w:rsid w:val="00120B9F"/>
    <w:rsid w:val="00121318"/>
    <w:rsid w:val="0012200E"/>
    <w:rsid w:val="00122666"/>
    <w:rsid w:val="00122CFB"/>
    <w:rsid w:val="00123206"/>
    <w:rsid w:val="00123268"/>
    <w:rsid w:val="0012368E"/>
    <w:rsid w:val="00123915"/>
    <w:rsid w:val="0012404A"/>
    <w:rsid w:val="00125DD7"/>
    <w:rsid w:val="00126BD3"/>
    <w:rsid w:val="001279E4"/>
    <w:rsid w:val="0013017C"/>
    <w:rsid w:val="00130B51"/>
    <w:rsid w:val="00131585"/>
    <w:rsid w:val="0013223E"/>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073F"/>
    <w:rsid w:val="00141013"/>
    <w:rsid w:val="001425A9"/>
    <w:rsid w:val="00143228"/>
    <w:rsid w:val="001432BF"/>
    <w:rsid w:val="0014397D"/>
    <w:rsid w:val="001454C3"/>
    <w:rsid w:val="00145E12"/>
    <w:rsid w:val="001465D3"/>
    <w:rsid w:val="00146A9D"/>
    <w:rsid w:val="00146C85"/>
    <w:rsid w:val="00146D9B"/>
    <w:rsid w:val="00147472"/>
    <w:rsid w:val="00147B56"/>
    <w:rsid w:val="00147D61"/>
    <w:rsid w:val="001500CB"/>
    <w:rsid w:val="001504DB"/>
    <w:rsid w:val="001511BF"/>
    <w:rsid w:val="00152FB0"/>
    <w:rsid w:val="001532AA"/>
    <w:rsid w:val="00154173"/>
    <w:rsid w:val="0015489E"/>
    <w:rsid w:val="00154D61"/>
    <w:rsid w:val="00154FAB"/>
    <w:rsid w:val="00155B5A"/>
    <w:rsid w:val="00155EEB"/>
    <w:rsid w:val="00156E4C"/>
    <w:rsid w:val="00157EAF"/>
    <w:rsid w:val="00160B5E"/>
    <w:rsid w:val="0016110D"/>
    <w:rsid w:val="00161239"/>
    <w:rsid w:val="001622E7"/>
    <w:rsid w:val="00163CA1"/>
    <w:rsid w:val="00163F5C"/>
    <w:rsid w:val="0016699F"/>
    <w:rsid w:val="00167398"/>
    <w:rsid w:val="00171BE4"/>
    <w:rsid w:val="00171D08"/>
    <w:rsid w:val="00173344"/>
    <w:rsid w:val="001733F0"/>
    <w:rsid w:val="00174788"/>
    <w:rsid w:val="001748A3"/>
    <w:rsid w:val="0017553D"/>
    <w:rsid w:val="00175723"/>
    <w:rsid w:val="00175814"/>
    <w:rsid w:val="00175A6F"/>
    <w:rsid w:val="00175CF3"/>
    <w:rsid w:val="00176720"/>
    <w:rsid w:val="0017720A"/>
    <w:rsid w:val="00177737"/>
    <w:rsid w:val="00177A83"/>
    <w:rsid w:val="00177F2B"/>
    <w:rsid w:val="00180389"/>
    <w:rsid w:val="001803B2"/>
    <w:rsid w:val="00180D00"/>
    <w:rsid w:val="00181E33"/>
    <w:rsid w:val="00181E84"/>
    <w:rsid w:val="00181EEA"/>
    <w:rsid w:val="00182325"/>
    <w:rsid w:val="00183014"/>
    <w:rsid w:val="00183F10"/>
    <w:rsid w:val="00184F26"/>
    <w:rsid w:val="0018547A"/>
    <w:rsid w:val="001860F6"/>
    <w:rsid w:val="001867CB"/>
    <w:rsid w:val="00186F89"/>
    <w:rsid w:val="001870B7"/>
    <w:rsid w:val="001877F2"/>
    <w:rsid w:val="00190580"/>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00DF"/>
    <w:rsid w:val="001A24C6"/>
    <w:rsid w:val="001A3480"/>
    <w:rsid w:val="001A3E58"/>
    <w:rsid w:val="001A3E77"/>
    <w:rsid w:val="001A4204"/>
    <w:rsid w:val="001A499A"/>
    <w:rsid w:val="001A56FE"/>
    <w:rsid w:val="001A5736"/>
    <w:rsid w:val="001A5946"/>
    <w:rsid w:val="001A5F1B"/>
    <w:rsid w:val="001A5F78"/>
    <w:rsid w:val="001A7622"/>
    <w:rsid w:val="001A7702"/>
    <w:rsid w:val="001A7BF8"/>
    <w:rsid w:val="001B0D07"/>
    <w:rsid w:val="001B1484"/>
    <w:rsid w:val="001B1B20"/>
    <w:rsid w:val="001B1C22"/>
    <w:rsid w:val="001B1D0D"/>
    <w:rsid w:val="001B29DD"/>
    <w:rsid w:val="001B2A11"/>
    <w:rsid w:val="001B34C6"/>
    <w:rsid w:val="001B363E"/>
    <w:rsid w:val="001B3C74"/>
    <w:rsid w:val="001B4978"/>
    <w:rsid w:val="001B4A81"/>
    <w:rsid w:val="001B53CE"/>
    <w:rsid w:val="001B6003"/>
    <w:rsid w:val="001B6198"/>
    <w:rsid w:val="001B61EB"/>
    <w:rsid w:val="001B63E5"/>
    <w:rsid w:val="001B6AC6"/>
    <w:rsid w:val="001B7932"/>
    <w:rsid w:val="001C11FC"/>
    <w:rsid w:val="001C1345"/>
    <w:rsid w:val="001C1568"/>
    <w:rsid w:val="001C1B0B"/>
    <w:rsid w:val="001C1E7E"/>
    <w:rsid w:val="001C24F8"/>
    <w:rsid w:val="001C25B5"/>
    <w:rsid w:val="001C340A"/>
    <w:rsid w:val="001C3899"/>
    <w:rsid w:val="001C3A51"/>
    <w:rsid w:val="001C4977"/>
    <w:rsid w:val="001C557C"/>
    <w:rsid w:val="001C58DF"/>
    <w:rsid w:val="001C5ED9"/>
    <w:rsid w:val="001C6723"/>
    <w:rsid w:val="001C6C99"/>
    <w:rsid w:val="001C7B61"/>
    <w:rsid w:val="001D033A"/>
    <w:rsid w:val="001D0C22"/>
    <w:rsid w:val="001D26E6"/>
    <w:rsid w:val="001D47FC"/>
    <w:rsid w:val="001D4CD5"/>
    <w:rsid w:val="001D61E6"/>
    <w:rsid w:val="001D6474"/>
    <w:rsid w:val="001D7832"/>
    <w:rsid w:val="001D7CCB"/>
    <w:rsid w:val="001E03CA"/>
    <w:rsid w:val="001E1178"/>
    <w:rsid w:val="001E1F32"/>
    <w:rsid w:val="001E243D"/>
    <w:rsid w:val="001E2BE7"/>
    <w:rsid w:val="001E2CCF"/>
    <w:rsid w:val="001E2FAE"/>
    <w:rsid w:val="001E30E3"/>
    <w:rsid w:val="001E34A9"/>
    <w:rsid w:val="001E3EF6"/>
    <w:rsid w:val="001E3F03"/>
    <w:rsid w:val="001E4F2E"/>
    <w:rsid w:val="001E5601"/>
    <w:rsid w:val="001E738F"/>
    <w:rsid w:val="001E748F"/>
    <w:rsid w:val="001E7C29"/>
    <w:rsid w:val="001F1001"/>
    <w:rsid w:val="001F1AE4"/>
    <w:rsid w:val="001F2709"/>
    <w:rsid w:val="001F2B89"/>
    <w:rsid w:val="001F2BD1"/>
    <w:rsid w:val="001F2D36"/>
    <w:rsid w:val="001F3765"/>
    <w:rsid w:val="001F3D38"/>
    <w:rsid w:val="001F473F"/>
    <w:rsid w:val="001F47A7"/>
    <w:rsid w:val="001F4AC3"/>
    <w:rsid w:val="001F640A"/>
    <w:rsid w:val="001F7298"/>
    <w:rsid w:val="001F7E08"/>
    <w:rsid w:val="00200D10"/>
    <w:rsid w:val="00200EFB"/>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670"/>
    <w:rsid w:val="00217844"/>
    <w:rsid w:val="00217C1B"/>
    <w:rsid w:val="00217EB8"/>
    <w:rsid w:val="002209C0"/>
    <w:rsid w:val="002217C7"/>
    <w:rsid w:val="00221F55"/>
    <w:rsid w:val="002223A2"/>
    <w:rsid w:val="0022433C"/>
    <w:rsid w:val="00224C43"/>
    <w:rsid w:val="00225B9D"/>
    <w:rsid w:val="00226ECF"/>
    <w:rsid w:val="002271C4"/>
    <w:rsid w:val="002277F4"/>
    <w:rsid w:val="00227D82"/>
    <w:rsid w:val="002300AF"/>
    <w:rsid w:val="00230611"/>
    <w:rsid w:val="00231F80"/>
    <w:rsid w:val="00232DD5"/>
    <w:rsid w:val="00232F92"/>
    <w:rsid w:val="00233AAF"/>
    <w:rsid w:val="002342FB"/>
    <w:rsid w:val="00235ECE"/>
    <w:rsid w:val="002360C2"/>
    <w:rsid w:val="002361F4"/>
    <w:rsid w:val="00236B26"/>
    <w:rsid w:val="00236ECE"/>
    <w:rsid w:val="0023701C"/>
    <w:rsid w:val="00237A3D"/>
    <w:rsid w:val="00237FDF"/>
    <w:rsid w:val="002403B4"/>
    <w:rsid w:val="002403D8"/>
    <w:rsid w:val="00240455"/>
    <w:rsid w:val="00240780"/>
    <w:rsid w:val="00240B25"/>
    <w:rsid w:val="00241181"/>
    <w:rsid w:val="00241399"/>
    <w:rsid w:val="00241433"/>
    <w:rsid w:val="0024232D"/>
    <w:rsid w:val="0024265A"/>
    <w:rsid w:val="0024290F"/>
    <w:rsid w:val="00243DE3"/>
    <w:rsid w:val="00243E8F"/>
    <w:rsid w:val="00243F06"/>
    <w:rsid w:val="002442D8"/>
    <w:rsid w:val="00244322"/>
    <w:rsid w:val="00244B12"/>
    <w:rsid w:val="00244BF2"/>
    <w:rsid w:val="00246AA1"/>
    <w:rsid w:val="00246C1A"/>
    <w:rsid w:val="00247A0C"/>
    <w:rsid w:val="00247A14"/>
    <w:rsid w:val="00247DBF"/>
    <w:rsid w:val="00247FBB"/>
    <w:rsid w:val="00250C29"/>
    <w:rsid w:val="00250FD2"/>
    <w:rsid w:val="0025249B"/>
    <w:rsid w:val="00252A8C"/>
    <w:rsid w:val="0025335C"/>
    <w:rsid w:val="00253A5E"/>
    <w:rsid w:val="00253C6A"/>
    <w:rsid w:val="00253EC3"/>
    <w:rsid w:val="00253FDC"/>
    <w:rsid w:val="00256E7D"/>
    <w:rsid w:val="00256FF6"/>
    <w:rsid w:val="0025717E"/>
    <w:rsid w:val="00257288"/>
    <w:rsid w:val="00260569"/>
    <w:rsid w:val="002606F0"/>
    <w:rsid w:val="00260D1C"/>
    <w:rsid w:val="002610B2"/>
    <w:rsid w:val="00261BF8"/>
    <w:rsid w:val="0026413A"/>
    <w:rsid w:val="00264514"/>
    <w:rsid w:val="00264A77"/>
    <w:rsid w:val="0026623A"/>
    <w:rsid w:val="002668B5"/>
    <w:rsid w:val="00266CD6"/>
    <w:rsid w:val="00266F72"/>
    <w:rsid w:val="002709F5"/>
    <w:rsid w:val="0027139C"/>
    <w:rsid w:val="002715FC"/>
    <w:rsid w:val="00271CEB"/>
    <w:rsid w:val="0027226A"/>
    <w:rsid w:val="0027242C"/>
    <w:rsid w:val="00273301"/>
    <w:rsid w:val="0027346B"/>
    <w:rsid w:val="00273977"/>
    <w:rsid w:val="00273C2C"/>
    <w:rsid w:val="00273F6E"/>
    <w:rsid w:val="00274246"/>
    <w:rsid w:val="00274885"/>
    <w:rsid w:val="0027548A"/>
    <w:rsid w:val="0027551E"/>
    <w:rsid w:val="00275533"/>
    <w:rsid w:val="0027595D"/>
    <w:rsid w:val="00275BAD"/>
    <w:rsid w:val="00275DAB"/>
    <w:rsid w:val="002760C7"/>
    <w:rsid w:val="0027665D"/>
    <w:rsid w:val="0027773E"/>
    <w:rsid w:val="0027774F"/>
    <w:rsid w:val="00280C73"/>
    <w:rsid w:val="0028104F"/>
    <w:rsid w:val="002817D6"/>
    <w:rsid w:val="0028181E"/>
    <w:rsid w:val="00281BA8"/>
    <w:rsid w:val="00281C19"/>
    <w:rsid w:val="00283BDF"/>
    <w:rsid w:val="00283E1C"/>
    <w:rsid w:val="00283ED9"/>
    <w:rsid w:val="00283EFF"/>
    <w:rsid w:val="002849DC"/>
    <w:rsid w:val="002849F9"/>
    <w:rsid w:val="002853D1"/>
    <w:rsid w:val="00285C0F"/>
    <w:rsid w:val="00285D62"/>
    <w:rsid w:val="002861B3"/>
    <w:rsid w:val="00286443"/>
    <w:rsid w:val="002872ED"/>
    <w:rsid w:val="002874D5"/>
    <w:rsid w:val="0029089A"/>
    <w:rsid w:val="00291508"/>
    <w:rsid w:val="002919B7"/>
    <w:rsid w:val="00294802"/>
    <w:rsid w:val="00295885"/>
    <w:rsid w:val="002958D2"/>
    <w:rsid w:val="002967DB"/>
    <w:rsid w:val="00296FCA"/>
    <w:rsid w:val="00297099"/>
    <w:rsid w:val="00297A92"/>
    <w:rsid w:val="002A12EA"/>
    <w:rsid w:val="002A1593"/>
    <w:rsid w:val="002A234D"/>
    <w:rsid w:val="002A345B"/>
    <w:rsid w:val="002A4E96"/>
    <w:rsid w:val="002A606F"/>
    <w:rsid w:val="002A6ABB"/>
    <w:rsid w:val="002A71E9"/>
    <w:rsid w:val="002A782A"/>
    <w:rsid w:val="002B11E2"/>
    <w:rsid w:val="002B14D1"/>
    <w:rsid w:val="002B1B36"/>
    <w:rsid w:val="002B1D0B"/>
    <w:rsid w:val="002B24B8"/>
    <w:rsid w:val="002B34EB"/>
    <w:rsid w:val="002B41EC"/>
    <w:rsid w:val="002B4E8D"/>
    <w:rsid w:val="002B5BB1"/>
    <w:rsid w:val="002B7B22"/>
    <w:rsid w:val="002C03E1"/>
    <w:rsid w:val="002C06A1"/>
    <w:rsid w:val="002C0796"/>
    <w:rsid w:val="002C0A7D"/>
    <w:rsid w:val="002C1029"/>
    <w:rsid w:val="002C3480"/>
    <w:rsid w:val="002C465D"/>
    <w:rsid w:val="002C4AAC"/>
    <w:rsid w:val="002C5AF2"/>
    <w:rsid w:val="002C5FDD"/>
    <w:rsid w:val="002C655E"/>
    <w:rsid w:val="002C69FA"/>
    <w:rsid w:val="002D0016"/>
    <w:rsid w:val="002D08AE"/>
    <w:rsid w:val="002D0C0D"/>
    <w:rsid w:val="002D0C9E"/>
    <w:rsid w:val="002D16E4"/>
    <w:rsid w:val="002D1ECA"/>
    <w:rsid w:val="002D200F"/>
    <w:rsid w:val="002D2CEF"/>
    <w:rsid w:val="002D3AE9"/>
    <w:rsid w:val="002D436B"/>
    <w:rsid w:val="002D4510"/>
    <w:rsid w:val="002D48BD"/>
    <w:rsid w:val="002D574B"/>
    <w:rsid w:val="002D601D"/>
    <w:rsid w:val="002D6573"/>
    <w:rsid w:val="002D6B88"/>
    <w:rsid w:val="002D6C3C"/>
    <w:rsid w:val="002D747B"/>
    <w:rsid w:val="002E0B83"/>
    <w:rsid w:val="002E0C2C"/>
    <w:rsid w:val="002E41C0"/>
    <w:rsid w:val="002E4959"/>
    <w:rsid w:val="002E4DC3"/>
    <w:rsid w:val="002E5905"/>
    <w:rsid w:val="002E6011"/>
    <w:rsid w:val="002E6134"/>
    <w:rsid w:val="002E6F42"/>
    <w:rsid w:val="002E7264"/>
    <w:rsid w:val="002F06A0"/>
    <w:rsid w:val="002F0734"/>
    <w:rsid w:val="002F0CC9"/>
    <w:rsid w:val="002F2CD9"/>
    <w:rsid w:val="002F30E3"/>
    <w:rsid w:val="002F3A87"/>
    <w:rsid w:val="002F46E7"/>
    <w:rsid w:val="002F47F1"/>
    <w:rsid w:val="002F5BFD"/>
    <w:rsid w:val="002F5D62"/>
    <w:rsid w:val="002F5E3D"/>
    <w:rsid w:val="002F6394"/>
    <w:rsid w:val="002F64D0"/>
    <w:rsid w:val="002F6C5F"/>
    <w:rsid w:val="002F73E4"/>
    <w:rsid w:val="002F7A85"/>
    <w:rsid w:val="002F7BC3"/>
    <w:rsid w:val="00300063"/>
    <w:rsid w:val="00300577"/>
    <w:rsid w:val="00300907"/>
    <w:rsid w:val="00300C58"/>
    <w:rsid w:val="00300D23"/>
    <w:rsid w:val="00302AF5"/>
    <w:rsid w:val="003030F5"/>
    <w:rsid w:val="00303396"/>
    <w:rsid w:val="003034E2"/>
    <w:rsid w:val="00303C3C"/>
    <w:rsid w:val="00304DB9"/>
    <w:rsid w:val="003054A5"/>
    <w:rsid w:val="00305A65"/>
    <w:rsid w:val="003101DA"/>
    <w:rsid w:val="00310331"/>
    <w:rsid w:val="003106A1"/>
    <w:rsid w:val="0031070D"/>
    <w:rsid w:val="00312369"/>
    <w:rsid w:val="0031290F"/>
    <w:rsid w:val="00312C4A"/>
    <w:rsid w:val="00313430"/>
    <w:rsid w:val="003137EB"/>
    <w:rsid w:val="003139B0"/>
    <w:rsid w:val="00313D49"/>
    <w:rsid w:val="00313E86"/>
    <w:rsid w:val="00314693"/>
    <w:rsid w:val="00314757"/>
    <w:rsid w:val="00315C7E"/>
    <w:rsid w:val="003160F6"/>
    <w:rsid w:val="003161AB"/>
    <w:rsid w:val="00316D76"/>
    <w:rsid w:val="00317451"/>
    <w:rsid w:val="00317759"/>
    <w:rsid w:val="00317CC1"/>
    <w:rsid w:val="00317D39"/>
    <w:rsid w:val="00317E61"/>
    <w:rsid w:val="00320711"/>
    <w:rsid w:val="00320809"/>
    <w:rsid w:val="00320A00"/>
    <w:rsid w:val="00320B79"/>
    <w:rsid w:val="003211CE"/>
    <w:rsid w:val="003216FD"/>
    <w:rsid w:val="00321766"/>
    <w:rsid w:val="00321C98"/>
    <w:rsid w:val="00321E6C"/>
    <w:rsid w:val="00322D30"/>
    <w:rsid w:val="00322F64"/>
    <w:rsid w:val="003258AB"/>
    <w:rsid w:val="00325C3A"/>
    <w:rsid w:val="00326082"/>
    <w:rsid w:val="0032669A"/>
    <w:rsid w:val="00327D22"/>
    <w:rsid w:val="00327DBD"/>
    <w:rsid w:val="00327FC7"/>
    <w:rsid w:val="00330797"/>
    <w:rsid w:val="0033099C"/>
    <w:rsid w:val="003314FD"/>
    <w:rsid w:val="0033191F"/>
    <w:rsid w:val="00331EB0"/>
    <w:rsid w:val="00332EE0"/>
    <w:rsid w:val="00333109"/>
    <w:rsid w:val="00333396"/>
    <w:rsid w:val="00334168"/>
    <w:rsid w:val="00334FDF"/>
    <w:rsid w:val="00335537"/>
    <w:rsid w:val="00340412"/>
    <w:rsid w:val="00341E8F"/>
    <w:rsid w:val="00342037"/>
    <w:rsid w:val="00342606"/>
    <w:rsid w:val="00342DE0"/>
    <w:rsid w:val="003430F9"/>
    <w:rsid w:val="00345FA9"/>
    <w:rsid w:val="003464E2"/>
    <w:rsid w:val="00346E50"/>
    <w:rsid w:val="00350E9C"/>
    <w:rsid w:val="003518A4"/>
    <w:rsid w:val="00351C25"/>
    <w:rsid w:val="003523B6"/>
    <w:rsid w:val="0035347F"/>
    <w:rsid w:val="0035403A"/>
    <w:rsid w:val="00354CE5"/>
    <w:rsid w:val="00354EB0"/>
    <w:rsid w:val="00354F1D"/>
    <w:rsid w:val="00355285"/>
    <w:rsid w:val="003565D5"/>
    <w:rsid w:val="00356756"/>
    <w:rsid w:val="00356C1B"/>
    <w:rsid w:val="00357C00"/>
    <w:rsid w:val="00357DAB"/>
    <w:rsid w:val="003609E9"/>
    <w:rsid w:val="00360ADB"/>
    <w:rsid w:val="00361664"/>
    <w:rsid w:val="00361B99"/>
    <w:rsid w:val="003624B0"/>
    <w:rsid w:val="0036394B"/>
    <w:rsid w:val="00363D86"/>
    <w:rsid w:val="003648EA"/>
    <w:rsid w:val="00364E6F"/>
    <w:rsid w:val="00364E90"/>
    <w:rsid w:val="0036558D"/>
    <w:rsid w:val="00366574"/>
    <w:rsid w:val="00367295"/>
    <w:rsid w:val="0036751E"/>
    <w:rsid w:val="00367F57"/>
    <w:rsid w:val="003700B5"/>
    <w:rsid w:val="003709B5"/>
    <w:rsid w:val="00372506"/>
    <w:rsid w:val="003734BE"/>
    <w:rsid w:val="0037387F"/>
    <w:rsid w:val="00373986"/>
    <w:rsid w:val="00373B71"/>
    <w:rsid w:val="0037468F"/>
    <w:rsid w:val="00374A95"/>
    <w:rsid w:val="003759C2"/>
    <w:rsid w:val="0037622C"/>
    <w:rsid w:val="003768AC"/>
    <w:rsid w:val="00376E42"/>
    <w:rsid w:val="00377941"/>
    <w:rsid w:val="0038016C"/>
    <w:rsid w:val="003803C3"/>
    <w:rsid w:val="00380D89"/>
    <w:rsid w:val="00380EC8"/>
    <w:rsid w:val="00383497"/>
    <w:rsid w:val="00384193"/>
    <w:rsid w:val="003846C6"/>
    <w:rsid w:val="003846CB"/>
    <w:rsid w:val="00384BE4"/>
    <w:rsid w:val="00385984"/>
    <w:rsid w:val="0038717F"/>
    <w:rsid w:val="00387A57"/>
    <w:rsid w:val="003914AB"/>
    <w:rsid w:val="00391B3F"/>
    <w:rsid w:val="003926E5"/>
    <w:rsid w:val="003943C4"/>
    <w:rsid w:val="00394B66"/>
    <w:rsid w:val="00394C4B"/>
    <w:rsid w:val="003956D0"/>
    <w:rsid w:val="00395ECD"/>
    <w:rsid w:val="00396899"/>
    <w:rsid w:val="00397365"/>
    <w:rsid w:val="003A09AA"/>
    <w:rsid w:val="003A2480"/>
    <w:rsid w:val="003A2C11"/>
    <w:rsid w:val="003A2C30"/>
    <w:rsid w:val="003A2CCD"/>
    <w:rsid w:val="003A31F6"/>
    <w:rsid w:val="003A3340"/>
    <w:rsid w:val="003A3799"/>
    <w:rsid w:val="003A46CB"/>
    <w:rsid w:val="003A596E"/>
    <w:rsid w:val="003A5C87"/>
    <w:rsid w:val="003A6434"/>
    <w:rsid w:val="003A65DA"/>
    <w:rsid w:val="003A71FD"/>
    <w:rsid w:val="003A722D"/>
    <w:rsid w:val="003A7891"/>
    <w:rsid w:val="003A789A"/>
    <w:rsid w:val="003A7E3C"/>
    <w:rsid w:val="003B0605"/>
    <w:rsid w:val="003B10B9"/>
    <w:rsid w:val="003B16AB"/>
    <w:rsid w:val="003B183E"/>
    <w:rsid w:val="003B2178"/>
    <w:rsid w:val="003B394F"/>
    <w:rsid w:val="003B46A0"/>
    <w:rsid w:val="003B48A4"/>
    <w:rsid w:val="003B4967"/>
    <w:rsid w:val="003B5489"/>
    <w:rsid w:val="003B5608"/>
    <w:rsid w:val="003B5C95"/>
    <w:rsid w:val="003B65CC"/>
    <w:rsid w:val="003B691E"/>
    <w:rsid w:val="003B6A60"/>
    <w:rsid w:val="003B75B5"/>
    <w:rsid w:val="003B769B"/>
    <w:rsid w:val="003B7819"/>
    <w:rsid w:val="003B7A7D"/>
    <w:rsid w:val="003B7EFA"/>
    <w:rsid w:val="003C0F79"/>
    <w:rsid w:val="003C19BA"/>
    <w:rsid w:val="003C1DCC"/>
    <w:rsid w:val="003C2230"/>
    <w:rsid w:val="003C234B"/>
    <w:rsid w:val="003C24AD"/>
    <w:rsid w:val="003C29AD"/>
    <w:rsid w:val="003C3004"/>
    <w:rsid w:val="003C3447"/>
    <w:rsid w:val="003C37C1"/>
    <w:rsid w:val="003C3BCB"/>
    <w:rsid w:val="003C53D8"/>
    <w:rsid w:val="003C5D63"/>
    <w:rsid w:val="003C6B91"/>
    <w:rsid w:val="003C7080"/>
    <w:rsid w:val="003C7783"/>
    <w:rsid w:val="003D051A"/>
    <w:rsid w:val="003D076C"/>
    <w:rsid w:val="003D0972"/>
    <w:rsid w:val="003D0F43"/>
    <w:rsid w:val="003D21D5"/>
    <w:rsid w:val="003D2E75"/>
    <w:rsid w:val="003D32BA"/>
    <w:rsid w:val="003D3597"/>
    <w:rsid w:val="003D42FC"/>
    <w:rsid w:val="003D4DDE"/>
    <w:rsid w:val="003D5D9B"/>
    <w:rsid w:val="003D5E6D"/>
    <w:rsid w:val="003D5E91"/>
    <w:rsid w:val="003D740F"/>
    <w:rsid w:val="003E0379"/>
    <w:rsid w:val="003E048C"/>
    <w:rsid w:val="003E1A4F"/>
    <w:rsid w:val="003E2B23"/>
    <w:rsid w:val="003E2FE2"/>
    <w:rsid w:val="003E4F0D"/>
    <w:rsid w:val="003E5F3A"/>
    <w:rsid w:val="003E6859"/>
    <w:rsid w:val="003E7718"/>
    <w:rsid w:val="003E78B5"/>
    <w:rsid w:val="003E7EF9"/>
    <w:rsid w:val="003F0076"/>
    <w:rsid w:val="003F07D1"/>
    <w:rsid w:val="003F0E65"/>
    <w:rsid w:val="003F2794"/>
    <w:rsid w:val="003F2CCD"/>
    <w:rsid w:val="003F30F4"/>
    <w:rsid w:val="003F3F58"/>
    <w:rsid w:val="003F5384"/>
    <w:rsid w:val="003F5A31"/>
    <w:rsid w:val="003F72A4"/>
    <w:rsid w:val="003F7FBF"/>
    <w:rsid w:val="004007B3"/>
    <w:rsid w:val="004015B4"/>
    <w:rsid w:val="00403005"/>
    <w:rsid w:val="00403322"/>
    <w:rsid w:val="00403B63"/>
    <w:rsid w:val="00404163"/>
    <w:rsid w:val="00404192"/>
    <w:rsid w:val="00404201"/>
    <w:rsid w:val="00404DA1"/>
    <w:rsid w:val="00405BB4"/>
    <w:rsid w:val="0040653C"/>
    <w:rsid w:val="00406A28"/>
    <w:rsid w:val="00407C9B"/>
    <w:rsid w:val="00407E99"/>
    <w:rsid w:val="00410015"/>
    <w:rsid w:val="004104E0"/>
    <w:rsid w:val="004109F1"/>
    <w:rsid w:val="00411770"/>
    <w:rsid w:val="00411B7F"/>
    <w:rsid w:val="00411DFB"/>
    <w:rsid w:val="00412982"/>
    <w:rsid w:val="00413EF7"/>
    <w:rsid w:val="004157D7"/>
    <w:rsid w:val="00415BAB"/>
    <w:rsid w:val="00415ED2"/>
    <w:rsid w:val="00415FAD"/>
    <w:rsid w:val="00416119"/>
    <w:rsid w:val="00416B74"/>
    <w:rsid w:val="004170C4"/>
    <w:rsid w:val="0042068C"/>
    <w:rsid w:val="00420A8E"/>
    <w:rsid w:val="00420EC8"/>
    <w:rsid w:val="0042141F"/>
    <w:rsid w:val="004229E7"/>
    <w:rsid w:val="004230D4"/>
    <w:rsid w:val="00423E5C"/>
    <w:rsid w:val="0042468E"/>
    <w:rsid w:val="004248D0"/>
    <w:rsid w:val="00424F38"/>
    <w:rsid w:val="004260E0"/>
    <w:rsid w:val="00426523"/>
    <w:rsid w:val="0042690C"/>
    <w:rsid w:val="00426A4C"/>
    <w:rsid w:val="00427943"/>
    <w:rsid w:val="00427D5C"/>
    <w:rsid w:val="00430182"/>
    <w:rsid w:val="00430FE8"/>
    <w:rsid w:val="0043168B"/>
    <w:rsid w:val="00431A8E"/>
    <w:rsid w:val="0043557A"/>
    <w:rsid w:val="004355FC"/>
    <w:rsid w:val="00436CBA"/>
    <w:rsid w:val="00436F3F"/>
    <w:rsid w:val="0043795A"/>
    <w:rsid w:val="0044048C"/>
    <w:rsid w:val="004406FB"/>
    <w:rsid w:val="00441C4E"/>
    <w:rsid w:val="0044228B"/>
    <w:rsid w:val="00442762"/>
    <w:rsid w:val="00442FA4"/>
    <w:rsid w:val="00443D9A"/>
    <w:rsid w:val="00445DD5"/>
    <w:rsid w:val="004460A6"/>
    <w:rsid w:val="004463FB"/>
    <w:rsid w:val="00447CFB"/>
    <w:rsid w:val="0045040D"/>
    <w:rsid w:val="004505D7"/>
    <w:rsid w:val="00450B0A"/>
    <w:rsid w:val="00452CD6"/>
    <w:rsid w:val="00452F36"/>
    <w:rsid w:val="004537E4"/>
    <w:rsid w:val="004551B3"/>
    <w:rsid w:val="00456169"/>
    <w:rsid w:val="00456B3B"/>
    <w:rsid w:val="00456F63"/>
    <w:rsid w:val="004607D8"/>
    <w:rsid w:val="00460916"/>
    <w:rsid w:val="00461242"/>
    <w:rsid w:val="0046176B"/>
    <w:rsid w:val="00461DC6"/>
    <w:rsid w:val="00462087"/>
    <w:rsid w:val="0046259D"/>
    <w:rsid w:val="00463197"/>
    <w:rsid w:val="00463575"/>
    <w:rsid w:val="00463F18"/>
    <w:rsid w:val="0046434F"/>
    <w:rsid w:val="00464E09"/>
    <w:rsid w:val="004656CD"/>
    <w:rsid w:val="00465D6A"/>
    <w:rsid w:val="00465D74"/>
    <w:rsid w:val="004663DD"/>
    <w:rsid w:val="00466A7C"/>
    <w:rsid w:val="00467202"/>
    <w:rsid w:val="004672AD"/>
    <w:rsid w:val="00467408"/>
    <w:rsid w:val="0046783C"/>
    <w:rsid w:val="00470483"/>
    <w:rsid w:val="0047111B"/>
    <w:rsid w:val="0047122B"/>
    <w:rsid w:val="00471385"/>
    <w:rsid w:val="00471792"/>
    <w:rsid w:val="004717F9"/>
    <w:rsid w:val="00471CF4"/>
    <w:rsid w:val="00473772"/>
    <w:rsid w:val="004739C3"/>
    <w:rsid w:val="00473B7A"/>
    <w:rsid w:val="004749CE"/>
    <w:rsid w:val="00474A22"/>
    <w:rsid w:val="0047559B"/>
    <w:rsid w:val="0047562D"/>
    <w:rsid w:val="004756EF"/>
    <w:rsid w:val="004763D9"/>
    <w:rsid w:val="00476C91"/>
    <w:rsid w:val="00476EFF"/>
    <w:rsid w:val="00477210"/>
    <w:rsid w:val="00477585"/>
    <w:rsid w:val="0048012B"/>
    <w:rsid w:val="00480217"/>
    <w:rsid w:val="00480EF2"/>
    <w:rsid w:val="00480F35"/>
    <w:rsid w:val="00480F76"/>
    <w:rsid w:val="00481CD4"/>
    <w:rsid w:val="00481F9A"/>
    <w:rsid w:val="004836D5"/>
    <w:rsid w:val="004839A1"/>
    <w:rsid w:val="00483D9E"/>
    <w:rsid w:val="00484304"/>
    <w:rsid w:val="00485413"/>
    <w:rsid w:val="0048663D"/>
    <w:rsid w:val="004872CE"/>
    <w:rsid w:val="00490355"/>
    <w:rsid w:val="00491833"/>
    <w:rsid w:val="004926C2"/>
    <w:rsid w:val="00493655"/>
    <w:rsid w:val="00494396"/>
    <w:rsid w:val="00495119"/>
    <w:rsid w:val="00495A52"/>
    <w:rsid w:val="004960E9"/>
    <w:rsid w:val="0049624D"/>
    <w:rsid w:val="00496F1E"/>
    <w:rsid w:val="004970EE"/>
    <w:rsid w:val="004973C2"/>
    <w:rsid w:val="004A0540"/>
    <w:rsid w:val="004A094E"/>
    <w:rsid w:val="004A2218"/>
    <w:rsid w:val="004A2978"/>
    <w:rsid w:val="004A2E88"/>
    <w:rsid w:val="004A354F"/>
    <w:rsid w:val="004A44ED"/>
    <w:rsid w:val="004A4961"/>
    <w:rsid w:val="004A4B98"/>
    <w:rsid w:val="004A4E3A"/>
    <w:rsid w:val="004A5305"/>
    <w:rsid w:val="004A59F9"/>
    <w:rsid w:val="004A5E41"/>
    <w:rsid w:val="004A6280"/>
    <w:rsid w:val="004A67A1"/>
    <w:rsid w:val="004A7620"/>
    <w:rsid w:val="004A76AC"/>
    <w:rsid w:val="004A7C4C"/>
    <w:rsid w:val="004B0DA7"/>
    <w:rsid w:val="004B1369"/>
    <w:rsid w:val="004B1840"/>
    <w:rsid w:val="004B27BD"/>
    <w:rsid w:val="004B29CE"/>
    <w:rsid w:val="004B2E9D"/>
    <w:rsid w:val="004B3A3C"/>
    <w:rsid w:val="004B460E"/>
    <w:rsid w:val="004B4FB1"/>
    <w:rsid w:val="004B538E"/>
    <w:rsid w:val="004B594B"/>
    <w:rsid w:val="004B6351"/>
    <w:rsid w:val="004B6734"/>
    <w:rsid w:val="004B6850"/>
    <w:rsid w:val="004C1C08"/>
    <w:rsid w:val="004C2C42"/>
    <w:rsid w:val="004C37F9"/>
    <w:rsid w:val="004C3AAC"/>
    <w:rsid w:val="004C3CDD"/>
    <w:rsid w:val="004C4E22"/>
    <w:rsid w:val="004C4E6C"/>
    <w:rsid w:val="004C6927"/>
    <w:rsid w:val="004C6974"/>
    <w:rsid w:val="004C787E"/>
    <w:rsid w:val="004D0BC0"/>
    <w:rsid w:val="004D0C51"/>
    <w:rsid w:val="004D1783"/>
    <w:rsid w:val="004D19FA"/>
    <w:rsid w:val="004D2FD2"/>
    <w:rsid w:val="004D43AE"/>
    <w:rsid w:val="004D4B4A"/>
    <w:rsid w:val="004D4DAC"/>
    <w:rsid w:val="004D5674"/>
    <w:rsid w:val="004D5736"/>
    <w:rsid w:val="004D6B1B"/>
    <w:rsid w:val="004D6EB8"/>
    <w:rsid w:val="004D7020"/>
    <w:rsid w:val="004D7634"/>
    <w:rsid w:val="004D76A9"/>
    <w:rsid w:val="004D77B5"/>
    <w:rsid w:val="004D7D3F"/>
    <w:rsid w:val="004E07AB"/>
    <w:rsid w:val="004E1E32"/>
    <w:rsid w:val="004E1EB0"/>
    <w:rsid w:val="004E24C5"/>
    <w:rsid w:val="004E2802"/>
    <w:rsid w:val="004E45FB"/>
    <w:rsid w:val="004E46B6"/>
    <w:rsid w:val="004E69D2"/>
    <w:rsid w:val="004E74C7"/>
    <w:rsid w:val="004F1B83"/>
    <w:rsid w:val="004F2C02"/>
    <w:rsid w:val="004F371F"/>
    <w:rsid w:val="004F59F8"/>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34E"/>
    <w:rsid w:val="00504837"/>
    <w:rsid w:val="00504995"/>
    <w:rsid w:val="00504F36"/>
    <w:rsid w:val="00505258"/>
    <w:rsid w:val="005056B7"/>
    <w:rsid w:val="00505B33"/>
    <w:rsid w:val="00507421"/>
    <w:rsid w:val="00507FE5"/>
    <w:rsid w:val="005100D0"/>
    <w:rsid w:val="005105AA"/>
    <w:rsid w:val="005107F5"/>
    <w:rsid w:val="00510A9F"/>
    <w:rsid w:val="00512114"/>
    <w:rsid w:val="005123D0"/>
    <w:rsid w:val="005134B2"/>
    <w:rsid w:val="00513B60"/>
    <w:rsid w:val="00513D8D"/>
    <w:rsid w:val="00514A4C"/>
    <w:rsid w:val="00515932"/>
    <w:rsid w:val="00515F50"/>
    <w:rsid w:val="0051621D"/>
    <w:rsid w:val="005166E0"/>
    <w:rsid w:val="00517E37"/>
    <w:rsid w:val="0052046F"/>
    <w:rsid w:val="0052141A"/>
    <w:rsid w:val="005214DD"/>
    <w:rsid w:val="00521EDF"/>
    <w:rsid w:val="00521FB0"/>
    <w:rsid w:val="005230B1"/>
    <w:rsid w:val="00523E4D"/>
    <w:rsid w:val="00524272"/>
    <w:rsid w:val="00524A69"/>
    <w:rsid w:val="005258F2"/>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340"/>
    <w:rsid w:val="005376A6"/>
    <w:rsid w:val="00537AA5"/>
    <w:rsid w:val="00537DDE"/>
    <w:rsid w:val="0054050B"/>
    <w:rsid w:val="00541722"/>
    <w:rsid w:val="00541FD6"/>
    <w:rsid w:val="00542B81"/>
    <w:rsid w:val="0054370B"/>
    <w:rsid w:val="00544F82"/>
    <w:rsid w:val="00545C89"/>
    <w:rsid w:val="005469EE"/>
    <w:rsid w:val="00547FA4"/>
    <w:rsid w:val="005516A0"/>
    <w:rsid w:val="0055189B"/>
    <w:rsid w:val="00551C7E"/>
    <w:rsid w:val="00551DD6"/>
    <w:rsid w:val="00553AE5"/>
    <w:rsid w:val="005544E8"/>
    <w:rsid w:val="00554523"/>
    <w:rsid w:val="00554FFF"/>
    <w:rsid w:val="005571C6"/>
    <w:rsid w:val="005575BF"/>
    <w:rsid w:val="00560229"/>
    <w:rsid w:val="005608B2"/>
    <w:rsid w:val="00560A7E"/>
    <w:rsid w:val="00560B56"/>
    <w:rsid w:val="00560DA2"/>
    <w:rsid w:val="0056209E"/>
    <w:rsid w:val="005623A7"/>
    <w:rsid w:val="0056241B"/>
    <w:rsid w:val="00562E64"/>
    <w:rsid w:val="00563C3D"/>
    <w:rsid w:val="00564D78"/>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C6F"/>
    <w:rsid w:val="00577072"/>
    <w:rsid w:val="0057740E"/>
    <w:rsid w:val="00577B7E"/>
    <w:rsid w:val="005806CC"/>
    <w:rsid w:val="00580A04"/>
    <w:rsid w:val="00581897"/>
    <w:rsid w:val="005838FE"/>
    <w:rsid w:val="0058440D"/>
    <w:rsid w:val="0058479F"/>
    <w:rsid w:val="005848AA"/>
    <w:rsid w:val="00586977"/>
    <w:rsid w:val="005873FD"/>
    <w:rsid w:val="005878CC"/>
    <w:rsid w:val="00590723"/>
    <w:rsid w:val="00590A69"/>
    <w:rsid w:val="00590E65"/>
    <w:rsid w:val="00591693"/>
    <w:rsid w:val="00592E8C"/>
    <w:rsid w:val="0059325B"/>
    <w:rsid w:val="00593C4F"/>
    <w:rsid w:val="005946A8"/>
    <w:rsid w:val="00594D62"/>
    <w:rsid w:val="00595AA1"/>
    <w:rsid w:val="00596A33"/>
    <w:rsid w:val="00596A84"/>
    <w:rsid w:val="00596D99"/>
    <w:rsid w:val="00596DCC"/>
    <w:rsid w:val="00596E6F"/>
    <w:rsid w:val="0059774E"/>
    <w:rsid w:val="00597BFF"/>
    <w:rsid w:val="00597C9C"/>
    <w:rsid w:val="00597F49"/>
    <w:rsid w:val="005A04ED"/>
    <w:rsid w:val="005A0896"/>
    <w:rsid w:val="005A0D73"/>
    <w:rsid w:val="005A165B"/>
    <w:rsid w:val="005A2753"/>
    <w:rsid w:val="005A2C35"/>
    <w:rsid w:val="005A2D94"/>
    <w:rsid w:val="005A30B7"/>
    <w:rsid w:val="005A3220"/>
    <w:rsid w:val="005A3365"/>
    <w:rsid w:val="005A3EA7"/>
    <w:rsid w:val="005A3FBF"/>
    <w:rsid w:val="005A407B"/>
    <w:rsid w:val="005A4407"/>
    <w:rsid w:val="005A4DC9"/>
    <w:rsid w:val="005A504A"/>
    <w:rsid w:val="005A54BE"/>
    <w:rsid w:val="005A5588"/>
    <w:rsid w:val="005A55ED"/>
    <w:rsid w:val="005A59EF"/>
    <w:rsid w:val="005A5A44"/>
    <w:rsid w:val="005A60DF"/>
    <w:rsid w:val="005A7595"/>
    <w:rsid w:val="005A7D14"/>
    <w:rsid w:val="005A7E89"/>
    <w:rsid w:val="005B0111"/>
    <w:rsid w:val="005B06B4"/>
    <w:rsid w:val="005B1223"/>
    <w:rsid w:val="005B1B2E"/>
    <w:rsid w:val="005B1C91"/>
    <w:rsid w:val="005B2219"/>
    <w:rsid w:val="005B2DED"/>
    <w:rsid w:val="005B3B81"/>
    <w:rsid w:val="005B3F95"/>
    <w:rsid w:val="005B4CC4"/>
    <w:rsid w:val="005B50DF"/>
    <w:rsid w:val="005B5991"/>
    <w:rsid w:val="005B6CF4"/>
    <w:rsid w:val="005B7077"/>
    <w:rsid w:val="005B7290"/>
    <w:rsid w:val="005B7675"/>
    <w:rsid w:val="005C0388"/>
    <w:rsid w:val="005C0CFA"/>
    <w:rsid w:val="005C1F10"/>
    <w:rsid w:val="005C23AF"/>
    <w:rsid w:val="005C262D"/>
    <w:rsid w:val="005C2E5A"/>
    <w:rsid w:val="005C3C66"/>
    <w:rsid w:val="005C3D2E"/>
    <w:rsid w:val="005C41AF"/>
    <w:rsid w:val="005C4CD3"/>
    <w:rsid w:val="005C53C9"/>
    <w:rsid w:val="005C5807"/>
    <w:rsid w:val="005C6165"/>
    <w:rsid w:val="005C6868"/>
    <w:rsid w:val="005C6F09"/>
    <w:rsid w:val="005C73EB"/>
    <w:rsid w:val="005C761A"/>
    <w:rsid w:val="005C7C8B"/>
    <w:rsid w:val="005D0C11"/>
    <w:rsid w:val="005D14FB"/>
    <w:rsid w:val="005D2625"/>
    <w:rsid w:val="005D372E"/>
    <w:rsid w:val="005D4178"/>
    <w:rsid w:val="005D4573"/>
    <w:rsid w:val="005D4A19"/>
    <w:rsid w:val="005D4C62"/>
    <w:rsid w:val="005D4E4A"/>
    <w:rsid w:val="005D505B"/>
    <w:rsid w:val="005D58F4"/>
    <w:rsid w:val="005D6567"/>
    <w:rsid w:val="005D68C3"/>
    <w:rsid w:val="005D7696"/>
    <w:rsid w:val="005D77A0"/>
    <w:rsid w:val="005D7E02"/>
    <w:rsid w:val="005E035F"/>
    <w:rsid w:val="005E1DF1"/>
    <w:rsid w:val="005E260A"/>
    <w:rsid w:val="005E448B"/>
    <w:rsid w:val="005E44A9"/>
    <w:rsid w:val="005E55EB"/>
    <w:rsid w:val="005E66BA"/>
    <w:rsid w:val="005E6E20"/>
    <w:rsid w:val="005E6E63"/>
    <w:rsid w:val="005E783F"/>
    <w:rsid w:val="005E79CF"/>
    <w:rsid w:val="005E7FFA"/>
    <w:rsid w:val="005F0432"/>
    <w:rsid w:val="005F04C9"/>
    <w:rsid w:val="005F2A2E"/>
    <w:rsid w:val="005F30B6"/>
    <w:rsid w:val="005F343B"/>
    <w:rsid w:val="005F35CD"/>
    <w:rsid w:val="005F43A5"/>
    <w:rsid w:val="005F4633"/>
    <w:rsid w:val="005F4CF2"/>
    <w:rsid w:val="005F5071"/>
    <w:rsid w:val="005F583A"/>
    <w:rsid w:val="005F5C6A"/>
    <w:rsid w:val="005F5F07"/>
    <w:rsid w:val="005F6F41"/>
    <w:rsid w:val="005F7255"/>
    <w:rsid w:val="005F7505"/>
    <w:rsid w:val="00600248"/>
    <w:rsid w:val="006002C7"/>
    <w:rsid w:val="00600426"/>
    <w:rsid w:val="006005E4"/>
    <w:rsid w:val="00601C5F"/>
    <w:rsid w:val="00602050"/>
    <w:rsid w:val="006029DA"/>
    <w:rsid w:val="00602DA1"/>
    <w:rsid w:val="0060504A"/>
    <w:rsid w:val="006050B4"/>
    <w:rsid w:val="00605F60"/>
    <w:rsid w:val="0060662B"/>
    <w:rsid w:val="00606679"/>
    <w:rsid w:val="00607270"/>
    <w:rsid w:val="00607AA4"/>
    <w:rsid w:val="00611AFF"/>
    <w:rsid w:val="00611C6C"/>
    <w:rsid w:val="00611D6C"/>
    <w:rsid w:val="00612218"/>
    <w:rsid w:val="00612447"/>
    <w:rsid w:val="00613021"/>
    <w:rsid w:val="006130AA"/>
    <w:rsid w:val="006135EA"/>
    <w:rsid w:val="006147B3"/>
    <w:rsid w:val="0061489E"/>
    <w:rsid w:val="00614BF3"/>
    <w:rsid w:val="0061514C"/>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0D13"/>
    <w:rsid w:val="00631401"/>
    <w:rsid w:val="00631676"/>
    <w:rsid w:val="00631E8F"/>
    <w:rsid w:val="006328A4"/>
    <w:rsid w:val="00633738"/>
    <w:rsid w:val="00633A73"/>
    <w:rsid w:val="00633B0C"/>
    <w:rsid w:val="00634642"/>
    <w:rsid w:val="00635BCB"/>
    <w:rsid w:val="006360EF"/>
    <w:rsid w:val="0063697F"/>
    <w:rsid w:val="00636B42"/>
    <w:rsid w:val="00636ED7"/>
    <w:rsid w:val="00637B74"/>
    <w:rsid w:val="00640BF4"/>
    <w:rsid w:val="00641B1C"/>
    <w:rsid w:val="0064243D"/>
    <w:rsid w:val="0064391D"/>
    <w:rsid w:val="00643C5D"/>
    <w:rsid w:val="00643D49"/>
    <w:rsid w:val="0064486D"/>
    <w:rsid w:val="0064511D"/>
    <w:rsid w:val="006453AB"/>
    <w:rsid w:val="006460C8"/>
    <w:rsid w:val="00646339"/>
    <w:rsid w:val="00650B9A"/>
    <w:rsid w:val="00650D13"/>
    <w:rsid w:val="00651821"/>
    <w:rsid w:val="00651973"/>
    <w:rsid w:val="006531A2"/>
    <w:rsid w:val="00653AC6"/>
    <w:rsid w:val="00654384"/>
    <w:rsid w:val="00654413"/>
    <w:rsid w:val="00654A8D"/>
    <w:rsid w:val="006556BA"/>
    <w:rsid w:val="00655B6A"/>
    <w:rsid w:val="00655F73"/>
    <w:rsid w:val="0065621D"/>
    <w:rsid w:val="006565F2"/>
    <w:rsid w:val="00656686"/>
    <w:rsid w:val="00657D18"/>
    <w:rsid w:val="00657DE1"/>
    <w:rsid w:val="00660228"/>
    <w:rsid w:val="006605E7"/>
    <w:rsid w:val="00660F54"/>
    <w:rsid w:val="00661BDB"/>
    <w:rsid w:val="00662340"/>
    <w:rsid w:val="00662B20"/>
    <w:rsid w:val="0066321B"/>
    <w:rsid w:val="006632EE"/>
    <w:rsid w:val="006637E6"/>
    <w:rsid w:val="00663D4F"/>
    <w:rsid w:val="00663F0B"/>
    <w:rsid w:val="00664516"/>
    <w:rsid w:val="00665241"/>
    <w:rsid w:val="0066646A"/>
    <w:rsid w:val="0066706B"/>
    <w:rsid w:val="006672F7"/>
    <w:rsid w:val="006675CD"/>
    <w:rsid w:val="00667C82"/>
    <w:rsid w:val="0067002F"/>
    <w:rsid w:val="00670686"/>
    <w:rsid w:val="00670CF7"/>
    <w:rsid w:val="0067217B"/>
    <w:rsid w:val="0067262A"/>
    <w:rsid w:val="0067296D"/>
    <w:rsid w:val="00672A95"/>
    <w:rsid w:val="00672B47"/>
    <w:rsid w:val="00673D3C"/>
    <w:rsid w:val="0067451B"/>
    <w:rsid w:val="00674B45"/>
    <w:rsid w:val="00674C40"/>
    <w:rsid w:val="00674CF3"/>
    <w:rsid w:val="0067530D"/>
    <w:rsid w:val="00675DB2"/>
    <w:rsid w:val="00675E38"/>
    <w:rsid w:val="0067736F"/>
    <w:rsid w:val="0068016A"/>
    <w:rsid w:val="0068089E"/>
    <w:rsid w:val="00681AD8"/>
    <w:rsid w:val="00681CE5"/>
    <w:rsid w:val="00682647"/>
    <w:rsid w:val="006832C6"/>
    <w:rsid w:val="0068499C"/>
    <w:rsid w:val="00684C67"/>
    <w:rsid w:val="00684D9B"/>
    <w:rsid w:val="0068645C"/>
    <w:rsid w:val="00687BAD"/>
    <w:rsid w:val="00691D2C"/>
    <w:rsid w:val="006922CB"/>
    <w:rsid w:val="00692739"/>
    <w:rsid w:val="00692973"/>
    <w:rsid w:val="00692AD7"/>
    <w:rsid w:val="00692D20"/>
    <w:rsid w:val="0069448E"/>
    <w:rsid w:val="00694CD9"/>
    <w:rsid w:val="00695F36"/>
    <w:rsid w:val="006965D3"/>
    <w:rsid w:val="00697556"/>
    <w:rsid w:val="0069757F"/>
    <w:rsid w:val="00697FD0"/>
    <w:rsid w:val="006A01FE"/>
    <w:rsid w:val="006A154F"/>
    <w:rsid w:val="006A161A"/>
    <w:rsid w:val="006A1C3B"/>
    <w:rsid w:val="006A3295"/>
    <w:rsid w:val="006A4820"/>
    <w:rsid w:val="006A4E34"/>
    <w:rsid w:val="006A5307"/>
    <w:rsid w:val="006A5363"/>
    <w:rsid w:val="006A5965"/>
    <w:rsid w:val="006A5F25"/>
    <w:rsid w:val="006A69D0"/>
    <w:rsid w:val="006A6AC8"/>
    <w:rsid w:val="006A715F"/>
    <w:rsid w:val="006A7E8C"/>
    <w:rsid w:val="006B04D6"/>
    <w:rsid w:val="006B1C64"/>
    <w:rsid w:val="006B1FB2"/>
    <w:rsid w:val="006B2572"/>
    <w:rsid w:val="006B3017"/>
    <w:rsid w:val="006B381F"/>
    <w:rsid w:val="006B3CBF"/>
    <w:rsid w:val="006B3F46"/>
    <w:rsid w:val="006B4647"/>
    <w:rsid w:val="006B4AB1"/>
    <w:rsid w:val="006B4C2B"/>
    <w:rsid w:val="006B5916"/>
    <w:rsid w:val="006B5D87"/>
    <w:rsid w:val="006B5FB5"/>
    <w:rsid w:val="006B60D3"/>
    <w:rsid w:val="006B6374"/>
    <w:rsid w:val="006B6D47"/>
    <w:rsid w:val="006C0210"/>
    <w:rsid w:val="006C05A4"/>
    <w:rsid w:val="006C2525"/>
    <w:rsid w:val="006C2738"/>
    <w:rsid w:val="006C2ED8"/>
    <w:rsid w:val="006C2F36"/>
    <w:rsid w:val="006C35AA"/>
    <w:rsid w:val="006C436F"/>
    <w:rsid w:val="006C4A97"/>
    <w:rsid w:val="006C4B48"/>
    <w:rsid w:val="006C4F45"/>
    <w:rsid w:val="006C540F"/>
    <w:rsid w:val="006C5675"/>
    <w:rsid w:val="006C5AFE"/>
    <w:rsid w:val="006C6032"/>
    <w:rsid w:val="006C709E"/>
    <w:rsid w:val="006C7314"/>
    <w:rsid w:val="006C7686"/>
    <w:rsid w:val="006D0391"/>
    <w:rsid w:val="006D04C9"/>
    <w:rsid w:val="006D0A7A"/>
    <w:rsid w:val="006D0D5B"/>
    <w:rsid w:val="006D12BE"/>
    <w:rsid w:val="006D153F"/>
    <w:rsid w:val="006D305D"/>
    <w:rsid w:val="006D305F"/>
    <w:rsid w:val="006D34CD"/>
    <w:rsid w:val="006D38E0"/>
    <w:rsid w:val="006D3AE2"/>
    <w:rsid w:val="006D4F2E"/>
    <w:rsid w:val="006D6067"/>
    <w:rsid w:val="006D63C8"/>
    <w:rsid w:val="006D6A85"/>
    <w:rsid w:val="006E0C64"/>
    <w:rsid w:val="006E1C54"/>
    <w:rsid w:val="006E2265"/>
    <w:rsid w:val="006E2A04"/>
    <w:rsid w:val="006E3361"/>
    <w:rsid w:val="006E3D5F"/>
    <w:rsid w:val="006E42FB"/>
    <w:rsid w:val="006E45AE"/>
    <w:rsid w:val="006E5598"/>
    <w:rsid w:val="006E55B2"/>
    <w:rsid w:val="006E6484"/>
    <w:rsid w:val="006E65AE"/>
    <w:rsid w:val="006E73DE"/>
    <w:rsid w:val="006E78EE"/>
    <w:rsid w:val="006E7DE0"/>
    <w:rsid w:val="006F0827"/>
    <w:rsid w:val="006F1DB5"/>
    <w:rsid w:val="006F2BB0"/>
    <w:rsid w:val="006F2D8B"/>
    <w:rsid w:val="006F30E0"/>
    <w:rsid w:val="006F3BDC"/>
    <w:rsid w:val="006F3CE0"/>
    <w:rsid w:val="006F4C06"/>
    <w:rsid w:val="006F5797"/>
    <w:rsid w:val="006F5A20"/>
    <w:rsid w:val="006F5B60"/>
    <w:rsid w:val="006F5FEE"/>
    <w:rsid w:val="006F6855"/>
    <w:rsid w:val="006F6D2C"/>
    <w:rsid w:val="006F6D95"/>
    <w:rsid w:val="006F6E72"/>
    <w:rsid w:val="006F74A2"/>
    <w:rsid w:val="006F75FB"/>
    <w:rsid w:val="006F7700"/>
    <w:rsid w:val="006F7765"/>
    <w:rsid w:val="007009B9"/>
    <w:rsid w:val="007019FA"/>
    <w:rsid w:val="0070233A"/>
    <w:rsid w:val="00702880"/>
    <w:rsid w:val="0070296B"/>
    <w:rsid w:val="00702FC2"/>
    <w:rsid w:val="007032CF"/>
    <w:rsid w:val="00703A1F"/>
    <w:rsid w:val="00704166"/>
    <w:rsid w:val="00704312"/>
    <w:rsid w:val="00704FB4"/>
    <w:rsid w:val="00705269"/>
    <w:rsid w:val="00705BE4"/>
    <w:rsid w:val="00706D65"/>
    <w:rsid w:val="00706F13"/>
    <w:rsid w:val="007072E8"/>
    <w:rsid w:val="00707D58"/>
    <w:rsid w:val="007119BC"/>
    <w:rsid w:val="007119ED"/>
    <w:rsid w:val="00711BF4"/>
    <w:rsid w:val="00712394"/>
    <w:rsid w:val="00715488"/>
    <w:rsid w:val="0071618D"/>
    <w:rsid w:val="00716374"/>
    <w:rsid w:val="00716545"/>
    <w:rsid w:val="00716EFC"/>
    <w:rsid w:val="00717135"/>
    <w:rsid w:val="0072061C"/>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241"/>
    <w:rsid w:val="0073055C"/>
    <w:rsid w:val="00730825"/>
    <w:rsid w:val="0073086C"/>
    <w:rsid w:val="00730C9E"/>
    <w:rsid w:val="00730D43"/>
    <w:rsid w:val="007315E6"/>
    <w:rsid w:val="00732179"/>
    <w:rsid w:val="007322DC"/>
    <w:rsid w:val="00732A40"/>
    <w:rsid w:val="007331B2"/>
    <w:rsid w:val="00733551"/>
    <w:rsid w:val="00735302"/>
    <w:rsid w:val="00736B04"/>
    <w:rsid w:val="00736FC9"/>
    <w:rsid w:val="007400D7"/>
    <w:rsid w:val="007401F7"/>
    <w:rsid w:val="00740446"/>
    <w:rsid w:val="0074082F"/>
    <w:rsid w:val="00740ADA"/>
    <w:rsid w:val="00740B56"/>
    <w:rsid w:val="007426ED"/>
    <w:rsid w:val="00742C64"/>
    <w:rsid w:val="00742EEE"/>
    <w:rsid w:val="007438A9"/>
    <w:rsid w:val="00743D3C"/>
    <w:rsid w:val="0074491E"/>
    <w:rsid w:val="0074568F"/>
    <w:rsid w:val="00746066"/>
    <w:rsid w:val="007467F1"/>
    <w:rsid w:val="00746862"/>
    <w:rsid w:val="00746BF4"/>
    <w:rsid w:val="00747BD7"/>
    <w:rsid w:val="00751155"/>
    <w:rsid w:val="00751879"/>
    <w:rsid w:val="0075298A"/>
    <w:rsid w:val="00752A24"/>
    <w:rsid w:val="00753E59"/>
    <w:rsid w:val="00753EE3"/>
    <w:rsid w:val="007544EF"/>
    <w:rsid w:val="00754BEC"/>
    <w:rsid w:val="00755165"/>
    <w:rsid w:val="00756295"/>
    <w:rsid w:val="00756823"/>
    <w:rsid w:val="00757365"/>
    <w:rsid w:val="00757E52"/>
    <w:rsid w:val="00757F03"/>
    <w:rsid w:val="00761086"/>
    <w:rsid w:val="007614BA"/>
    <w:rsid w:val="00761659"/>
    <w:rsid w:val="00762246"/>
    <w:rsid w:val="0076247A"/>
    <w:rsid w:val="00762BAC"/>
    <w:rsid w:val="007640C9"/>
    <w:rsid w:val="00765153"/>
    <w:rsid w:val="0076581E"/>
    <w:rsid w:val="0076689B"/>
    <w:rsid w:val="00767414"/>
    <w:rsid w:val="00767540"/>
    <w:rsid w:val="00767B58"/>
    <w:rsid w:val="007704E4"/>
    <w:rsid w:val="00770818"/>
    <w:rsid w:val="007722A5"/>
    <w:rsid w:val="00772807"/>
    <w:rsid w:val="00772AD2"/>
    <w:rsid w:val="00772DA8"/>
    <w:rsid w:val="00773BA2"/>
    <w:rsid w:val="00775964"/>
    <w:rsid w:val="00776326"/>
    <w:rsid w:val="007765FE"/>
    <w:rsid w:val="00777002"/>
    <w:rsid w:val="007774A8"/>
    <w:rsid w:val="00780CD8"/>
    <w:rsid w:val="007814D0"/>
    <w:rsid w:val="00781B6A"/>
    <w:rsid w:val="0078249C"/>
    <w:rsid w:val="0078270B"/>
    <w:rsid w:val="007842C3"/>
    <w:rsid w:val="007843F9"/>
    <w:rsid w:val="00784B67"/>
    <w:rsid w:val="00787580"/>
    <w:rsid w:val="0078760A"/>
    <w:rsid w:val="007879AF"/>
    <w:rsid w:val="00787FC1"/>
    <w:rsid w:val="00791072"/>
    <w:rsid w:val="00793E29"/>
    <w:rsid w:val="00793F3E"/>
    <w:rsid w:val="00794EF7"/>
    <w:rsid w:val="00795585"/>
    <w:rsid w:val="00795BFB"/>
    <w:rsid w:val="0079614C"/>
    <w:rsid w:val="00797044"/>
    <w:rsid w:val="00797093"/>
    <w:rsid w:val="00797368"/>
    <w:rsid w:val="00797582"/>
    <w:rsid w:val="007979A7"/>
    <w:rsid w:val="00797B4A"/>
    <w:rsid w:val="00797B4F"/>
    <w:rsid w:val="007A097D"/>
    <w:rsid w:val="007A0BBA"/>
    <w:rsid w:val="007A0E9F"/>
    <w:rsid w:val="007A25C5"/>
    <w:rsid w:val="007A375E"/>
    <w:rsid w:val="007A5482"/>
    <w:rsid w:val="007A687C"/>
    <w:rsid w:val="007A77AA"/>
    <w:rsid w:val="007B0D3E"/>
    <w:rsid w:val="007B2760"/>
    <w:rsid w:val="007B2B2B"/>
    <w:rsid w:val="007B3764"/>
    <w:rsid w:val="007B4F9F"/>
    <w:rsid w:val="007B6360"/>
    <w:rsid w:val="007B6E55"/>
    <w:rsid w:val="007B7A53"/>
    <w:rsid w:val="007C2022"/>
    <w:rsid w:val="007C2489"/>
    <w:rsid w:val="007C394C"/>
    <w:rsid w:val="007C3B4C"/>
    <w:rsid w:val="007C3BCB"/>
    <w:rsid w:val="007C41A1"/>
    <w:rsid w:val="007C534C"/>
    <w:rsid w:val="007C54E6"/>
    <w:rsid w:val="007C6336"/>
    <w:rsid w:val="007D0033"/>
    <w:rsid w:val="007D0634"/>
    <w:rsid w:val="007D18DB"/>
    <w:rsid w:val="007D1D8D"/>
    <w:rsid w:val="007D1EE9"/>
    <w:rsid w:val="007D22C7"/>
    <w:rsid w:val="007D2326"/>
    <w:rsid w:val="007D2F9B"/>
    <w:rsid w:val="007D31F1"/>
    <w:rsid w:val="007D37AD"/>
    <w:rsid w:val="007D409A"/>
    <w:rsid w:val="007D41AD"/>
    <w:rsid w:val="007D44E9"/>
    <w:rsid w:val="007D467F"/>
    <w:rsid w:val="007D4A2B"/>
    <w:rsid w:val="007D512F"/>
    <w:rsid w:val="007D6341"/>
    <w:rsid w:val="007D6BA1"/>
    <w:rsid w:val="007D73FF"/>
    <w:rsid w:val="007D768A"/>
    <w:rsid w:val="007E06F9"/>
    <w:rsid w:val="007E0A6B"/>
    <w:rsid w:val="007E18DB"/>
    <w:rsid w:val="007E1F80"/>
    <w:rsid w:val="007E2B94"/>
    <w:rsid w:val="007E3348"/>
    <w:rsid w:val="007E39A6"/>
    <w:rsid w:val="007E4360"/>
    <w:rsid w:val="007E44F9"/>
    <w:rsid w:val="007E5E96"/>
    <w:rsid w:val="007E5FA5"/>
    <w:rsid w:val="007E63FB"/>
    <w:rsid w:val="007F1A26"/>
    <w:rsid w:val="007F2B73"/>
    <w:rsid w:val="007F3790"/>
    <w:rsid w:val="007F3868"/>
    <w:rsid w:val="007F4922"/>
    <w:rsid w:val="007F6348"/>
    <w:rsid w:val="007F6C54"/>
    <w:rsid w:val="008000CB"/>
    <w:rsid w:val="0080021C"/>
    <w:rsid w:val="00801C76"/>
    <w:rsid w:val="00802081"/>
    <w:rsid w:val="00802104"/>
    <w:rsid w:val="0080224F"/>
    <w:rsid w:val="00802A65"/>
    <w:rsid w:val="00802BDC"/>
    <w:rsid w:val="00803669"/>
    <w:rsid w:val="00805553"/>
    <w:rsid w:val="00805F76"/>
    <w:rsid w:val="00806C01"/>
    <w:rsid w:val="00810B1E"/>
    <w:rsid w:val="008112E8"/>
    <w:rsid w:val="0081130B"/>
    <w:rsid w:val="00812092"/>
    <w:rsid w:val="0081331D"/>
    <w:rsid w:val="008148CC"/>
    <w:rsid w:val="00814EBD"/>
    <w:rsid w:val="008150E7"/>
    <w:rsid w:val="00815434"/>
    <w:rsid w:val="008154CD"/>
    <w:rsid w:val="008165E3"/>
    <w:rsid w:val="008173AB"/>
    <w:rsid w:val="008176D6"/>
    <w:rsid w:val="0082070F"/>
    <w:rsid w:val="008211A4"/>
    <w:rsid w:val="00822761"/>
    <w:rsid w:val="0082302B"/>
    <w:rsid w:val="00823994"/>
    <w:rsid w:val="00823A07"/>
    <w:rsid w:val="00824950"/>
    <w:rsid w:val="00826208"/>
    <w:rsid w:val="00827924"/>
    <w:rsid w:val="00827978"/>
    <w:rsid w:val="008305A9"/>
    <w:rsid w:val="00831285"/>
    <w:rsid w:val="00831558"/>
    <w:rsid w:val="00831A1E"/>
    <w:rsid w:val="00831F9C"/>
    <w:rsid w:val="0083352E"/>
    <w:rsid w:val="00834625"/>
    <w:rsid w:val="008348CB"/>
    <w:rsid w:val="00834B60"/>
    <w:rsid w:val="00834B94"/>
    <w:rsid w:val="00834E68"/>
    <w:rsid w:val="0083537F"/>
    <w:rsid w:val="008353D9"/>
    <w:rsid w:val="0083592F"/>
    <w:rsid w:val="0083655D"/>
    <w:rsid w:val="00836BD5"/>
    <w:rsid w:val="008372C9"/>
    <w:rsid w:val="00837B9A"/>
    <w:rsid w:val="00837C26"/>
    <w:rsid w:val="0084048D"/>
    <w:rsid w:val="00841833"/>
    <w:rsid w:val="0084194F"/>
    <w:rsid w:val="00843746"/>
    <w:rsid w:val="00843FC9"/>
    <w:rsid w:val="00844D9E"/>
    <w:rsid w:val="00845DB3"/>
    <w:rsid w:val="00845DED"/>
    <w:rsid w:val="008464D0"/>
    <w:rsid w:val="00846B96"/>
    <w:rsid w:val="00847151"/>
    <w:rsid w:val="00847443"/>
    <w:rsid w:val="00847C7F"/>
    <w:rsid w:val="008501D2"/>
    <w:rsid w:val="00850ADD"/>
    <w:rsid w:val="008517ED"/>
    <w:rsid w:val="00851A70"/>
    <w:rsid w:val="008520BC"/>
    <w:rsid w:val="008523F0"/>
    <w:rsid w:val="00852D35"/>
    <w:rsid w:val="0085374E"/>
    <w:rsid w:val="008540A0"/>
    <w:rsid w:val="0085467A"/>
    <w:rsid w:val="00854BC5"/>
    <w:rsid w:val="00854C37"/>
    <w:rsid w:val="008554C7"/>
    <w:rsid w:val="008563D3"/>
    <w:rsid w:val="0085706C"/>
    <w:rsid w:val="008577C6"/>
    <w:rsid w:val="00860542"/>
    <w:rsid w:val="008611E7"/>
    <w:rsid w:val="008625F4"/>
    <w:rsid w:val="0086325D"/>
    <w:rsid w:val="00864029"/>
    <w:rsid w:val="0086407B"/>
    <w:rsid w:val="00864E8A"/>
    <w:rsid w:val="00867644"/>
    <w:rsid w:val="00867DFE"/>
    <w:rsid w:val="0087102C"/>
    <w:rsid w:val="008712A7"/>
    <w:rsid w:val="0087140E"/>
    <w:rsid w:val="008728AC"/>
    <w:rsid w:val="00872BC7"/>
    <w:rsid w:val="00872D82"/>
    <w:rsid w:val="00873150"/>
    <w:rsid w:val="0087444C"/>
    <w:rsid w:val="008750E6"/>
    <w:rsid w:val="0087523A"/>
    <w:rsid w:val="008755D9"/>
    <w:rsid w:val="0087657D"/>
    <w:rsid w:val="0087696D"/>
    <w:rsid w:val="00876D3E"/>
    <w:rsid w:val="00876DCE"/>
    <w:rsid w:val="008807D5"/>
    <w:rsid w:val="00880832"/>
    <w:rsid w:val="00880F6B"/>
    <w:rsid w:val="00881588"/>
    <w:rsid w:val="00881609"/>
    <w:rsid w:val="00881849"/>
    <w:rsid w:val="00881BAA"/>
    <w:rsid w:val="008821E6"/>
    <w:rsid w:val="00882263"/>
    <w:rsid w:val="00882BC8"/>
    <w:rsid w:val="00883586"/>
    <w:rsid w:val="0088560A"/>
    <w:rsid w:val="0088655F"/>
    <w:rsid w:val="00886913"/>
    <w:rsid w:val="00886EE1"/>
    <w:rsid w:val="00886F37"/>
    <w:rsid w:val="00886F98"/>
    <w:rsid w:val="0088727D"/>
    <w:rsid w:val="00887878"/>
    <w:rsid w:val="008903EB"/>
    <w:rsid w:val="00890729"/>
    <w:rsid w:val="0089110A"/>
    <w:rsid w:val="00893CDB"/>
    <w:rsid w:val="00894315"/>
    <w:rsid w:val="00894DA1"/>
    <w:rsid w:val="00897A21"/>
    <w:rsid w:val="00897C75"/>
    <w:rsid w:val="00897DD2"/>
    <w:rsid w:val="008A0684"/>
    <w:rsid w:val="008A1904"/>
    <w:rsid w:val="008A1E6B"/>
    <w:rsid w:val="008A30C6"/>
    <w:rsid w:val="008A39AC"/>
    <w:rsid w:val="008A39CF"/>
    <w:rsid w:val="008A3C5D"/>
    <w:rsid w:val="008A3F0F"/>
    <w:rsid w:val="008A4CAA"/>
    <w:rsid w:val="008A585C"/>
    <w:rsid w:val="008A5F75"/>
    <w:rsid w:val="008A6A4A"/>
    <w:rsid w:val="008A6F3E"/>
    <w:rsid w:val="008B0C3E"/>
    <w:rsid w:val="008B1BD7"/>
    <w:rsid w:val="008B1DFE"/>
    <w:rsid w:val="008B2887"/>
    <w:rsid w:val="008B2B30"/>
    <w:rsid w:val="008B3D54"/>
    <w:rsid w:val="008B4F4D"/>
    <w:rsid w:val="008B58E2"/>
    <w:rsid w:val="008B626D"/>
    <w:rsid w:val="008B66F9"/>
    <w:rsid w:val="008B7B11"/>
    <w:rsid w:val="008B7FC2"/>
    <w:rsid w:val="008C1130"/>
    <w:rsid w:val="008C1696"/>
    <w:rsid w:val="008C1E83"/>
    <w:rsid w:val="008C208C"/>
    <w:rsid w:val="008C20C8"/>
    <w:rsid w:val="008C2EDE"/>
    <w:rsid w:val="008C34D0"/>
    <w:rsid w:val="008C3D2D"/>
    <w:rsid w:val="008C3D92"/>
    <w:rsid w:val="008C4452"/>
    <w:rsid w:val="008C477C"/>
    <w:rsid w:val="008C5365"/>
    <w:rsid w:val="008C54BF"/>
    <w:rsid w:val="008C588B"/>
    <w:rsid w:val="008C67E6"/>
    <w:rsid w:val="008C6A40"/>
    <w:rsid w:val="008C6ED0"/>
    <w:rsid w:val="008C6F9F"/>
    <w:rsid w:val="008D0D57"/>
    <w:rsid w:val="008D0D93"/>
    <w:rsid w:val="008D1203"/>
    <w:rsid w:val="008D18E6"/>
    <w:rsid w:val="008D1EE4"/>
    <w:rsid w:val="008D2138"/>
    <w:rsid w:val="008D38D4"/>
    <w:rsid w:val="008D3D17"/>
    <w:rsid w:val="008D464A"/>
    <w:rsid w:val="008D48E8"/>
    <w:rsid w:val="008D4C38"/>
    <w:rsid w:val="008D6181"/>
    <w:rsid w:val="008D74F5"/>
    <w:rsid w:val="008D7A9B"/>
    <w:rsid w:val="008E05C9"/>
    <w:rsid w:val="008E2069"/>
    <w:rsid w:val="008E27A2"/>
    <w:rsid w:val="008E3366"/>
    <w:rsid w:val="008E360E"/>
    <w:rsid w:val="008E43D1"/>
    <w:rsid w:val="008E4AAD"/>
    <w:rsid w:val="008E50B2"/>
    <w:rsid w:val="008E56B1"/>
    <w:rsid w:val="008E61CB"/>
    <w:rsid w:val="008E6AE6"/>
    <w:rsid w:val="008E76AC"/>
    <w:rsid w:val="008E7C2E"/>
    <w:rsid w:val="008E7C4E"/>
    <w:rsid w:val="008F063D"/>
    <w:rsid w:val="008F073C"/>
    <w:rsid w:val="008F1710"/>
    <w:rsid w:val="008F1713"/>
    <w:rsid w:val="008F21F6"/>
    <w:rsid w:val="008F28A6"/>
    <w:rsid w:val="008F299F"/>
    <w:rsid w:val="008F35D2"/>
    <w:rsid w:val="008F3972"/>
    <w:rsid w:val="008F463D"/>
    <w:rsid w:val="008F63FD"/>
    <w:rsid w:val="008F6E27"/>
    <w:rsid w:val="008F7486"/>
    <w:rsid w:val="009001D8"/>
    <w:rsid w:val="00901111"/>
    <w:rsid w:val="0090298A"/>
    <w:rsid w:val="0090328E"/>
    <w:rsid w:val="00903A17"/>
    <w:rsid w:val="00904BD1"/>
    <w:rsid w:val="00905E98"/>
    <w:rsid w:val="00906571"/>
    <w:rsid w:val="00906D10"/>
    <w:rsid w:val="00907513"/>
    <w:rsid w:val="009076C7"/>
    <w:rsid w:val="00910030"/>
    <w:rsid w:val="00910C4E"/>
    <w:rsid w:val="00910E8E"/>
    <w:rsid w:val="00911018"/>
    <w:rsid w:val="00911CCF"/>
    <w:rsid w:val="009126D4"/>
    <w:rsid w:val="00912D8C"/>
    <w:rsid w:val="009138F3"/>
    <w:rsid w:val="00913D26"/>
    <w:rsid w:val="009141C9"/>
    <w:rsid w:val="00914D6C"/>
    <w:rsid w:val="00915D50"/>
    <w:rsid w:val="00920416"/>
    <w:rsid w:val="00920670"/>
    <w:rsid w:val="00920C3D"/>
    <w:rsid w:val="00921B3A"/>
    <w:rsid w:val="00921FE1"/>
    <w:rsid w:val="0092279E"/>
    <w:rsid w:val="00922FCB"/>
    <w:rsid w:val="00923677"/>
    <w:rsid w:val="009240B7"/>
    <w:rsid w:val="0092412E"/>
    <w:rsid w:val="00925024"/>
    <w:rsid w:val="0092593B"/>
    <w:rsid w:val="00925EFA"/>
    <w:rsid w:val="00925F27"/>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565"/>
    <w:rsid w:val="009400EE"/>
    <w:rsid w:val="00940833"/>
    <w:rsid w:val="00940B59"/>
    <w:rsid w:val="00940C6D"/>
    <w:rsid w:val="00940FD7"/>
    <w:rsid w:val="00940FF0"/>
    <w:rsid w:val="0094252E"/>
    <w:rsid w:val="00942841"/>
    <w:rsid w:val="009429E7"/>
    <w:rsid w:val="00942BAC"/>
    <w:rsid w:val="00942FC6"/>
    <w:rsid w:val="00943CF9"/>
    <w:rsid w:val="0094561A"/>
    <w:rsid w:val="00945A3C"/>
    <w:rsid w:val="00945CC0"/>
    <w:rsid w:val="0094658F"/>
    <w:rsid w:val="00946AB1"/>
    <w:rsid w:val="009474AD"/>
    <w:rsid w:val="00950F0C"/>
    <w:rsid w:val="00951123"/>
    <w:rsid w:val="0095133D"/>
    <w:rsid w:val="009516B8"/>
    <w:rsid w:val="00951F3E"/>
    <w:rsid w:val="00951F79"/>
    <w:rsid w:val="00952262"/>
    <w:rsid w:val="00952732"/>
    <w:rsid w:val="00952A8C"/>
    <w:rsid w:val="0095363B"/>
    <w:rsid w:val="0095512C"/>
    <w:rsid w:val="00955D73"/>
    <w:rsid w:val="009561BF"/>
    <w:rsid w:val="0095640F"/>
    <w:rsid w:val="00956824"/>
    <w:rsid w:val="00956A84"/>
    <w:rsid w:val="00956D08"/>
    <w:rsid w:val="00957251"/>
    <w:rsid w:val="009577FB"/>
    <w:rsid w:val="00960F62"/>
    <w:rsid w:val="009611AB"/>
    <w:rsid w:val="00961D16"/>
    <w:rsid w:val="00961E1B"/>
    <w:rsid w:val="0096257C"/>
    <w:rsid w:val="00962B20"/>
    <w:rsid w:val="009637C0"/>
    <w:rsid w:val="00966220"/>
    <w:rsid w:val="00967121"/>
    <w:rsid w:val="00967D49"/>
    <w:rsid w:val="00967DCA"/>
    <w:rsid w:val="009701E7"/>
    <w:rsid w:val="00970C67"/>
    <w:rsid w:val="009712D9"/>
    <w:rsid w:val="009714A1"/>
    <w:rsid w:val="0097231D"/>
    <w:rsid w:val="009728E8"/>
    <w:rsid w:val="00972B91"/>
    <w:rsid w:val="0097361C"/>
    <w:rsid w:val="00973AA1"/>
    <w:rsid w:val="00974AB5"/>
    <w:rsid w:val="00974D5B"/>
    <w:rsid w:val="00975962"/>
    <w:rsid w:val="00976D32"/>
    <w:rsid w:val="00980814"/>
    <w:rsid w:val="00980B91"/>
    <w:rsid w:val="00980D18"/>
    <w:rsid w:val="009814D9"/>
    <w:rsid w:val="00981978"/>
    <w:rsid w:val="00982FAD"/>
    <w:rsid w:val="00983765"/>
    <w:rsid w:val="00983B11"/>
    <w:rsid w:val="00984132"/>
    <w:rsid w:val="00984E57"/>
    <w:rsid w:val="00984F93"/>
    <w:rsid w:val="00985B19"/>
    <w:rsid w:val="0098706D"/>
    <w:rsid w:val="00987B1B"/>
    <w:rsid w:val="009904B6"/>
    <w:rsid w:val="00990AF3"/>
    <w:rsid w:val="009925F7"/>
    <w:rsid w:val="009935FB"/>
    <w:rsid w:val="00993F9B"/>
    <w:rsid w:val="009943D1"/>
    <w:rsid w:val="009945A8"/>
    <w:rsid w:val="009946FB"/>
    <w:rsid w:val="0099486C"/>
    <w:rsid w:val="00994981"/>
    <w:rsid w:val="009956E8"/>
    <w:rsid w:val="00995733"/>
    <w:rsid w:val="00995AB9"/>
    <w:rsid w:val="00996628"/>
    <w:rsid w:val="00996C0B"/>
    <w:rsid w:val="00997BAE"/>
    <w:rsid w:val="009A0303"/>
    <w:rsid w:val="009A04AA"/>
    <w:rsid w:val="009A1215"/>
    <w:rsid w:val="009A235F"/>
    <w:rsid w:val="009A2513"/>
    <w:rsid w:val="009A49EB"/>
    <w:rsid w:val="009A4B63"/>
    <w:rsid w:val="009A507B"/>
    <w:rsid w:val="009A59F0"/>
    <w:rsid w:val="009A72D3"/>
    <w:rsid w:val="009A7F35"/>
    <w:rsid w:val="009B0B48"/>
    <w:rsid w:val="009B0F29"/>
    <w:rsid w:val="009B133D"/>
    <w:rsid w:val="009B1784"/>
    <w:rsid w:val="009B2CA8"/>
    <w:rsid w:val="009B2D8A"/>
    <w:rsid w:val="009B3836"/>
    <w:rsid w:val="009B395F"/>
    <w:rsid w:val="009B4AE4"/>
    <w:rsid w:val="009B4C00"/>
    <w:rsid w:val="009B5845"/>
    <w:rsid w:val="009B639C"/>
    <w:rsid w:val="009B7C66"/>
    <w:rsid w:val="009B7DEB"/>
    <w:rsid w:val="009B7F09"/>
    <w:rsid w:val="009C0101"/>
    <w:rsid w:val="009C162B"/>
    <w:rsid w:val="009C2EEC"/>
    <w:rsid w:val="009C348E"/>
    <w:rsid w:val="009C3A01"/>
    <w:rsid w:val="009C3F23"/>
    <w:rsid w:val="009C4543"/>
    <w:rsid w:val="009C49AB"/>
    <w:rsid w:val="009C510C"/>
    <w:rsid w:val="009C5A0A"/>
    <w:rsid w:val="009C5A21"/>
    <w:rsid w:val="009C5B8E"/>
    <w:rsid w:val="009C5BF2"/>
    <w:rsid w:val="009C6488"/>
    <w:rsid w:val="009C67DE"/>
    <w:rsid w:val="009C7CAC"/>
    <w:rsid w:val="009D011C"/>
    <w:rsid w:val="009D03C2"/>
    <w:rsid w:val="009D138E"/>
    <w:rsid w:val="009D1806"/>
    <w:rsid w:val="009D251F"/>
    <w:rsid w:val="009D2FC7"/>
    <w:rsid w:val="009D409B"/>
    <w:rsid w:val="009D42B4"/>
    <w:rsid w:val="009D43BF"/>
    <w:rsid w:val="009D4A1A"/>
    <w:rsid w:val="009D54C2"/>
    <w:rsid w:val="009D5526"/>
    <w:rsid w:val="009D65E7"/>
    <w:rsid w:val="009D692A"/>
    <w:rsid w:val="009D69D2"/>
    <w:rsid w:val="009D7F04"/>
    <w:rsid w:val="009E03DE"/>
    <w:rsid w:val="009E0C30"/>
    <w:rsid w:val="009E0D7E"/>
    <w:rsid w:val="009E11C8"/>
    <w:rsid w:val="009E1365"/>
    <w:rsid w:val="009E2F5E"/>
    <w:rsid w:val="009E3730"/>
    <w:rsid w:val="009E3948"/>
    <w:rsid w:val="009E3963"/>
    <w:rsid w:val="009E3A5B"/>
    <w:rsid w:val="009E3B64"/>
    <w:rsid w:val="009E4DFC"/>
    <w:rsid w:val="009E56B1"/>
    <w:rsid w:val="009E5E19"/>
    <w:rsid w:val="009E6C87"/>
    <w:rsid w:val="009E6FC4"/>
    <w:rsid w:val="009F0D33"/>
    <w:rsid w:val="009F131B"/>
    <w:rsid w:val="009F1BB4"/>
    <w:rsid w:val="009F1F5F"/>
    <w:rsid w:val="009F3167"/>
    <w:rsid w:val="009F36EC"/>
    <w:rsid w:val="009F3A5F"/>
    <w:rsid w:val="009F3F25"/>
    <w:rsid w:val="009F3F46"/>
    <w:rsid w:val="009F40BC"/>
    <w:rsid w:val="009F415C"/>
    <w:rsid w:val="009F471E"/>
    <w:rsid w:val="009F492A"/>
    <w:rsid w:val="009F4A54"/>
    <w:rsid w:val="009F4BEC"/>
    <w:rsid w:val="009F55F1"/>
    <w:rsid w:val="009F5BAB"/>
    <w:rsid w:val="009F609F"/>
    <w:rsid w:val="009F6913"/>
    <w:rsid w:val="009F7D37"/>
    <w:rsid w:val="00A0161E"/>
    <w:rsid w:val="00A02436"/>
    <w:rsid w:val="00A02534"/>
    <w:rsid w:val="00A031DE"/>
    <w:rsid w:val="00A047C7"/>
    <w:rsid w:val="00A0489D"/>
    <w:rsid w:val="00A04D6F"/>
    <w:rsid w:val="00A05252"/>
    <w:rsid w:val="00A06156"/>
    <w:rsid w:val="00A0795F"/>
    <w:rsid w:val="00A07D93"/>
    <w:rsid w:val="00A1006B"/>
    <w:rsid w:val="00A10908"/>
    <w:rsid w:val="00A109B4"/>
    <w:rsid w:val="00A10A54"/>
    <w:rsid w:val="00A10D91"/>
    <w:rsid w:val="00A11391"/>
    <w:rsid w:val="00A119C4"/>
    <w:rsid w:val="00A13C50"/>
    <w:rsid w:val="00A16BA2"/>
    <w:rsid w:val="00A17286"/>
    <w:rsid w:val="00A174B6"/>
    <w:rsid w:val="00A17E61"/>
    <w:rsid w:val="00A17F8E"/>
    <w:rsid w:val="00A20110"/>
    <w:rsid w:val="00A20331"/>
    <w:rsid w:val="00A2147F"/>
    <w:rsid w:val="00A21A33"/>
    <w:rsid w:val="00A2205F"/>
    <w:rsid w:val="00A2226F"/>
    <w:rsid w:val="00A22FAA"/>
    <w:rsid w:val="00A23818"/>
    <w:rsid w:val="00A23A1B"/>
    <w:rsid w:val="00A24EC7"/>
    <w:rsid w:val="00A2542F"/>
    <w:rsid w:val="00A25FD7"/>
    <w:rsid w:val="00A26496"/>
    <w:rsid w:val="00A264D2"/>
    <w:rsid w:val="00A26A5A"/>
    <w:rsid w:val="00A26DBC"/>
    <w:rsid w:val="00A2714D"/>
    <w:rsid w:val="00A27385"/>
    <w:rsid w:val="00A274EB"/>
    <w:rsid w:val="00A309DC"/>
    <w:rsid w:val="00A31776"/>
    <w:rsid w:val="00A31B5B"/>
    <w:rsid w:val="00A32C46"/>
    <w:rsid w:val="00A34146"/>
    <w:rsid w:val="00A342CE"/>
    <w:rsid w:val="00A3618A"/>
    <w:rsid w:val="00A36412"/>
    <w:rsid w:val="00A40659"/>
    <w:rsid w:val="00A419D6"/>
    <w:rsid w:val="00A41FA4"/>
    <w:rsid w:val="00A42768"/>
    <w:rsid w:val="00A433A7"/>
    <w:rsid w:val="00A43AFF"/>
    <w:rsid w:val="00A43EC4"/>
    <w:rsid w:val="00A44502"/>
    <w:rsid w:val="00A44586"/>
    <w:rsid w:val="00A45239"/>
    <w:rsid w:val="00A453CE"/>
    <w:rsid w:val="00A469E4"/>
    <w:rsid w:val="00A47AD0"/>
    <w:rsid w:val="00A504BE"/>
    <w:rsid w:val="00A50F04"/>
    <w:rsid w:val="00A51D8F"/>
    <w:rsid w:val="00A51E0C"/>
    <w:rsid w:val="00A52145"/>
    <w:rsid w:val="00A52EE0"/>
    <w:rsid w:val="00A53402"/>
    <w:rsid w:val="00A540E3"/>
    <w:rsid w:val="00A5480F"/>
    <w:rsid w:val="00A54B72"/>
    <w:rsid w:val="00A55185"/>
    <w:rsid w:val="00A5545A"/>
    <w:rsid w:val="00A555BE"/>
    <w:rsid w:val="00A559C8"/>
    <w:rsid w:val="00A55E42"/>
    <w:rsid w:val="00A60B88"/>
    <w:rsid w:val="00A60C51"/>
    <w:rsid w:val="00A6127C"/>
    <w:rsid w:val="00A62A9D"/>
    <w:rsid w:val="00A645EE"/>
    <w:rsid w:val="00A647FE"/>
    <w:rsid w:val="00A65A84"/>
    <w:rsid w:val="00A673C4"/>
    <w:rsid w:val="00A67947"/>
    <w:rsid w:val="00A70108"/>
    <w:rsid w:val="00A70F0C"/>
    <w:rsid w:val="00A71343"/>
    <w:rsid w:val="00A716F6"/>
    <w:rsid w:val="00A717FA"/>
    <w:rsid w:val="00A71CC8"/>
    <w:rsid w:val="00A72AE2"/>
    <w:rsid w:val="00A72AFC"/>
    <w:rsid w:val="00A75649"/>
    <w:rsid w:val="00A766E2"/>
    <w:rsid w:val="00A76D31"/>
    <w:rsid w:val="00A770CC"/>
    <w:rsid w:val="00A7793A"/>
    <w:rsid w:val="00A81C1B"/>
    <w:rsid w:val="00A824D1"/>
    <w:rsid w:val="00A82E76"/>
    <w:rsid w:val="00A82EF9"/>
    <w:rsid w:val="00A82F6B"/>
    <w:rsid w:val="00A83C4B"/>
    <w:rsid w:val="00A84A96"/>
    <w:rsid w:val="00A84DAD"/>
    <w:rsid w:val="00A8538A"/>
    <w:rsid w:val="00A85A53"/>
    <w:rsid w:val="00A85AA2"/>
    <w:rsid w:val="00A85E18"/>
    <w:rsid w:val="00A86149"/>
    <w:rsid w:val="00A87AAD"/>
    <w:rsid w:val="00A91BF5"/>
    <w:rsid w:val="00A91C07"/>
    <w:rsid w:val="00A91C99"/>
    <w:rsid w:val="00A91E4F"/>
    <w:rsid w:val="00A92969"/>
    <w:rsid w:val="00A93759"/>
    <w:rsid w:val="00A948B5"/>
    <w:rsid w:val="00A94D21"/>
    <w:rsid w:val="00A960F0"/>
    <w:rsid w:val="00A96741"/>
    <w:rsid w:val="00A96971"/>
    <w:rsid w:val="00A97031"/>
    <w:rsid w:val="00A97480"/>
    <w:rsid w:val="00AA00E0"/>
    <w:rsid w:val="00AA010D"/>
    <w:rsid w:val="00AA04D2"/>
    <w:rsid w:val="00AA08CD"/>
    <w:rsid w:val="00AA0956"/>
    <w:rsid w:val="00AA0DF5"/>
    <w:rsid w:val="00AA1645"/>
    <w:rsid w:val="00AA3003"/>
    <w:rsid w:val="00AA33A3"/>
    <w:rsid w:val="00AA44A7"/>
    <w:rsid w:val="00AA4CC7"/>
    <w:rsid w:val="00AA5380"/>
    <w:rsid w:val="00AA5E8E"/>
    <w:rsid w:val="00AA7062"/>
    <w:rsid w:val="00AA745D"/>
    <w:rsid w:val="00AA76CC"/>
    <w:rsid w:val="00AB0508"/>
    <w:rsid w:val="00AB0BC5"/>
    <w:rsid w:val="00AB12AD"/>
    <w:rsid w:val="00AB1E2A"/>
    <w:rsid w:val="00AB1F86"/>
    <w:rsid w:val="00AB4436"/>
    <w:rsid w:val="00AB57FD"/>
    <w:rsid w:val="00AB6689"/>
    <w:rsid w:val="00AB6CA7"/>
    <w:rsid w:val="00AB72BE"/>
    <w:rsid w:val="00AB7794"/>
    <w:rsid w:val="00AC05B1"/>
    <w:rsid w:val="00AC12CC"/>
    <w:rsid w:val="00AC168E"/>
    <w:rsid w:val="00AC2427"/>
    <w:rsid w:val="00AC2AA3"/>
    <w:rsid w:val="00AC2E36"/>
    <w:rsid w:val="00AC31FC"/>
    <w:rsid w:val="00AC341D"/>
    <w:rsid w:val="00AC364F"/>
    <w:rsid w:val="00AC4124"/>
    <w:rsid w:val="00AC4CA7"/>
    <w:rsid w:val="00AC635D"/>
    <w:rsid w:val="00AC71A8"/>
    <w:rsid w:val="00AC71D9"/>
    <w:rsid w:val="00AD01E4"/>
    <w:rsid w:val="00AD027B"/>
    <w:rsid w:val="00AD0307"/>
    <w:rsid w:val="00AD0858"/>
    <w:rsid w:val="00AD164D"/>
    <w:rsid w:val="00AD1A5B"/>
    <w:rsid w:val="00AD3492"/>
    <w:rsid w:val="00AD3F3B"/>
    <w:rsid w:val="00AD4002"/>
    <w:rsid w:val="00AD47C2"/>
    <w:rsid w:val="00AD552E"/>
    <w:rsid w:val="00AD75BB"/>
    <w:rsid w:val="00AD76A6"/>
    <w:rsid w:val="00AE0063"/>
    <w:rsid w:val="00AE05EC"/>
    <w:rsid w:val="00AE0BF1"/>
    <w:rsid w:val="00AE12AF"/>
    <w:rsid w:val="00AE12B5"/>
    <w:rsid w:val="00AE2302"/>
    <w:rsid w:val="00AE3354"/>
    <w:rsid w:val="00AE3C73"/>
    <w:rsid w:val="00AE3CD1"/>
    <w:rsid w:val="00AE3F7E"/>
    <w:rsid w:val="00AE420F"/>
    <w:rsid w:val="00AE4A1E"/>
    <w:rsid w:val="00AE556C"/>
    <w:rsid w:val="00AE5B7B"/>
    <w:rsid w:val="00AE5C1B"/>
    <w:rsid w:val="00AE6ED2"/>
    <w:rsid w:val="00AE7206"/>
    <w:rsid w:val="00AE7340"/>
    <w:rsid w:val="00AE7627"/>
    <w:rsid w:val="00AE7E89"/>
    <w:rsid w:val="00AF09AF"/>
    <w:rsid w:val="00AF1BBD"/>
    <w:rsid w:val="00AF1FB3"/>
    <w:rsid w:val="00AF2DA8"/>
    <w:rsid w:val="00AF4099"/>
    <w:rsid w:val="00AF4782"/>
    <w:rsid w:val="00AF577E"/>
    <w:rsid w:val="00AF5B5C"/>
    <w:rsid w:val="00AF63D9"/>
    <w:rsid w:val="00AF70BC"/>
    <w:rsid w:val="00AF71F7"/>
    <w:rsid w:val="00AF7213"/>
    <w:rsid w:val="00AF723E"/>
    <w:rsid w:val="00AF7A19"/>
    <w:rsid w:val="00B00326"/>
    <w:rsid w:val="00B003BA"/>
    <w:rsid w:val="00B00B29"/>
    <w:rsid w:val="00B0328B"/>
    <w:rsid w:val="00B03A6C"/>
    <w:rsid w:val="00B03A76"/>
    <w:rsid w:val="00B03D33"/>
    <w:rsid w:val="00B04CFB"/>
    <w:rsid w:val="00B051F4"/>
    <w:rsid w:val="00B065D7"/>
    <w:rsid w:val="00B07133"/>
    <w:rsid w:val="00B072E2"/>
    <w:rsid w:val="00B101D3"/>
    <w:rsid w:val="00B10207"/>
    <w:rsid w:val="00B1142F"/>
    <w:rsid w:val="00B116BA"/>
    <w:rsid w:val="00B121F0"/>
    <w:rsid w:val="00B12BF4"/>
    <w:rsid w:val="00B12ED6"/>
    <w:rsid w:val="00B1347E"/>
    <w:rsid w:val="00B141E7"/>
    <w:rsid w:val="00B1560C"/>
    <w:rsid w:val="00B1609B"/>
    <w:rsid w:val="00B16275"/>
    <w:rsid w:val="00B16C3E"/>
    <w:rsid w:val="00B16C42"/>
    <w:rsid w:val="00B17FEB"/>
    <w:rsid w:val="00B204E6"/>
    <w:rsid w:val="00B20705"/>
    <w:rsid w:val="00B20813"/>
    <w:rsid w:val="00B22226"/>
    <w:rsid w:val="00B244B2"/>
    <w:rsid w:val="00B24602"/>
    <w:rsid w:val="00B25A31"/>
    <w:rsid w:val="00B26291"/>
    <w:rsid w:val="00B26960"/>
    <w:rsid w:val="00B26CCD"/>
    <w:rsid w:val="00B27654"/>
    <w:rsid w:val="00B30615"/>
    <w:rsid w:val="00B31041"/>
    <w:rsid w:val="00B329C8"/>
    <w:rsid w:val="00B32B53"/>
    <w:rsid w:val="00B32F23"/>
    <w:rsid w:val="00B3370D"/>
    <w:rsid w:val="00B33934"/>
    <w:rsid w:val="00B34709"/>
    <w:rsid w:val="00B351B4"/>
    <w:rsid w:val="00B35D05"/>
    <w:rsid w:val="00B363C8"/>
    <w:rsid w:val="00B3679D"/>
    <w:rsid w:val="00B3710B"/>
    <w:rsid w:val="00B37A67"/>
    <w:rsid w:val="00B406E7"/>
    <w:rsid w:val="00B40E3C"/>
    <w:rsid w:val="00B4157A"/>
    <w:rsid w:val="00B42F10"/>
    <w:rsid w:val="00B44199"/>
    <w:rsid w:val="00B453A0"/>
    <w:rsid w:val="00B46322"/>
    <w:rsid w:val="00B46BCA"/>
    <w:rsid w:val="00B47F3A"/>
    <w:rsid w:val="00B504AA"/>
    <w:rsid w:val="00B51363"/>
    <w:rsid w:val="00B526A3"/>
    <w:rsid w:val="00B53781"/>
    <w:rsid w:val="00B540E0"/>
    <w:rsid w:val="00B55753"/>
    <w:rsid w:val="00B55BCF"/>
    <w:rsid w:val="00B56578"/>
    <w:rsid w:val="00B565E2"/>
    <w:rsid w:val="00B57680"/>
    <w:rsid w:val="00B57736"/>
    <w:rsid w:val="00B60A22"/>
    <w:rsid w:val="00B60C8C"/>
    <w:rsid w:val="00B61299"/>
    <w:rsid w:val="00B61C41"/>
    <w:rsid w:val="00B62199"/>
    <w:rsid w:val="00B62919"/>
    <w:rsid w:val="00B639AD"/>
    <w:rsid w:val="00B6412F"/>
    <w:rsid w:val="00B64243"/>
    <w:rsid w:val="00B655D8"/>
    <w:rsid w:val="00B656B3"/>
    <w:rsid w:val="00B6698E"/>
    <w:rsid w:val="00B66E83"/>
    <w:rsid w:val="00B678D4"/>
    <w:rsid w:val="00B7139B"/>
    <w:rsid w:val="00B718A8"/>
    <w:rsid w:val="00B719AD"/>
    <w:rsid w:val="00B71FA6"/>
    <w:rsid w:val="00B72378"/>
    <w:rsid w:val="00B724A1"/>
    <w:rsid w:val="00B7288A"/>
    <w:rsid w:val="00B72D31"/>
    <w:rsid w:val="00B72EC6"/>
    <w:rsid w:val="00B73C73"/>
    <w:rsid w:val="00B73E62"/>
    <w:rsid w:val="00B740E9"/>
    <w:rsid w:val="00B7416D"/>
    <w:rsid w:val="00B7445E"/>
    <w:rsid w:val="00B74F1F"/>
    <w:rsid w:val="00B750B7"/>
    <w:rsid w:val="00B75544"/>
    <w:rsid w:val="00B756E7"/>
    <w:rsid w:val="00B7594A"/>
    <w:rsid w:val="00B75A33"/>
    <w:rsid w:val="00B75ED9"/>
    <w:rsid w:val="00B8022E"/>
    <w:rsid w:val="00B808E9"/>
    <w:rsid w:val="00B80A75"/>
    <w:rsid w:val="00B812F5"/>
    <w:rsid w:val="00B81BB4"/>
    <w:rsid w:val="00B81D7E"/>
    <w:rsid w:val="00B8380C"/>
    <w:rsid w:val="00B83927"/>
    <w:rsid w:val="00B841E7"/>
    <w:rsid w:val="00B8446A"/>
    <w:rsid w:val="00B845A2"/>
    <w:rsid w:val="00B86129"/>
    <w:rsid w:val="00B872EC"/>
    <w:rsid w:val="00B87806"/>
    <w:rsid w:val="00B87C9A"/>
    <w:rsid w:val="00B87EC9"/>
    <w:rsid w:val="00B91123"/>
    <w:rsid w:val="00B917E4"/>
    <w:rsid w:val="00B91A55"/>
    <w:rsid w:val="00B91B0C"/>
    <w:rsid w:val="00B91F34"/>
    <w:rsid w:val="00B92BC9"/>
    <w:rsid w:val="00B92EAC"/>
    <w:rsid w:val="00B948D7"/>
    <w:rsid w:val="00B94C06"/>
    <w:rsid w:val="00B95A79"/>
    <w:rsid w:val="00B95DBA"/>
    <w:rsid w:val="00B960B6"/>
    <w:rsid w:val="00B96A83"/>
    <w:rsid w:val="00B97247"/>
    <w:rsid w:val="00B9791F"/>
    <w:rsid w:val="00BA09AF"/>
    <w:rsid w:val="00BA15AD"/>
    <w:rsid w:val="00BA1FCF"/>
    <w:rsid w:val="00BA3398"/>
    <w:rsid w:val="00BA3B2F"/>
    <w:rsid w:val="00BA3D38"/>
    <w:rsid w:val="00BA5519"/>
    <w:rsid w:val="00BA6D62"/>
    <w:rsid w:val="00BA6F2F"/>
    <w:rsid w:val="00BA72FD"/>
    <w:rsid w:val="00BA73E3"/>
    <w:rsid w:val="00BA778E"/>
    <w:rsid w:val="00BB0C94"/>
    <w:rsid w:val="00BB0EF5"/>
    <w:rsid w:val="00BB1153"/>
    <w:rsid w:val="00BB2168"/>
    <w:rsid w:val="00BB25A2"/>
    <w:rsid w:val="00BB2E30"/>
    <w:rsid w:val="00BB3638"/>
    <w:rsid w:val="00BB4983"/>
    <w:rsid w:val="00BB54AF"/>
    <w:rsid w:val="00BB58D7"/>
    <w:rsid w:val="00BB6176"/>
    <w:rsid w:val="00BB6461"/>
    <w:rsid w:val="00BC012F"/>
    <w:rsid w:val="00BC064D"/>
    <w:rsid w:val="00BC10B1"/>
    <w:rsid w:val="00BC2B64"/>
    <w:rsid w:val="00BC3101"/>
    <w:rsid w:val="00BC38FD"/>
    <w:rsid w:val="00BC4557"/>
    <w:rsid w:val="00BC4ED4"/>
    <w:rsid w:val="00BD0952"/>
    <w:rsid w:val="00BD0989"/>
    <w:rsid w:val="00BD283C"/>
    <w:rsid w:val="00BD2F7D"/>
    <w:rsid w:val="00BD308B"/>
    <w:rsid w:val="00BD3267"/>
    <w:rsid w:val="00BD37EA"/>
    <w:rsid w:val="00BD3B4C"/>
    <w:rsid w:val="00BD3E8F"/>
    <w:rsid w:val="00BD5090"/>
    <w:rsid w:val="00BD64C6"/>
    <w:rsid w:val="00BD7AF9"/>
    <w:rsid w:val="00BD7F14"/>
    <w:rsid w:val="00BE011D"/>
    <w:rsid w:val="00BE01EB"/>
    <w:rsid w:val="00BE0EFB"/>
    <w:rsid w:val="00BE1547"/>
    <w:rsid w:val="00BE32CA"/>
    <w:rsid w:val="00BE357E"/>
    <w:rsid w:val="00BE3A2A"/>
    <w:rsid w:val="00BE41F1"/>
    <w:rsid w:val="00BE47F5"/>
    <w:rsid w:val="00BE5355"/>
    <w:rsid w:val="00BE595D"/>
    <w:rsid w:val="00BE6338"/>
    <w:rsid w:val="00BE6AD2"/>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0C8"/>
    <w:rsid w:val="00BF66D3"/>
    <w:rsid w:val="00BF6C2A"/>
    <w:rsid w:val="00BF6E67"/>
    <w:rsid w:val="00BF6EBD"/>
    <w:rsid w:val="00BF72A5"/>
    <w:rsid w:val="00BF76B2"/>
    <w:rsid w:val="00BF77FD"/>
    <w:rsid w:val="00BF78D2"/>
    <w:rsid w:val="00C005AB"/>
    <w:rsid w:val="00C00750"/>
    <w:rsid w:val="00C018C2"/>
    <w:rsid w:val="00C01CD2"/>
    <w:rsid w:val="00C034CB"/>
    <w:rsid w:val="00C03A1D"/>
    <w:rsid w:val="00C03DBE"/>
    <w:rsid w:val="00C04023"/>
    <w:rsid w:val="00C051A8"/>
    <w:rsid w:val="00C054BC"/>
    <w:rsid w:val="00C0559F"/>
    <w:rsid w:val="00C06B4B"/>
    <w:rsid w:val="00C0700B"/>
    <w:rsid w:val="00C07C93"/>
    <w:rsid w:val="00C07E9D"/>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AA2"/>
    <w:rsid w:val="00C22C4C"/>
    <w:rsid w:val="00C23BE3"/>
    <w:rsid w:val="00C246BA"/>
    <w:rsid w:val="00C2526C"/>
    <w:rsid w:val="00C3002D"/>
    <w:rsid w:val="00C3020A"/>
    <w:rsid w:val="00C31383"/>
    <w:rsid w:val="00C32063"/>
    <w:rsid w:val="00C3238C"/>
    <w:rsid w:val="00C332C1"/>
    <w:rsid w:val="00C34589"/>
    <w:rsid w:val="00C350E9"/>
    <w:rsid w:val="00C35B2B"/>
    <w:rsid w:val="00C36A36"/>
    <w:rsid w:val="00C36C89"/>
    <w:rsid w:val="00C374DC"/>
    <w:rsid w:val="00C37548"/>
    <w:rsid w:val="00C409D5"/>
    <w:rsid w:val="00C4167F"/>
    <w:rsid w:val="00C4190B"/>
    <w:rsid w:val="00C41C9E"/>
    <w:rsid w:val="00C42082"/>
    <w:rsid w:val="00C42300"/>
    <w:rsid w:val="00C424BA"/>
    <w:rsid w:val="00C42E05"/>
    <w:rsid w:val="00C435C3"/>
    <w:rsid w:val="00C438B9"/>
    <w:rsid w:val="00C443B5"/>
    <w:rsid w:val="00C4502D"/>
    <w:rsid w:val="00C45692"/>
    <w:rsid w:val="00C45BB1"/>
    <w:rsid w:val="00C4611F"/>
    <w:rsid w:val="00C47171"/>
    <w:rsid w:val="00C47181"/>
    <w:rsid w:val="00C47415"/>
    <w:rsid w:val="00C507D0"/>
    <w:rsid w:val="00C518D5"/>
    <w:rsid w:val="00C5202E"/>
    <w:rsid w:val="00C52A3A"/>
    <w:rsid w:val="00C533F3"/>
    <w:rsid w:val="00C5395D"/>
    <w:rsid w:val="00C53D47"/>
    <w:rsid w:val="00C53E61"/>
    <w:rsid w:val="00C54529"/>
    <w:rsid w:val="00C55161"/>
    <w:rsid w:val="00C55B16"/>
    <w:rsid w:val="00C55F78"/>
    <w:rsid w:val="00C563BE"/>
    <w:rsid w:val="00C5686A"/>
    <w:rsid w:val="00C56DD8"/>
    <w:rsid w:val="00C57EF1"/>
    <w:rsid w:val="00C60A5D"/>
    <w:rsid w:val="00C61767"/>
    <w:rsid w:val="00C61934"/>
    <w:rsid w:val="00C61943"/>
    <w:rsid w:val="00C6234B"/>
    <w:rsid w:val="00C62442"/>
    <w:rsid w:val="00C62CA2"/>
    <w:rsid w:val="00C6356C"/>
    <w:rsid w:val="00C6375D"/>
    <w:rsid w:val="00C63EAE"/>
    <w:rsid w:val="00C65BF6"/>
    <w:rsid w:val="00C663AF"/>
    <w:rsid w:val="00C66E28"/>
    <w:rsid w:val="00C66FB9"/>
    <w:rsid w:val="00C67E09"/>
    <w:rsid w:val="00C710B4"/>
    <w:rsid w:val="00C72658"/>
    <w:rsid w:val="00C727BA"/>
    <w:rsid w:val="00C72BA5"/>
    <w:rsid w:val="00C73667"/>
    <w:rsid w:val="00C73F82"/>
    <w:rsid w:val="00C74BD1"/>
    <w:rsid w:val="00C75533"/>
    <w:rsid w:val="00C7629F"/>
    <w:rsid w:val="00C762FC"/>
    <w:rsid w:val="00C76AEB"/>
    <w:rsid w:val="00C76B6A"/>
    <w:rsid w:val="00C77EB4"/>
    <w:rsid w:val="00C80629"/>
    <w:rsid w:val="00C81201"/>
    <w:rsid w:val="00C81D9C"/>
    <w:rsid w:val="00C824E5"/>
    <w:rsid w:val="00C832C3"/>
    <w:rsid w:val="00C8372E"/>
    <w:rsid w:val="00C846D2"/>
    <w:rsid w:val="00C84E06"/>
    <w:rsid w:val="00C850F2"/>
    <w:rsid w:val="00C851BC"/>
    <w:rsid w:val="00C86165"/>
    <w:rsid w:val="00C86384"/>
    <w:rsid w:val="00C8661B"/>
    <w:rsid w:val="00C86F73"/>
    <w:rsid w:val="00C87369"/>
    <w:rsid w:val="00C87AC6"/>
    <w:rsid w:val="00C87CE5"/>
    <w:rsid w:val="00C90AB3"/>
    <w:rsid w:val="00C90C67"/>
    <w:rsid w:val="00C92C76"/>
    <w:rsid w:val="00C93424"/>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934"/>
    <w:rsid w:val="00CA3A3D"/>
    <w:rsid w:val="00CA3CAE"/>
    <w:rsid w:val="00CA4027"/>
    <w:rsid w:val="00CA5DEF"/>
    <w:rsid w:val="00CA671C"/>
    <w:rsid w:val="00CA67B1"/>
    <w:rsid w:val="00CA746A"/>
    <w:rsid w:val="00CA77FB"/>
    <w:rsid w:val="00CB0E9E"/>
    <w:rsid w:val="00CB1F16"/>
    <w:rsid w:val="00CB2273"/>
    <w:rsid w:val="00CB227D"/>
    <w:rsid w:val="00CB235B"/>
    <w:rsid w:val="00CB287B"/>
    <w:rsid w:val="00CB2FBF"/>
    <w:rsid w:val="00CB379B"/>
    <w:rsid w:val="00CB384D"/>
    <w:rsid w:val="00CB4ACB"/>
    <w:rsid w:val="00CB4EF7"/>
    <w:rsid w:val="00CB5B09"/>
    <w:rsid w:val="00CB5DD0"/>
    <w:rsid w:val="00CB5F61"/>
    <w:rsid w:val="00CB61F7"/>
    <w:rsid w:val="00CB6916"/>
    <w:rsid w:val="00CB6FF0"/>
    <w:rsid w:val="00CC0B0B"/>
    <w:rsid w:val="00CC0D70"/>
    <w:rsid w:val="00CC14DB"/>
    <w:rsid w:val="00CC1DDC"/>
    <w:rsid w:val="00CC1FC2"/>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ED0"/>
    <w:rsid w:val="00CC6F6C"/>
    <w:rsid w:val="00CC7294"/>
    <w:rsid w:val="00CD2215"/>
    <w:rsid w:val="00CD23FD"/>
    <w:rsid w:val="00CD3DCF"/>
    <w:rsid w:val="00CD4276"/>
    <w:rsid w:val="00CD4BF2"/>
    <w:rsid w:val="00CD4F48"/>
    <w:rsid w:val="00CD5013"/>
    <w:rsid w:val="00CD660C"/>
    <w:rsid w:val="00CD6D1C"/>
    <w:rsid w:val="00CD6E2E"/>
    <w:rsid w:val="00CD73E0"/>
    <w:rsid w:val="00CD75E7"/>
    <w:rsid w:val="00CD7BE5"/>
    <w:rsid w:val="00CE14A4"/>
    <w:rsid w:val="00CE1900"/>
    <w:rsid w:val="00CE1ED5"/>
    <w:rsid w:val="00CE21E3"/>
    <w:rsid w:val="00CE2259"/>
    <w:rsid w:val="00CE2BD2"/>
    <w:rsid w:val="00CE432F"/>
    <w:rsid w:val="00CE551F"/>
    <w:rsid w:val="00CE5999"/>
    <w:rsid w:val="00CE5A69"/>
    <w:rsid w:val="00CE66CF"/>
    <w:rsid w:val="00CE754E"/>
    <w:rsid w:val="00CF1FDD"/>
    <w:rsid w:val="00CF207C"/>
    <w:rsid w:val="00CF21B9"/>
    <w:rsid w:val="00CF36E3"/>
    <w:rsid w:val="00CF43F7"/>
    <w:rsid w:val="00CF46CE"/>
    <w:rsid w:val="00CF63CD"/>
    <w:rsid w:val="00CF6508"/>
    <w:rsid w:val="00CF6BF9"/>
    <w:rsid w:val="00CF6C55"/>
    <w:rsid w:val="00CF7C0F"/>
    <w:rsid w:val="00CF7E45"/>
    <w:rsid w:val="00D0080E"/>
    <w:rsid w:val="00D0082F"/>
    <w:rsid w:val="00D01F0A"/>
    <w:rsid w:val="00D0293E"/>
    <w:rsid w:val="00D036CD"/>
    <w:rsid w:val="00D03800"/>
    <w:rsid w:val="00D03E47"/>
    <w:rsid w:val="00D046C9"/>
    <w:rsid w:val="00D0477E"/>
    <w:rsid w:val="00D0649A"/>
    <w:rsid w:val="00D065D3"/>
    <w:rsid w:val="00D0729C"/>
    <w:rsid w:val="00D077E3"/>
    <w:rsid w:val="00D102CD"/>
    <w:rsid w:val="00D103A6"/>
    <w:rsid w:val="00D11953"/>
    <w:rsid w:val="00D11963"/>
    <w:rsid w:val="00D120B7"/>
    <w:rsid w:val="00D1261B"/>
    <w:rsid w:val="00D128D8"/>
    <w:rsid w:val="00D12C71"/>
    <w:rsid w:val="00D13C46"/>
    <w:rsid w:val="00D14136"/>
    <w:rsid w:val="00D14C94"/>
    <w:rsid w:val="00D14CA4"/>
    <w:rsid w:val="00D1625A"/>
    <w:rsid w:val="00D17291"/>
    <w:rsid w:val="00D17D44"/>
    <w:rsid w:val="00D20EED"/>
    <w:rsid w:val="00D213A4"/>
    <w:rsid w:val="00D220D9"/>
    <w:rsid w:val="00D2235F"/>
    <w:rsid w:val="00D2290A"/>
    <w:rsid w:val="00D230C0"/>
    <w:rsid w:val="00D23442"/>
    <w:rsid w:val="00D23E87"/>
    <w:rsid w:val="00D243ED"/>
    <w:rsid w:val="00D24B72"/>
    <w:rsid w:val="00D258BF"/>
    <w:rsid w:val="00D26139"/>
    <w:rsid w:val="00D26F85"/>
    <w:rsid w:val="00D27095"/>
    <w:rsid w:val="00D27114"/>
    <w:rsid w:val="00D2772A"/>
    <w:rsid w:val="00D27A8C"/>
    <w:rsid w:val="00D313EC"/>
    <w:rsid w:val="00D329CC"/>
    <w:rsid w:val="00D32BF9"/>
    <w:rsid w:val="00D33555"/>
    <w:rsid w:val="00D339D4"/>
    <w:rsid w:val="00D342A6"/>
    <w:rsid w:val="00D342D2"/>
    <w:rsid w:val="00D349CF"/>
    <w:rsid w:val="00D35628"/>
    <w:rsid w:val="00D359F1"/>
    <w:rsid w:val="00D36353"/>
    <w:rsid w:val="00D36398"/>
    <w:rsid w:val="00D36F45"/>
    <w:rsid w:val="00D37232"/>
    <w:rsid w:val="00D41604"/>
    <w:rsid w:val="00D44D62"/>
    <w:rsid w:val="00D4518F"/>
    <w:rsid w:val="00D45DC2"/>
    <w:rsid w:val="00D464BF"/>
    <w:rsid w:val="00D471C3"/>
    <w:rsid w:val="00D47F65"/>
    <w:rsid w:val="00D50523"/>
    <w:rsid w:val="00D516AA"/>
    <w:rsid w:val="00D52C6D"/>
    <w:rsid w:val="00D538D5"/>
    <w:rsid w:val="00D53E26"/>
    <w:rsid w:val="00D54959"/>
    <w:rsid w:val="00D54AA6"/>
    <w:rsid w:val="00D54D2B"/>
    <w:rsid w:val="00D55370"/>
    <w:rsid w:val="00D559C3"/>
    <w:rsid w:val="00D5600F"/>
    <w:rsid w:val="00D56663"/>
    <w:rsid w:val="00D572B7"/>
    <w:rsid w:val="00D607B1"/>
    <w:rsid w:val="00D609FA"/>
    <w:rsid w:val="00D60AC7"/>
    <w:rsid w:val="00D61E83"/>
    <w:rsid w:val="00D61EDB"/>
    <w:rsid w:val="00D62205"/>
    <w:rsid w:val="00D62B9C"/>
    <w:rsid w:val="00D63BE2"/>
    <w:rsid w:val="00D6400C"/>
    <w:rsid w:val="00D648EF"/>
    <w:rsid w:val="00D6780A"/>
    <w:rsid w:val="00D70019"/>
    <w:rsid w:val="00D70EB1"/>
    <w:rsid w:val="00D715C2"/>
    <w:rsid w:val="00D71A19"/>
    <w:rsid w:val="00D72F09"/>
    <w:rsid w:val="00D73149"/>
    <w:rsid w:val="00D73B47"/>
    <w:rsid w:val="00D744E7"/>
    <w:rsid w:val="00D7540B"/>
    <w:rsid w:val="00D755CF"/>
    <w:rsid w:val="00D7688D"/>
    <w:rsid w:val="00D77272"/>
    <w:rsid w:val="00D80817"/>
    <w:rsid w:val="00D80D0A"/>
    <w:rsid w:val="00D81AFD"/>
    <w:rsid w:val="00D828B9"/>
    <w:rsid w:val="00D82923"/>
    <w:rsid w:val="00D8320E"/>
    <w:rsid w:val="00D83E95"/>
    <w:rsid w:val="00D84476"/>
    <w:rsid w:val="00D84A3D"/>
    <w:rsid w:val="00D858F2"/>
    <w:rsid w:val="00D859D5"/>
    <w:rsid w:val="00D868C8"/>
    <w:rsid w:val="00D874CC"/>
    <w:rsid w:val="00D874D3"/>
    <w:rsid w:val="00D87A16"/>
    <w:rsid w:val="00D90282"/>
    <w:rsid w:val="00D9075A"/>
    <w:rsid w:val="00D90A25"/>
    <w:rsid w:val="00D9124A"/>
    <w:rsid w:val="00D915E6"/>
    <w:rsid w:val="00D9171F"/>
    <w:rsid w:val="00D918F3"/>
    <w:rsid w:val="00D91DED"/>
    <w:rsid w:val="00D92009"/>
    <w:rsid w:val="00D92DE2"/>
    <w:rsid w:val="00D96407"/>
    <w:rsid w:val="00D96545"/>
    <w:rsid w:val="00D96B7A"/>
    <w:rsid w:val="00D970F4"/>
    <w:rsid w:val="00D97C08"/>
    <w:rsid w:val="00DA16A9"/>
    <w:rsid w:val="00DA1E1C"/>
    <w:rsid w:val="00DA2099"/>
    <w:rsid w:val="00DA239B"/>
    <w:rsid w:val="00DA4664"/>
    <w:rsid w:val="00DA5560"/>
    <w:rsid w:val="00DA5F78"/>
    <w:rsid w:val="00DA5FF5"/>
    <w:rsid w:val="00DA6866"/>
    <w:rsid w:val="00DA75E5"/>
    <w:rsid w:val="00DA7ADB"/>
    <w:rsid w:val="00DA7F60"/>
    <w:rsid w:val="00DB01F6"/>
    <w:rsid w:val="00DB0203"/>
    <w:rsid w:val="00DB1006"/>
    <w:rsid w:val="00DB1C1A"/>
    <w:rsid w:val="00DB2090"/>
    <w:rsid w:val="00DB3035"/>
    <w:rsid w:val="00DB3FF6"/>
    <w:rsid w:val="00DB5C7E"/>
    <w:rsid w:val="00DB6F22"/>
    <w:rsid w:val="00DB789B"/>
    <w:rsid w:val="00DB7E5C"/>
    <w:rsid w:val="00DC0D21"/>
    <w:rsid w:val="00DC1A1B"/>
    <w:rsid w:val="00DC1D65"/>
    <w:rsid w:val="00DC27FE"/>
    <w:rsid w:val="00DC331E"/>
    <w:rsid w:val="00DC3F86"/>
    <w:rsid w:val="00DC60EE"/>
    <w:rsid w:val="00DC69D0"/>
    <w:rsid w:val="00DC7657"/>
    <w:rsid w:val="00DD121D"/>
    <w:rsid w:val="00DD13F2"/>
    <w:rsid w:val="00DD1C2D"/>
    <w:rsid w:val="00DD238F"/>
    <w:rsid w:val="00DD258F"/>
    <w:rsid w:val="00DD3077"/>
    <w:rsid w:val="00DD313A"/>
    <w:rsid w:val="00DD3630"/>
    <w:rsid w:val="00DD39A2"/>
    <w:rsid w:val="00DD3CE8"/>
    <w:rsid w:val="00DD4011"/>
    <w:rsid w:val="00DD4930"/>
    <w:rsid w:val="00DD4F0E"/>
    <w:rsid w:val="00DD5DF6"/>
    <w:rsid w:val="00DD6CE6"/>
    <w:rsid w:val="00DE010E"/>
    <w:rsid w:val="00DE018C"/>
    <w:rsid w:val="00DE08DE"/>
    <w:rsid w:val="00DE1700"/>
    <w:rsid w:val="00DE256A"/>
    <w:rsid w:val="00DE3AEB"/>
    <w:rsid w:val="00DE4017"/>
    <w:rsid w:val="00DE4FF5"/>
    <w:rsid w:val="00DE70D4"/>
    <w:rsid w:val="00DF00AE"/>
    <w:rsid w:val="00DF05A3"/>
    <w:rsid w:val="00DF070D"/>
    <w:rsid w:val="00DF0BF0"/>
    <w:rsid w:val="00DF1900"/>
    <w:rsid w:val="00DF3765"/>
    <w:rsid w:val="00DF3F3C"/>
    <w:rsid w:val="00DF57B7"/>
    <w:rsid w:val="00DF6411"/>
    <w:rsid w:val="00E0158D"/>
    <w:rsid w:val="00E017C5"/>
    <w:rsid w:val="00E0192B"/>
    <w:rsid w:val="00E01F63"/>
    <w:rsid w:val="00E023CC"/>
    <w:rsid w:val="00E0385E"/>
    <w:rsid w:val="00E03D81"/>
    <w:rsid w:val="00E04DDE"/>
    <w:rsid w:val="00E05019"/>
    <w:rsid w:val="00E0580E"/>
    <w:rsid w:val="00E05AA9"/>
    <w:rsid w:val="00E05C08"/>
    <w:rsid w:val="00E05CF8"/>
    <w:rsid w:val="00E05E0A"/>
    <w:rsid w:val="00E064BA"/>
    <w:rsid w:val="00E07D13"/>
    <w:rsid w:val="00E11223"/>
    <w:rsid w:val="00E116AC"/>
    <w:rsid w:val="00E12069"/>
    <w:rsid w:val="00E1264F"/>
    <w:rsid w:val="00E12749"/>
    <w:rsid w:val="00E12D46"/>
    <w:rsid w:val="00E1314D"/>
    <w:rsid w:val="00E13617"/>
    <w:rsid w:val="00E14164"/>
    <w:rsid w:val="00E1485E"/>
    <w:rsid w:val="00E14F33"/>
    <w:rsid w:val="00E14F4F"/>
    <w:rsid w:val="00E16094"/>
    <w:rsid w:val="00E1774C"/>
    <w:rsid w:val="00E17CA3"/>
    <w:rsid w:val="00E20574"/>
    <w:rsid w:val="00E21A5F"/>
    <w:rsid w:val="00E21BC1"/>
    <w:rsid w:val="00E21F13"/>
    <w:rsid w:val="00E229B9"/>
    <w:rsid w:val="00E22F80"/>
    <w:rsid w:val="00E233B4"/>
    <w:rsid w:val="00E2498D"/>
    <w:rsid w:val="00E261B7"/>
    <w:rsid w:val="00E26221"/>
    <w:rsid w:val="00E2690A"/>
    <w:rsid w:val="00E277F1"/>
    <w:rsid w:val="00E3119D"/>
    <w:rsid w:val="00E31289"/>
    <w:rsid w:val="00E31F85"/>
    <w:rsid w:val="00E32710"/>
    <w:rsid w:val="00E328B4"/>
    <w:rsid w:val="00E32C72"/>
    <w:rsid w:val="00E330DE"/>
    <w:rsid w:val="00E331C0"/>
    <w:rsid w:val="00E333F7"/>
    <w:rsid w:val="00E33498"/>
    <w:rsid w:val="00E338E7"/>
    <w:rsid w:val="00E3464C"/>
    <w:rsid w:val="00E35625"/>
    <w:rsid w:val="00E37EA6"/>
    <w:rsid w:val="00E403E1"/>
    <w:rsid w:val="00E404D6"/>
    <w:rsid w:val="00E406DD"/>
    <w:rsid w:val="00E40A62"/>
    <w:rsid w:val="00E41344"/>
    <w:rsid w:val="00E418F9"/>
    <w:rsid w:val="00E41D78"/>
    <w:rsid w:val="00E41DFD"/>
    <w:rsid w:val="00E41FC0"/>
    <w:rsid w:val="00E42875"/>
    <w:rsid w:val="00E436A8"/>
    <w:rsid w:val="00E43C80"/>
    <w:rsid w:val="00E4401F"/>
    <w:rsid w:val="00E44C2A"/>
    <w:rsid w:val="00E451C2"/>
    <w:rsid w:val="00E45EF3"/>
    <w:rsid w:val="00E465A7"/>
    <w:rsid w:val="00E46D16"/>
    <w:rsid w:val="00E47203"/>
    <w:rsid w:val="00E472D2"/>
    <w:rsid w:val="00E47D07"/>
    <w:rsid w:val="00E47E78"/>
    <w:rsid w:val="00E5096B"/>
    <w:rsid w:val="00E50E4C"/>
    <w:rsid w:val="00E51288"/>
    <w:rsid w:val="00E5193B"/>
    <w:rsid w:val="00E523CE"/>
    <w:rsid w:val="00E52E1E"/>
    <w:rsid w:val="00E532EE"/>
    <w:rsid w:val="00E534CF"/>
    <w:rsid w:val="00E5419A"/>
    <w:rsid w:val="00E54E33"/>
    <w:rsid w:val="00E5566D"/>
    <w:rsid w:val="00E55E9D"/>
    <w:rsid w:val="00E561B4"/>
    <w:rsid w:val="00E56405"/>
    <w:rsid w:val="00E56BFE"/>
    <w:rsid w:val="00E57699"/>
    <w:rsid w:val="00E5771C"/>
    <w:rsid w:val="00E6020F"/>
    <w:rsid w:val="00E6049D"/>
    <w:rsid w:val="00E60E59"/>
    <w:rsid w:val="00E6146A"/>
    <w:rsid w:val="00E61531"/>
    <w:rsid w:val="00E6199D"/>
    <w:rsid w:val="00E6208D"/>
    <w:rsid w:val="00E62CEF"/>
    <w:rsid w:val="00E63993"/>
    <w:rsid w:val="00E6452E"/>
    <w:rsid w:val="00E65EB1"/>
    <w:rsid w:val="00E6719C"/>
    <w:rsid w:val="00E673CD"/>
    <w:rsid w:val="00E67EF1"/>
    <w:rsid w:val="00E7107D"/>
    <w:rsid w:val="00E716D8"/>
    <w:rsid w:val="00E726EC"/>
    <w:rsid w:val="00E72C5E"/>
    <w:rsid w:val="00E7347E"/>
    <w:rsid w:val="00E741BF"/>
    <w:rsid w:val="00E74C81"/>
    <w:rsid w:val="00E75E13"/>
    <w:rsid w:val="00E75E3B"/>
    <w:rsid w:val="00E76A0F"/>
    <w:rsid w:val="00E7709E"/>
    <w:rsid w:val="00E81756"/>
    <w:rsid w:val="00E81CB4"/>
    <w:rsid w:val="00E83F66"/>
    <w:rsid w:val="00E84C86"/>
    <w:rsid w:val="00E8569C"/>
    <w:rsid w:val="00E8585B"/>
    <w:rsid w:val="00E86099"/>
    <w:rsid w:val="00E86106"/>
    <w:rsid w:val="00E86241"/>
    <w:rsid w:val="00E864B5"/>
    <w:rsid w:val="00E86A1C"/>
    <w:rsid w:val="00E8715B"/>
    <w:rsid w:val="00E871B3"/>
    <w:rsid w:val="00E87A96"/>
    <w:rsid w:val="00E87BC9"/>
    <w:rsid w:val="00E904E1"/>
    <w:rsid w:val="00E90BF4"/>
    <w:rsid w:val="00E91301"/>
    <w:rsid w:val="00E927F3"/>
    <w:rsid w:val="00E92803"/>
    <w:rsid w:val="00E92FFF"/>
    <w:rsid w:val="00E93409"/>
    <w:rsid w:val="00E939F0"/>
    <w:rsid w:val="00E944DF"/>
    <w:rsid w:val="00E9460D"/>
    <w:rsid w:val="00E950DA"/>
    <w:rsid w:val="00E950DC"/>
    <w:rsid w:val="00E9513D"/>
    <w:rsid w:val="00E951AF"/>
    <w:rsid w:val="00E95B80"/>
    <w:rsid w:val="00E95E3A"/>
    <w:rsid w:val="00E96001"/>
    <w:rsid w:val="00E9621C"/>
    <w:rsid w:val="00E96796"/>
    <w:rsid w:val="00E96867"/>
    <w:rsid w:val="00E97C07"/>
    <w:rsid w:val="00E97EA3"/>
    <w:rsid w:val="00EA00E8"/>
    <w:rsid w:val="00EA0DA4"/>
    <w:rsid w:val="00EA0DDE"/>
    <w:rsid w:val="00EA1805"/>
    <w:rsid w:val="00EA1EE1"/>
    <w:rsid w:val="00EA2219"/>
    <w:rsid w:val="00EA2AFC"/>
    <w:rsid w:val="00EA3452"/>
    <w:rsid w:val="00EA345B"/>
    <w:rsid w:val="00EA386A"/>
    <w:rsid w:val="00EA3F15"/>
    <w:rsid w:val="00EA41E5"/>
    <w:rsid w:val="00EA4252"/>
    <w:rsid w:val="00EA4573"/>
    <w:rsid w:val="00EA5A83"/>
    <w:rsid w:val="00EA636D"/>
    <w:rsid w:val="00EA64FA"/>
    <w:rsid w:val="00EA675A"/>
    <w:rsid w:val="00EA6DEA"/>
    <w:rsid w:val="00EA775A"/>
    <w:rsid w:val="00EA7813"/>
    <w:rsid w:val="00EA7847"/>
    <w:rsid w:val="00EB154D"/>
    <w:rsid w:val="00EB1740"/>
    <w:rsid w:val="00EB3879"/>
    <w:rsid w:val="00EB3E5D"/>
    <w:rsid w:val="00EB4128"/>
    <w:rsid w:val="00EB4A13"/>
    <w:rsid w:val="00EB4A1A"/>
    <w:rsid w:val="00EB5EF7"/>
    <w:rsid w:val="00EB6E87"/>
    <w:rsid w:val="00EB7CE7"/>
    <w:rsid w:val="00EC0B8D"/>
    <w:rsid w:val="00EC2C4D"/>
    <w:rsid w:val="00EC2F9C"/>
    <w:rsid w:val="00EC35B2"/>
    <w:rsid w:val="00EC4885"/>
    <w:rsid w:val="00EC4B45"/>
    <w:rsid w:val="00EC510F"/>
    <w:rsid w:val="00EC5678"/>
    <w:rsid w:val="00EC61A5"/>
    <w:rsid w:val="00EC69D7"/>
    <w:rsid w:val="00EC6A1B"/>
    <w:rsid w:val="00EC7FD9"/>
    <w:rsid w:val="00ED0071"/>
    <w:rsid w:val="00ED045A"/>
    <w:rsid w:val="00ED0695"/>
    <w:rsid w:val="00ED112D"/>
    <w:rsid w:val="00ED11FC"/>
    <w:rsid w:val="00ED15B3"/>
    <w:rsid w:val="00ED3108"/>
    <w:rsid w:val="00ED3522"/>
    <w:rsid w:val="00ED40DC"/>
    <w:rsid w:val="00ED43E3"/>
    <w:rsid w:val="00ED4D6F"/>
    <w:rsid w:val="00ED596A"/>
    <w:rsid w:val="00ED6028"/>
    <w:rsid w:val="00ED684F"/>
    <w:rsid w:val="00ED6899"/>
    <w:rsid w:val="00ED79AD"/>
    <w:rsid w:val="00ED7FAE"/>
    <w:rsid w:val="00EE0E3E"/>
    <w:rsid w:val="00EE1D7B"/>
    <w:rsid w:val="00EE1E3F"/>
    <w:rsid w:val="00EE2B8D"/>
    <w:rsid w:val="00EE2E6E"/>
    <w:rsid w:val="00EE3754"/>
    <w:rsid w:val="00EE3A9F"/>
    <w:rsid w:val="00EE3E21"/>
    <w:rsid w:val="00EE493C"/>
    <w:rsid w:val="00EE4C9E"/>
    <w:rsid w:val="00EE5CD9"/>
    <w:rsid w:val="00EE7C2B"/>
    <w:rsid w:val="00EF0F91"/>
    <w:rsid w:val="00EF28E6"/>
    <w:rsid w:val="00EF2D05"/>
    <w:rsid w:val="00EF391B"/>
    <w:rsid w:val="00EF4B06"/>
    <w:rsid w:val="00EF605C"/>
    <w:rsid w:val="00EF6BDC"/>
    <w:rsid w:val="00EF6EBC"/>
    <w:rsid w:val="00EF721B"/>
    <w:rsid w:val="00EF729D"/>
    <w:rsid w:val="00EF7849"/>
    <w:rsid w:val="00EF7859"/>
    <w:rsid w:val="00EF78B8"/>
    <w:rsid w:val="00F008C6"/>
    <w:rsid w:val="00F01459"/>
    <w:rsid w:val="00F01CA3"/>
    <w:rsid w:val="00F03154"/>
    <w:rsid w:val="00F03329"/>
    <w:rsid w:val="00F040B7"/>
    <w:rsid w:val="00F0499E"/>
    <w:rsid w:val="00F04E23"/>
    <w:rsid w:val="00F04FA6"/>
    <w:rsid w:val="00F05079"/>
    <w:rsid w:val="00F054F5"/>
    <w:rsid w:val="00F057E5"/>
    <w:rsid w:val="00F05CFF"/>
    <w:rsid w:val="00F0635D"/>
    <w:rsid w:val="00F06884"/>
    <w:rsid w:val="00F06BB2"/>
    <w:rsid w:val="00F070E5"/>
    <w:rsid w:val="00F071F2"/>
    <w:rsid w:val="00F0759E"/>
    <w:rsid w:val="00F079C2"/>
    <w:rsid w:val="00F11C5C"/>
    <w:rsid w:val="00F13211"/>
    <w:rsid w:val="00F14999"/>
    <w:rsid w:val="00F15CCA"/>
    <w:rsid w:val="00F16347"/>
    <w:rsid w:val="00F16DA3"/>
    <w:rsid w:val="00F16FE3"/>
    <w:rsid w:val="00F17D2A"/>
    <w:rsid w:val="00F2162A"/>
    <w:rsid w:val="00F21D48"/>
    <w:rsid w:val="00F22F1E"/>
    <w:rsid w:val="00F234CE"/>
    <w:rsid w:val="00F24262"/>
    <w:rsid w:val="00F25EEE"/>
    <w:rsid w:val="00F2642E"/>
    <w:rsid w:val="00F265B2"/>
    <w:rsid w:val="00F26A94"/>
    <w:rsid w:val="00F27332"/>
    <w:rsid w:val="00F30903"/>
    <w:rsid w:val="00F319B1"/>
    <w:rsid w:val="00F32312"/>
    <w:rsid w:val="00F32AEA"/>
    <w:rsid w:val="00F330DE"/>
    <w:rsid w:val="00F33360"/>
    <w:rsid w:val="00F33794"/>
    <w:rsid w:val="00F340BC"/>
    <w:rsid w:val="00F3487B"/>
    <w:rsid w:val="00F35317"/>
    <w:rsid w:val="00F35523"/>
    <w:rsid w:val="00F35BA5"/>
    <w:rsid w:val="00F35E90"/>
    <w:rsid w:val="00F369CE"/>
    <w:rsid w:val="00F36AC2"/>
    <w:rsid w:val="00F36B65"/>
    <w:rsid w:val="00F37572"/>
    <w:rsid w:val="00F37EE5"/>
    <w:rsid w:val="00F4002F"/>
    <w:rsid w:val="00F406B3"/>
    <w:rsid w:val="00F40BD6"/>
    <w:rsid w:val="00F417E3"/>
    <w:rsid w:val="00F42198"/>
    <w:rsid w:val="00F43112"/>
    <w:rsid w:val="00F43151"/>
    <w:rsid w:val="00F4350B"/>
    <w:rsid w:val="00F43645"/>
    <w:rsid w:val="00F43804"/>
    <w:rsid w:val="00F43D32"/>
    <w:rsid w:val="00F45D92"/>
    <w:rsid w:val="00F46E7E"/>
    <w:rsid w:val="00F47400"/>
    <w:rsid w:val="00F47414"/>
    <w:rsid w:val="00F5027A"/>
    <w:rsid w:val="00F50CE8"/>
    <w:rsid w:val="00F5143E"/>
    <w:rsid w:val="00F51DB5"/>
    <w:rsid w:val="00F51FDC"/>
    <w:rsid w:val="00F52B69"/>
    <w:rsid w:val="00F52E40"/>
    <w:rsid w:val="00F54E44"/>
    <w:rsid w:val="00F551F9"/>
    <w:rsid w:val="00F55BA7"/>
    <w:rsid w:val="00F55D33"/>
    <w:rsid w:val="00F564B3"/>
    <w:rsid w:val="00F56A93"/>
    <w:rsid w:val="00F57150"/>
    <w:rsid w:val="00F60054"/>
    <w:rsid w:val="00F6067B"/>
    <w:rsid w:val="00F6150B"/>
    <w:rsid w:val="00F63543"/>
    <w:rsid w:val="00F6535D"/>
    <w:rsid w:val="00F659DB"/>
    <w:rsid w:val="00F66046"/>
    <w:rsid w:val="00F66091"/>
    <w:rsid w:val="00F66CBB"/>
    <w:rsid w:val="00F66DDB"/>
    <w:rsid w:val="00F672AB"/>
    <w:rsid w:val="00F67A27"/>
    <w:rsid w:val="00F67A93"/>
    <w:rsid w:val="00F704B1"/>
    <w:rsid w:val="00F70D38"/>
    <w:rsid w:val="00F70D62"/>
    <w:rsid w:val="00F7160E"/>
    <w:rsid w:val="00F724F8"/>
    <w:rsid w:val="00F72F94"/>
    <w:rsid w:val="00F739D9"/>
    <w:rsid w:val="00F74608"/>
    <w:rsid w:val="00F7490D"/>
    <w:rsid w:val="00F74A83"/>
    <w:rsid w:val="00F754FE"/>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97"/>
    <w:rsid w:val="00F947A5"/>
    <w:rsid w:val="00F94A53"/>
    <w:rsid w:val="00F94CBC"/>
    <w:rsid w:val="00F94E7F"/>
    <w:rsid w:val="00F9531C"/>
    <w:rsid w:val="00F95F5B"/>
    <w:rsid w:val="00F95FDB"/>
    <w:rsid w:val="00F9623D"/>
    <w:rsid w:val="00F96674"/>
    <w:rsid w:val="00F969FC"/>
    <w:rsid w:val="00F96E0F"/>
    <w:rsid w:val="00FA0B27"/>
    <w:rsid w:val="00FA0D0D"/>
    <w:rsid w:val="00FA1274"/>
    <w:rsid w:val="00FA29CD"/>
    <w:rsid w:val="00FA2C07"/>
    <w:rsid w:val="00FA3BC6"/>
    <w:rsid w:val="00FA3DCA"/>
    <w:rsid w:val="00FA4B63"/>
    <w:rsid w:val="00FA50A6"/>
    <w:rsid w:val="00FA5A5B"/>
    <w:rsid w:val="00FA6A07"/>
    <w:rsid w:val="00FA7689"/>
    <w:rsid w:val="00FA79DF"/>
    <w:rsid w:val="00FA7B58"/>
    <w:rsid w:val="00FB061A"/>
    <w:rsid w:val="00FB0EDD"/>
    <w:rsid w:val="00FB277C"/>
    <w:rsid w:val="00FB2A39"/>
    <w:rsid w:val="00FB2D59"/>
    <w:rsid w:val="00FB2EA5"/>
    <w:rsid w:val="00FB3A31"/>
    <w:rsid w:val="00FB4124"/>
    <w:rsid w:val="00FB4372"/>
    <w:rsid w:val="00FB4FA3"/>
    <w:rsid w:val="00FB503E"/>
    <w:rsid w:val="00FB5E75"/>
    <w:rsid w:val="00FB5F47"/>
    <w:rsid w:val="00FB682C"/>
    <w:rsid w:val="00FB7126"/>
    <w:rsid w:val="00FB72B5"/>
    <w:rsid w:val="00FC021D"/>
    <w:rsid w:val="00FC0F70"/>
    <w:rsid w:val="00FC1922"/>
    <w:rsid w:val="00FC1D9C"/>
    <w:rsid w:val="00FC2387"/>
    <w:rsid w:val="00FC37A0"/>
    <w:rsid w:val="00FC3E6C"/>
    <w:rsid w:val="00FC58EF"/>
    <w:rsid w:val="00FC590F"/>
    <w:rsid w:val="00FC692C"/>
    <w:rsid w:val="00FC707E"/>
    <w:rsid w:val="00FC70D4"/>
    <w:rsid w:val="00FC74D1"/>
    <w:rsid w:val="00FC7578"/>
    <w:rsid w:val="00FD006D"/>
    <w:rsid w:val="00FD038D"/>
    <w:rsid w:val="00FD0560"/>
    <w:rsid w:val="00FD09CA"/>
    <w:rsid w:val="00FD0E98"/>
    <w:rsid w:val="00FD33DF"/>
    <w:rsid w:val="00FD3E8B"/>
    <w:rsid w:val="00FD3E9C"/>
    <w:rsid w:val="00FD4083"/>
    <w:rsid w:val="00FD426A"/>
    <w:rsid w:val="00FD458E"/>
    <w:rsid w:val="00FD4F75"/>
    <w:rsid w:val="00FD5EC6"/>
    <w:rsid w:val="00FD6206"/>
    <w:rsid w:val="00FD662D"/>
    <w:rsid w:val="00FE1079"/>
    <w:rsid w:val="00FE171D"/>
    <w:rsid w:val="00FE188E"/>
    <w:rsid w:val="00FE1EB5"/>
    <w:rsid w:val="00FE32F8"/>
    <w:rsid w:val="00FE37B4"/>
    <w:rsid w:val="00FE380E"/>
    <w:rsid w:val="00FE39D7"/>
    <w:rsid w:val="00FE3B4D"/>
    <w:rsid w:val="00FE3BD9"/>
    <w:rsid w:val="00FE4CA4"/>
    <w:rsid w:val="00FE5026"/>
    <w:rsid w:val="00FE5064"/>
    <w:rsid w:val="00FE6035"/>
    <w:rsid w:val="00FE656D"/>
    <w:rsid w:val="00FE7A62"/>
    <w:rsid w:val="00FF0D62"/>
    <w:rsid w:val="00FF0F87"/>
    <w:rsid w:val="00FF12D7"/>
    <w:rsid w:val="00FF18D3"/>
    <w:rsid w:val="00FF1CAD"/>
    <w:rsid w:val="00FF1CBF"/>
    <w:rsid w:val="00FF2019"/>
    <w:rsid w:val="00FF20B6"/>
    <w:rsid w:val="00FF214D"/>
    <w:rsid w:val="00FF287C"/>
    <w:rsid w:val="00FF3A24"/>
    <w:rsid w:val="00FF3F21"/>
    <w:rsid w:val="00FF49DF"/>
    <w:rsid w:val="00FF5B35"/>
    <w:rsid w:val="00FF5D80"/>
    <w:rsid w:val="00FF5FEA"/>
    <w:rsid w:val="00FF5FFB"/>
    <w:rsid w:val="00FF629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C9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9CF"/>
  </w:style>
  <w:style w:type="table" w:customStyle="1" w:styleId="TableGridCEPA6">
    <w:name w:val="Table Grid CEPA6"/>
    <w:basedOn w:val="Tablanormal"/>
    <w:next w:val="Tablaconcuadrcula"/>
    <w:uiPriority w:val="59"/>
    <w:rsid w:val="008A3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A3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6F30E0"/>
  </w:style>
  <w:style w:type="table" w:customStyle="1" w:styleId="TableGridCEPA7">
    <w:name w:val="Table Grid CEPA7"/>
    <w:basedOn w:val="Tablanormal"/>
    <w:next w:val="Tablaconcuadrcula"/>
    <w:uiPriority w:val="59"/>
    <w:rsid w:val="006F30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1086"/>
  </w:style>
  <w:style w:type="table" w:customStyle="1" w:styleId="TableGridCEPA8">
    <w:name w:val="Table Grid CEPA8"/>
    <w:basedOn w:val="Tablanormal"/>
    <w:next w:val="Tablaconcuadrcula"/>
    <w:uiPriority w:val="59"/>
    <w:rsid w:val="007610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56823"/>
  </w:style>
  <w:style w:type="table" w:customStyle="1" w:styleId="TableGridCEPA9">
    <w:name w:val="Table Grid CEPA9"/>
    <w:basedOn w:val="Tablanormal"/>
    <w:next w:val="Tablaconcuadrcula"/>
    <w:uiPriority w:val="59"/>
    <w:rsid w:val="00756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F3D38"/>
  </w:style>
  <w:style w:type="table" w:customStyle="1" w:styleId="TableGridCEPA10">
    <w:name w:val="Table Grid CEPA10"/>
    <w:basedOn w:val="Tablanormal"/>
    <w:next w:val="Tablaconcuadrcula"/>
    <w:uiPriority w:val="59"/>
    <w:rsid w:val="001F3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5640F"/>
  </w:style>
  <w:style w:type="table" w:customStyle="1" w:styleId="TableGridCEPA11">
    <w:name w:val="Table Grid CEPA11"/>
    <w:basedOn w:val="Tablanormal"/>
    <w:next w:val="Tablaconcuadrcula"/>
    <w:uiPriority w:val="59"/>
    <w:rsid w:val="009564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0192B"/>
  </w:style>
  <w:style w:type="table" w:customStyle="1" w:styleId="TableGridCEPA12">
    <w:name w:val="Table Grid CEPA12"/>
    <w:basedOn w:val="Tablanormal"/>
    <w:next w:val="Tablaconcuadrcula"/>
    <w:uiPriority w:val="59"/>
    <w:rsid w:val="00E019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B3A31"/>
  </w:style>
  <w:style w:type="table" w:customStyle="1" w:styleId="TableGridCEPA13">
    <w:name w:val="Table Grid CEPA13"/>
    <w:basedOn w:val="Tablanormal"/>
    <w:next w:val="Tablaconcuadrcula"/>
    <w:uiPriority w:val="59"/>
    <w:rsid w:val="00FB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70">
      <w:bodyDiv w:val="1"/>
      <w:marLeft w:val="0"/>
      <w:marRight w:val="0"/>
      <w:marTop w:val="0"/>
      <w:marBottom w:val="0"/>
      <w:divBdr>
        <w:top w:val="none" w:sz="0" w:space="0" w:color="auto"/>
        <w:left w:val="none" w:sz="0" w:space="0" w:color="auto"/>
        <w:bottom w:val="none" w:sz="0" w:space="0" w:color="auto"/>
        <w:right w:val="none" w:sz="0" w:space="0" w:color="auto"/>
      </w:divBdr>
    </w:div>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726960">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9257307">
      <w:bodyDiv w:val="1"/>
      <w:marLeft w:val="0"/>
      <w:marRight w:val="0"/>
      <w:marTop w:val="0"/>
      <w:marBottom w:val="0"/>
      <w:divBdr>
        <w:top w:val="none" w:sz="0" w:space="0" w:color="auto"/>
        <w:left w:val="none" w:sz="0" w:space="0" w:color="auto"/>
        <w:bottom w:val="none" w:sz="0" w:space="0" w:color="auto"/>
        <w:right w:val="none" w:sz="0" w:space="0" w:color="auto"/>
      </w:divBdr>
    </w:div>
    <w:div w:id="15114475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128567">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7445182">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570123">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5184952">
      <w:bodyDiv w:val="1"/>
      <w:marLeft w:val="0"/>
      <w:marRight w:val="0"/>
      <w:marTop w:val="0"/>
      <w:marBottom w:val="0"/>
      <w:divBdr>
        <w:top w:val="none" w:sz="0" w:space="0" w:color="auto"/>
        <w:left w:val="none" w:sz="0" w:space="0" w:color="auto"/>
        <w:bottom w:val="none" w:sz="0" w:space="0" w:color="auto"/>
        <w:right w:val="none" w:sz="0" w:space="0" w:color="auto"/>
      </w:divBdr>
      <w:divsChild>
        <w:div w:id="420688136">
          <w:marLeft w:val="547"/>
          <w:marRight w:val="0"/>
          <w:marTop w:val="240"/>
          <w:marBottom w:val="240"/>
          <w:divBdr>
            <w:top w:val="none" w:sz="0" w:space="0" w:color="auto"/>
            <w:left w:val="none" w:sz="0" w:space="0" w:color="auto"/>
            <w:bottom w:val="none" w:sz="0" w:space="0" w:color="auto"/>
            <w:right w:val="none" w:sz="0" w:space="0" w:color="auto"/>
          </w:divBdr>
        </w:div>
      </w:divsChild>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445414">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236134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49152151">
      <w:bodyDiv w:val="1"/>
      <w:marLeft w:val="0"/>
      <w:marRight w:val="0"/>
      <w:marTop w:val="0"/>
      <w:marBottom w:val="0"/>
      <w:divBdr>
        <w:top w:val="none" w:sz="0" w:space="0" w:color="auto"/>
        <w:left w:val="none" w:sz="0" w:space="0" w:color="auto"/>
        <w:bottom w:val="none" w:sz="0" w:space="0" w:color="auto"/>
        <w:right w:val="none" w:sz="0" w:space="0" w:color="auto"/>
      </w:divBdr>
    </w:div>
    <w:div w:id="553464125">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87142">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0525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162379">
      <w:bodyDiv w:val="1"/>
      <w:marLeft w:val="0"/>
      <w:marRight w:val="0"/>
      <w:marTop w:val="0"/>
      <w:marBottom w:val="0"/>
      <w:divBdr>
        <w:top w:val="none" w:sz="0" w:space="0" w:color="auto"/>
        <w:left w:val="none" w:sz="0" w:space="0" w:color="auto"/>
        <w:bottom w:val="none" w:sz="0" w:space="0" w:color="auto"/>
        <w:right w:val="none" w:sz="0" w:space="0" w:color="auto"/>
      </w:divBdr>
      <w:divsChild>
        <w:div w:id="1674457302">
          <w:marLeft w:val="547"/>
          <w:marRight w:val="0"/>
          <w:marTop w:val="240"/>
          <w:marBottom w:val="240"/>
          <w:divBdr>
            <w:top w:val="none" w:sz="0" w:space="0" w:color="auto"/>
            <w:left w:val="none" w:sz="0" w:space="0" w:color="auto"/>
            <w:bottom w:val="none" w:sz="0" w:space="0" w:color="auto"/>
            <w:right w:val="none" w:sz="0" w:space="0" w:color="auto"/>
          </w:divBdr>
        </w:div>
      </w:divsChild>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6389523">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6846798">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897285987">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999875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687775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0344774">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3166971">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16446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3733268">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39773169">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2463240">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633431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47532">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017059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2998039">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438866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5352567">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3591850">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6e6c819e4648ad83676e93f21b94afe0">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7b06807d13ede82486c715df60129e54"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E23B0-3405-469A-8842-6A6AD833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50AE9-3653-4CFE-BA69-7DE518173988}">
  <ds:schemaRefs>
    <ds:schemaRef ds:uri="http://schemas.openxmlformats.org/officeDocument/2006/bibliography"/>
  </ds:schemaRefs>
</ds:datastoreItem>
</file>

<file path=customXml/itemProps3.xml><?xml version="1.0" encoding="utf-8"?>
<ds:datastoreItem xmlns:ds="http://schemas.openxmlformats.org/officeDocument/2006/customXml" ds:itemID="{011CD5D8-6AAD-4B71-9803-FE487CC4C88E}">
  <ds:schemaRefs>
    <ds:schemaRef ds:uri="http://schemas.microsoft.com/sharepoint/v3/contenttype/forms"/>
  </ds:schemaRefs>
</ds:datastoreItem>
</file>

<file path=customXml/itemProps4.xml><?xml version="1.0" encoding="utf-8"?>
<ds:datastoreItem xmlns:ds="http://schemas.openxmlformats.org/officeDocument/2006/customXml" ds:itemID="{06DE330A-94BA-48E0-AC48-D7323591DB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13</Pages>
  <Words>5309</Words>
  <Characters>27382</Characters>
  <Application>Microsoft Office Word</Application>
  <DocSecurity>0</DocSecurity>
  <Lines>228</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2021-12-30T18:00:00Z</cp:lastPrinted>
  <dcterms:created xsi:type="dcterms:W3CDTF">2021-12-31T16:24:00Z</dcterms:created>
  <dcterms:modified xsi:type="dcterms:W3CDTF">2021-12-31T16:24:00Z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