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2494" w14:textId="6FC61CFB" w:rsidR="001C30CD" w:rsidRDefault="00867F61" w:rsidP="001C30CD">
      <w:pPr>
        <w:pStyle w:val="Encabezado"/>
        <w:tabs>
          <w:tab w:val="clear" w:pos="8504"/>
          <w:tab w:val="left" w:pos="0"/>
          <w:tab w:val="right" w:pos="9356"/>
        </w:tabs>
        <w:spacing w:before="0" w:after="0"/>
        <w:jc w:val="center"/>
        <w:rPr>
          <w:rFonts w:ascii="Bookman Old Style" w:hAnsi="Bookman Old Style"/>
          <w:bCs/>
          <w:szCs w:val="24"/>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1pt;margin-top:-38pt;width:52.5pt;height:48.75pt;z-index:251658240" fillcolor="#0c9">
            <v:imagedata r:id="rId11" o:title=""/>
          </v:shape>
          <o:OLEObject Type="Embed" ProgID="PBrush" ShapeID="_x0000_s2050" DrawAspect="Content" ObjectID="_1714382536" r:id="rId12"/>
        </w:object>
      </w:r>
    </w:p>
    <w:p w14:paraId="56D90BAA" w14:textId="77777777" w:rsidR="001C30CD" w:rsidRDefault="001C30CD" w:rsidP="001C30CD">
      <w:pPr>
        <w:pStyle w:val="Encabezado"/>
        <w:tabs>
          <w:tab w:val="clear" w:pos="8504"/>
          <w:tab w:val="left" w:pos="0"/>
          <w:tab w:val="right" w:pos="9356"/>
        </w:tabs>
        <w:spacing w:before="0" w:after="0"/>
        <w:jc w:val="center"/>
        <w:rPr>
          <w:rFonts w:ascii="Bookman Old Style" w:hAnsi="Bookman Old Style"/>
          <w:bCs/>
          <w:szCs w:val="24"/>
        </w:rPr>
      </w:pPr>
    </w:p>
    <w:p w14:paraId="4BFCBBDF" w14:textId="7880D9A1" w:rsidR="00CA77FB" w:rsidRDefault="00CA77FB" w:rsidP="001C30CD">
      <w:pPr>
        <w:pStyle w:val="Encabezado"/>
        <w:tabs>
          <w:tab w:val="clear" w:pos="8504"/>
          <w:tab w:val="left" w:pos="0"/>
          <w:tab w:val="right" w:pos="9356"/>
        </w:tabs>
        <w:spacing w:before="0" w:after="0"/>
        <w:jc w:val="center"/>
        <w:rPr>
          <w:rFonts w:ascii="Bookman Old Style" w:hAnsi="Bookman Old Style"/>
          <w:bCs/>
          <w:szCs w:val="24"/>
        </w:rPr>
      </w:pPr>
      <w:r w:rsidRPr="00BF69C9">
        <w:rPr>
          <w:rFonts w:ascii="Bookman Old Style" w:hAnsi="Bookman Old Style"/>
          <w:bCs/>
          <w:szCs w:val="24"/>
        </w:rPr>
        <w:t>Ministerio de Minas y Energía</w:t>
      </w:r>
    </w:p>
    <w:p w14:paraId="0229F1CC" w14:textId="77777777" w:rsidR="009E2364" w:rsidRPr="00BF69C9" w:rsidRDefault="009E2364" w:rsidP="001C30CD">
      <w:pPr>
        <w:pStyle w:val="Encabezado"/>
        <w:tabs>
          <w:tab w:val="clear" w:pos="8504"/>
          <w:tab w:val="left" w:pos="0"/>
          <w:tab w:val="right" w:pos="9356"/>
        </w:tabs>
        <w:spacing w:before="0" w:after="0"/>
        <w:jc w:val="center"/>
        <w:rPr>
          <w:rFonts w:ascii="Bookman Old Style" w:hAnsi="Bookman Old Style"/>
          <w:b/>
          <w:bCs/>
          <w:noProof/>
          <w:szCs w:val="24"/>
          <w:lang w:val="es-ES"/>
        </w:rPr>
      </w:pPr>
    </w:p>
    <w:p w14:paraId="39C03CFE" w14:textId="55801696" w:rsidR="00CA77FB" w:rsidRDefault="00CA77FB" w:rsidP="001C30CD">
      <w:pPr>
        <w:pStyle w:val="Ttulo3"/>
        <w:tabs>
          <w:tab w:val="left" w:pos="0"/>
          <w:tab w:val="right" w:pos="9356"/>
        </w:tabs>
        <w:spacing w:before="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7E7E7CA1" w14:textId="77777777" w:rsidR="00FF3586" w:rsidRPr="00FF3586" w:rsidRDefault="00FF3586" w:rsidP="001C30CD">
      <w:pPr>
        <w:spacing w:before="0" w:after="0"/>
        <w:rPr>
          <w:lang w:val="es-ES_tradnl"/>
        </w:rPr>
      </w:pPr>
    </w:p>
    <w:p w14:paraId="1EF0B417" w14:textId="2F010E00" w:rsidR="00CA77FB" w:rsidRDefault="00CA77FB" w:rsidP="001C30CD">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FF3586">
        <w:rPr>
          <w:rFonts w:ascii="Bookman Old Style" w:hAnsi="Bookman Old Style"/>
          <w:sz w:val="32"/>
          <w:szCs w:val="32"/>
        </w:rPr>
        <w:t xml:space="preserve">501 </w:t>
      </w:r>
      <w:r w:rsidR="0093016A">
        <w:rPr>
          <w:rFonts w:ascii="Bookman Old Style" w:hAnsi="Bookman Old Style"/>
          <w:sz w:val="32"/>
          <w:szCs w:val="32"/>
        </w:rPr>
        <w:t>037</w:t>
      </w:r>
      <w:r w:rsidR="00795BFB" w:rsidRPr="009B0D31">
        <w:rPr>
          <w:rFonts w:ascii="Bookman Old Style" w:hAnsi="Bookman Old Style"/>
          <w:sz w:val="32"/>
          <w:szCs w:val="32"/>
        </w:rPr>
        <w:t xml:space="preserve">  </w:t>
      </w:r>
      <w:r w:rsidR="002571C8" w:rsidRPr="009B0D31">
        <w:rPr>
          <w:rFonts w:ascii="Bookman Old Style" w:hAnsi="Bookman Old Style"/>
          <w:sz w:val="32"/>
          <w:szCs w:val="32"/>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9B0D31">
        <w:rPr>
          <w:rFonts w:ascii="Bookman Old Style" w:hAnsi="Bookman Old Style"/>
          <w:sz w:val="24"/>
          <w:szCs w:val="24"/>
        </w:rPr>
        <w:t>2</w:t>
      </w:r>
      <w:r w:rsidR="00FF3586">
        <w:rPr>
          <w:rFonts w:ascii="Bookman Old Style" w:hAnsi="Bookman Old Style"/>
          <w:sz w:val="24"/>
          <w:szCs w:val="24"/>
        </w:rPr>
        <w:t>2</w:t>
      </w:r>
    </w:p>
    <w:p w14:paraId="3D3425D2" w14:textId="77777777" w:rsidR="009B0D31" w:rsidRDefault="009B0D31" w:rsidP="001C30CD">
      <w:pPr>
        <w:pStyle w:val="Ttulo3"/>
        <w:tabs>
          <w:tab w:val="left" w:pos="0"/>
          <w:tab w:val="right" w:pos="9356"/>
        </w:tabs>
        <w:spacing w:before="0" w:after="0"/>
        <w:rPr>
          <w:rFonts w:ascii="Bookman Old Style" w:hAnsi="Bookman Old Style"/>
          <w:b w:val="0"/>
          <w:szCs w:val="24"/>
        </w:rPr>
      </w:pPr>
    </w:p>
    <w:p w14:paraId="1339ABB4" w14:textId="7332E23B" w:rsidR="00CA77FB" w:rsidRDefault="00CA77FB" w:rsidP="001C30CD">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93016A">
        <w:rPr>
          <w:rFonts w:ascii="Bookman Old Style" w:hAnsi="Bookman Old Style"/>
          <w:bCs/>
          <w:sz w:val="32"/>
          <w:szCs w:val="32"/>
        </w:rPr>
        <w:t>20</w:t>
      </w:r>
      <w:r w:rsidR="009B0D31" w:rsidRPr="009B0D31">
        <w:rPr>
          <w:rFonts w:ascii="Bookman Old Style" w:hAnsi="Bookman Old Style"/>
          <w:bCs/>
          <w:sz w:val="32"/>
          <w:szCs w:val="32"/>
        </w:rPr>
        <w:t xml:space="preserve"> </w:t>
      </w:r>
      <w:r w:rsidR="00582C3B">
        <w:rPr>
          <w:rFonts w:ascii="Bookman Old Style" w:hAnsi="Bookman Old Style"/>
          <w:bCs/>
          <w:sz w:val="32"/>
          <w:szCs w:val="32"/>
        </w:rPr>
        <w:t>ABR</w:t>
      </w:r>
      <w:r w:rsidR="009B0D31" w:rsidRPr="009B0D31">
        <w:rPr>
          <w:rFonts w:ascii="Bookman Old Style" w:hAnsi="Bookman Old Style"/>
          <w:bCs/>
          <w:sz w:val="32"/>
          <w:szCs w:val="32"/>
        </w:rPr>
        <w:t>. 202</w:t>
      </w:r>
      <w:r w:rsidR="00FF3586">
        <w:rPr>
          <w:rFonts w:ascii="Bookman Old Style" w:hAnsi="Bookman Old Style"/>
          <w:bCs/>
          <w:sz w:val="32"/>
          <w:szCs w:val="32"/>
        </w:rPr>
        <w:t>2</w:t>
      </w:r>
      <w:r w:rsidRPr="00BF69C9">
        <w:rPr>
          <w:rFonts w:ascii="Bookman Old Style" w:hAnsi="Bookman Old Style"/>
          <w:b w:val="0"/>
          <w:szCs w:val="24"/>
        </w:rPr>
        <w:t xml:space="preserve">  )</w:t>
      </w:r>
    </w:p>
    <w:p w14:paraId="114276EA" w14:textId="77777777" w:rsidR="009B0D31" w:rsidRPr="009B0D31" w:rsidRDefault="009B0D31" w:rsidP="009B0D31">
      <w:pPr>
        <w:rPr>
          <w:lang w:val="es-ES_tradnl"/>
        </w:rPr>
      </w:pPr>
    </w:p>
    <w:p w14:paraId="267CC799" w14:textId="745C54B1" w:rsidR="00D76752" w:rsidRPr="00BF69C9" w:rsidRDefault="00404763" w:rsidP="001A7613">
      <w:pPr>
        <w:spacing w:before="0" w:after="360"/>
        <w:jc w:val="center"/>
      </w:pPr>
      <w:r w:rsidRPr="00404763">
        <w:t xml:space="preserve">Por la cual se resuelve </w:t>
      </w:r>
      <w:r w:rsidR="00B262F4">
        <w:t xml:space="preserve">el recurso de reposición interpuesto por </w:t>
      </w:r>
      <w:r w:rsidR="00E97BF6">
        <w:t xml:space="preserve">la </w:t>
      </w:r>
      <w:r w:rsidR="00E97BF6" w:rsidRPr="00404763">
        <w:t>Empresa</w:t>
      </w:r>
      <w:r w:rsidR="00C10110">
        <w:t xml:space="preserve"> de Energía del Valle de Sibundoy</w:t>
      </w:r>
      <w:r w:rsidRPr="00404763">
        <w:t xml:space="preserve"> S.A. E.S.P.</w:t>
      </w:r>
      <w:r w:rsidR="0062052A">
        <w:t>,</w:t>
      </w:r>
      <w:r w:rsidR="00E97BF6">
        <w:t xml:space="preserve"> contra la Resolución CREG </w:t>
      </w:r>
      <w:r w:rsidR="0036423B">
        <w:t>220</w:t>
      </w:r>
      <w:r w:rsidR="00E97BF6">
        <w:t xml:space="preserve"> de 2021</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032D1CE9" w14:textId="209C45F7"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6434A0">
        <w:t xml:space="preserve">, </w:t>
      </w:r>
      <w:r w:rsidR="00F91043">
        <w:t>036 de 2019</w:t>
      </w:r>
      <w:r w:rsidR="006434A0" w:rsidRPr="006434A0">
        <w:t>, 199 de 2019, 167 de 2020</w:t>
      </w:r>
      <w:r w:rsidR="006434A0">
        <w:t>,</w:t>
      </w:r>
      <w:r w:rsidR="006434A0" w:rsidRPr="006434A0">
        <w:t xml:space="preserve"> 195 de 2020</w:t>
      </w:r>
      <w:r w:rsidR="006434A0">
        <w:t xml:space="preserve"> y 222 de 2021</w:t>
      </w:r>
      <w:r w:rsidR="006434A0" w:rsidRPr="006434A0">
        <w:t>.</w:t>
      </w:r>
    </w:p>
    <w:p w14:paraId="6A1DA3B4" w14:textId="67695B3A" w:rsidR="004223C7" w:rsidRDefault="004223C7" w:rsidP="004223C7">
      <w:pPr>
        <w:rPr>
          <w:spacing w:val="-3"/>
        </w:rPr>
      </w:pPr>
      <w:r w:rsidRPr="004223C7">
        <w:rPr>
          <w:spacing w:val="-3"/>
        </w:rPr>
        <w:t xml:space="preserve">Mediante la Resolución CREG </w:t>
      </w:r>
      <w:r>
        <w:rPr>
          <w:spacing w:val="-3"/>
        </w:rPr>
        <w:t>220</w:t>
      </w:r>
      <w:r w:rsidRPr="004223C7">
        <w:rPr>
          <w:spacing w:val="-3"/>
        </w:rPr>
        <w:t xml:space="preserve"> de 202</w:t>
      </w:r>
      <w:r>
        <w:rPr>
          <w:spacing w:val="-3"/>
        </w:rPr>
        <w:t>1</w:t>
      </w:r>
      <w:r w:rsidRPr="004223C7">
        <w:rPr>
          <w:spacing w:val="-3"/>
        </w:rPr>
        <w:t xml:space="preserve"> se aprobaron las variables necesarias para calcular los ingresos y cargos asociados con la actividad de distribución de energía eléctrica para el mercado de comercialización atendido por </w:t>
      </w:r>
      <w:r>
        <w:t xml:space="preserve">la </w:t>
      </w:r>
      <w:r w:rsidRPr="00404763">
        <w:t>Empresa</w:t>
      </w:r>
      <w:r>
        <w:t xml:space="preserve"> de Energía del Valle de Sibundoy S.A. E.S.P.</w:t>
      </w:r>
      <w:r w:rsidRPr="004223C7">
        <w:rPr>
          <w:spacing w:val="-3"/>
        </w:rPr>
        <w:t>, con base en la metodología de distribución de ingresos de energía eléctrica contenida en la Resolución CREG 015 de 2018 y sus modificatorias.</w:t>
      </w:r>
    </w:p>
    <w:p w14:paraId="347B1354" w14:textId="4DB95A98" w:rsidR="00C95408" w:rsidRPr="00C95408" w:rsidRDefault="00C95408" w:rsidP="00C95408">
      <w:pPr>
        <w:rPr>
          <w:spacing w:val="-3"/>
        </w:rPr>
      </w:pPr>
      <w:r w:rsidRPr="00C95408">
        <w:rPr>
          <w:spacing w:val="-3"/>
        </w:rPr>
        <w:t xml:space="preserve">En el documento </w:t>
      </w:r>
      <w:r w:rsidR="00995A57">
        <w:rPr>
          <w:spacing w:val="-3"/>
        </w:rPr>
        <w:t>CREG 180</w:t>
      </w:r>
      <w:r w:rsidRPr="00C95408">
        <w:rPr>
          <w:spacing w:val="-3"/>
        </w:rPr>
        <w:t xml:space="preserve"> de 202</w:t>
      </w:r>
      <w:r w:rsidR="00995A57">
        <w:rPr>
          <w:spacing w:val="-3"/>
        </w:rPr>
        <w:t>1</w:t>
      </w:r>
      <w:r w:rsidRPr="00C95408">
        <w:rPr>
          <w:spacing w:val="-3"/>
        </w:rPr>
        <w:t xml:space="preserve"> se encuentra el soporte de dicha resolución, donde se incluyen los criterios de revisión de la información, las bases de datos y los cálculos empleados por la Comisión para definir las variables aprobadas en la Resolución CREG </w:t>
      </w:r>
      <w:r w:rsidR="00995A57">
        <w:rPr>
          <w:spacing w:val="-3"/>
        </w:rPr>
        <w:t>220</w:t>
      </w:r>
      <w:r w:rsidRPr="00C95408">
        <w:rPr>
          <w:spacing w:val="-3"/>
        </w:rPr>
        <w:t xml:space="preserve"> de 202</w:t>
      </w:r>
      <w:r w:rsidR="00995A57">
        <w:rPr>
          <w:spacing w:val="-3"/>
        </w:rPr>
        <w:t>1</w:t>
      </w:r>
      <w:r w:rsidRPr="00C95408">
        <w:rPr>
          <w:spacing w:val="-3"/>
        </w:rPr>
        <w:t>.</w:t>
      </w:r>
    </w:p>
    <w:p w14:paraId="071C0949" w14:textId="0B097A46" w:rsidR="008667C8" w:rsidRPr="008667C8" w:rsidRDefault="00995A57" w:rsidP="008667C8">
      <w:pPr>
        <w:rPr>
          <w:spacing w:val="-3"/>
        </w:rPr>
      </w:pPr>
      <w:r>
        <w:rPr>
          <w:spacing w:val="-3"/>
        </w:rPr>
        <w:t>L</w:t>
      </w:r>
      <w:r w:rsidRPr="00995A57">
        <w:rPr>
          <w:spacing w:val="-3"/>
        </w:rPr>
        <w:t>a Empresa de Energía del Valle de Sibundoy S.A. E.S.P.</w:t>
      </w:r>
      <w:r w:rsidR="008667C8" w:rsidRPr="008667C8">
        <w:rPr>
          <w:spacing w:val="-3"/>
        </w:rPr>
        <w:t>, mediante comunicación con radicado CREG E-202</w:t>
      </w:r>
      <w:r w:rsidR="001E5B04">
        <w:rPr>
          <w:spacing w:val="-3"/>
        </w:rPr>
        <w:t>2</w:t>
      </w:r>
      <w:r w:rsidR="008667C8" w:rsidRPr="008667C8">
        <w:rPr>
          <w:spacing w:val="-3"/>
        </w:rPr>
        <w:t xml:space="preserve">-003201, presentó recurso de reposición contra la resolución CREG </w:t>
      </w:r>
      <w:r w:rsidR="00BF1672">
        <w:rPr>
          <w:spacing w:val="-3"/>
        </w:rPr>
        <w:t>220</w:t>
      </w:r>
      <w:r w:rsidR="008667C8" w:rsidRPr="008667C8">
        <w:rPr>
          <w:spacing w:val="-3"/>
        </w:rPr>
        <w:t xml:space="preserve"> de 202</w:t>
      </w:r>
      <w:r w:rsidR="00BF1672">
        <w:rPr>
          <w:spacing w:val="-3"/>
        </w:rPr>
        <w:t>1</w:t>
      </w:r>
      <w:r w:rsidR="008667C8" w:rsidRPr="008667C8">
        <w:rPr>
          <w:spacing w:val="-3"/>
        </w:rPr>
        <w:t>.</w:t>
      </w:r>
    </w:p>
    <w:p w14:paraId="41B08FF8" w14:textId="4B505F28" w:rsidR="00CB7BB0" w:rsidRPr="00CB7BB0" w:rsidRDefault="00CB7BB0" w:rsidP="00CB7BB0">
      <w:pPr>
        <w:rPr>
          <w:spacing w:val="-3"/>
        </w:rPr>
      </w:pPr>
      <w:r w:rsidRPr="00CB7BB0">
        <w:rPr>
          <w:spacing w:val="-3"/>
        </w:rPr>
        <w:t>En la comunicación citada se presentan los antecedentes, las razones de inconformidad y las peticiones del recurso de reposición. A continuación, se enuncian las pretensiones del OR y el análisis de la Comisión en cada caso</w:t>
      </w:r>
      <w:r w:rsidR="00AC5175">
        <w:rPr>
          <w:spacing w:val="-3"/>
        </w:rPr>
        <w:t xml:space="preserve">, sobre aspectos </w:t>
      </w:r>
      <w:r w:rsidR="00D83E62">
        <w:rPr>
          <w:spacing w:val="-3"/>
        </w:rPr>
        <w:t>tanto de la resolución como del documento soporte.</w:t>
      </w:r>
    </w:p>
    <w:p w14:paraId="063C6F5C" w14:textId="6211D9DD" w:rsidR="006C6D04" w:rsidRPr="006C6D04" w:rsidRDefault="006C6D04" w:rsidP="006C6D04">
      <w:pPr>
        <w:rPr>
          <w:b/>
          <w:bCs/>
          <w:spacing w:val="-3"/>
        </w:rPr>
      </w:pPr>
      <w:r w:rsidRPr="006C6D04">
        <w:rPr>
          <w:b/>
          <w:bCs/>
          <w:spacing w:val="-3"/>
        </w:rPr>
        <w:t>Referentes al documento CREG – 180:</w:t>
      </w:r>
    </w:p>
    <w:p w14:paraId="7CAD4787" w14:textId="340C81D9" w:rsidR="00415EA3" w:rsidRPr="009A2F7F" w:rsidRDefault="004213ED" w:rsidP="00473B71">
      <w:pPr>
        <w:pStyle w:val="Prrafodelista"/>
        <w:numPr>
          <w:ilvl w:val="0"/>
          <w:numId w:val="9"/>
        </w:numPr>
        <w:rPr>
          <w:b/>
          <w:bCs/>
          <w:spacing w:val="-3"/>
        </w:rPr>
      </w:pPr>
      <w:r>
        <w:rPr>
          <w:b/>
        </w:rPr>
        <w:lastRenderedPageBreak/>
        <w:t>Numeral</w:t>
      </w:r>
      <w:r>
        <w:rPr>
          <w:b/>
          <w:spacing w:val="1"/>
        </w:rPr>
        <w:t xml:space="preserve"> </w:t>
      </w:r>
      <w:r>
        <w:rPr>
          <w:b/>
        </w:rPr>
        <w:t>2.5.5</w:t>
      </w:r>
      <w:r>
        <w:rPr>
          <w:b/>
          <w:spacing w:val="1"/>
        </w:rPr>
        <w:t xml:space="preserve"> </w:t>
      </w:r>
      <w:r>
        <w:rPr>
          <w:b/>
        </w:rPr>
        <w:t>REVISIÓN</w:t>
      </w:r>
      <w:r>
        <w:rPr>
          <w:b/>
          <w:spacing w:val="1"/>
        </w:rPr>
        <w:t xml:space="preserve"> </w:t>
      </w:r>
      <w:r>
        <w:rPr>
          <w:b/>
        </w:rPr>
        <w:t>DE</w:t>
      </w:r>
      <w:r>
        <w:rPr>
          <w:b/>
          <w:spacing w:val="1"/>
        </w:rPr>
        <w:t xml:space="preserve"> </w:t>
      </w:r>
      <w:r>
        <w:rPr>
          <w:b/>
        </w:rPr>
        <w:t>INFORMACIÓN</w:t>
      </w:r>
      <w:r>
        <w:rPr>
          <w:b/>
          <w:spacing w:val="1"/>
        </w:rPr>
        <w:t xml:space="preserve"> </w:t>
      </w:r>
      <w:r>
        <w:rPr>
          <w:b/>
        </w:rPr>
        <w:t>DE</w:t>
      </w:r>
      <w:r>
        <w:rPr>
          <w:b/>
          <w:spacing w:val="1"/>
        </w:rPr>
        <w:t xml:space="preserve"> </w:t>
      </w:r>
      <w:r>
        <w:rPr>
          <w:b/>
        </w:rPr>
        <w:t>CALIDAD</w:t>
      </w:r>
      <w:r>
        <w:rPr>
          <w:b/>
          <w:spacing w:val="1"/>
        </w:rPr>
        <w:t xml:space="preserve"> </w:t>
      </w:r>
      <w:r>
        <w:rPr>
          <w:b/>
        </w:rPr>
        <w:t>DEL</w:t>
      </w:r>
      <w:r>
        <w:rPr>
          <w:b/>
          <w:spacing w:val="1"/>
        </w:rPr>
        <w:t xml:space="preserve"> </w:t>
      </w:r>
      <w:r>
        <w:rPr>
          <w:b/>
        </w:rPr>
        <w:t>SERVICIO</w:t>
      </w:r>
    </w:p>
    <w:p w14:paraId="61346F04" w14:textId="6DC95371" w:rsidR="0088430E" w:rsidRPr="00BE5E22" w:rsidRDefault="0088430E" w:rsidP="0088430E">
      <w:pPr>
        <w:rPr>
          <w:i/>
          <w:iCs/>
          <w:spacing w:val="-3"/>
          <w:sz w:val="20"/>
          <w:szCs w:val="20"/>
        </w:rPr>
      </w:pPr>
      <w:r w:rsidRPr="00BE5E22">
        <w:rPr>
          <w:i/>
          <w:iCs/>
          <w:spacing w:val="-3"/>
          <w:sz w:val="20"/>
          <w:szCs w:val="20"/>
        </w:rPr>
        <w:t>La Comisión menciona: “No obstante, se encontró que la información reportada en ambos grupos de tablas consultadas para el año 2016 no es consistente.”</w:t>
      </w:r>
    </w:p>
    <w:p w14:paraId="54EB3B40" w14:textId="51670763" w:rsidR="0088430E" w:rsidRPr="00BE5E22" w:rsidRDefault="0088430E" w:rsidP="0088430E">
      <w:pPr>
        <w:rPr>
          <w:i/>
          <w:iCs/>
          <w:spacing w:val="-3"/>
          <w:sz w:val="20"/>
          <w:szCs w:val="20"/>
        </w:rPr>
      </w:pPr>
      <w:r w:rsidRPr="00BE5E22">
        <w:rPr>
          <w:i/>
          <w:iCs/>
          <w:spacing w:val="-3"/>
          <w:sz w:val="20"/>
          <w:szCs w:val="20"/>
        </w:rPr>
        <w:t>Al respecto consideramos que el argumento planteado por la CREG es por una parte insuficiente para descartar la información base para los cálculos, ya que no se especifica en qué consiste la inconsistencia y por otra parte no es oportuno, teniendo en cuenta que la Comisión tuvo el tiempo suficiente para solicitar a la empresa la revisión y aclaración de las supuestas inconsistencias y en caso de ser necesario la rectificación de los reportes, acciones que EMEVASI S.A. E.S.P. está dispuesta a realizar para dejar claro este punto, en el momento en que la Comisión lo requiera y con el fin de ajustar los cálculos contenidos en la resolución.</w:t>
      </w:r>
    </w:p>
    <w:p w14:paraId="22F8A722" w14:textId="5749314C" w:rsidR="0088430E" w:rsidRPr="00BE5E22" w:rsidRDefault="0088430E" w:rsidP="00470E02">
      <w:pPr>
        <w:rPr>
          <w:sz w:val="20"/>
          <w:szCs w:val="20"/>
        </w:rPr>
      </w:pPr>
      <w:r w:rsidRPr="00BE5E22">
        <w:rPr>
          <w:i/>
          <w:iCs/>
          <w:spacing w:val="-3"/>
          <w:sz w:val="20"/>
          <w:szCs w:val="20"/>
        </w:rPr>
        <w:t>Por otro lado si observamos los indicadores DES y FES del año 2016 para los alimentadores del sistema operado por EMEVASI S.A. E.S.P. (que se observan en la siguiente tabla) y los comparamos con los valores aprobados de SAIDI y SAIFI en la resolución, constatamos una notable inconsistencia en detrimento de los ingresos de la Empresa, al imponer metas que prácticamente son imposibles de cumplir considerando factores propios de la empresa que implican interrupciones frecuentes del servicio, como son:</w:t>
      </w:r>
    </w:p>
    <w:p w14:paraId="398D0F2F" w14:textId="2399C7C5" w:rsidR="0088430E" w:rsidRPr="00BE5E22" w:rsidRDefault="0088430E" w:rsidP="00470E02">
      <w:pPr>
        <w:pStyle w:val="Prrafodelista"/>
        <w:widowControl w:val="0"/>
        <w:numPr>
          <w:ilvl w:val="0"/>
          <w:numId w:val="14"/>
        </w:numPr>
        <w:tabs>
          <w:tab w:val="left" w:pos="270"/>
        </w:tabs>
        <w:autoSpaceDE w:val="0"/>
        <w:autoSpaceDN w:val="0"/>
        <w:spacing w:before="5" w:after="0" w:line="276" w:lineRule="auto"/>
        <w:ind w:left="0" w:right="122" w:firstLine="0"/>
        <w:rPr>
          <w:sz w:val="20"/>
        </w:rPr>
      </w:pPr>
      <w:r w:rsidRPr="00BE5E22">
        <w:rPr>
          <w:i/>
          <w:iCs/>
          <w:sz w:val="20"/>
        </w:rPr>
        <w:t>El alto porcentaje de redes eléctricas rurales (aproximadamente el 80 %) de</w:t>
      </w:r>
      <w:r w:rsidRPr="00BE5E22">
        <w:rPr>
          <w:i/>
          <w:iCs/>
          <w:spacing w:val="1"/>
          <w:sz w:val="20"/>
        </w:rPr>
        <w:t xml:space="preserve"> </w:t>
      </w:r>
      <w:r w:rsidRPr="00BE5E22">
        <w:rPr>
          <w:i/>
          <w:iCs/>
          <w:sz w:val="20"/>
        </w:rPr>
        <w:t>larga longitud que se ven afectadas por la presencia de vegetación exuberante</w:t>
      </w:r>
      <w:r w:rsidRPr="00BE5E22">
        <w:rPr>
          <w:i/>
          <w:iCs/>
          <w:spacing w:val="1"/>
          <w:sz w:val="20"/>
        </w:rPr>
        <w:t xml:space="preserve"> </w:t>
      </w:r>
      <w:r w:rsidRPr="00BE5E22">
        <w:rPr>
          <w:i/>
          <w:iCs/>
          <w:sz w:val="20"/>
        </w:rPr>
        <w:t>y</w:t>
      </w:r>
      <w:r w:rsidRPr="00BE5E22">
        <w:rPr>
          <w:i/>
          <w:iCs/>
          <w:spacing w:val="-6"/>
          <w:sz w:val="20"/>
        </w:rPr>
        <w:t xml:space="preserve"> </w:t>
      </w:r>
      <w:r w:rsidRPr="00BE5E22">
        <w:rPr>
          <w:i/>
          <w:iCs/>
          <w:sz w:val="20"/>
        </w:rPr>
        <w:t>de</w:t>
      </w:r>
      <w:r w:rsidRPr="00BE5E22">
        <w:rPr>
          <w:i/>
          <w:iCs/>
          <w:spacing w:val="1"/>
          <w:sz w:val="20"/>
        </w:rPr>
        <w:t xml:space="preserve"> </w:t>
      </w:r>
      <w:r w:rsidRPr="00BE5E22">
        <w:rPr>
          <w:i/>
          <w:iCs/>
          <w:sz w:val="20"/>
        </w:rPr>
        <w:t>rápido crecimiento.</w:t>
      </w:r>
    </w:p>
    <w:p w14:paraId="738C519E" w14:textId="77777777" w:rsidR="0088430E" w:rsidRPr="00BE5E22" w:rsidRDefault="0088430E" w:rsidP="00470E02">
      <w:pPr>
        <w:pStyle w:val="Prrafodelista"/>
        <w:widowControl w:val="0"/>
        <w:numPr>
          <w:ilvl w:val="0"/>
          <w:numId w:val="14"/>
        </w:numPr>
        <w:tabs>
          <w:tab w:val="left" w:pos="270"/>
        </w:tabs>
        <w:autoSpaceDE w:val="0"/>
        <w:autoSpaceDN w:val="0"/>
        <w:spacing w:before="1" w:after="0" w:line="276" w:lineRule="auto"/>
        <w:ind w:left="0" w:right="123" w:firstLine="0"/>
        <w:rPr>
          <w:i/>
          <w:iCs/>
          <w:sz w:val="20"/>
        </w:rPr>
      </w:pPr>
      <w:r w:rsidRPr="00BE5E22">
        <w:rPr>
          <w:i/>
          <w:iCs/>
          <w:sz w:val="20"/>
        </w:rPr>
        <w:t>La existencia de redes eléctricas obsoletas que implican la salida frecuente del</w:t>
      </w:r>
      <w:r w:rsidRPr="00BE5E22">
        <w:rPr>
          <w:i/>
          <w:iCs/>
          <w:spacing w:val="-57"/>
          <w:sz w:val="20"/>
        </w:rPr>
        <w:t xml:space="preserve"> </w:t>
      </w:r>
      <w:r w:rsidRPr="00BE5E22">
        <w:rPr>
          <w:i/>
          <w:iCs/>
          <w:sz w:val="20"/>
        </w:rPr>
        <w:t>servicio</w:t>
      </w:r>
      <w:r w:rsidRPr="00BE5E22">
        <w:rPr>
          <w:i/>
          <w:iCs/>
          <w:spacing w:val="1"/>
          <w:sz w:val="20"/>
        </w:rPr>
        <w:t xml:space="preserve"> </w:t>
      </w:r>
      <w:r w:rsidRPr="00BE5E22">
        <w:rPr>
          <w:i/>
          <w:iCs/>
          <w:sz w:val="20"/>
        </w:rPr>
        <w:t>y</w:t>
      </w:r>
      <w:r w:rsidRPr="00BE5E22">
        <w:rPr>
          <w:i/>
          <w:iCs/>
          <w:spacing w:val="1"/>
          <w:sz w:val="20"/>
        </w:rPr>
        <w:t xml:space="preserve"> </w:t>
      </w:r>
      <w:r w:rsidRPr="00BE5E22">
        <w:rPr>
          <w:i/>
          <w:iCs/>
          <w:sz w:val="20"/>
        </w:rPr>
        <w:t>que</w:t>
      </w:r>
      <w:r w:rsidRPr="00BE5E22">
        <w:rPr>
          <w:i/>
          <w:iCs/>
          <w:spacing w:val="1"/>
          <w:sz w:val="20"/>
        </w:rPr>
        <w:t xml:space="preserve"> </w:t>
      </w:r>
      <w:r w:rsidRPr="00BE5E22">
        <w:rPr>
          <w:i/>
          <w:iCs/>
          <w:sz w:val="20"/>
        </w:rPr>
        <w:t>necesitan</w:t>
      </w:r>
      <w:r w:rsidRPr="00BE5E22">
        <w:rPr>
          <w:i/>
          <w:iCs/>
          <w:spacing w:val="1"/>
          <w:sz w:val="20"/>
        </w:rPr>
        <w:t xml:space="preserve"> </w:t>
      </w:r>
      <w:r w:rsidRPr="00BE5E22">
        <w:rPr>
          <w:i/>
          <w:iCs/>
          <w:sz w:val="20"/>
        </w:rPr>
        <w:t>ser</w:t>
      </w:r>
      <w:r w:rsidRPr="00BE5E22">
        <w:rPr>
          <w:i/>
          <w:iCs/>
          <w:spacing w:val="1"/>
          <w:sz w:val="20"/>
        </w:rPr>
        <w:t xml:space="preserve"> </w:t>
      </w:r>
      <w:r w:rsidRPr="00BE5E22">
        <w:rPr>
          <w:i/>
          <w:iCs/>
          <w:sz w:val="20"/>
        </w:rPr>
        <w:t>repuestas,</w:t>
      </w:r>
      <w:r w:rsidRPr="00BE5E22">
        <w:rPr>
          <w:i/>
          <w:iCs/>
          <w:spacing w:val="1"/>
          <w:sz w:val="20"/>
        </w:rPr>
        <w:t xml:space="preserve"> </w:t>
      </w:r>
      <w:r w:rsidRPr="00BE5E22">
        <w:rPr>
          <w:i/>
          <w:iCs/>
          <w:sz w:val="20"/>
        </w:rPr>
        <w:t>para</w:t>
      </w:r>
      <w:r w:rsidRPr="00BE5E22">
        <w:rPr>
          <w:i/>
          <w:iCs/>
          <w:spacing w:val="1"/>
          <w:sz w:val="20"/>
        </w:rPr>
        <w:t xml:space="preserve"> </w:t>
      </w:r>
      <w:r w:rsidRPr="00BE5E22">
        <w:rPr>
          <w:i/>
          <w:iCs/>
          <w:sz w:val="20"/>
        </w:rPr>
        <w:t>lo</w:t>
      </w:r>
      <w:r w:rsidRPr="00BE5E22">
        <w:rPr>
          <w:i/>
          <w:iCs/>
          <w:spacing w:val="1"/>
          <w:sz w:val="20"/>
        </w:rPr>
        <w:t xml:space="preserve"> </w:t>
      </w:r>
      <w:r w:rsidRPr="00BE5E22">
        <w:rPr>
          <w:i/>
          <w:iCs/>
          <w:sz w:val="20"/>
        </w:rPr>
        <w:t>que</w:t>
      </w:r>
      <w:r w:rsidRPr="00BE5E22">
        <w:rPr>
          <w:i/>
          <w:iCs/>
          <w:spacing w:val="1"/>
          <w:sz w:val="20"/>
        </w:rPr>
        <w:t xml:space="preserve"> </w:t>
      </w:r>
      <w:r w:rsidRPr="00BE5E22">
        <w:rPr>
          <w:i/>
          <w:iCs/>
          <w:sz w:val="20"/>
        </w:rPr>
        <w:t>se</w:t>
      </w:r>
      <w:r w:rsidRPr="00BE5E22">
        <w:rPr>
          <w:i/>
          <w:iCs/>
          <w:spacing w:val="1"/>
          <w:sz w:val="20"/>
        </w:rPr>
        <w:t xml:space="preserve"> </w:t>
      </w:r>
      <w:r w:rsidRPr="00BE5E22">
        <w:rPr>
          <w:i/>
          <w:iCs/>
          <w:sz w:val="20"/>
        </w:rPr>
        <w:t>requiere</w:t>
      </w:r>
      <w:r w:rsidRPr="00BE5E22">
        <w:rPr>
          <w:i/>
          <w:iCs/>
          <w:spacing w:val="1"/>
          <w:sz w:val="20"/>
        </w:rPr>
        <w:t xml:space="preserve"> </w:t>
      </w:r>
      <w:r w:rsidRPr="00BE5E22">
        <w:rPr>
          <w:i/>
          <w:iCs/>
          <w:sz w:val="20"/>
        </w:rPr>
        <w:t>realizar</w:t>
      </w:r>
      <w:r w:rsidRPr="00BE5E22">
        <w:rPr>
          <w:i/>
          <w:iCs/>
          <w:spacing w:val="1"/>
          <w:sz w:val="20"/>
        </w:rPr>
        <w:t xml:space="preserve"> </w:t>
      </w:r>
      <w:r w:rsidRPr="00BE5E22">
        <w:rPr>
          <w:i/>
          <w:iCs/>
          <w:sz w:val="20"/>
        </w:rPr>
        <w:t>interrupciones</w:t>
      </w:r>
      <w:r w:rsidRPr="00BE5E22">
        <w:rPr>
          <w:i/>
          <w:iCs/>
          <w:spacing w:val="-3"/>
          <w:sz w:val="20"/>
        </w:rPr>
        <w:t xml:space="preserve"> </w:t>
      </w:r>
      <w:r w:rsidRPr="00BE5E22">
        <w:rPr>
          <w:i/>
          <w:iCs/>
          <w:sz w:val="20"/>
        </w:rPr>
        <w:t>programadas.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5"/>
        <w:gridCol w:w="1260"/>
        <w:gridCol w:w="630"/>
      </w:tblGrid>
      <w:tr w:rsidR="00B35B84" w:rsidRPr="00BE5E22" w14:paraId="4826B35B" w14:textId="77777777" w:rsidTr="00B35B84">
        <w:trPr>
          <w:trHeight w:val="313"/>
          <w:jc w:val="center"/>
        </w:trPr>
        <w:tc>
          <w:tcPr>
            <w:tcW w:w="1525" w:type="dxa"/>
            <w:vAlign w:val="center"/>
          </w:tcPr>
          <w:p w14:paraId="613BC275" w14:textId="77777777" w:rsidR="00B35B84" w:rsidRPr="00BE5E22" w:rsidRDefault="00B35B84" w:rsidP="00B35B84">
            <w:pPr>
              <w:spacing w:before="0" w:after="0"/>
              <w:jc w:val="center"/>
              <w:rPr>
                <w:b/>
                <w:i/>
                <w:iCs/>
                <w:spacing w:val="-3"/>
                <w:sz w:val="20"/>
                <w:szCs w:val="20"/>
              </w:rPr>
            </w:pPr>
            <w:r w:rsidRPr="00BE5E22">
              <w:rPr>
                <w:b/>
                <w:i/>
                <w:iCs/>
                <w:spacing w:val="-3"/>
                <w:sz w:val="20"/>
                <w:szCs w:val="20"/>
              </w:rPr>
              <w:t>ALIMENTADOR</w:t>
            </w:r>
          </w:p>
        </w:tc>
        <w:tc>
          <w:tcPr>
            <w:tcW w:w="1260" w:type="dxa"/>
            <w:vAlign w:val="center"/>
          </w:tcPr>
          <w:p w14:paraId="4C9FDA05" w14:textId="77777777" w:rsidR="00B35B84" w:rsidRPr="00BE5E22" w:rsidRDefault="00B35B84" w:rsidP="00B35B84">
            <w:pPr>
              <w:spacing w:before="0" w:after="0"/>
              <w:jc w:val="center"/>
              <w:rPr>
                <w:b/>
                <w:i/>
                <w:iCs/>
                <w:spacing w:val="-3"/>
                <w:sz w:val="20"/>
                <w:szCs w:val="20"/>
              </w:rPr>
            </w:pPr>
            <w:r w:rsidRPr="00BE5E22">
              <w:rPr>
                <w:b/>
                <w:i/>
                <w:iCs/>
                <w:spacing w:val="-3"/>
                <w:sz w:val="20"/>
                <w:szCs w:val="20"/>
              </w:rPr>
              <w:t>DES, HORAS</w:t>
            </w:r>
          </w:p>
        </w:tc>
        <w:tc>
          <w:tcPr>
            <w:tcW w:w="630" w:type="dxa"/>
            <w:vAlign w:val="center"/>
          </w:tcPr>
          <w:p w14:paraId="2B7BD1A7" w14:textId="77777777" w:rsidR="00B35B84" w:rsidRPr="00BE5E22" w:rsidRDefault="00B35B84" w:rsidP="00B35B84">
            <w:pPr>
              <w:spacing w:before="0" w:after="0"/>
              <w:jc w:val="center"/>
              <w:rPr>
                <w:b/>
                <w:i/>
                <w:iCs/>
                <w:spacing w:val="-3"/>
                <w:sz w:val="20"/>
                <w:szCs w:val="20"/>
              </w:rPr>
            </w:pPr>
            <w:r w:rsidRPr="00BE5E22">
              <w:rPr>
                <w:b/>
                <w:i/>
                <w:iCs/>
                <w:spacing w:val="-3"/>
                <w:sz w:val="20"/>
                <w:szCs w:val="20"/>
              </w:rPr>
              <w:t>FES</w:t>
            </w:r>
          </w:p>
        </w:tc>
      </w:tr>
      <w:tr w:rsidR="00B35B84" w:rsidRPr="00BE5E22" w14:paraId="3CABC80D" w14:textId="77777777" w:rsidTr="00B35B84">
        <w:trPr>
          <w:trHeight w:val="318"/>
          <w:jc w:val="center"/>
        </w:trPr>
        <w:tc>
          <w:tcPr>
            <w:tcW w:w="1525" w:type="dxa"/>
            <w:vAlign w:val="center"/>
          </w:tcPr>
          <w:p w14:paraId="0FBB9309" w14:textId="77777777" w:rsidR="00B35B84" w:rsidRPr="00BE5E22" w:rsidRDefault="00B35B84" w:rsidP="00B35B84">
            <w:pPr>
              <w:spacing w:before="0" w:after="0"/>
              <w:jc w:val="center"/>
              <w:rPr>
                <w:i/>
                <w:iCs/>
                <w:spacing w:val="-3"/>
                <w:sz w:val="20"/>
                <w:szCs w:val="20"/>
              </w:rPr>
            </w:pPr>
            <w:r w:rsidRPr="00BE5E22">
              <w:rPr>
                <w:i/>
                <w:iCs/>
                <w:spacing w:val="-3"/>
                <w:sz w:val="20"/>
                <w:szCs w:val="20"/>
              </w:rPr>
              <w:t>A1</w:t>
            </w:r>
          </w:p>
        </w:tc>
        <w:tc>
          <w:tcPr>
            <w:tcW w:w="1260" w:type="dxa"/>
            <w:vAlign w:val="center"/>
          </w:tcPr>
          <w:p w14:paraId="2A04861B" w14:textId="77777777" w:rsidR="00B35B84" w:rsidRPr="00BE5E22" w:rsidRDefault="00B35B84" w:rsidP="00B35B84">
            <w:pPr>
              <w:spacing w:before="0" w:after="0"/>
              <w:jc w:val="center"/>
              <w:rPr>
                <w:i/>
                <w:iCs/>
                <w:spacing w:val="-3"/>
                <w:sz w:val="20"/>
                <w:szCs w:val="20"/>
              </w:rPr>
            </w:pPr>
            <w:r w:rsidRPr="00BE5E22">
              <w:rPr>
                <w:i/>
                <w:iCs/>
                <w:spacing w:val="-3"/>
                <w:sz w:val="20"/>
                <w:szCs w:val="20"/>
              </w:rPr>
              <w:t>62.93</w:t>
            </w:r>
          </w:p>
        </w:tc>
        <w:tc>
          <w:tcPr>
            <w:tcW w:w="630" w:type="dxa"/>
            <w:vAlign w:val="center"/>
          </w:tcPr>
          <w:p w14:paraId="0A997861" w14:textId="77777777" w:rsidR="00B35B84" w:rsidRPr="00BE5E22" w:rsidRDefault="00B35B84" w:rsidP="00B35B84">
            <w:pPr>
              <w:spacing w:before="0" w:after="0"/>
              <w:jc w:val="center"/>
              <w:rPr>
                <w:i/>
                <w:iCs/>
                <w:spacing w:val="-3"/>
                <w:sz w:val="20"/>
                <w:szCs w:val="20"/>
              </w:rPr>
            </w:pPr>
            <w:r w:rsidRPr="00BE5E22">
              <w:rPr>
                <w:i/>
                <w:iCs/>
                <w:spacing w:val="-3"/>
                <w:sz w:val="20"/>
                <w:szCs w:val="20"/>
              </w:rPr>
              <w:t>65</w:t>
            </w:r>
          </w:p>
        </w:tc>
      </w:tr>
      <w:tr w:rsidR="00B35B84" w:rsidRPr="00BE5E22" w14:paraId="05646BBE" w14:textId="77777777" w:rsidTr="00B35B84">
        <w:trPr>
          <w:trHeight w:val="317"/>
          <w:jc w:val="center"/>
        </w:trPr>
        <w:tc>
          <w:tcPr>
            <w:tcW w:w="1525" w:type="dxa"/>
            <w:vAlign w:val="center"/>
          </w:tcPr>
          <w:p w14:paraId="25267803" w14:textId="77777777" w:rsidR="00B35B84" w:rsidRPr="00BE5E22" w:rsidRDefault="00B35B84" w:rsidP="00B35B84">
            <w:pPr>
              <w:spacing w:before="0" w:after="0"/>
              <w:jc w:val="center"/>
              <w:rPr>
                <w:i/>
                <w:iCs/>
                <w:spacing w:val="-3"/>
                <w:sz w:val="20"/>
                <w:szCs w:val="20"/>
              </w:rPr>
            </w:pPr>
            <w:r w:rsidRPr="00BE5E22">
              <w:rPr>
                <w:i/>
                <w:iCs/>
                <w:spacing w:val="-3"/>
                <w:sz w:val="20"/>
                <w:szCs w:val="20"/>
              </w:rPr>
              <w:t>A2</w:t>
            </w:r>
          </w:p>
        </w:tc>
        <w:tc>
          <w:tcPr>
            <w:tcW w:w="1260" w:type="dxa"/>
            <w:vAlign w:val="center"/>
          </w:tcPr>
          <w:p w14:paraId="4FD6C409" w14:textId="77777777" w:rsidR="00B35B84" w:rsidRPr="00BE5E22" w:rsidRDefault="00B35B84" w:rsidP="00B35B84">
            <w:pPr>
              <w:spacing w:before="0" w:after="0"/>
              <w:jc w:val="center"/>
              <w:rPr>
                <w:i/>
                <w:iCs/>
                <w:spacing w:val="-3"/>
                <w:sz w:val="20"/>
                <w:szCs w:val="20"/>
              </w:rPr>
            </w:pPr>
            <w:r w:rsidRPr="00BE5E22">
              <w:rPr>
                <w:i/>
                <w:iCs/>
                <w:spacing w:val="-3"/>
                <w:sz w:val="20"/>
                <w:szCs w:val="20"/>
              </w:rPr>
              <w:t>49.78</w:t>
            </w:r>
          </w:p>
        </w:tc>
        <w:tc>
          <w:tcPr>
            <w:tcW w:w="630" w:type="dxa"/>
            <w:vAlign w:val="center"/>
          </w:tcPr>
          <w:p w14:paraId="7D2B68E7" w14:textId="77777777" w:rsidR="00B35B84" w:rsidRPr="00BE5E22" w:rsidRDefault="00B35B84" w:rsidP="00B35B84">
            <w:pPr>
              <w:spacing w:before="0" w:after="0"/>
              <w:jc w:val="center"/>
              <w:rPr>
                <w:i/>
                <w:iCs/>
                <w:spacing w:val="-3"/>
                <w:sz w:val="20"/>
                <w:szCs w:val="20"/>
              </w:rPr>
            </w:pPr>
            <w:r w:rsidRPr="00BE5E22">
              <w:rPr>
                <w:i/>
                <w:iCs/>
                <w:spacing w:val="-3"/>
                <w:sz w:val="20"/>
                <w:szCs w:val="20"/>
              </w:rPr>
              <w:t>46</w:t>
            </w:r>
          </w:p>
        </w:tc>
      </w:tr>
      <w:tr w:rsidR="00B35B84" w:rsidRPr="00BE5E22" w14:paraId="1F7F9FD5" w14:textId="77777777" w:rsidTr="00B35B84">
        <w:trPr>
          <w:trHeight w:val="318"/>
          <w:jc w:val="center"/>
        </w:trPr>
        <w:tc>
          <w:tcPr>
            <w:tcW w:w="1525" w:type="dxa"/>
            <w:vAlign w:val="center"/>
          </w:tcPr>
          <w:p w14:paraId="78861B61" w14:textId="77777777" w:rsidR="00B35B84" w:rsidRPr="00BE5E22" w:rsidRDefault="00B35B84" w:rsidP="00B35B84">
            <w:pPr>
              <w:spacing w:before="0" w:after="0"/>
              <w:jc w:val="center"/>
              <w:rPr>
                <w:i/>
                <w:iCs/>
                <w:spacing w:val="-3"/>
                <w:sz w:val="20"/>
                <w:szCs w:val="20"/>
              </w:rPr>
            </w:pPr>
            <w:r w:rsidRPr="00BE5E22">
              <w:rPr>
                <w:i/>
                <w:iCs/>
                <w:spacing w:val="-3"/>
                <w:sz w:val="20"/>
                <w:szCs w:val="20"/>
              </w:rPr>
              <w:t>A3</w:t>
            </w:r>
          </w:p>
        </w:tc>
        <w:tc>
          <w:tcPr>
            <w:tcW w:w="1260" w:type="dxa"/>
            <w:vAlign w:val="center"/>
          </w:tcPr>
          <w:p w14:paraId="4BD563C1" w14:textId="77777777" w:rsidR="00B35B84" w:rsidRPr="00BE5E22" w:rsidRDefault="00B35B84" w:rsidP="00B35B84">
            <w:pPr>
              <w:spacing w:before="0" w:after="0"/>
              <w:jc w:val="center"/>
              <w:rPr>
                <w:i/>
                <w:iCs/>
                <w:spacing w:val="-3"/>
                <w:sz w:val="20"/>
                <w:szCs w:val="20"/>
              </w:rPr>
            </w:pPr>
            <w:r w:rsidRPr="00BE5E22">
              <w:rPr>
                <w:i/>
                <w:iCs/>
                <w:spacing w:val="-3"/>
                <w:sz w:val="20"/>
                <w:szCs w:val="20"/>
              </w:rPr>
              <w:t>70.98</w:t>
            </w:r>
          </w:p>
        </w:tc>
        <w:tc>
          <w:tcPr>
            <w:tcW w:w="630" w:type="dxa"/>
            <w:vAlign w:val="center"/>
          </w:tcPr>
          <w:p w14:paraId="5460C558" w14:textId="77777777" w:rsidR="00B35B84" w:rsidRPr="00BE5E22" w:rsidRDefault="00B35B84" w:rsidP="00B35B84">
            <w:pPr>
              <w:spacing w:before="0" w:after="0"/>
              <w:jc w:val="center"/>
              <w:rPr>
                <w:i/>
                <w:iCs/>
                <w:spacing w:val="-3"/>
                <w:sz w:val="20"/>
                <w:szCs w:val="20"/>
              </w:rPr>
            </w:pPr>
            <w:r w:rsidRPr="00BE5E22">
              <w:rPr>
                <w:i/>
                <w:iCs/>
                <w:spacing w:val="-3"/>
                <w:sz w:val="20"/>
                <w:szCs w:val="20"/>
              </w:rPr>
              <w:t>40</w:t>
            </w:r>
          </w:p>
        </w:tc>
      </w:tr>
      <w:tr w:rsidR="00B35B84" w:rsidRPr="00BE5E22" w14:paraId="1443586B" w14:textId="77777777" w:rsidTr="00B35B84">
        <w:trPr>
          <w:trHeight w:val="317"/>
          <w:jc w:val="center"/>
        </w:trPr>
        <w:tc>
          <w:tcPr>
            <w:tcW w:w="1525" w:type="dxa"/>
            <w:vAlign w:val="center"/>
          </w:tcPr>
          <w:p w14:paraId="7E236034" w14:textId="77777777" w:rsidR="00B35B84" w:rsidRPr="00BE5E22" w:rsidRDefault="00B35B84" w:rsidP="00B35B84">
            <w:pPr>
              <w:spacing w:before="0" w:after="0"/>
              <w:jc w:val="center"/>
              <w:rPr>
                <w:i/>
                <w:iCs/>
                <w:spacing w:val="-3"/>
                <w:sz w:val="20"/>
                <w:szCs w:val="20"/>
              </w:rPr>
            </w:pPr>
            <w:r w:rsidRPr="00BE5E22">
              <w:rPr>
                <w:i/>
                <w:iCs/>
                <w:spacing w:val="-3"/>
                <w:sz w:val="20"/>
                <w:szCs w:val="20"/>
              </w:rPr>
              <w:t>A4</w:t>
            </w:r>
          </w:p>
        </w:tc>
        <w:tc>
          <w:tcPr>
            <w:tcW w:w="1260" w:type="dxa"/>
            <w:vAlign w:val="center"/>
          </w:tcPr>
          <w:p w14:paraId="2E2EA314" w14:textId="77777777" w:rsidR="00B35B84" w:rsidRPr="00BE5E22" w:rsidRDefault="00B35B84" w:rsidP="00B35B84">
            <w:pPr>
              <w:spacing w:before="0" w:after="0"/>
              <w:jc w:val="center"/>
              <w:rPr>
                <w:i/>
                <w:iCs/>
                <w:spacing w:val="-3"/>
                <w:sz w:val="20"/>
                <w:szCs w:val="20"/>
              </w:rPr>
            </w:pPr>
            <w:r w:rsidRPr="00BE5E22">
              <w:rPr>
                <w:i/>
                <w:iCs/>
                <w:spacing w:val="-3"/>
                <w:sz w:val="20"/>
                <w:szCs w:val="20"/>
              </w:rPr>
              <w:t>34.32</w:t>
            </w:r>
          </w:p>
        </w:tc>
        <w:tc>
          <w:tcPr>
            <w:tcW w:w="630" w:type="dxa"/>
            <w:vAlign w:val="center"/>
          </w:tcPr>
          <w:p w14:paraId="4E32F73A" w14:textId="77777777" w:rsidR="00B35B84" w:rsidRPr="00BE5E22" w:rsidRDefault="00B35B84" w:rsidP="00B35B84">
            <w:pPr>
              <w:spacing w:before="0" w:after="0"/>
              <w:jc w:val="center"/>
              <w:rPr>
                <w:i/>
                <w:iCs/>
                <w:spacing w:val="-3"/>
                <w:sz w:val="20"/>
                <w:szCs w:val="20"/>
              </w:rPr>
            </w:pPr>
            <w:r w:rsidRPr="00BE5E22">
              <w:rPr>
                <w:i/>
                <w:iCs/>
                <w:spacing w:val="-3"/>
                <w:sz w:val="20"/>
                <w:szCs w:val="20"/>
              </w:rPr>
              <w:t>24</w:t>
            </w:r>
          </w:p>
        </w:tc>
      </w:tr>
    </w:tbl>
    <w:p w14:paraId="23767288" w14:textId="77777777" w:rsidR="00A84FB9" w:rsidRPr="00BE5E22" w:rsidRDefault="00A84FB9" w:rsidP="00A84FB9">
      <w:pPr>
        <w:rPr>
          <w:i/>
          <w:iCs/>
          <w:spacing w:val="-3"/>
          <w:sz w:val="20"/>
          <w:szCs w:val="20"/>
        </w:rPr>
      </w:pPr>
      <w:r w:rsidRPr="00BE5E22">
        <w:rPr>
          <w:i/>
          <w:iCs/>
          <w:spacing w:val="-3"/>
          <w:sz w:val="20"/>
          <w:szCs w:val="20"/>
        </w:rPr>
        <w:t>Así las cosas, para el caso de la Resolución CREG 220 de 2021 además de encontrarse en la parte considerativa del acto administrativo se encuentra en el documento soporte 180 de 2021 y los anexos suministrados por la CREG en el acto de notificación de este.</w:t>
      </w:r>
    </w:p>
    <w:p w14:paraId="12148B06" w14:textId="77777777" w:rsidR="00A84FB9" w:rsidRPr="00BE5E22" w:rsidRDefault="00A84FB9" w:rsidP="00A84FB9">
      <w:pPr>
        <w:rPr>
          <w:i/>
          <w:iCs/>
          <w:spacing w:val="-3"/>
          <w:sz w:val="20"/>
          <w:szCs w:val="20"/>
        </w:rPr>
      </w:pPr>
      <w:r w:rsidRPr="00BE5E22">
        <w:rPr>
          <w:i/>
          <w:iCs/>
          <w:spacing w:val="-3"/>
          <w:sz w:val="20"/>
          <w:szCs w:val="20"/>
        </w:rPr>
        <w:t>En este sentido el documento soporte, expone lo siguiente respecto a la definición de metas de calidad del servicio para la empresa EMEVASI S.A. E.S.P.</w:t>
      </w:r>
    </w:p>
    <w:p w14:paraId="4FAE686B" w14:textId="4FC75424" w:rsidR="00C941F0" w:rsidRPr="00BE5E22" w:rsidRDefault="00C941F0" w:rsidP="00C941F0">
      <w:pPr>
        <w:rPr>
          <w:i/>
          <w:iCs/>
          <w:spacing w:val="-3"/>
          <w:sz w:val="20"/>
          <w:szCs w:val="20"/>
        </w:rPr>
      </w:pPr>
      <w:r w:rsidRPr="00BE5E22">
        <w:rPr>
          <w:i/>
          <w:iCs/>
          <w:spacing w:val="-3"/>
          <w:sz w:val="20"/>
          <w:szCs w:val="20"/>
        </w:rPr>
        <w:t>“Finalmente, se encontró que las empresas que más se parecen a Emevasi son la Empresa de Energía del Putumayo y Ruitoque. Por lo anterior, fue con base en los indicadores de estas empresas que se definieron los indicadores de calidad de la Empresa de Energía del Valle de Sibundoy.”</w:t>
      </w:r>
    </w:p>
    <w:p w14:paraId="6D23CDC6" w14:textId="77777777" w:rsidR="001F633B" w:rsidRPr="00BE5E22" w:rsidRDefault="001F633B" w:rsidP="001F633B">
      <w:pPr>
        <w:rPr>
          <w:i/>
          <w:iCs/>
          <w:spacing w:val="-3"/>
          <w:sz w:val="20"/>
          <w:szCs w:val="20"/>
        </w:rPr>
      </w:pPr>
      <w:r w:rsidRPr="00BE5E22">
        <w:rPr>
          <w:i/>
          <w:iCs/>
          <w:spacing w:val="-3"/>
          <w:sz w:val="20"/>
          <w:szCs w:val="20"/>
        </w:rPr>
        <w:t>Sin embargo, no se observa un procedimiento con el cual se llegó a esa conclusión, así mismo, no se identifica como la CREG realizó un análisis de la calidad de información de esos agentes.</w:t>
      </w:r>
    </w:p>
    <w:p w14:paraId="6B661DD6" w14:textId="06C020B3" w:rsidR="00C37243" w:rsidRPr="00BE5E22" w:rsidRDefault="00C37243" w:rsidP="00C37243">
      <w:pPr>
        <w:rPr>
          <w:i/>
          <w:iCs/>
          <w:spacing w:val="-3"/>
          <w:sz w:val="20"/>
          <w:szCs w:val="20"/>
        </w:rPr>
      </w:pPr>
      <w:r w:rsidRPr="00BE5E22">
        <w:rPr>
          <w:i/>
          <w:iCs/>
          <w:spacing w:val="-3"/>
          <w:sz w:val="20"/>
          <w:szCs w:val="20"/>
        </w:rPr>
        <w:t>En síntesis, este principio pretende:</w:t>
      </w:r>
    </w:p>
    <w:p w14:paraId="47938F8E" w14:textId="77777777" w:rsidR="00C37243" w:rsidRPr="00BE5E22" w:rsidRDefault="00C37243" w:rsidP="00C37243">
      <w:pPr>
        <w:numPr>
          <w:ilvl w:val="0"/>
          <w:numId w:val="15"/>
        </w:numPr>
        <w:rPr>
          <w:i/>
          <w:iCs/>
          <w:spacing w:val="-3"/>
          <w:sz w:val="20"/>
          <w:szCs w:val="20"/>
        </w:rPr>
      </w:pPr>
      <w:r w:rsidRPr="00BE5E22">
        <w:rPr>
          <w:i/>
          <w:iCs/>
          <w:spacing w:val="-3"/>
          <w:sz w:val="20"/>
          <w:szCs w:val="20"/>
        </w:rPr>
        <w:t>Garanticen la recuperación de los costos y gastos propios de operación, incluyendo la expansión, la reposición y el mantenimiento;</w:t>
      </w:r>
    </w:p>
    <w:p w14:paraId="02F71B53" w14:textId="77777777" w:rsidR="00C37243" w:rsidRPr="00BE5E22" w:rsidRDefault="00C37243" w:rsidP="00C37243">
      <w:pPr>
        <w:numPr>
          <w:ilvl w:val="0"/>
          <w:numId w:val="15"/>
        </w:numPr>
        <w:rPr>
          <w:i/>
          <w:iCs/>
          <w:spacing w:val="-3"/>
          <w:sz w:val="20"/>
          <w:szCs w:val="20"/>
        </w:rPr>
      </w:pPr>
      <w:r w:rsidRPr="00BE5E22">
        <w:rPr>
          <w:i/>
          <w:iCs/>
          <w:spacing w:val="-3"/>
          <w:sz w:val="20"/>
          <w:szCs w:val="20"/>
        </w:rPr>
        <w:t>Permitan remunerar el patrimonio de los accionistas en la misma forma en la que lo habría remunerado una empresa eficiente en un sector de riesgo comparable; y</w:t>
      </w:r>
    </w:p>
    <w:p w14:paraId="5CDFDF5F" w14:textId="77777777" w:rsidR="00C37243" w:rsidRPr="00BE5E22" w:rsidRDefault="00C37243" w:rsidP="00C37243">
      <w:pPr>
        <w:numPr>
          <w:ilvl w:val="0"/>
          <w:numId w:val="15"/>
        </w:numPr>
        <w:rPr>
          <w:i/>
          <w:iCs/>
          <w:spacing w:val="-3"/>
          <w:sz w:val="20"/>
          <w:szCs w:val="20"/>
        </w:rPr>
      </w:pPr>
      <w:r w:rsidRPr="00BE5E22">
        <w:rPr>
          <w:i/>
          <w:iCs/>
          <w:spacing w:val="-3"/>
          <w:sz w:val="20"/>
          <w:szCs w:val="20"/>
        </w:rPr>
        <w:t>Permitan utilizar las tecnologías y sistemas administrativos que garanticen la mejor calidad, continuidad y seguridad a sus usuarios.</w:t>
      </w:r>
    </w:p>
    <w:p w14:paraId="56A3B4EE" w14:textId="0193D181" w:rsidR="00C37243" w:rsidRPr="00BE5E22" w:rsidRDefault="00C37243" w:rsidP="00C37243">
      <w:pPr>
        <w:rPr>
          <w:i/>
          <w:iCs/>
          <w:spacing w:val="-3"/>
          <w:sz w:val="20"/>
          <w:szCs w:val="20"/>
        </w:rPr>
      </w:pPr>
      <w:r w:rsidRPr="00BE5E22">
        <w:rPr>
          <w:i/>
          <w:iCs/>
          <w:spacing w:val="-3"/>
          <w:sz w:val="20"/>
          <w:szCs w:val="20"/>
        </w:rPr>
        <w:t>El cumplimiento de este objetivo involucra de manera simultánea la estabilidad financiera de la empresa a largo plazo buscando que estas sean sostenibles. Esto representa el mejoramiento y la continuidad en la prestación del servicio, protegiendo de manera indirecta los intereses del usuario.</w:t>
      </w:r>
    </w:p>
    <w:p w14:paraId="46A663CB" w14:textId="14C53F5B" w:rsidR="0088430E" w:rsidRPr="00BE5E22" w:rsidRDefault="00C37243" w:rsidP="00E93A5A">
      <w:pPr>
        <w:rPr>
          <w:i/>
          <w:iCs/>
          <w:spacing w:val="-3"/>
          <w:sz w:val="20"/>
          <w:szCs w:val="20"/>
        </w:rPr>
      </w:pPr>
      <w:r w:rsidRPr="00BE5E22">
        <w:rPr>
          <w:i/>
          <w:iCs/>
          <w:spacing w:val="-3"/>
          <w:sz w:val="20"/>
          <w:szCs w:val="20"/>
        </w:rPr>
        <w:t>Luego, mediante el presente recurso se solicita Se REVOQUEN los artículos 9, 10, 11, 12, 13 de la Resolución CREG 220 de 2021 siendo estos calculados con base en la información de DES y FES reportada por la empresa o MODIFICADOS con metas de agentes con sistemas similares, en cuanto a dispersión, condiciones ambientales, cantidad de usuarios, entre otros.</w:t>
      </w:r>
    </w:p>
    <w:p w14:paraId="3B8DA32E" w14:textId="77777777" w:rsidR="000C5E7C" w:rsidRPr="00BE5E22" w:rsidRDefault="000C5E7C" w:rsidP="000C5E7C">
      <w:pPr>
        <w:rPr>
          <w:i/>
          <w:iCs/>
          <w:spacing w:val="-3"/>
          <w:sz w:val="20"/>
          <w:szCs w:val="20"/>
        </w:rPr>
      </w:pPr>
      <w:r w:rsidRPr="00BE5E22">
        <w:rPr>
          <w:i/>
          <w:iCs/>
          <w:spacing w:val="-3"/>
          <w:sz w:val="20"/>
          <w:szCs w:val="20"/>
        </w:rPr>
        <w:lastRenderedPageBreak/>
        <w:t>Al respecto, dado que como se expuso previamente la información expuesta con CREG no concuerda con la realidad de nuestro sistema, nos permitimos solicitar, que se nos sea definidos índices de referencias de empresas similares a la nuestra, conforme a lo definido en el tercer párrafo del numeral 5.2.5, en el cual se señala lo siguiente:</w:t>
      </w:r>
    </w:p>
    <w:p w14:paraId="0822262C" w14:textId="77777777" w:rsidR="00B6748D" w:rsidRPr="00BE5E22" w:rsidRDefault="00B6748D" w:rsidP="00B6748D">
      <w:pPr>
        <w:spacing w:line="259" w:lineRule="auto"/>
        <w:ind w:right="125"/>
        <w:rPr>
          <w:i/>
          <w:sz w:val="20"/>
          <w:szCs w:val="20"/>
        </w:rPr>
      </w:pPr>
      <w:r w:rsidRPr="00BE5E22">
        <w:rPr>
          <w:i/>
          <w:sz w:val="20"/>
          <w:szCs w:val="20"/>
        </w:rPr>
        <w:t>“Para las empresas que</w:t>
      </w:r>
      <w:r w:rsidRPr="00BE5E22">
        <w:rPr>
          <w:i/>
          <w:spacing w:val="1"/>
          <w:sz w:val="20"/>
          <w:szCs w:val="20"/>
        </w:rPr>
        <w:t xml:space="preserve"> </w:t>
      </w:r>
      <w:r w:rsidRPr="00BE5E22">
        <w:rPr>
          <w:i/>
          <w:sz w:val="20"/>
          <w:szCs w:val="20"/>
        </w:rPr>
        <w:t>no reportaron información al sistema INDICA y</w:t>
      </w:r>
      <w:r w:rsidRPr="00BE5E22">
        <w:rPr>
          <w:i/>
          <w:spacing w:val="1"/>
          <w:sz w:val="20"/>
          <w:szCs w:val="20"/>
        </w:rPr>
        <w:t xml:space="preserve"> </w:t>
      </w:r>
      <w:r w:rsidRPr="00BE5E22">
        <w:rPr>
          <w:i/>
          <w:sz w:val="20"/>
          <w:szCs w:val="20"/>
        </w:rPr>
        <w:t>tampoco</w:t>
      </w:r>
      <w:r w:rsidRPr="00BE5E22">
        <w:rPr>
          <w:i/>
          <w:spacing w:val="1"/>
          <w:sz w:val="20"/>
          <w:szCs w:val="20"/>
        </w:rPr>
        <w:t xml:space="preserve"> </w:t>
      </w:r>
      <w:r w:rsidRPr="00BE5E22">
        <w:rPr>
          <w:i/>
          <w:sz w:val="20"/>
          <w:szCs w:val="20"/>
        </w:rPr>
        <w:t>reportaron</w:t>
      </w:r>
      <w:r w:rsidRPr="00BE5E22">
        <w:rPr>
          <w:i/>
          <w:spacing w:val="1"/>
          <w:sz w:val="20"/>
          <w:szCs w:val="20"/>
        </w:rPr>
        <w:t xml:space="preserve"> </w:t>
      </w:r>
      <w:r w:rsidRPr="00BE5E22">
        <w:rPr>
          <w:i/>
          <w:sz w:val="20"/>
          <w:szCs w:val="20"/>
        </w:rPr>
        <w:t>información</w:t>
      </w:r>
      <w:r w:rsidRPr="00BE5E22">
        <w:rPr>
          <w:i/>
          <w:spacing w:val="1"/>
          <w:sz w:val="20"/>
          <w:szCs w:val="20"/>
        </w:rPr>
        <w:t xml:space="preserve"> </w:t>
      </w:r>
      <w:r w:rsidRPr="00BE5E22">
        <w:rPr>
          <w:i/>
          <w:sz w:val="20"/>
          <w:szCs w:val="20"/>
        </w:rPr>
        <w:t>al</w:t>
      </w:r>
      <w:r w:rsidRPr="00BE5E22">
        <w:rPr>
          <w:i/>
          <w:spacing w:val="1"/>
          <w:sz w:val="20"/>
          <w:szCs w:val="20"/>
        </w:rPr>
        <w:t xml:space="preserve"> </w:t>
      </w:r>
      <w:r w:rsidRPr="00BE5E22">
        <w:rPr>
          <w:i/>
          <w:sz w:val="20"/>
          <w:szCs w:val="20"/>
        </w:rPr>
        <w:t>SUI</w:t>
      </w:r>
      <w:r w:rsidRPr="00BE5E22">
        <w:rPr>
          <w:i/>
          <w:spacing w:val="1"/>
          <w:sz w:val="20"/>
          <w:szCs w:val="20"/>
        </w:rPr>
        <w:t xml:space="preserve"> </w:t>
      </w:r>
      <w:r w:rsidRPr="00BE5E22">
        <w:rPr>
          <w:i/>
          <w:sz w:val="20"/>
          <w:szCs w:val="20"/>
        </w:rPr>
        <w:t>o</w:t>
      </w:r>
      <w:r w:rsidRPr="00BE5E22">
        <w:rPr>
          <w:i/>
          <w:spacing w:val="1"/>
          <w:sz w:val="20"/>
          <w:szCs w:val="20"/>
        </w:rPr>
        <w:t xml:space="preserve"> </w:t>
      </w:r>
      <w:r w:rsidRPr="00BE5E22">
        <w:rPr>
          <w:i/>
          <w:sz w:val="20"/>
          <w:szCs w:val="20"/>
        </w:rPr>
        <w:t>el</w:t>
      </w:r>
      <w:r w:rsidRPr="00BE5E22">
        <w:rPr>
          <w:i/>
          <w:spacing w:val="1"/>
          <w:sz w:val="20"/>
          <w:szCs w:val="20"/>
        </w:rPr>
        <w:t xml:space="preserve"> </w:t>
      </w:r>
      <w:r w:rsidRPr="00BE5E22">
        <w:rPr>
          <w:i/>
          <w:sz w:val="20"/>
          <w:szCs w:val="20"/>
        </w:rPr>
        <w:t>reporte</w:t>
      </w:r>
      <w:r w:rsidRPr="00BE5E22">
        <w:rPr>
          <w:i/>
          <w:spacing w:val="1"/>
          <w:sz w:val="20"/>
          <w:szCs w:val="20"/>
        </w:rPr>
        <w:t xml:space="preserve"> </w:t>
      </w:r>
      <w:r w:rsidRPr="00BE5E22">
        <w:rPr>
          <w:i/>
          <w:sz w:val="20"/>
          <w:szCs w:val="20"/>
        </w:rPr>
        <w:t>a</w:t>
      </w:r>
      <w:r w:rsidRPr="00BE5E22">
        <w:rPr>
          <w:i/>
          <w:spacing w:val="1"/>
          <w:sz w:val="20"/>
          <w:szCs w:val="20"/>
        </w:rPr>
        <w:t xml:space="preserve"> </w:t>
      </w:r>
      <w:r w:rsidRPr="00BE5E22">
        <w:rPr>
          <w:i/>
          <w:sz w:val="20"/>
          <w:szCs w:val="20"/>
        </w:rPr>
        <w:t>este</w:t>
      </w:r>
      <w:r w:rsidRPr="00BE5E22">
        <w:rPr>
          <w:i/>
          <w:spacing w:val="1"/>
          <w:sz w:val="20"/>
          <w:szCs w:val="20"/>
        </w:rPr>
        <w:t xml:space="preserve"> </w:t>
      </w:r>
      <w:r w:rsidRPr="00BE5E22">
        <w:rPr>
          <w:i/>
          <w:sz w:val="20"/>
          <w:szCs w:val="20"/>
        </w:rPr>
        <w:t>sistema</w:t>
      </w:r>
      <w:r w:rsidRPr="00BE5E22">
        <w:rPr>
          <w:i/>
          <w:spacing w:val="1"/>
          <w:sz w:val="20"/>
          <w:szCs w:val="20"/>
        </w:rPr>
        <w:t xml:space="preserve"> </w:t>
      </w:r>
      <w:r w:rsidRPr="00BE5E22">
        <w:rPr>
          <w:i/>
          <w:sz w:val="20"/>
          <w:szCs w:val="20"/>
        </w:rPr>
        <w:t>es</w:t>
      </w:r>
      <w:r w:rsidRPr="00BE5E22">
        <w:rPr>
          <w:i/>
          <w:spacing w:val="1"/>
          <w:sz w:val="20"/>
          <w:szCs w:val="20"/>
        </w:rPr>
        <w:t xml:space="preserve"> </w:t>
      </w:r>
      <w:r w:rsidRPr="00BE5E22">
        <w:rPr>
          <w:i/>
          <w:sz w:val="20"/>
          <w:szCs w:val="20"/>
        </w:rPr>
        <w:t>incompleto o de mala calidad, los indicadores de referencia son calculados</w:t>
      </w:r>
      <w:r w:rsidRPr="00BE5E22">
        <w:rPr>
          <w:i/>
          <w:spacing w:val="1"/>
          <w:sz w:val="20"/>
          <w:szCs w:val="20"/>
        </w:rPr>
        <w:t xml:space="preserve"> </w:t>
      </w:r>
      <w:r w:rsidRPr="00BE5E22">
        <w:rPr>
          <w:i/>
          <w:sz w:val="20"/>
          <w:szCs w:val="20"/>
        </w:rPr>
        <w:t>por la CREG como un promedio de los indicadores de referencia de las</w:t>
      </w:r>
      <w:r w:rsidRPr="00BE5E22">
        <w:rPr>
          <w:i/>
          <w:spacing w:val="1"/>
          <w:sz w:val="20"/>
          <w:szCs w:val="20"/>
        </w:rPr>
        <w:t xml:space="preserve"> </w:t>
      </w:r>
      <w:r w:rsidRPr="00BE5E22">
        <w:rPr>
          <w:i/>
          <w:sz w:val="20"/>
          <w:szCs w:val="20"/>
        </w:rPr>
        <w:t>empresas que más se parezcan en cantidad de km de redes de media tensión y</w:t>
      </w:r>
      <w:r w:rsidRPr="00BE5E22">
        <w:rPr>
          <w:i/>
          <w:spacing w:val="1"/>
          <w:sz w:val="20"/>
          <w:szCs w:val="20"/>
        </w:rPr>
        <w:t xml:space="preserve"> </w:t>
      </w:r>
      <w:r w:rsidRPr="00BE5E22">
        <w:rPr>
          <w:i/>
          <w:sz w:val="20"/>
          <w:szCs w:val="20"/>
        </w:rPr>
        <w:t>transformadores</w:t>
      </w:r>
      <w:r w:rsidRPr="00BE5E22">
        <w:rPr>
          <w:i/>
          <w:spacing w:val="-3"/>
          <w:sz w:val="20"/>
          <w:szCs w:val="20"/>
        </w:rPr>
        <w:t xml:space="preserve"> </w:t>
      </w:r>
      <w:r w:rsidRPr="00BE5E22">
        <w:rPr>
          <w:i/>
          <w:sz w:val="20"/>
          <w:szCs w:val="20"/>
        </w:rPr>
        <w:t>de</w:t>
      </w:r>
      <w:r w:rsidRPr="00BE5E22">
        <w:rPr>
          <w:i/>
          <w:spacing w:val="1"/>
          <w:sz w:val="20"/>
          <w:szCs w:val="20"/>
        </w:rPr>
        <w:t xml:space="preserve"> </w:t>
      </w:r>
      <w:r w:rsidRPr="00BE5E22">
        <w:rPr>
          <w:i/>
          <w:sz w:val="20"/>
          <w:szCs w:val="20"/>
        </w:rPr>
        <w:t>nivel</w:t>
      </w:r>
      <w:r w:rsidRPr="00BE5E22">
        <w:rPr>
          <w:i/>
          <w:spacing w:val="1"/>
          <w:sz w:val="20"/>
          <w:szCs w:val="20"/>
        </w:rPr>
        <w:t xml:space="preserve"> </w:t>
      </w:r>
      <w:r w:rsidRPr="00BE5E22">
        <w:rPr>
          <w:i/>
          <w:sz w:val="20"/>
          <w:szCs w:val="20"/>
        </w:rPr>
        <w:t>1, por</w:t>
      </w:r>
      <w:r w:rsidRPr="00BE5E22">
        <w:rPr>
          <w:i/>
          <w:spacing w:val="-2"/>
          <w:sz w:val="20"/>
          <w:szCs w:val="20"/>
        </w:rPr>
        <w:t xml:space="preserve"> </w:t>
      </w:r>
      <w:r w:rsidRPr="00BE5E22">
        <w:rPr>
          <w:i/>
          <w:sz w:val="20"/>
          <w:szCs w:val="20"/>
        </w:rPr>
        <w:t>grupo de</w:t>
      </w:r>
      <w:r w:rsidRPr="00BE5E22">
        <w:rPr>
          <w:i/>
          <w:spacing w:val="1"/>
          <w:sz w:val="20"/>
          <w:szCs w:val="20"/>
        </w:rPr>
        <w:t xml:space="preserve"> </w:t>
      </w:r>
      <w:r w:rsidRPr="00BE5E22">
        <w:rPr>
          <w:i/>
          <w:sz w:val="20"/>
          <w:szCs w:val="20"/>
        </w:rPr>
        <w:t>calidad.”</w:t>
      </w:r>
    </w:p>
    <w:p w14:paraId="7C100F8F" w14:textId="7B3E1B95" w:rsidR="00F12A0C" w:rsidRPr="00BE5E22" w:rsidRDefault="00F12A0C" w:rsidP="00F12A0C">
      <w:pPr>
        <w:rPr>
          <w:i/>
          <w:iCs/>
          <w:spacing w:val="-3"/>
          <w:sz w:val="20"/>
          <w:szCs w:val="20"/>
        </w:rPr>
      </w:pPr>
      <w:r w:rsidRPr="00BE5E22">
        <w:rPr>
          <w:i/>
          <w:iCs/>
          <w:spacing w:val="-3"/>
          <w:sz w:val="20"/>
          <w:szCs w:val="20"/>
        </w:rPr>
        <w:t>Luego, a partir de datos abiertos SUI, se encuentra la siguiente información, en cuanto a la cantidad de transformadores por operador de red, para ese año base:</w:t>
      </w:r>
    </w:p>
    <w:p w14:paraId="18B51506" w14:textId="774FCC95" w:rsidR="00F12A0C" w:rsidRPr="00BE5E22" w:rsidRDefault="00F12A0C" w:rsidP="00F12A0C">
      <w:pPr>
        <w:rPr>
          <w:i/>
          <w:iCs/>
          <w:spacing w:val="-3"/>
          <w:sz w:val="20"/>
          <w:szCs w:val="20"/>
        </w:rPr>
      </w:pPr>
      <w:r w:rsidRPr="00BE5E22">
        <w:rPr>
          <w:i/>
          <w:iCs/>
          <w:spacing w:val="-3"/>
          <w:sz w:val="20"/>
          <w:szCs w:val="20"/>
        </w:rPr>
        <w:t>(…)</w:t>
      </w:r>
    </w:p>
    <w:p w14:paraId="6D892E11" w14:textId="77777777" w:rsidR="001574D9" w:rsidRPr="00BE5E22" w:rsidRDefault="001574D9" w:rsidP="001574D9">
      <w:pPr>
        <w:rPr>
          <w:i/>
          <w:iCs/>
          <w:spacing w:val="-3"/>
          <w:sz w:val="20"/>
          <w:szCs w:val="20"/>
        </w:rPr>
      </w:pPr>
      <w:r w:rsidRPr="00BE5E22">
        <w:rPr>
          <w:i/>
          <w:iCs/>
          <w:spacing w:val="-3"/>
          <w:sz w:val="20"/>
          <w:szCs w:val="20"/>
        </w:rPr>
        <w:t>Concluyendo que la empresa más parecida a la nuestra en cuanto al número de transformadores es la Empresa de Energía del Guaviare SA ESP y la Empresa de Energía del Bajo Putumayo SA ESP.</w:t>
      </w:r>
    </w:p>
    <w:p w14:paraId="46A09C32" w14:textId="02282108" w:rsidR="003B5828" w:rsidRDefault="003B5828" w:rsidP="003B5828">
      <w:pPr>
        <w:rPr>
          <w:b/>
          <w:bCs/>
          <w:spacing w:val="-3"/>
        </w:rPr>
      </w:pPr>
      <w:r w:rsidRPr="00415EA3">
        <w:rPr>
          <w:b/>
          <w:bCs/>
          <w:spacing w:val="-3"/>
        </w:rPr>
        <w:t>Análisis de la Comisión</w:t>
      </w:r>
    </w:p>
    <w:p w14:paraId="5887D020" w14:textId="1B9D9AAB" w:rsidR="0042633F" w:rsidRDefault="005E724B" w:rsidP="00157C9D">
      <w:r>
        <w:t>Inicialmente</w:t>
      </w:r>
      <w:r w:rsidR="008A7E98">
        <w:t xml:space="preserve">, cabe recordar que la responsabilidad por la calidad e integridad de la información consignada en el SUI es del OR. </w:t>
      </w:r>
      <w:r w:rsidR="00C738CE">
        <w:t>La metodología es clara en indicar las fuentes oficiales de información</w:t>
      </w:r>
      <w:r w:rsidR="00B50932" w:rsidRPr="00B50932">
        <w:t xml:space="preserve"> </w:t>
      </w:r>
      <w:r w:rsidR="00B50932">
        <w:t>para el cálculo de indicadores</w:t>
      </w:r>
      <w:r w:rsidR="00912E2B">
        <w:t>, tal como se menciona en el numeral 5.2.5 del anexo general de la Resolución CREG 015 de 2018</w:t>
      </w:r>
      <w:r w:rsidR="00C738CE">
        <w:t>.</w:t>
      </w:r>
    </w:p>
    <w:p w14:paraId="6019B06E" w14:textId="009957E8" w:rsidR="00A124FB" w:rsidRDefault="00080487" w:rsidP="00157C9D">
      <w:r>
        <w:t xml:space="preserve">Tal como se mencionó en el documento de soporte de la </w:t>
      </w:r>
      <w:r w:rsidR="00E4505D">
        <w:t xml:space="preserve">Resolución </w:t>
      </w:r>
      <w:r>
        <w:t>CREG</w:t>
      </w:r>
      <w:r w:rsidR="00E4505D">
        <w:t xml:space="preserve"> 220 de 2021</w:t>
      </w:r>
      <w:r w:rsidR="00697909">
        <w:t xml:space="preserve">, la información reportada por </w:t>
      </w:r>
      <w:r w:rsidR="00CD0247">
        <w:t xml:space="preserve">Emevasi </w:t>
      </w:r>
      <w:r w:rsidR="00697909">
        <w:t>al SUI para el año 2016 presenta</w:t>
      </w:r>
      <w:r w:rsidR="00B361C7">
        <w:t xml:space="preserve"> inconsistencias que impidieron su utilización para el cálculo de los indicadores de calidad. Estas inco</w:t>
      </w:r>
      <w:r w:rsidR="000B6706">
        <w:t>n</w:t>
      </w:r>
      <w:r w:rsidR="00B361C7">
        <w:t>s</w:t>
      </w:r>
      <w:r w:rsidR="004048F2">
        <w:t>istencias</w:t>
      </w:r>
      <w:r w:rsidR="00697909">
        <w:t xml:space="preserve"> </w:t>
      </w:r>
      <w:r w:rsidR="004048F2">
        <w:t xml:space="preserve">fueron identificadas </w:t>
      </w:r>
      <w:r w:rsidR="0085035D">
        <w:t>durante</w:t>
      </w:r>
      <w:r w:rsidR="00A124FB">
        <w:t xml:space="preserve"> el procedimiento de cálculo</w:t>
      </w:r>
      <w:r w:rsidR="009E7068">
        <w:t xml:space="preserve"> de los indicadores de calidad media e individual</w:t>
      </w:r>
      <w:r w:rsidR="00EF2E7B">
        <w:t>, particularmente al c</w:t>
      </w:r>
      <w:r w:rsidR="006F1808">
        <w:t>ruzar l</w:t>
      </w:r>
      <w:r w:rsidR="00EF2E7B">
        <w:t>a</w:t>
      </w:r>
      <w:r w:rsidR="006F1808">
        <w:t xml:space="preserve"> información </w:t>
      </w:r>
      <w:r w:rsidR="003960F3">
        <w:t xml:space="preserve">mensual de calidad del servicio con la información </w:t>
      </w:r>
      <w:r w:rsidR="00CA0757">
        <w:t>de vinculación de usuarios a la red</w:t>
      </w:r>
      <w:r w:rsidR="00B00853">
        <w:t xml:space="preserve"> </w:t>
      </w:r>
      <w:r w:rsidR="001B4704">
        <w:t xml:space="preserve">y como </w:t>
      </w:r>
      <w:r w:rsidR="00582C3B">
        <w:t>resultado, obtener</w:t>
      </w:r>
      <w:r w:rsidR="008E6E45">
        <w:t xml:space="preserve"> solamente</w:t>
      </w:r>
      <w:r w:rsidR="00250078">
        <w:t xml:space="preserve"> resultados para 3 de los 12 meses del año</w:t>
      </w:r>
      <w:r w:rsidR="00F30494">
        <w:t>.</w:t>
      </w:r>
    </w:p>
    <w:p w14:paraId="6254F84F" w14:textId="6E13CEDC" w:rsidR="007E1965" w:rsidRDefault="007E1965" w:rsidP="00157C9D">
      <w:r>
        <w:t xml:space="preserve">Por otro lado, la empresa presenta el valor de los indicadores DES y FES para 2016, </w:t>
      </w:r>
      <w:r w:rsidR="004F0BD7">
        <w:t xml:space="preserve">y solicita que los indicadores de referencia sean calculados con base </w:t>
      </w:r>
      <w:r w:rsidR="006C62E0">
        <w:t xml:space="preserve">en </w:t>
      </w:r>
      <w:r w:rsidR="00C5217D">
        <w:t xml:space="preserve">estos </w:t>
      </w:r>
      <w:r w:rsidR="0066542F">
        <w:t>valores</w:t>
      </w:r>
      <w:r w:rsidR="007C64F2">
        <w:t>,</w:t>
      </w:r>
      <w:r w:rsidR="002160D4">
        <w:t xml:space="preserve"> </w:t>
      </w:r>
      <w:r w:rsidR="00F54343">
        <w:t>en lugar de aplicar lo establecido en la Resolución CREG 015 de 2018</w:t>
      </w:r>
      <w:r w:rsidR="006C62E0">
        <w:t xml:space="preserve">. Al respecto, </w:t>
      </w:r>
      <w:r w:rsidR="0066542F">
        <w:t>se</w:t>
      </w:r>
      <w:r w:rsidR="006C62E0">
        <w:t xml:space="preserve"> aclara que dichos</w:t>
      </w:r>
      <w:r>
        <w:t xml:space="preserve"> valores no son comparables con los indicadores de calidad media SAIDI y SAIFI, pues se calculan de manera distinta</w:t>
      </w:r>
      <w:r w:rsidR="00A21012">
        <w:t xml:space="preserve">, </w:t>
      </w:r>
      <w:r w:rsidR="00D0201D">
        <w:t>además,</w:t>
      </w:r>
      <w:r w:rsidR="00F524A6">
        <w:t xml:space="preserve"> </w:t>
      </w:r>
      <w:r w:rsidR="00E56FC9">
        <w:t>esta</w:t>
      </w:r>
      <w:r w:rsidR="004930C2">
        <w:t xml:space="preserve"> información no </w:t>
      </w:r>
      <w:r w:rsidR="00BD05C4">
        <w:t xml:space="preserve">hace parte de las </w:t>
      </w:r>
      <w:r w:rsidR="004930C2">
        <w:t>fuente</w:t>
      </w:r>
      <w:r w:rsidR="00BD05C4">
        <w:t>s</w:t>
      </w:r>
      <w:r w:rsidR="004930C2">
        <w:t xml:space="preserve"> </w:t>
      </w:r>
      <w:r w:rsidR="00BD05C4">
        <w:t>de información definidas</w:t>
      </w:r>
      <w:r w:rsidR="00E8056B">
        <w:t xml:space="preserve"> en la metodología</w:t>
      </w:r>
      <w:r w:rsidR="00BD05C4">
        <w:t xml:space="preserve"> </w:t>
      </w:r>
      <w:r w:rsidR="001C5BBD">
        <w:t xml:space="preserve">para </w:t>
      </w:r>
      <w:r w:rsidR="00BD05C4">
        <w:t xml:space="preserve">calcular </w:t>
      </w:r>
      <w:r w:rsidR="001C5BBD">
        <w:t>los indicadores de referencia</w:t>
      </w:r>
      <w:r w:rsidR="00640350">
        <w:t xml:space="preserve">, </w:t>
      </w:r>
      <w:r w:rsidR="00A21012">
        <w:t>por lo que la solicitud no se encuentra procedente.</w:t>
      </w:r>
    </w:p>
    <w:p w14:paraId="27FFCDAA" w14:textId="6FBDA8B7" w:rsidR="00A21012" w:rsidRDefault="00A21012" w:rsidP="00157C9D">
      <w:r>
        <w:t xml:space="preserve">Sobre la solicitud adicional de la Empresa de Energía del Valle de Sibundoy, de cambiar los OR de referencia con base en los cuales se estimaron los indicadores de calidad propuestos en la Resolución CREG 220 de 2021, </w:t>
      </w:r>
      <w:r w:rsidR="005E7AFC">
        <w:t xml:space="preserve">se encuentra que los OR propuestos por </w:t>
      </w:r>
      <w:r w:rsidR="00077752">
        <w:t>Emevasi tienen un nivel de semejanza equivalente a los utilizados por la Comisión</w:t>
      </w:r>
      <w:r w:rsidR="003C2FAD">
        <w:t>.</w:t>
      </w:r>
    </w:p>
    <w:p w14:paraId="556FF648" w14:textId="187BDB55" w:rsidR="00515AD9" w:rsidRDefault="0010037D" w:rsidP="00157C9D">
      <w:r>
        <w:t>En este sentido, se revisaron los indicadores de la Empresa de Energía del Guaviare y de la Empresa de Energía de</w:t>
      </w:r>
      <w:r w:rsidR="00097794">
        <w:t>l</w:t>
      </w:r>
      <w:r>
        <w:t xml:space="preserve"> Bajo Putumayo</w:t>
      </w:r>
      <w:r w:rsidR="00A40E5B">
        <w:t xml:space="preserve">, y se encontró </w:t>
      </w:r>
      <w:r w:rsidR="002160D4">
        <w:t>que,</w:t>
      </w:r>
      <w:r w:rsidR="00A40E5B">
        <w:t xml:space="preserve"> para la Empresa de Energía de Guaviare, los indicadores aprobados fueron estimados con base en la información de otros OR, por lo que no es posible incluir dichos valores estimados como fuente para otra estimación.</w:t>
      </w:r>
      <w:r w:rsidR="00CD4CAB">
        <w:t xml:space="preserve"> </w:t>
      </w:r>
    </w:p>
    <w:p w14:paraId="59FE585C" w14:textId="7733AC2F" w:rsidR="0010037D" w:rsidRDefault="00CD4CAB" w:rsidP="00157C9D">
      <w:r>
        <w:t>Los indicadores de calidad de la Empresa de Energía de Bajo Putumayo</w:t>
      </w:r>
      <w:r w:rsidR="00515AD9">
        <w:t xml:space="preserve"> fueron calculados con información de la empresa consultada del SUI, por lo que </w:t>
      </w:r>
      <w:r w:rsidR="0042329C">
        <w:t xml:space="preserve">pueden ser utilizados para calcular los indicadores de referencia de la Empresa de </w:t>
      </w:r>
      <w:r w:rsidR="0042329C">
        <w:lastRenderedPageBreak/>
        <w:t>Energía de</w:t>
      </w:r>
      <w:r w:rsidR="00915E63">
        <w:t>l Valle de</w:t>
      </w:r>
      <w:r w:rsidR="0042329C">
        <w:t xml:space="preserve"> Sibundoy, junto a </w:t>
      </w:r>
      <w:r w:rsidR="004A0CDD">
        <w:t>los de la Empresa de Energía del Putumayo y Ruitoque, que se mantienen dentro del cálculo.</w:t>
      </w:r>
    </w:p>
    <w:p w14:paraId="1F29C684" w14:textId="1155DC2E" w:rsidR="00D864AF" w:rsidRDefault="00D864AF" w:rsidP="00157C9D">
      <w:r>
        <w:t>De esta manera, se realiza un ajuste de los indicadores de calidad media y de calidad individual de referencia para la Empresa de Energía del Valle de Sibundoy, de la siguiente manera:</w:t>
      </w:r>
    </w:p>
    <w:p w14:paraId="2EBFF39A" w14:textId="743B6F6F" w:rsidR="00D864AF" w:rsidRDefault="00904DFC" w:rsidP="00904DFC">
      <w:pPr>
        <w:jc w:val="center"/>
      </w:pPr>
      <w:r w:rsidRPr="00904DFC">
        <w:rPr>
          <w:noProof/>
          <w:lang w:val="es-CO" w:eastAsia="es-CO"/>
        </w:rPr>
        <w:drawing>
          <wp:inline distT="0" distB="0" distL="0" distR="0" wp14:anchorId="3A1557F9" wp14:editId="21C1D8D0">
            <wp:extent cx="3067050" cy="481603"/>
            <wp:effectExtent l="0" t="0" r="0" b="0"/>
            <wp:docPr id="9" name="Picture 8">
              <a:extLst xmlns:a="http://schemas.openxmlformats.org/drawingml/2006/main">
                <a:ext uri="{FF2B5EF4-FFF2-40B4-BE49-F238E27FC236}">
                  <a16:creationId xmlns:a16="http://schemas.microsoft.com/office/drawing/2014/main" id="{7D8F0244-3772-472C-9FA6-029F867022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D8F0244-3772-472C-9FA6-029F86702287}"/>
                        </a:ext>
                      </a:extLst>
                    </pic:cNvPr>
                    <pic:cNvPicPr>
                      <a:picLocks noChangeAspect="1"/>
                    </pic:cNvPicPr>
                  </pic:nvPicPr>
                  <pic:blipFill>
                    <a:blip r:embed="rId13"/>
                    <a:stretch>
                      <a:fillRect/>
                    </a:stretch>
                  </pic:blipFill>
                  <pic:spPr>
                    <a:xfrm>
                      <a:off x="0" y="0"/>
                      <a:ext cx="3111253" cy="488544"/>
                    </a:xfrm>
                    <a:prstGeom prst="rect">
                      <a:avLst/>
                    </a:prstGeom>
                  </pic:spPr>
                </pic:pic>
              </a:graphicData>
            </a:graphic>
          </wp:inline>
        </w:drawing>
      </w:r>
    </w:p>
    <w:p w14:paraId="696A6BA9" w14:textId="610ADF94" w:rsidR="00904DFC" w:rsidRDefault="00904DFC" w:rsidP="00904DFC">
      <w:pPr>
        <w:jc w:val="center"/>
      </w:pPr>
      <w:r w:rsidRPr="00904DFC">
        <w:rPr>
          <w:noProof/>
          <w:lang w:val="es-CO" w:eastAsia="es-CO"/>
        </w:rPr>
        <w:drawing>
          <wp:inline distT="0" distB="0" distL="0" distR="0" wp14:anchorId="5CBFC91A" wp14:editId="684BEB67">
            <wp:extent cx="3390900" cy="1025677"/>
            <wp:effectExtent l="0" t="0" r="0" b="3175"/>
            <wp:docPr id="3" name="Picture 12">
              <a:extLst xmlns:a="http://schemas.openxmlformats.org/drawingml/2006/main">
                <a:ext uri="{FF2B5EF4-FFF2-40B4-BE49-F238E27FC236}">
                  <a16:creationId xmlns:a16="http://schemas.microsoft.com/office/drawing/2014/main" id="{1DD5B128-BE63-4E7C-AF3A-60DADD91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DD5B128-BE63-4E7C-AF3A-60DADD912A2A}"/>
                        </a:ext>
                      </a:extLst>
                    </pic:cNvPr>
                    <pic:cNvPicPr>
                      <a:picLocks noChangeAspect="1"/>
                    </pic:cNvPicPr>
                  </pic:nvPicPr>
                  <pic:blipFill>
                    <a:blip r:embed="rId14"/>
                    <a:stretch>
                      <a:fillRect/>
                    </a:stretch>
                  </pic:blipFill>
                  <pic:spPr>
                    <a:xfrm>
                      <a:off x="0" y="0"/>
                      <a:ext cx="3447021" cy="1042653"/>
                    </a:xfrm>
                    <a:prstGeom prst="rect">
                      <a:avLst/>
                    </a:prstGeom>
                  </pic:spPr>
                </pic:pic>
              </a:graphicData>
            </a:graphic>
          </wp:inline>
        </w:drawing>
      </w:r>
    </w:p>
    <w:p w14:paraId="79300F52" w14:textId="02737278" w:rsidR="00904DFC" w:rsidRDefault="00904DFC" w:rsidP="00904DFC">
      <w:pPr>
        <w:jc w:val="center"/>
      </w:pPr>
      <w:r w:rsidRPr="00904DFC">
        <w:rPr>
          <w:noProof/>
          <w:lang w:val="es-CO" w:eastAsia="es-CO"/>
        </w:rPr>
        <w:drawing>
          <wp:inline distT="0" distB="0" distL="0" distR="0" wp14:anchorId="21FB2642" wp14:editId="6F4DF86E">
            <wp:extent cx="3378200" cy="1021836"/>
            <wp:effectExtent l="0" t="0" r="0" b="6985"/>
            <wp:docPr id="15" name="Picture 14">
              <a:extLst xmlns:a="http://schemas.openxmlformats.org/drawingml/2006/main">
                <a:ext uri="{FF2B5EF4-FFF2-40B4-BE49-F238E27FC236}">
                  <a16:creationId xmlns:a16="http://schemas.microsoft.com/office/drawing/2014/main" id="{E1696296-7206-4C49-AF6A-6B6BCC2D1F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E1696296-7206-4C49-AF6A-6B6BCC2D1FF4}"/>
                        </a:ext>
                      </a:extLst>
                    </pic:cNvPr>
                    <pic:cNvPicPr>
                      <a:picLocks noChangeAspect="1"/>
                    </pic:cNvPicPr>
                  </pic:nvPicPr>
                  <pic:blipFill>
                    <a:blip r:embed="rId15"/>
                    <a:stretch>
                      <a:fillRect/>
                    </a:stretch>
                  </pic:blipFill>
                  <pic:spPr>
                    <a:xfrm>
                      <a:off x="0" y="0"/>
                      <a:ext cx="3390877" cy="1025670"/>
                    </a:xfrm>
                    <a:prstGeom prst="rect">
                      <a:avLst/>
                    </a:prstGeom>
                  </pic:spPr>
                </pic:pic>
              </a:graphicData>
            </a:graphic>
          </wp:inline>
        </w:drawing>
      </w:r>
    </w:p>
    <w:p w14:paraId="113E2595" w14:textId="3CE8CD78" w:rsidR="009C0DAE" w:rsidRPr="009A2F7F" w:rsidRDefault="008D170A" w:rsidP="00473B71">
      <w:pPr>
        <w:pStyle w:val="Prrafodelista"/>
        <w:numPr>
          <w:ilvl w:val="0"/>
          <w:numId w:val="9"/>
        </w:numPr>
        <w:rPr>
          <w:b/>
          <w:bCs/>
          <w:spacing w:val="-3"/>
        </w:rPr>
      </w:pPr>
      <w:r w:rsidRPr="008D170A">
        <w:rPr>
          <w:b/>
          <w:bCs/>
          <w:spacing w:val="-3"/>
          <w:lang w:val="es-ES"/>
        </w:rPr>
        <w:t>Numeral 2.6.1 ACTIVOS</w:t>
      </w:r>
    </w:p>
    <w:p w14:paraId="17745658" w14:textId="362E3ECB" w:rsidR="00B76D83" w:rsidRPr="00BE5E22" w:rsidRDefault="00B76D83" w:rsidP="00B76D83">
      <w:pPr>
        <w:rPr>
          <w:i/>
          <w:iCs/>
          <w:spacing w:val="-3"/>
          <w:sz w:val="20"/>
          <w:szCs w:val="20"/>
        </w:rPr>
      </w:pPr>
      <w:r w:rsidRPr="00BE5E22">
        <w:rPr>
          <w:i/>
          <w:iCs/>
          <w:spacing w:val="-3"/>
          <w:sz w:val="20"/>
          <w:szCs w:val="20"/>
        </w:rPr>
        <w:t>La Comisión afirma: “No se incluyen redes de baja tensión asociadas con transformadores de conexión de capacidades iguales o inferiores a 15 kVA. Independientemente de que estos transformadores sean reconocidos en la base de activos, se entiende que las redes de baja tensión asociadas a los mismos son acometidas que no hacen parte del reconocimiento mediante la remuneración de la actividad de distribución y por tanto la cantidad de redes asociadas con la cantidad de transformadores en esta condición fue eliminada.” Al respecto consideramos que la Comisión sin ningún sustento fáctico, ni técnico, ni normativo, deduce que los transformadores de 15 KVA, no tienen redes de baja tensión asociadas, sino simplemente acometidas, lo cual no corresponde a la realidad, toda vez que en la base de datos presentada por la empresa para la aprobación de cargos se tienen 91</w:t>
      </w:r>
      <w:r w:rsidR="0049508D" w:rsidRPr="00BE5E22">
        <w:rPr>
          <w:i/>
          <w:iCs/>
          <w:spacing w:val="-3"/>
          <w:sz w:val="20"/>
          <w:szCs w:val="20"/>
        </w:rPr>
        <w:t xml:space="preserve"> </w:t>
      </w:r>
      <w:r w:rsidRPr="00BE5E22">
        <w:rPr>
          <w:i/>
          <w:iCs/>
          <w:spacing w:val="-3"/>
          <w:sz w:val="20"/>
          <w:szCs w:val="20"/>
        </w:rPr>
        <w:t>transformadores de 15 KVA, de los cuales únicamente 9 no tienen asociadas redes de baja tensión, por consiguiente con la decisión de la Comisión se están dejando por fuera del cálculo de ingresos, en detrimento de EMEVASI S.A. E.S.P., las redes de baja tensión asociadas a 82 transformadores, que representan el 24 % del total de transformadores reportados.</w:t>
      </w:r>
    </w:p>
    <w:p w14:paraId="4590C71E" w14:textId="77777777" w:rsidR="00B76D83" w:rsidRPr="00BE5E22" w:rsidRDefault="00B76D83" w:rsidP="00B76D83">
      <w:pPr>
        <w:rPr>
          <w:i/>
          <w:iCs/>
          <w:spacing w:val="-3"/>
          <w:sz w:val="20"/>
          <w:szCs w:val="20"/>
        </w:rPr>
      </w:pPr>
      <w:r w:rsidRPr="00BE5E22">
        <w:rPr>
          <w:i/>
          <w:iCs/>
          <w:spacing w:val="-3"/>
          <w:sz w:val="20"/>
          <w:szCs w:val="20"/>
        </w:rPr>
        <w:t>La Comisión afirma: “El OR solicitó el reconocimiento del sistema de gestión de activos, pero no solicitó la creación de una UC especial para su remuneración como parte del plan de inversión, ni aportó información detallada relacionada con su conformación y costos asociados, por lo que no fue reconocido”. La Comisión no realizó el requerimiento de la información faltante y EMEVASI S.A. E.S.P. podría aportarla en un plazo razonable.</w:t>
      </w:r>
    </w:p>
    <w:p w14:paraId="7DB0203E" w14:textId="77777777" w:rsidR="00B76D83" w:rsidRPr="00BE5E22" w:rsidRDefault="00B76D83" w:rsidP="00B76D83">
      <w:pPr>
        <w:rPr>
          <w:i/>
          <w:iCs/>
          <w:spacing w:val="-3"/>
          <w:sz w:val="20"/>
          <w:szCs w:val="20"/>
        </w:rPr>
      </w:pPr>
      <w:r w:rsidRPr="00BE5E22">
        <w:rPr>
          <w:i/>
          <w:iCs/>
          <w:spacing w:val="-3"/>
          <w:sz w:val="20"/>
          <w:szCs w:val="20"/>
        </w:rPr>
        <w:t>La Comisión afirma: “El OR solicitó el reconocimiento de UC de centro de control del listado de UC del Capítulo 15 del Anexo General de la Resolución CREG 015 de 2018 en el plan de inversiones, sin embargo las UC del plan de inversiones deben ser solicitadas de acuerdo con el listado del Capítulo 14 del mencionado anexo, por lo que no fueron reconocidas”. La Comisión no realizó el requerimiento de la información faltante y EMEVASI S.A. E.S.P. podría aportarla en un plazo razonable.</w:t>
      </w:r>
    </w:p>
    <w:p w14:paraId="588E2EA9" w14:textId="77777777" w:rsidR="00B76D83" w:rsidRPr="00BE5E22" w:rsidRDefault="00B76D83" w:rsidP="00B76D83">
      <w:pPr>
        <w:rPr>
          <w:i/>
          <w:iCs/>
          <w:spacing w:val="-3"/>
          <w:sz w:val="20"/>
          <w:szCs w:val="20"/>
        </w:rPr>
      </w:pPr>
      <w:r w:rsidRPr="00BE5E22">
        <w:rPr>
          <w:i/>
          <w:iCs/>
          <w:spacing w:val="-3"/>
          <w:sz w:val="20"/>
          <w:szCs w:val="20"/>
        </w:rPr>
        <w:t>La Comisión afirma: “El OR no reportó información de activos puestos en operación el año 2018 por lo que estos no fueron incluidos”. EMEVASI S.A. E.S.P. podría aportar la información en un plazo razonable.</w:t>
      </w:r>
    </w:p>
    <w:p w14:paraId="1DBB0DC4" w14:textId="77777777" w:rsidR="00582C3B" w:rsidRDefault="00582C3B" w:rsidP="001E6ED5">
      <w:pPr>
        <w:rPr>
          <w:b/>
          <w:bCs/>
          <w:spacing w:val="-3"/>
        </w:rPr>
      </w:pPr>
    </w:p>
    <w:p w14:paraId="66C51C8B" w14:textId="15CE12FC" w:rsidR="001E6ED5" w:rsidRDefault="001E6ED5" w:rsidP="001E6ED5">
      <w:pPr>
        <w:rPr>
          <w:b/>
          <w:bCs/>
          <w:spacing w:val="-3"/>
        </w:rPr>
      </w:pPr>
      <w:r w:rsidRPr="00415EA3">
        <w:rPr>
          <w:b/>
          <w:bCs/>
          <w:spacing w:val="-3"/>
        </w:rPr>
        <w:t>Análisis de la Comisión</w:t>
      </w:r>
    </w:p>
    <w:p w14:paraId="477D904B" w14:textId="5E8CDAFD" w:rsidR="00CB7A2C" w:rsidRDefault="008D0302" w:rsidP="001E6ED5">
      <w:pPr>
        <w:rPr>
          <w:b/>
          <w:bCs/>
          <w:spacing w:val="-3"/>
        </w:rPr>
      </w:pPr>
      <w:r>
        <w:rPr>
          <w:b/>
          <w:bCs/>
          <w:spacing w:val="-3"/>
        </w:rPr>
        <w:t xml:space="preserve">Primer punto. </w:t>
      </w:r>
      <w:r w:rsidR="000E4959">
        <w:rPr>
          <w:b/>
          <w:bCs/>
          <w:spacing w:val="-3"/>
        </w:rPr>
        <w:t>Tra</w:t>
      </w:r>
      <w:r w:rsidR="00D00132">
        <w:rPr>
          <w:b/>
          <w:bCs/>
          <w:spacing w:val="-3"/>
        </w:rPr>
        <w:t>nsformadores de conexión de nivel de tensión 1.</w:t>
      </w:r>
    </w:p>
    <w:p w14:paraId="38B52A7A" w14:textId="075D6FAB" w:rsidR="001A4F35" w:rsidRDefault="00E170D8" w:rsidP="007A17A9">
      <w:pPr>
        <w:rPr>
          <w:spacing w:val="-3"/>
        </w:rPr>
      </w:pPr>
      <w:r>
        <w:rPr>
          <w:spacing w:val="-3"/>
        </w:rPr>
        <w:lastRenderedPageBreak/>
        <w:t>Por</w:t>
      </w:r>
      <w:r w:rsidR="00CB7A2C" w:rsidRPr="00CB7A2C">
        <w:rPr>
          <w:spacing w:val="-3"/>
        </w:rPr>
        <w:t xml:space="preserve"> regla general</w:t>
      </w:r>
      <w:r w:rsidR="00AF3012">
        <w:rPr>
          <w:spacing w:val="-3"/>
        </w:rPr>
        <w:t xml:space="preserve">, </w:t>
      </w:r>
      <w:r w:rsidR="00CB7A2C" w:rsidRPr="00CB7A2C">
        <w:rPr>
          <w:spacing w:val="-3"/>
        </w:rPr>
        <w:t>la</w:t>
      </w:r>
      <w:r w:rsidR="0099270C">
        <w:rPr>
          <w:spacing w:val="-3"/>
        </w:rPr>
        <w:t xml:space="preserve"> metodología establecida en la</w:t>
      </w:r>
      <w:r w:rsidR="00CB7A2C" w:rsidRPr="00CB7A2C">
        <w:rPr>
          <w:spacing w:val="-3"/>
        </w:rPr>
        <w:t xml:space="preserve"> Resolución CREG 015 de 2018 </w:t>
      </w:r>
      <w:r w:rsidR="00E81478">
        <w:rPr>
          <w:spacing w:val="-3"/>
        </w:rPr>
        <w:t>está dirigida a</w:t>
      </w:r>
      <w:r w:rsidR="0099270C">
        <w:rPr>
          <w:spacing w:val="-3"/>
        </w:rPr>
        <w:t xml:space="preserve"> remunerar</w:t>
      </w:r>
      <w:r w:rsidR="00CB7A2C" w:rsidRPr="00CB7A2C">
        <w:rPr>
          <w:spacing w:val="-3"/>
        </w:rPr>
        <w:t xml:space="preserve"> los activos de uso, es decir aquellos utilizados por dos o más usuarios. </w:t>
      </w:r>
    </w:p>
    <w:p w14:paraId="16B3F193" w14:textId="5704FC91" w:rsidR="008D0302" w:rsidRPr="008D0302" w:rsidRDefault="001A4F35" w:rsidP="001A4F35">
      <w:pPr>
        <w:rPr>
          <w:spacing w:val="-3"/>
          <w:lang w:val="es-CO"/>
        </w:rPr>
      </w:pPr>
      <w:r>
        <w:rPr>
          <w:spacing w:val="-3"/>
          <w:lang w:val="es-CO"/>
        </w:rPr>
        <w:t>E</w:t>
      </w:r>
      <w:r w:rsidR="008D0302" w:rsidRPr="008D0302">
        <w:rPr>
          <w:spacing w:val="-3"/>
          <w:lang w:val="es-CO"/>
        </w:rPr>
        <w:t>n la definición de activos de nivel de tensión 1 del artículo 3 de la Resolución CREG 015 de 2018, modificada por la Resolución CREG 036 de 2019, se hace una excepción y se incluyen únicamente los transformadores de conexión</w:t>
      </w:r>
      <w:r w:rsidR="00092B47">
        <w:rPr>
          <w:spacing w:val="-3"/>
          <w:lang w:val="es-CO"/>
        </w:rPr>
        <w:t xml:space="preserve"> (</w:t>
      </w:r>
      <w:r w:rsidR="000E4959">
        <w:rPr>
          <w:spacing w:val="-3"/>
          <w:lang w:val="es-CO"/>
        </w:rPr>
        <w:t>que sirven a un solo usuario)</w:t>
      </w:r>
      <w:r w:rsidR="008D0302" w:rsidRPr="008D0302">
        <w:rPr>
          <w:spacing w:val="-3"/>
          <w:lang w:val="es-CO"/>
        </w:rPr>
        <w:t xml:space="preserve"> con capacidades iguales o inferiores a 15 kVA para ser remunerados en la base de activos sin considerar en dicha excepción las redes de conexión asociadas con estos transformadores. Por tal razón, en la aprobación de ingresos se incluyeron los transformadores de conexión de esta condición sin incluir la red de conexión.</w:t>
      </w:r>
    </w:p>
    <w:p w14:paraId="5F667E68" w14:textId="09942E8E" w:rsidR="008D0302" w:rsidRPr="008D0302" w:rsidRDefault="00D00132" w:rsidP="001E6ED5">
      <w:pPr>
        <w:rPr>
          <w:b/>
          <w:bCs/>
          <w:spacing w:val="-3"/>
          <w:lang w:val="es-CO"/>
        </w:rPr>
      </w:pPr>
      <w:r>
        <w:rPr>
          <w:b/>
          <w:bCs/>
          <w:spacing w:val="-3"/>
        </w:rPr>
        <w:t>Segundo</w:t>
      </w:r>
      <w:r w:rsidR="005F55D5">
        <w:rPr>
          <w:b/>
          <w:bCs/>
          <w:spacing w:val="-3"/>
        </w:rPr>
        <w:t>, tercer y cuarto</w:t>
      </w:r>
      <w:r w:rsidR="000E4959">
        <w:rPr>
          <w:b/>
          <w:bCs/>
          <w:spacing w:val="-3"/>
        </w:rPr>
        <w:t xml:space="preserve"> punto</w:t>
      </w:r>
      <w:r w:rsidR="005F55D5">
        <w:rPr>
          <w:b/>
          <w:bCs/>
          <w:spacing w:val="-3"/>
        </w:rPr>
        <w:t>s</w:t>
      </w:r>
      <w:r w:rsidR="000E4959">
        <w:rPr>
          <w:b/>
          <w:bCs/>
          <w:spacing w:val="-3"/>
        </w:rPr>
        <w:t>.</w:t>
      </w:r>
      <w:r>
        <w:rPr>
          <w:b/>
          <w:bCs/>
          <w:spacing w:val="-3"/>
        </w:rPr>
        <w:t xml:space="preserve"> </w:t>
      </w:r>
      <w:r w:rsidR="005F55D5">
        <w:rPr>
          <w:b/>
          <w:bCs/>
          <w:spacing w:val="-3"/>
        </w:rPr>
        <w:t xml:space="preserve">Sistema de gestión de activos, centro de control </w:t>
      </w:r>
      <w:r w:rsidR="00AA4957">
        <w:rPr>
          <w:b/>
          <w:bCs/>
          <w:spacing w:val="-3"/>
        </w:rPr>
        <w:t>y activos 2018.</w:t>
      </w:r>
    </w:p>
    <w:p w14:paraId="3EC1EC9A" w14:textId="77777777" w:rsidR="00B054B2" w:rsidRPr="00B054B2" w:rsidRDefault="00B054B2" w:rsidP="00B054B2">
      <w:pPr>
        <w:rPr>
          <w:spacing w:val="-3"/>
        </w:rPr>
      </w:pPr>
      <w:r w:rsidRPr="00B054B2">
        <w:rPr>
          <w:spacing w:val="-3"/>
        </w:rPr>
        <w:t xml:space="preserve">El recurso de reposición es la primera actuación o herramienta que tiene el destinatario del acto administrativo para impugnar las decisiones contenidas en el acto administrativo particular que pueden lesionar derechos, y por ello, como lo exige el mismo artículo 74 de la Ley 1437 de 2011, se interpone ante quien profirió el acto para que lo aclare, modifique, adicione o revoque, pero no constituye una instancia para modificar la solicitud. </w:t>
      </w:r>
    </w:p>
    <w:p w14:paraId="309EB480" w14:textId="77777777" w:rsidR="00B054B2" w:rsidRPr="00B054B2" w:rsidRDefault="00B054B2" w:rsidP="00B054B2">
      <w:pPr>
        <w:rPr>
          <w:spacing w:val="-3"/>
        </w:rPr>
      </w:pPr>
      <w:r w:rsidRPr="00B054B2">
        <w:rPr>
          <w:spacing w:val="-3"/>
        </w:rPr>
        <w:t>Según el CONSEJO DE ESTADO, SALA DE LO CONTENCIOSO ADMINISTRATIVO, SECCION CUARTA, consejero Ponente. CARMEN TERESA ORTIZ DE RODRIGUEZ, Bogotá, D.C., veintinueve (29) de Mayo de dos mil catorce (2014), Radicación 13001233300020120004501 Actor DEPARTAMENTO DE BOLIVAR contra la DIAN Numero Interno. 20383 (Sentencia nº 13001233300020120004501, 2014), Auto, el recurso de reposición es “… la vía procesal a través de la cual se llega directamente ante el funcionario que tomó la decisión administrativa con el fin de que la aclare (explique o despeje puntos dudosos) o revoque (deje totalmente sin efectos la decisión reemplazándola o derogándola) a través de escrito presentado en la diligencia de notificación personal.</w:t>
      </w:r>
    </w:p>
    <w:p w14:paraId="537F6332" w14:textId="51FA490F" w:rsidR="00B054B2" w:rsidRPr="00B054B2" w:rsidRDefault="00B054B2" w:rsidP="00B054B2">
      <w:pPr>
        <w:rPr>
          <w:spacing w:val="-3"/>
        </w:rPr>
      </w:pPr>
      <w:r w:rsidRPr="00B054B2">
        <w:rPr>
          <w:spacing w:val="-3"/>
        </w:rPr>
        <w:t xml:space="preserve">En relación con los requisitos para interponer los recursos de reposición, el numeral segundo del artículo 77 de la Ley 1437 de 2011, hace alusión a que debe sustentarse con expresión concreta los motivos de inconformidad. Es decir, al no existir aceptación con lo resuelto en el acto administrativo, trae como consecuencia inconformidad </w:t>
      </w:r>
      <w:r w:rsidR="00915E63">
        <w:rPr>
          <w:spacing w:val="-3"/>
        </w:rPr>
        <w:t>con</w:t>
      </w:r>
      <w:r w:rsidR="00915E63" w:rsidRPr="00B054B2">
        <w:rPr>
          <w:spacing w:val="-3"/>
        </w:rPr>
        <w:t xml:space="preserve"> </w:t>
      </w:r>
      <w:r w:rsidRPr="00B054B2">
        <w:rPr>
          <w:spacing w:val="-3"/>
        </w:rPr>
        <w:t xml:space="preserve">las pretensiones que fueron expuestas con anterioridad, </w:t>
      </w:r>
      <w:r w:rsidR="001A57D3">
        <w:rPr>
          <w:spacing w:val="-3"/>
        </w:rPr>
        <w:t xml:space="preserve">por lo </w:t>
      </w:r>
      <w:r w:rsidRPr="00B054B2">
        <w:rPr>
          <w:spacing w:val="-3"/>
        </w:rPr>
        <w:t xml:space="preserve">cual </w:t>
      </w:r>
      <w:r w:rsidR="001A57D3">
        <w:rPr>
          <w:spacing w:val="-3"/>
        </w:rPr>
        <w:t>se debe manifestar</w:t>
      </w:r>
      <w:r w:rsidRPr="00B054B2">
        <w:rPr>
          <w:spacing w:val="-3"/>
        </w:rPr>
        <w:t xml:space="preserve"> no solamente en qué consiste esa inconformidad </w:t>
      </w:r>
      <w:r w:rsidR="001A57D3">
        <w:rPr>
          <w:spacing w:val="-3"/>
        </w:rPr>
        <w:t>sino también</w:t>
      </w:r>
      <w:r w:rsidRPr="00B054B2">
        <w:rPr>
          <w:spacing w:val="-3"/>
        </w:rPr>
        <w:t xml:space="preserve"> sustentar o argumentar lo pretendido, en forma clara y precisa para que al desatarse el recurso sean tenidos en cuenta los puntos de inconformidad, a fin de que, si </w:t>
      </w:r>
      <w:r w:rsidR="001A57D3">
        <w:rPr>
          <w:spacing w:val="-3"/>
        </w:rPr>
        <w:t>procede,</w:t>
      </w:r>
      <w:r w:rsidRPr="00B054B2">
        <w:rPr>
          <w:spacing w:val="-3"/>
        </w:rPr>
        <w:t xml:space="preserve"> lo aclare, modifique o revoque.</w:t>
      </w:r>
    </w:p>
    <w:p w14:paraId="590D670E" w14:textId="4C36778B" w:rsidR="00B054B2" w:rsidRDefault="00B054B2" w:rsidP="00B054B2">
      <w:pPr>
        <w:rPr>
          <w:spacing w:val="-3"/>
        </w:rPr>
      </w:pPr>
      <w:r w:rsidRPr="00B054B2">
        <w:rPr>
          <w:spacing w:val="-3"/>
        </w:rPr>
        <w:t>Por lo anterior, y dado que</w:t>
      </w:r>
      <w:r w:rsidR="007B54C4">
        <w:rPr>
          <w:spacing w:val="-3"/>
        </w:rPr>
        <w:t xml:space="preserve"> los puntos</w:t>
      </w:r>
      <w:r w:rsidR="00A7285F">
        <w:rPr>
          <w:spacing w:val="-3"/>
        </w:rPr>
        <w:t xml:space="preserve"> 2, 3 y 4 de la</w:t>
      </w:r>
      <w:r w:rsidRPr="00B054B2">
        <w:rPr>
          <w:spacing w:val="-3"/>
        </w:rPr>
        <w:t xml:space="preserve"> </w:t>
      </w:r>
      <w:r w:rsidR="007B54C4">
        <w:rPr>
          <w:spacing w:val="-3"/>
        </w:rPr>
        <w:t>pretensi</w:t>
      </w:r>
      <w:r w:rsidR="00A7285F">
        <w:rPr>
          <w:spacing w:val="-3"/>
        </w:rPr>
        <w:t>ón</w:t>
      </w:r>
      <w:r w:rsidR="007B54C4">
        <w:rPr>
          <w:spacing w:val="-3"/>
        </w:rPr>
        <w:t xml:space="preserve"> </w:t>
      </w:r>
      <w:r w:rsidRPr="00B054B2">
        <w:rPr>
          <w:spacing w:val="-3"/>
        </w:rPr>
        <w:t>está</w:t>
      </w:r>
      <w:r w:rsidR="007B54C4">
        <w:rPr>
          <w:spacing w:val="-3"/>
        </w:rPr>
        <w:t>n</w:t>
      </w:r>
      <w:r w:rsidRPr="00B054B2">
        <w:rPr>
          <w:spacing w:val="-3"/>
        </w:rPr>
        <w:t xml:space="preserve"> encaminad</w:t>
      </w:r>
      <w:r w:rsidR="00A7285F">
        <w:rPr>
          <w:spacing w:val="-3"/>
        </w:rPr>
        <w:t>o</w:t>
      </w:r>
      <w:r w:rsidR="007B54C4">
        <w:rPr>
          <w:spacing w:val="-3"/>
        </w:rPr>
        <w:t>s</w:t>
      </w:r>
      <w:r w:rsidRPr="00B054B2">
        <w:rPr>
          <w:spacing w:val="-3"/>
        </w:rPr>
        <w:t xml:space="preserve"> a modificar la solicitud inicial de aprobación de ingresos presentada por </w:t>
      </w:r>
      <w:r w:rsidR="007B54C4">
        <w:rPr>
          <w:spacing w:val="-3"/>
        </w:rPr>
        <w:t>la Empresa de Energía del Valle de Sibundoy S.A.</w:t>
      </w:r>
      <w:r w:rsidRPr="00B054B2">
        <w:rPr>
          <w:spacing w:val="-3"/>
        </w:rPr>
        <w:t xml:space="preserve"> E.S.P., y no versa</w:t>
      </w:r>
      <w:r w:rsidR="00F47CA1">
        <w:rPr>
          <w:spacing w:val="-3"/>
        </w:rPr>
        <w:t>n</w:t>
      </w:r>
      <w:r w:rsidRPr="00B054B2">
        <w:rPr>
          <w:spacing w:val="-3"/>
        </w:rPr>
        <w:t xml:space="preserve"> sobre la decisión contenida en la Resolución CREG </w:t>
      </w:r>
      <w:r w:rsidR="00F47CA1">
        <w:rPr>
          <w:spacing w:val="-3"/>
        </w:rPr>
        <w:t>230</w:t>
      </w:r>
      <w:r w:rsidRPr="00B054B2">
        <w:rPr>
          <w:spacing w:val="-3"/>
        </w:rPr>
        <w:t xml:space="preserve"> de 202</w:t>
      </w:r>
      <w:r w:rsidR="00F47CA1">
        <w:rPr>
          <w:spacing w:val="-3"/>
        </w:rPr>
        <w:t>1</w:t>
      </w:r>
      <w:r w:rsidRPr="00B054B2">
        <w:rPr>
          <w:spacing w:val="-3"/>
        </w:rPr>
        <w:t xml:space="preserve">, esta Comisión no acepta lo solicitado en </w:t>
      </w:r>
      <w:r w:rsidR="00A01FD5">
        <w:rPr>
          <w:spacing w:val="-3"/>
        </w:rPr>
        <w:t>los puntos 2, 3 y 4 de la segunda</w:t>
      </w:r>
      <w:r w:rsidRPr="00B054B2">
        <w:rPr>
          <w:spacing w:val="-3"/>
        </w:rPr>
        <w:t xml:space="preserve"> petició</w:t>
      </w:r>
      <w:r w:rsidR="00A01FD5">
        <w:rPr>
          <w:spacing w:val="-3"/>
        </w:rPr>
        <w:t>n</w:t>
      </w:r>
      <w:r w:rsidRPr="00B054B2">
        <w:rPr>
          <w:spacing w:val="-3"/>
        </w:rPr>
        <w:t>.</w:t>
      </w:r>
    </w:p>
    <w:p w14:paraId="69A5DD58" w14:textId="4934D41C" w:rsidR="007263D9" w:rsidRDefault="000E5ACE" w:rsidP="000E5ACE">
      <w:r>
        <w:t xml:space="preserve">De otra parte, se señala que en el numeral 6.6 de la Resolución CREG 015 de 2018 se establece la posibilidad de solicitar ajustes a los planes de inversiones cada dos años, por lo cual, la modificación que se solicita puede realizarse con base en los plazos y mecanismos previstos en la metodología. </w:t>
      </w:r>
      <w:r w:rsidR="00440450">
        <w:t xml:space="preserve">De manera </w:t>
      </w:r>
      <w:r w:rsidR="00440450">
        <w:lastRenderedPageBreak/>
        <w:t xml:space="preserve">informativa, se indica que </w:t>
      </w:r>
      <w:r w:rsidR="004B1550">
        <w:t>la próxima solicitud de ajuste del plan de invers</w:t>
      </w:r>
      <w:r w:rsidR="00BB515E">
        <w:t>iones</w:t>
      </w:r>
      <w:r w:rsidR="004B1550">
        <w:t xml:space="preserve"> puede ser realizada </w:t>
      </w:r>
      <w:r w:rsidR="00BB515E">
        <w:t xml:space="preserve">a </w:t>
      </w:r>
      <w:r w:rsidR="008030D2">
        <w:t>más</w:t>
      </w:r>
      <w:r w:rsidR="00BB515E">
        <w:t xml:space="preserve"> tardar en el mes de agosto del año 2022.</w:t>
      </w:r>
    </w:p>
    <w:p w14:paraId="39157E24" w14:textId="3356E52D" w:rsidR="00603FE6" w:rsidRDefault="007263D9" w:rsidP="002A7D62">
      <w:pPr>
        <w:rPr>
          <w:spacing w:val="-3"/>
        </w:rPr>
      </w:pPr>
      <w:r>
        <w:t xml:space="preserve">En cuanto </w:t>
      </w:r>
      <w:r w:rsidR="00554CFF">
        <w:t>los</w:t>
      </w:r>
      <w:r>
        <w:t xml:space="preserve"> activos </w:t>
      </w:r>
      <w:r w:rsidR="00554CFF">
        <w:t>puestos</w:t>
      </w:r>
      <w:r>
        <w:t xml:space="preserve"> en operación en 2018</w:t>
      </w:r>
      <w:r w:rsidR="004B1550">
        <w:t xml:space="preserve"> </w:t>
      </w:r>
      <w:r w:rsidR="00554CFF">
        <w:t xml:space="preserve">y los activos que salieron de operación en 2018, </w:t>
      </w:r>
      <w:r w:rsidR="00FB26AA">
        <w:t>el OR puede presentar a la Comisión la información para su análisis</w:t>
      </w:r>
      <w:r w:rsidR="00951D9D">
        <w:t xml:space="preserve"> y ajuste tarifario en caso de que aplique.</w:t>
      </w:r>
    </w:p>
    <w:p w14:paraId="6881D221" w14:textId="352CF47D" w:rsidR="006E7FD8" w:rsidRPr="006E7FD8" w:rsidRDefault="006E7FD8" w:rsidP="002A7D62">
      <w:pPr>
        <w:rPr>
          <w:b/>
          <w:bCs/>
          <w:spacing w:val="-3"/>
        </w:rPr>
      </w:pPr>
      <w:r w:rsidRPr="006E7FD8">
        <w:rPr>
          <w:b/>
          <w:bCs/>
          <w:spacing w:val="-3"/>
        </w:rPr>
        <w:t>Referentes al texto de la resolución No. 220 de 2021</w:t>
      </w:r>
      <w:r>
        <w:rPr>
          <w:b/>
          <w:bCs/>
          <w:spacing w:val="-3"/>
        </w:rPr>
        <w:t>:</w:t>
      </w:r>
    </w:p>
    <w:p w14:paraId="6994C5D8" w14:textId="2DD3D56B" w:rsidR="004E04D6" w:rsidRPr="00A62CBC" w:rsidRDefault="004E04D6" w:rsidP="00AA0FED">
      <w:pPr>
        <w:pStyle w:val="Prrafodelista"/>
        <w:numPr>
          <w:ilvl w:val="0"/>
          <w:numId w:val="9"/>
        </w:numPr>
        <w:ind w:left="548"/>
        <w:rPr>
          <w:b/>
        </w:rPr>
      </w:pPr>
      <w:r w:rsidRPr="00A62CBC">
        <w:rPr>
          <w:b/>
        </w:rPr>
        <w:t>Artículo</w:t>
      </w:r>
      <w:r w:rsidRPr="00A62CBC">
        <w:rPr>
          <w:b/>
          <w:spacing w:val="-8"/>
        </w:rPr>
        <w:t xml:space="preserve"> </w:t>
      </w:r>
      <w:r w:rsidRPr="00A62CBC">
        <w:rPr>
          <w:b/>
        </w:rPr>
        <w:t>18.</w:t>
      </w:r>
      <w:r w:rsidRPr="00A62CBC">
        <w:rPr>
          <w:b/>
          <w:spacing w:val="-4"/>
        </w:rPr>
        <w:t xml:space="preserve"> </w:t>
      </w:r>
      <w:r w:rsidRPr="00A62CBC">
        <w:rPr>
          <w:b/>
        </w:rPr>
        <w:t>Valor</w:t>
      </w:r>
      <w:r w:rsidRPr="00A62CBC">
        <w:rPr>
          <w:b/>
          <w:spacing w:val="-2"/>
        </w:rPr>
        <w:t xml:space="preserve"> </w:t>
      </w:r>
      <w:r w:rsidRPr="00A62CBC">
        <w:rPr>
          <w:b/>
        </w:rPr>
        <w:t>anual</w:t>
      </w:r>
      <w:r w:rsidRPr="00A62CBC">
        <w:rPr>
          <w:b/>
          <w:spacing w:val="1"/>
        </w:rPr>
        <w:t xml:space="preserve"> </w:t>
      </w:r>
      <w:r w:rsidRPr="00A62CBC">
        <w:rPr>
          <w:b/>
        </w:rPr>
        <w:t>por</w:t>
      </w:r>
      <w:r w:rsidRPr="00A62CBC">
        <w:rPr>
          <w:b/>
          <w:spacing w:val="-2"/>
        </w:rPr>
        <w:t xml:space="preserve"> </w:t>
      </w:r>
      <w:r w:rsidRPr="00A62CBC">
        <w:rPr>
          <w:b/>
        </w:rPr>
        <w:t>concepto</w:t>
      </w:r>
      <w:r w:rsidRPr="00A62CBC">
        <w:rPr>
          <w:b/>
          <w:spacing w:val="-5"/>
        </w:rPr>
        <w:t xml:space="preserve"> </w:t>
      </w:r>
      <w:r w:rsidRPr="00A62CBC">
        <w:rPr>
          <w:b/>
        </w:rPr>
        <w:t>de</w:t>
      </w:r>
      <w:r w:rsidRPr="00A62CBC">
        <w:rPr>
          <w:b/>
          <w:spacing w:val="-2"/>
        </w:rPr>
        <w:t xml:space="preserve"> </w:t>
      </w:r>
      <w:r w:rsidRPr="00A62CBC">
        <w:rPr>
          <w:b/>
        </w:rPr>
        <w:t>conexiones</w:t>
      </w:r>
      <w:r w:rsidRPr="00A62CBC">
        <w:rPr>
          <w:b/>
          <w:spacing w:val="-5"/>
        </w:rPr>
        <w:t xml:space="preserve"> </w:t>
      </w:r>
      <w:r w:rsidRPr="00A62CBC">
        <w:rPr>
          <w:b/>
        </w:rPr>
        <w:t>al</w:t>
      </w:r>
      <w:r w:rsidRPr="00A62CBC">
        <w:rPr>
          <w:b/>
          <w:spacing w:val="-3"/>
        </w:rPr>
        <w:t xml:space="preserve"> </w:t>
      </w:r>
      <w:r w:rsidRPr="00A62CBC">
        <w:rPr>
          <w:b/>
        </w:rPr>
        <w:t>sistema de</w:t>
      </w:r>
      <w:r w:rsidRPr="00A62CBC">
        <w:rPr>
          <w:b/>
          <w:spacing w:val="1"/>
        </w:rPr>
        <w:t xml:space="preserve"> </w:t>
      </w:r>
      <w:r w:rsidRPr="00A62CBC">
        <w:rPr>
          <w:b/>
        </w:rPr>
        <w:t>otro</w:t>
      </w:r>
      <w:r w:rsidRPr="00A62CBC">
        <w:rPr>
          <w:b/>
          <w:spacing w:val="-8"/>
        </w:rPr>
        <w:t xml:space="preserve"> </w:t>
      </w:r>
      <w:r w:rsidRPr="00A62CBC">
        <w:rPr>
          <w:b/>
        </w:rPr>
        <w:t>OR:</w:t>
      </w:r>
    </w:p>
    <w:p w14:paraId="75B34B14" w14:textId="46E833B8" w:rsidR="00994BF6" w:rsidRPr="00AC4B38" w:rsidRDefault="00994BF6" w:rsidP="00994BF6">
      <w:pPr>
        <w:rPr>
          <w:i/>
          <w:iCs/>
          <w:spacing w:val="-3"/>
          <w:sz w:val="20"/>
          <w:szCs w:val="20"/>
        </w:rPr>
      </w:pPr>
      <w:r w:rsidRPr="00AC4B38">
        <w:rPr>
          <w:i/>
          <w:iCs/>
          <w:spacing w:val="-3"/>
          <w:sz w:val="20"/>
          <w:szCs w:val="20"/>
        </w:rPr>
        <w:t>El valor anual por concepto de conexiones al sistema de otros OR en los niveles de tensión 3 y 2, Oj,n, aparece en cero, lo cual no corresponde a la realidad ya que el sistema eléctrico operado por EMEVASI S.A. E.S.P. recibe el flujo de energía a</w:t>
      </w:r>
      <w:r w:rsidR="00A62CBC" w:rsidRPr="00AC4B38">
        <w:rPr>
          <w:i/>
          <w:iCs/>
          <w:spacing w:val="-3"/>
          <w:sz w:val="20"/>
          <w:szCs w:val="20"/>
        </w:rPr>
        <w:t xml:space="preserve"> </w:t>
      </w:r>
      <w:r w:rsidRPr="00AC4B38">
        <w:rPr>
          <w:i/>
          <w:iCs/>
          <w:spacing w:val="-3"/>
          <w:sz w:val="20"/>
          <w:szCs w:val="20"/>
        </w:rPr>
        <w:t>través de una línea de subtransmisión de nivel de tensión 3 perteneciente al sistema eléctrico operado por Centrales eléctricas de Nariño CEDENAR S.A. E.S.P., a la cual se le cancelan cargos por uso del SDL que en el año 2017 fueron como se muestra en la siguiente tabla:</w:t>
      </w:r>
    </w:p>
    <w:p w14:paraId="0B43E67C" w14:textId="49EE41B4" w:rsidR="00994BF6" w:rsidRPr="00AC4B38" w:rsidRDefault="00994BF6" w:rsidP="00E420E1">
      <w:pPr>
        <w:jc w:val="center"/>
        <w:rPr>
          <w:b/>
          <w:spacing w:val="-3"/>
          <w:sz w:val="20"/>
          <w:szCs w:val="20"/>
        </w:rPr>
      </w:pPr>
      <w:r w:rsidRPr="00AC4B38">
        <w:rPr>
          <w:b/>
          <w:spacing w:val="-3"/>
          <w:sz w:val="20"/>
          <w:szCs w:val="20"/>
        </w:rPr>
        <w:t>VALORES FACTURADOS POR CEDENAR POR USO DEL SISTEMA DE DISTRIBUCION LOCAL AÑO 2017</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45"/>
        <w:gridCol w:w="2454"/>
        <w:gridCol w:w="1300"/>
        <w:gridCol w:w="2111"/>
      </w:tblGrid>
      <w:tr w:rsidR="00994BF6" w:rsidRPr="00E04D44" w14:paraId="57DA71A1" w14:textId="77777777" w:rsidTr="001A7DAD">
        <w:trPr>
          <w:trHeight w:val="124"/>
          <w:tblHeader/>
          <w:jc w:val="center"/>
        </w:trPr>
        <w:tc>
          <w:tcPr>
            <w:tcW w:w="2145" w:type="dxa"/>
            <w:shd w:val="clear" w:color="auto" w:fill="C0C0C0"/>
          </w:tcPr>
          <w:p w14:paraId="2DB31FB2" w14:textId="77777777" w:rsidR="00994BF6" w:rsidRPr="00E04D44" w:rsidRDefault="00994BF6" w:rsidP="00E420E1">
            <w:pPr>
              <w:spacing w:before="0" w:after="0"/>
              <w:jc w:val="center"/>
              <w:rPr>
                <w:b/>
                <w:spacing w:val="-3"/>
                <w:sz w:val="16"/>
                <w:szCs w:val="16"/>
              </w:rPr>
            </w:pPr>
            <w:r w:rsidRPr="00E04D44">
              <w:rPr>
                <w:b/>
                <w:spacing w:val="-3"/>
                <w:sz w:val="16"/>
                <w:szCs w:val="16"/>
              </w:rPr>
              <w:t>MES</w:t>
            </w:r>
          </w:p>
        </w:tc>
        <w:tc>
          <w:tcPr>
            <w:tcW w:w="0" w:type="auto"/>
            <w:shd w:val="clear" w:color="auto" w:fill="C0C0C0"/>
          </w:tcPr>
          <w:p w14:paraId="4BD3CE26" w14:textId="77777777" w:rsidR="00994BF6" w:rsidRPr="00E04D44" w:rsidRDefault="00994BF6" w:rsidP="00E420E1">
            <w:pPr>
              <w:spacing w:before="0" w:after="0"/>
              <w:jc w:val="center"/>
              <w:rPr>
                <w:b/>
                <w:spacing w:val="-3"/>
                <w:sz w:val="16"/>
                <w:szCs w:val="16"/>
              </w:rPr>
            </w:pPr>
            <w:r w:rsidRPr="00E04D44">
              <w:rPr>
                <w:b/>
                <w:spacing w:val="-3"/>
                <w:sz w:val="16"/>
                <w:szCs w:val="16"/>
              </w:rPr>
              <w:t>ENERGIA TRANSMITIDA KWH</w:t>
            </w:r>
          </w:p>
        </w:tc>
        <w:tc>
          <w:tcPr>
            <w:tcW w:w="0" w:type="auto"/>
            <w:shd w:val="clear" w:color="auto" w:fill="C0C0C0"/>
          </w:tcPr>
          <w:p w14:paraId="4C2EA561" w14:textId="2228CCF6" w:rsidR="00994BF6" w:rsidRPr="00E04D44" w:rsidRDefault="00994BF6" w:rsidP="00E420E1">
            <w:pPr>
              <w:spacing w:before="0" w:after="0"/>
              <w:jc w:val="center"/>
              <w:rPr>
                <w:b/>
                <w:spacing w:val="-3"/>
                <w:sz w:val="16"/>
                <w:szCs w:val="16"/>
              </w:rPr>
            </w:pPr>
            <w:r w:rsidRPr="00E04D44">
              <w:rPr>
                <w:b/>
                <w:spacing w:val="-3"/>
                <w:sz w:val="16"/>
                <w:szCs w:val="16"/>
              </w:rPr>
              <w:t>VALOR TOTAL$</w:t>
            </w:r>
          </w:p>
        </w:tc>
        <w:tc>
          <w:tcPr>
            <w:tcW w:w="0" w:type="auto"/>
            <w:shd w:val="clear" w:color="auto" w:fill="C0C0C0"/>
          </w:tcPr>
          <w:p w14:paraId="61E2E0E4" w14:textId="713D8468" w:rsidR="00994BF6" w:rsidRPr="00E04D44" w:rsidRDefault="00994BF6" w:rsidP="00E420E1">
            <w:pPr>
              <w:spacing w:before="0" w:after="0"/>
              <w:jc w:val="center"/>
              <w:rPr>
                <w:b/>
                <w:spacing w:val="-3"/>
                <w:sz w:val="16"/>
                <w:szCs w:val="16"/>
              </w:rPr>
            </w:pPr>
            <w:r w:rsidRPr="00E04D44">
              <w:rPr>
                <w:b/>
                <w:spacing w:val="-3"/>
                <w:sz w:val="16"/>
                <w:szCs w:val="16"/>
              </w:rPr>
              <w:t>VALOR UNITARIO</w:t>
            </w:r>
            <w:r w:rsidR="00E420E1" w:rsidRPr="00E04D44">
              <w:rPr>
                <w:b/>
                <w:spacing w:val="-3"/>
                <w:sz w:val="16"/>
                <w:szCs w:val="16"/>
              </w:rPr>
              <w:t xml:space="preserve"> </w:t>
            </w:r>
            <w:r w:rsidRPr="00E04D44">
              <w:rPr>
                <w:b/>
                <w:spacing w:val="-3"/>
                <w:sz w:val="16"/>
                <w:szCs w:val="16"/>
              </w:rPr>
              <w:t>$/KWH</w:t>
            </w:r>
          </w:p>
        </w:tc>
      </w:tr>
      <w:tr w:rsidR="00994BF6" w:rsidRPr="00E04D44" w14:paraId="355AC5E9" w14:textId="77777777" w:rsidTr="00E420E1">
        <w:trPr>
          <w:trHeight w:val="263"/>
          <w:jc w:val="center"/>
        </w:trPr>
        <w:tc>
          <w:tcPr>
            <w:tcW w:w="2145" w:type="dxa"/>
            <w:tcBorders>
              <w:bottom w:val="single" w:sz="4" w:space="0" w:color="000000"/>
              <w:right w:val="single" w:sz="4" w:space="0" w:color="000000"/>
            </w:tcBorders>
          </w:tcPr>
          <w:p w14:paraId="72460F6B" w14:textId="77777777" w:rsidR="00994BF6" w:rsidRPr="00E04D44" w:rsidRDefault="00994BF6" w:rsidP="00E420E1">
            <w:pPr>
              <w:spacing w:before="0" w:after="0"/>
              <w:jc w:val="center"/>
              <w:rPr>
                <w:b/>
                <w:spacing w:val="-3"/>
                <w:sz w:val="16"/>
                <w:szCs w:val="16"/>
              </w:rPr>
            </w:pPr>
            <w:r w:rsidRPr="00E04D44">
              <w:rPr>
                <w:b/>
                <w:spacing w:val="-3"/>
                <w:sz w:val="16"/>
                <w:szCs w:val="16"/>
              </w:rPr>
              <w:t>ENERO</w:t>
            </w:r>
          </w:p>
        </w:tc>
        <w:tc>
          <w:tcPr>
            <w:tcW w:w="0" w:type="auto"/>
            <w:tcBorders>
              <w:left w:val="single" w:sz="4" w:space="0" w:color="000000"/>
              <w:bottom w:val="single" w:sz="4" w:space="0" w:color="000000"/>
              <w:right w:val="single" w:sz="4" w:space="0" w:color="000000"/>
            </w:tcBorders>
          </w:tcPr>
          <w:p w14:paraId="04CA6539" w14:textId="77777777" w:rsidR="00994BF6" w:rsidRPr="00E04D44" w:rsidRDefault="00994BF6" w:rsidP="00E420E1">
            <w:pPr>
              <w:spacing w:before="0" w:after="0"/>
              <w:jc w:val="right"/>
              <w:rPr>
                <w:bCs/>
                <w:spacing w:val="-3"/>
                <w:sz w:val="16"/>
                <w:szCs w:val="16"/>
              </w:rPr>
            </w:pPr>
            <w:r w:rsidRPr="00E04D44">
              <w:rPr>
                <w:bCs/>
                <w:spacing w:val="-3"/>
                <w:sz w:val="16"/>
                <w:szCs w:val="16"/>
              </w:rPr>
              <w:t>832,799</w:t>
            </w:r>
          </w:p>
        </w:tc>
        <w:tc>
          <w:tcPr>
            <w:tcW w:w="0" w:type="auto"/>
            <w:tcBorders>
              <w:left w:val="single" w:sz="4" w:space="0" w:color="000000"/>
              <w:bottom w:val="single" w:sz="4" w:space="0" w:color="000000"/>
              <w:right w:val="single" w:sz="4" w:space="0" w:color="000000"/>
            </w:tcBorders>
          </w:tcPr>
          <w:p w14:paraId="6399FE2B" w14:textId="77777777" w:rsidR="00994BF6" w:rsidRPr="00E04D44" w:rsidRDefault="00994BF6" w:rsidP="00E420E1">
            <w:pPr>
              <w:spacing w:before="0" w:after="0"/>
              <w:jc w:val="right"/>
              <w:rPr>
                <w:bCs/>
                <w:spacing w:val="-3"/>
                <w:sz w:val="16"/>
                <w:szCs w:val="16"/>
              </w:rPr>
            </w:pPr>
            <w:r w:rsidRPr="00E04D44">
              <w:rPr>
                <w:bCs/>
                <w:spacing w:val="-3"/>
                <w:sz w:val="16"/>
                <w:szCs w:val="16"/>
              </w:rPr>
              <w:t>22,658,371</w:t>
            </w:r>
          </w:p>
        </w:tc>
        <w:tc>
          <w:tcPr>
            <w:tcW w:w="0" w:type="auto"/>
            <w:tcBorders>
              <w:left w:val="single" w:sz="4" w:space="0" w:color="000000"/>
              <w:bottom w:val="single" w:sz="4" w:space="0" w:color="000000"/>
            </w:tcBorders>
          </w:tcPr>
          <w:p w14:paraId="25B895E2" w14:textId="77777777" w:rsidR="00994BF6" w:rsidRPr="00E04D44" w:rsidRDefault="00994BF6" w:rsidP="00E420E1">
            <w:pPr>
              <w:spacing w:before="0" w:after="0"/>
              <w:jc w:val="right"/>
              <w:rPr>
                <w:bCs/>
                <w:spacing w:val="-3"/>
                <w:sz w:val="16"/>
                <w:szCs w:val="16"/>
              </w:rPr>
            </w:pPr>
            <w:r w:rsidRPr="00E04D44">
              <w:rPr>
                <w:bCs/>
                <w:spacing w:val="-3"/>
                <w:sz w:val="16"/>
                <w:szCs w:val="16"/>
              </w:rPr>
              <w:t>27.21</w:t>
            </w:r>
          </w:p>
        </w:tc>
      </w:tr>
      <w:tr w:rsidR="00994BF6" w:rsidRPr="00E04D44" w14:paraId="3768AFA5" w14:textId="77777777" w:rsidTr="00E420E1">
        <w:trPr>
          <w:trHeight w:val="262"/>
          <w:jc w:val="center"/>
        </w:trPr>
        <w:tc>
          <w:tcPr>
            <w:tcW w:w="2145" w:type="dxa"/>
            <w:tcBorders>
              <w:top w:val="single" w:sz="4" w:space="0" w:color="000000"/>
              <w:bottom w:val="single" w:sz="4" w:space="0" w:color="000000"/>
              <w:right w:val="single" w:sz="4" w:space="0" w:color="000000"/>
            </w:tcBorders>
          </w:tcPr>
          <w:p w14:paraId="76674812" w14:textId="77777777" w:rsidR="00994BF6" w:rsidRPr="00E04D44" w:rsidRDefault="00994BF6" w:rsidP="00E420E1">
            <w:pPr>
              <w:spacing w:before="0" w:after="0"/>
              <w:jc w:val="center"/>
              <w:rPr>
                <w:b/>
                <w:spacing w:val="-3"/>
                <w:sz w:val="16"/>
                <w:szCs w:val="16"/>
              </w:rPr>
            </w:pPr>
            <w:r w:rsidRPr="00E04D44">
              <w:rPr>
                <w:b/>
                <w:spacing w:val="-3"/>
                <w:sz w:val="16"/>
                <w:szCs w:val="16"/>
              </w:rPr>
              <w:t>FEBRERO</w:t>
            </w:r>
          </w:p>
        </w:tc>
        <w:tc>
          <w:tcPr>
            <w:tcW w:w="0" w:type="auto"/>
            <w:tcBorders>
              <w:top w:val="single" w:sz="4" w:space="0" w:color="000000"/>
              <w:left w:val="single" w:sz="4" w:space="0" w:color="000000"/>
              <w:bottom w:val="single" w:sz="4" w:space="0" w:color="000000"/>
              <w:right w:val="single" w:sz="4" w:space="0" w:color="000000"/>
            </w:tcBorders>
          </w:tcPr>
          <w:p w14:paraId="7344BEDE" w14:textId="77777777" w:rsidR="00994BF6" w:rsidRPr="00E04D44" w:rsidRDefault="00994BF6" w:rsidP="00E420E1">
            <w:pPr>
              <w:spacing w:before="0" w:after="0"/>
              <w:jc w:val="right"/>
              <w:rPr>
                <w:bCs/>
                <w:spacing w:val="-3"/>
                <w:sz w:val="16"/>
                <w:szCs w:val="16"/>
              </w:rPr>
            </w:pPr>
            <w:r w:rsidRPr="00E04D44">
              <w:rPr>
                <w:bCs/>
                <w:spacing w:val="-3"/>
                <w:sz w:val="16"/>
                <w:szCs w:val="16"/>
              </w:rPr>
              <w:t>769,584</w:t>
            </w:r>
          </w:p>
        </w:tc>
        <w:tc>
          <w:tcPr>
            <w:tcW w:w="0" w:type="auto"/>
            <w:tcBorders>
              <w:top w:val="single" w:sz="4" w:space="0" w:color="000000"/>
              <w:left w:val="single" w:sz="4" w:space="0" w:color="000000"/>
              <w:bottom w:val="single" w:sz="4" w:space="0" w:color="000000"/>
              <w:right w:val="single" w:sz="4" w:space="0" w:color="000000"/>
            </w:tcBorders>
          </w:tcPr>
          <w:p w14:paraId="2F5B2CE1" w14:textId="77777777" w:rsidR="00994BF6" w:rsidRPr="00E04D44" w:rsidRDefault="00994BF6" w:rsidP="00E420E1">
            <w:pPr>
              <w:spacing w:before="0" w:after="0"/>
              <w:jc w:val="right"/>
              <w:rPr>
                <w:bCs/>
                <w:spacing w:val="-3"/>
                <w:sz w:val="16"/>
                <w:szCs w:val="16"/>
              </w:rPr>
            </w:pPr>
            <w:r w:rsidRPr="00E04D44">
              <w:rPr>
                <w:bCs/>
                <w:spacing w:val="-3"/>
                <w:sz w:val="16"/>
                <w:szCs w:val="16"/>
              </w:rPr>
              <w:t>21,013,645</w:t>
            </w:r>
          </w:p>
        </w:tc>
        <w:tc>
          <w:tcPr>
            <w:tcW w:w="0" w:type="auto"/>
            <w:tcBorders>
              <w:top w:val="single" w:sz="4" w:space="0" w:color="000000"/>
              <w:left w:val="single" w:sz="4" w:space="0" w:color="000000"/>
              <w:bottom w:val="single" w:sz="4" w:space="0" w:color="000000"/>
            </w:tcBorders>
          </w:tcPr>
          <w:p w14:paraId="57D592AC" w14:textId="77777777" w:rsidR="00994BF6" w:rsidRPr="00E04D44" w:rsidRDefault="00994BF6" w:rsidP="00E420E1">
            <w:pPr>
              <w:spacing w:before="0" w:after="0"/>
              <w:jc w:val="right"/>
              <w:rPr>
                <w:bCs/>
                <w:spacing w:val="-3"/>
                <w:sz w:val="16"/>
                <w:szCs w:val="16"/>
              </w:rPr>
            </w:pPr>
            <w:r w:rsidRPr="00E04D44">
              <w:rPr>
                <w:bCs/>
                <w:spacing w:val="-3"/>
                <w:sz w:val="16"/>
                <w:szCs w:val="16"/>
              </w:rPr>
              <w:t>27.31</w:t>
            </w:r>
          </w:p>
        </w:tc>
      </w:tr>
      <w:tr w:rsidR="00994BF6" w:rsidRPr="00E04D44" w14:paraId="721D2633" w14:textId="77777777" w:rsidTr="00E420E1">
        <w:trPr>
          <w:trHeight w:val="265"/>
          <w:jc w:val="center"/>
        </w:trPr>
        <w:tc>
          <w:tcPr>
            <w:tcW w:w="2145" w:type="dxa"/>
            <w:tcBorders>
              <w:top w:val="single" w:sz="4" w:space="0" w:color="000000"/>
              <w:bottom w:val="single" w:sz="4" w:space="0" w:color="000000"/>
              <w:right w:val="single" w:sz="4" w:space="0" w:color="000000"/>
            </w:tcBorders>
          </w:tcPr>
          <w:p w14:paraId="46271AA4" w14:textId="77777777" w:rsidR="00994BF6" w:rsidRPr="00E04D44" w:rsidRDefault="00994BF6" w:rsidP="00E420E1">
            <w:pPr>
              <w:spacing w:before="0" w:after="0"/>
              <w:jc w:val="center"/>
              <w:rPr>
                <w:b/>
                <w:spacing w:val="-3"/>
                <w:sz w:val="16"/>
                <w:szCs w:val="16"/>
              </w:rPr>
            </w:pPr>
            <w:r w:rsidRPr="00E04D44">
              <w:rPr>
                <w:b/>
                <w:spacing w:val="-3"/>
                <w:sz w:val="16"/>
                <w:szCs w:val="16"/>
              </w:rPr>
              <w:t>MARZO</w:t>
            </w:r>
          </w:p>
        </w:tc>
        <w:tc>
          <w:tcPr>
            <w:tcW w:w="0" w:type="auto"/>
            <w:tcBorders>
              <w:top w:val="single" w:sz="4" w:space="0" w:color="000000"/>
              <w:left w:val="single" w:sz="4" w:space="0" w:color="000000"/>
              <w:bottom w:val="single" w:sz="4" w:space="0" w:color="000000"/>
              <w:right w:val="single" w:sz="4" w:space="0" w:color="000000"/>
            </w:tcBorders>
          </w:tcPr>
          <w:p w14:paraId="6535ED47" w14:textId="77777777" w:rsidR="00994BF6" w:rsidRPr="00E04D44" w:rsidRDefault="00994BF6" w:rsidP="00E420E1">
            <w:pPr>
              <w:spacing w:before="0" w:after="0"/>
              <w:jc w:val="right"/>
              <w:rPr>
                <w:bCs/>
                <w:spacing w:val="-3"/>
                <w:sz w:val="16"/>
                <w:szCs w:val="16"/>
              </w:rPr>
            </w:pPr>
            <w:r w:rsidRPr="00E04D44">
              <w:rPr>
                <w:bCs/>
                <w:spacing w:val="-3"/>
                <w:sz w:val="16"/>
                <w:szCs w:val="16"/>
              </w:rPr>
              <w:t>852,445</w:t>
            </w:r>
          </w:p>
        </w:tc>
        <w:tc>
          <w:tcPr>
            <w:tcW w:w="0" w:type="auto"/>
            <w:tcBorders>
              <w:top w:val="single" w:sz="4" w:space="0" w:color="000000"/>
              <w:left w:val="single" w:sz="4" w:space="0" w:color="000000"/>
              <w:bottom w:val="single" w:sz="4" w:space="0" w:color="000000"/>
              <w:right w:val="single" w:sz="4" w:space="0" w:color="000000"/>
            </w:tcBorders>
          </w:tcPr>
          <w:p w14:paraId="60DCA59E" w14:textId="77777777" w:rsidR="00994BF6" w:rsidRPr="00E04D44" w:rsidRDefault="00994BF6" w:rsidP="00E420E1">
            <w:pPr>
              <w:spacing w:before="0" w:after="0"/>
              <w:jc w:val="right"/>
              <w:rPr>
                <w:bCs/>
                <w:spacing w:val="-3"/>
                <w:sz w:val="16"/>
                <w:szCs w:val="16"/>
              </w:rPr>
            </w:pPr>
            <w:r w:rsidRPr="00E04D44">
              <w:rPr>
                <w:bCs/>
                <w:spacing w:val="-3"/>
                <w:sz w:val="16"/>
                <w:szCs w:val="16"/>
              </w:rPr>
              <w:t>23,226,233</w:t>
            </w:r>
          </w:p>
        </w:tc>
        <w:tc>
          <w:tcPr>
            <w:tcW w:w="0" w:type="auto"/>
            <w:tcBorders>
              <w:top w:val="single" w:sz="4" w:space="0" w:color="000000"/>
              <w:left w:val="single" w:sz="4" w:space="0" w:color="000000"/>
              <w:bottom w:val="single" w:sz="4" w:space="0" w:color="000000"/>
            </w:tcBorders>
          </w:tcPr>
          <w:p w14:paraId="0BCA7CA9" w14:textId="77777777" w:rsidR="00994BF6" w:rsidRPr="00E04D44" w:rsidRDefault="00994BF6" w:rsidP="00E420E1">
            <w:pPr>
              <w:spacing w:before="0" w:after="0"/>
              <w:jc w:val="right"/>
              <w:rPr>
                <w:bCs/>
                <w:spacing w:val="-3"/>
                <w:sz w:val="16"/>
                <w:szCs w:val="16"/>
              </w:rPr>
            </w:pPr>
            <w:r w:rsidRPr="00E04D44">
              <w:rPr>
                <w:bCs/>
                <w:spacing w:val="-3"/>
                <w:sz w:val="16"/>
                <w:szCs w:val="16"/>
              </w:rPr>
              <w:t>27.25</w:t>
            </w:r>
          </w:p>
        </w:tc>
      </w:tr>
      <w:tr w:rsidR="00994BF6" w:rsidRPr="00E04D44" w14:paraId="45C95F0F" w14:textId="77777777" w:rsidTr="00E420E1">
        <w:trPr>
          <w:trHeight w:val="261"/>
          <w:jc w:val="center"/>
        </w:trPr>
        <w:tc>
          <w:tcPr>
            <w:tcW w:w="2145" w:type="dxa"/>
            <w:tcBorders>
              <w:top w:val="single" w:sz="4" w:space="0" w:color="000000"/>
              <w:bottom w:val="single" w:sz="4" w:space="0" w:color="000000"/>
              <w:right w:val="single" w:sz="4" w:space="0" w:color="000000"/>
            </w:tcBorders>
          </w:tcPr>
          <w:p w14:paraId="634F6551" w14:textId="77777777" w:rsidR="00994BF6" w:rsidRPr="00E04D44" w:rsidRDefault="00994BF6" w:rsidP="00E420E1">
            <w:pPr>
              <w:spacing w:before="0" w:after="0"/>
              <w:jc w:val="center"/>
              <w:rPr>
                <w:b/>
                <w:spacing w:val="-3"/>
                <w:sz w:val="16"/>
                <w:szCs w:val="16"/>
              </w:rPr>
            </w:pPr>
            <w:r w:rsidRPr="00E04D44">
              <w:rPr>
                <w:b/>
                <w:spacing w:val="-3"/>
                <w:sz w:val="16"/>
                <w:szCs w:val="16"/>
              </w:rPr>
              <w:t>ABRIL</w:t>
            </w:r>
          </w:p>
        </w:tc>
        <w:tc>
          <w:tcPr>
            <w:tcW w:w="0" w:type="auto"/>
            <w:tcBorders>
              <w:top w:val="single" w:sz="4" w:space="0" w:color="000000"/>
              <w:left w:val="single" w:sz="4" w:space="0" w:color="000000"/>
              <w:bottom w:val="single" w:sz="4" w:space="0" w:color="000000"/>
              <w:right w:val="single" w:sz="4" w:space="0" w:color="000000"/>
            </w:tcBorders>
          </w:tcPr>
          <w:p w14:paraId="77EEB8C0" w14:textId="77777777" w:rsidR="00994BF6" w:rsidRPr="00E04D44" w:rsidRDefault="00994BF6" w:rsidP="00E420E1">
            <w:pPr>
              <w:spacing w:before="0" w:after="0"/>
              <w:jc w:val="right"/>
              <w:rPr>
                <w:bCs/>
                <w:spacing w:val="-3"/>
                <w:sz w:val="16"/>
                <w:szCs w:val="16"/>
              </w:rPr>
            </w:pPr>
            <w:r w:rsidRPr="00E04D44">
              <w:rPr>
                <w:bCs/>
                <w:spacing w:val="-3"/>
                <w:sz w:val="16"/>
                <w:szCs w:val="16"/>
              </w:rPr>
              <w:t>933,344</w:t>
            </w:r>
          </w:p>
        </w:tc>
        <w:tc>
          <w:tcPr>
            <w:tcW w:w="0" w:type="auto"/>
            <w:tcBorders>
              <w:top w:val="single" w:sz="4" w:space="0" w:color="000000"/>
              <w:left w:val="single" w:sz="4" w:space="0" w:color="000000"/>
              <w:bottom w:val="single" w:sz="4" w:space="0" w:color="000000"/>
              <w:right w:val="single" w:sz="4" w:space="0" w:color="000000"/>
            </w:tcBorders>
          </w:tcPr>
          <w:p w14:paraId="1C32A646" w14:textId="77777777" w:rsidR="00994BF6" w:rsidRPr="00E04D44" w:rsidRDefault="00994BF6" w:rsidP="00E420E1">
            <w:pPr>
              <w:spacing w:before="0" w:after="0"/>
              <w:jc w:val="right"/>
              <w:rPr>
                <w:bCs/>
                <w:spacing w:val="-3"/>
                <w:sz w:val="16"/>
                <w:szCs w:val="16"/>
              </w:rPr>
            </w:pPr>
            <w:r w:rsidRPr="00E04D44">
              <w:rPr>
                <w:bCs/>
                <w:spacing w:val="-3"/>
                <w:sz w:val="16"/>
                <w:szCs w:val="16"/>
              </w:rPr>
              <w:t>25,505,691</w:t>
            </w:r>
          </w:p>
        </w:tc>
        <w:tc>
          <w:tcPr>
            <w:tcW w:w="0" w:type="auto"/>
            <w:tcBorders>
              <w:top w:val="single" w:sz="4" w:space="0" w:color="000000"/>
              <w:left w:val="single" w:sz="4" w:space="0" w:color="000000"/>
              <w:bottom w:val="single" w:sz="4" w:space="0" w:color="000000"/>
            </w:tcBorders>
          </w:tcPr>
          <w:p w14:paraId="5E217D1B" w14:textId="77777777" w:rsidR="00994BF6" w:rsidRPr="00E04D44" w:rsidRDefault="00994BF6" w:rsidP="00E420E1">
            <w:pPr>
              <w:spacing w:before="0" w:after="0"/>
              <w:jc w:val="right"/>
              <w:rPr>
                <w:bCs/>
                <w:spacing w:val="-3"/>
                <w:sz w:val="16"/>
                <w:szCs w:val="16"/>
              </w:rPr>
            </w:pPr>
            <w:r w:rsidRPr="00E04D44">
              <w:rPr>
                <w:bCs/>
                <w:spacing w:val="-3"/>
                <w:sz w:val="16"/>
                <w:szCs w:val="16"/>
              </w:rPr>
              <w:t>27.33</w:t>
            </w:r>
          </w:p>
        </w:tc>
      </w:tr>
      <w:tr w:rsidR="00994BF6" w:rsidRPr="00E04D44" w14:paraId="58CB0032" w14:textId="77777777" w:rsidTr="00E420E1">
        <w:trPr>
          <w:trHeight w:val="266"/>
          <w:jc w:val="center"/>
        </w:trPr>
        <w:tc>
          <w:tcPr>
            <w:tcW w:w="2145" w:type="dxa"/>
            <w:tcBorders>
              <w:top w:val="single" w:sz="4" w:space="0" w:color="000000"/>
              <w:bottom w:val="single" w:sz="4" w:space="0" w:color="000000"/>
              <w:right w:val="single" w:sz="4" w:space="0" w:color="000000"/>
            </w:tcBorders>
          </w:tcPr>
          <w:p w14:paraId="59508BA7" w14:textId="77777777" w:rsidR="00994BF6" w:rsidRPr="00E04D44" w:rsidRDefault="00994BF6" w:rsidP="00E420E1">
            <w:pPr>
              <w:spacing w:before="0" w:after="0"/>
              <w:jc w:val="center"/>
              <w:rPr>
                <w:b/>
                <w:spacing w:val="-3"/>
                <w:sz w:val="16"/>
                <w:szCs w:val="16"/>
              </w:rPr>
            </w:pPr>
            <w:r w:rsidRPr="00E04D44">
              <w:rPr>
                <w:b/>
                <w:spacing w:val="-3"/>
                <w:sz w:val="16"/>
                <w:szCs w:val="16"/>
              </w:rPr>
              <w:t>MAYO</w:t>
            </w:r>
          </w:p>
        </w:tc>
        <w:tc>
          <w:tcPr>
            <w:tcW w:w="0" w:type="auto"/>
            <w:tcBorders>
              <w:top w:val="single" w:sz="4" w:space="0" w:color="000000"/>
              <w:left w:val="single" w:sz="4" w:space="0" w:color="000000"/>
              <w:bottom w:val="single" w:sz="4" w:space="0" w:color="000000"/>
              <w:right w:val="single" w:sz="4" w:space="0" w:color="000000"/>
            </w:tcBorders>
          </w:tcPr>
          <w:p w14:paraId="020A7145" w14:textId="77777777" w:rsidR="00994BF6" w:rsidRPr="00E04D44" w:rsidRDefault="00994BF6" w:rsidP="00E420E1">
            <w:pPr>
              <w:spacing w:before="0" w:after="0"/>
              <w:jc w:val="right"/>
              <w:rPr>
                <w:bCs/>
                <w:spacing w:val="-3"/>
                <w:sz w:val="16"/>
                <w:szCs w:val="16"/>
              </w:rPr>
            </w:pPr>
            <w:r w:rsidRPr="00E04D44">
              <w:rPr>
                <w:bCs/>
                <w:spacing w:val="-3"/>
                <w:sz w:val="16"/>
                <w:szCs w:val="16"/>
              </w:rPr>
              <w:t>915,430</w:t>
            </w:r>
          </w:p>
        </w:tc>
        <w:tc>
          <w:tcPr>
            <w:tcW w:w="0" w:type="auto"/>
            <w:tcBorders>
              <w:top w:val="single" w:sz="4" w:space="0" w:color="000000"/>
              <w:left w:val="single" w:sz="4" w:space="0" w:color="000000"/>
              <w:bottom w:val="single" w:sz="4" w:space="0" w:color="000000"/>
              <w:right w:val="single" w:sz="4" w:space="0" w:color="000000"/>
            </w:tcBorders>
          </w:tcPr>
          <w:p w14:paraId="65A8113F" w14:textId="77777777" w:rsidR="00994BF6" w:rsidRPr="00E04D44" w:rsidRDefault="00994BF6" w:rsidP="00E420E1">
            <w:pPr>
              <w:spacing w:before="0" w:after="0"/>
              <w:jc w:val="right"/>
              <w:rPr>
                <w:bCs/>
                <w:spacing w:val="-3"/>
                <w:sz w:val="16"/>
                <w:szCs w:val="16"/>
              </w:rPr>
            </w:pPr>
            <w:r w:rsidRPr="00E04D44">
              <w:rPr>
                <w:bCs/>
                <w:spacing w:val="-3"/>
                <w:sz w:val="16"/>
                <w:szCs w:val="16"/>
              </w:rPr>
              <w:t>24,870,772</w:t>
            </w:r>
          </w:p>
        </w:tc>
        <w:tc>
          <w:tcPr>
            <w:tcW w:w="0" w:type="auto"/>
            <w:tcBorders>
              <w:top w:val="single" w:sz="4" w:space="0" w:color="000000"/>
              <w:left w:val="single" w:sz="4" w:space="0" w:color="000000"/>
              <w:bottom w:val="single" w:sz="4" w:space="0" w:color="000000"/>
            </w:tcBorders>
          </w:tcPr>
          <w:p w14:paraId="7BAA8C08" w14:textId="77777777" w:rsidR="00994BF6" w:rsidRPr="00E04D44" w:rsidRDefault="00994BF6" w:rsidP="00E420E1">
            <w:pPr>
              <w:spacing w:before="0" w:after="0"/>
              <w:jc w:val="right"/>
              <w:rPr>
                <w:bCs/>
                <w:spacing w:val="-3"/>
                <w:sz w:val="16"/>
                <w:szCs w:val="16"/>
              </w:rPr>
            </w:pPr>
            <w:r w:rsidRPr="00E04D44">
              <w:rPr>
                <w:bCs/>
                <w:spacing w:val="-3"/>
                <w:sz w:val="16"/>
                <w:szCs w:val="16"/>
              </w:rPr>
              <w:t>27.17</w:t>
            </w:r>
          </w:p>
        </w:tc>
      </w:tr>
      <w:tr w:rsidR="00994BF6" w:rsidRPr="00E04D44" w14:paraId="26885354" w14:textId="77777777" w:rsidTr="00E420E1">
        <w:trPr>
          <w:trHeight w:val="261"/>
          <w:jc w:val="center"/>
        </w:trPr>
        <w:tc>
          <w:tcPr>
            <w:tcW w:w="2145" w:type="dxa"/>
            <w:tcBorders>
              <w:top w:val="single" w:sz="4" w:space="0" w:color="000000"/>
              <w:bottom w:val="single" w:sz="4" w:space="0" w:color="000000"/>
              <w:right w:val="single" w:sz="4" w:space="0" w:color="000000"/>
            </w:tcBorders>
          </w:tcPr>
          <w:p w14:paraId="7ED37093" w14:textId="77777777" w:rsidR="00994BF6" w:rsidRPr="00E04D44" w:rsidRDefault="00994BF6" w:rsidP="00E420E1">
            <w:pPr>
              <w:spacing w:before="0" w:after="0"/>
              <w:jc w:val="center"/>
              <w:rPr>
                <w:b/>
                <w:spacing w:val="-3"/>
                <w:sz w:val="16"/>
                <w:szCs w:val="16"/>
              </w:rPr>
            </w:pPr>
            <w:r w:rsidRPr="00E04D44">
              <w:rPr>
                <w:b/>
                <w:spacing w:val="-3"/>
                <w:sz w:val="16"/>
                <w:szCs w:val="16"/>
              </w:rPr>
              <w:t>JUNIO</w:t>
            </w:r>
          </w:p>
        </w:tc>
        <w:tc>
          <w:tcPr>
            <w:tcW w:w="0" w:type="auto"/>
            <w:tcBorders>
              <w:top w:val="single" w:sz="4" w:space="0" w:color="000000"/>
              <w:left w:val="single" w:sz="4" w:space="0" w:color="000000"/>
              <w:bottom w:val="single" w:sz="4" w:space="0" w:color="000000"/>
              <w:right w:val="single" w:sz="4" w:space="0" w:color="000000"/>
            </w:tcBorders>
          </w:tcPr>
          <w:p w14:paraId="1092C59F" w14:textId="77777777" w:rsidR="00994BF6" w:rsidRPr="00E04D44" w:rsidRDefault="00994BF6" w:rsidP="00E420E1">
            <w:pPr>
              <w:spacing w:before="0" w:after="0"/>
              <w:jc w:val="right"/>
              <w:rPr>
                <w:bCs/>
                <w:spacing w:val="-3"/>
                <w:sz w:val="16"/>
                <w:szCs w:val="16"/>
              </w:rPr>
            </w:pPr>
            <w:r w:rsidRPr="00E04D44">
              <w:rPr>
                <w:bCs/>
                <w:spacing w:val="-3"/>
                <w:sz w:val="16"/>
                <w:szCs w:val="16"/>
              </w:rPr>
              <w:t>911,100</w:t>
            </w:r>
          </w:p>
        </w:tc>
        <w:tc>
          <w:tcPr>
            <w:tcW w:w="0" w:type="auto"/>
            <w:tcBorders>
              <w:top w:val="single" w:sz="4" w:space="0" w:color="000000"/>
              <w:left w:val="single" w:sz="4" w:space="0" w:color="000000"/>
              <w:bottom w:val="single" w:sz="4" w:space="0" w:color="000000"/>
              <w:right w:val="single" w:sz="4" w:space="0" w:color="000000"/>
            </w:tcBorders>
          </w:tcPr>
          <w:p w14:paraId="69B40EF2" w14:textId="77777777" w:rsidR="00994BF6" w:rsidRPr="00E04D44" w:rsidRDefault="00994BF6" w:rsidP="00E420E1">
            <w:pPr>
              <w:spacing w:before="0" w:after="0"/>
              <w:jc w:val="right"/>
              <w:rPr>
                <w:bCs/>
                <w:spacing w:val="-3"/>
                <w:sz w:val="16"/>
                <w:szCs w:val="16"/>
              </w:rPr>
            </w:pPr>
            <w:r w:rsidRPr="00E04D44">
              <w:rPr>
                <w:bCs/>
                <w:spacing w:val="-3"/>
                <w:sz w:val="16"/>
                <w:szCs w:val="16"/>
              </w:rPr>
              <w:t>24,762,050</w:t>
            </w:r>
          </w:p>
        </w:tc>
        <w:tc>
          <w:tcPr>
            <w:tcW w:w="0" w:type="auto"/>
            <w:tcBorders>
              <w:top w:val="single" w:sz="4" w:space="0" w:color="000000"/>
              <w:left w:val="single" w:sz="4" w:space="0" w:color="000000"/>
              <w:bottom w:val="single" w:sz="4" w:space="0" w:color="000000"/>
            </w:tcBorders>
          </w:tcPr>
          <w:p w14:paraId="3BAE3DDE" w14:textId="77777777" w:rsidR="00994BF6" w:rsidRPr="00E04D44" w:rsidRDefault="00994BF6" w:rsidP="00E420E1">
            <w:pPr>
              <w:spacing w:before="0" w:after="0"/>
              <w:jc w:val="right"/>
              <w:rPr>
                <w:bCs/>
                <w:spacing w:val="-3"/>
                <w:sz w:val="16"/>
                <w:szCs w:val="16"/>
              </w:rPr>
            </w:pPr>
            <w:r w:rsidRPr="00E04D44">
              <w:rPr>
                <w:bCs/>
                <w:spacing w:val="-3"/>
                <w:sz w:val="16"/>
                <w:szCs w:val="16"/>
              </w:rPr>
              <w:t>27.18</w:t>
            </w:r>
          </w:p>
        </w:tc>
      </w:tr>
      <w:tr w:rsidR="00994BF6" w:rsidRPr="00E04D44" w14:paraId="21193AF2" w14:textId="77777777" w:rsidTr="00E420E1">
        <w:trPr>
          <w:trHeight w:val="265"/>
          <w:jc w:val="center"/>
        </w:trPr>
        <w:tc>
          <w:tcPr>
            <w:tcW w:w="2145" w:type="dxa"/>
            <w:tcBorders>
              <w:top w:val="single" w:sz="4" w:space="0" w:color="000000"/>
              <w:bottom w:val="single" w:sz="4" w:space="0" w:color="000000"/>
              <w:right w:val="single" w:sz="4" w:space="0" w:color="000000"/>
            </w:tcBorders>
          </w:tcPr>
          <w:p w14:paraId="56F183A6" w14:textId="77777777" w:rsidR="00994BF6" w:rsidRPr="00E04D44" w:rsidRDefault="00994BF6" w:rsidP="00E420E1">
            <w:pPr>
              <w:spacing w:before="0" w:after="0"/>
              <w:jc w:val="center"/>
              <w:rPr>
                <w:b/>
                <w:spacing w:val="-3"/>
                <w:sz w:val="16"/>
                <w:szCs w:val="16"/>
              </w:rPr>
            </w:pPr>
            <w:r w:rsidRPr="00E04D44">
              <w:rPr>
                <w:b/>
                <w:spacing w:val="-3"/>
                <w:sz w:val="16"/>
                <w:szCs w:val="16"/>
              </w:rPr>
              <w:t>JULIO</w:t>
            </w:r>
          </w:p>
        </w:tc>
        <w:tc>
          <w:tcPr>
            <w:tcW w:w="0" w:type="auto"/>
            <w:tcBorders>
              <w:top w:val="single" w:sz="4" w:space="0" w:color="000000"/>
              <w:left w:val="single" w:sz="4" w:space="0" w:color="000000"/>
              <w:bottom w:val="single" w:sz="4" w:space="0" w:color="000000"/>
              <w:right w:val="single" w:sz="4" w:space="0" w:color="000000"/>
            </w:tcBorders>
          </w:tcPr>
          <w:p w14:paraId="0A5451BF" w14:textId="77777777" w:rsidR="00994BF6" w:rsidRPr="00E04D44" w:rsidRDefault="00994BF6" w:rsidP="00E420E1">
            <w:pPr>
              <w:spacing w:before="0" w:after="0"/>
              <w:jc w:val="right"/>
              <w:rPr>
                <w:bCs/>
                <w:spacing w:val="-3"/>
                <w:sz w:val="16"/>
                <w:szCs w:val="16"/>
              </w:rPr>
            </w:pPr>
            <w:r w:rsidRPr="00E04D44">
              <w:rPr>
                <w:bCs/>
                <w:spacing w:val="-3"/>
                <w:sz w:val="16"/>
                <w:szCs w:val="16"/>
              </w:rPr>
              <w:t>940,165</w:t>
            </w:r>
          </w:p>
        </w:tc>
        <w:tc>
          <w:tcPr>
            <w:tcW w:w="0" w:type="auto"/>
            <w:tcBorders>
              <w:top w:val="single" w:sz="4" w:space="0" w:color="000000"/>
              <w:left w:val="single" w:sz="4" w:space="0" w:color="000000"/>
              <w:bottom w:val="single" w:sz="4" w:space="0" w:color="000000"/>
              <w:right w:val="single" w:sz="4" w:space="0" w:color="000000"/>
            </w:tcBorders>
          </w:tcPr>
          <w:p w14:paraId="5FD0C914" w14:textId="77777777" w:rsidR="00994BF6" w:rsidRPr="00E04D44" w:rsidRDefault="00994BF6" w:rsidP="00E420E1">
            <w:pPr>
              <w:spacing w:before="0" w:after="0"/>
              <w:jc w:val="right"/>
              <w:rPr>
                <w:bCs/>
                <w:spacing w:val="-3"/>
                <w:sz w:val="16"/>
                <w:szCs w:val="16"/>
              </w:rPr>
            </w:pPr>
            <w:r w:rsidRPr="00E04D44">
              <w:rPr>
                <w:bCs/>
                <w:spacing w:val="-3"/>
                <w:sz w:val="16"/>
                <w:szCs w:val="16"/>
              </w:rPr>
              <w:t>25,531,316</w:t>
            </w:r>
          </w:p>
        </w:tc>
        <w:tc>
          <w:tcPr>
            <w:tcW w:w="0" w:type="auto"/>
            <w:tcBorders>
              <w:top w:val="single" w:sz="4" w:space="0" w:color="000000"/>
              <w:left w:val="single" w:sz="4" w:space="0" w:color="000000"/>
              <w:bottom w:val="single" w:sz="4" w:space="0" w:color="000000"/>
            </w:tcBorders>
          </w:tcPr>
          <w:p w14:paraId="67BEE30C" w14:textId="77777777" w:rsidR="00994BF6" w:rsidRPr="00E04D44" w:rsidRDefault="00994BF6" w:rsidP="00E420E1">
            <w:pPr>
              <w:spacing w:before="0" w:after="0"/>
              <w:jc w:val="right"/>
              <w:rPr>
                <w:bCs/>
                <w:spacing w:val="-3"/>
                <w:sz w:val="16"/>
                <w:szCs w:val="16"/>
              </w:rPr>
            </w:pPr>
            <w:r w:rsidRPr="00E04D44">
              <w:rPr>
                <w:bCs/>
                <w:spacing w:val="-3"/>
                <w:sz w:val="16"/>
                <w:szCs w:val="16"/>
              </w:rPr>
              <w:t>27.16</w:t>
            </w:r>
          </w:p>
        </w:tc>
      </w:tr>
      <w:tr w:rsidR="00994BF6" w:rsidRPr="00E04D44" w14:paraId="054D3315" w14:textId="77777777" w:rsidTr="00E420E1">
        <w:trPr>
          <w:trHeight w:val="262"/>
          <w:jc w:val="center"/>
        </w:trPr>
        <w:tc>
          <w:tcPr>
            <w:tcW w:w="2145" w:type="dxa"/>
            <w:tcBorders>
              <w:top w:val="single" w:sz="4" w:space="0" w:color="000000"/>
              <w:bottom w:val="single" w:sz="4" w:space="0" w:color="000000"/>
              <w:right w:val="single" w:sz="4" w:space="0" w:color="000000"/>
            </w:tcBorders>
          </w:tcPr>
          <w:p w14:paraId="5FF72BDB" w14:textId="77777777" w:rsidR="00994BF6" w:rsidRPr="00E04D44" w:rsidRDefault="00994BF6" w:rsidP="00E420E1">
            <w:pPr>
              <w:spacing w:before="0" w:after="0"/>
              <w:jc w:val="center"/>
              <w:rPr>
                <w:b/>
                <w:spacing w:val="-3"/>
                <w:sz w:val="16"/>
                <w:szCs w:val="16"/>
              </w:rPr>
            </w:pPr>
            <w:r w:rsidRPr="00E04D44">
              <w:rPr>
                <w:b/>
                <w:spacing w:val="-3"/>
                <w:sz w:val="16"/>
                <w:szCs w:val="16"/>
              </w:rPr>
              <w:t>AGOSTO</w:t>
            </w:r>
          </w:p>
        </w:tc>
        <w:tc>
          <w:tcPr>
            <w:tcW w:w="0" w:type="auto"/>
            <w:tcBorders>
              <w:top w:val="single" w:sz="4" w:space="0" w:color="000000"/>
              <w:left w:val="single" w:sz="4" w:space="0" w:color="000000"/>
              <w:bottom w:val="single" w:sz="4" w:space="0" w:color="000000"/>
              <w:right w:val="single" w:sz="4" w:space="0" w:color="000000"/>
            </w:tcBorders>
          </w:tcPr>
          <w:p w14:paraId="285A5783" w14:textId="77777777" w:rsidR="00994BF6" w:rsidRPr="00E04D44" w:rsidRDefault="00994BF6" w:rsidP="00E420E1">
            <w:pPr>
              <w:spacing w:before="0" w:after="0"/>
              <w:jc w:val="right"/>
              <w:rPr>
                <w:bCs/>
                <w:spacing w:val="-3"/>
                <w:sz w:val="16"/>
                <w:szCs w:val="16"/>
              </w:rPr>
            </w:pPr>
            <w:r w:rsidRPr="00E04D44">
              <w:rPr>
                <w:bCs/>
                <w:spacing w:val="-3"/>
                <w:sz w:val="16"/>
                <w:szCs w:val="16"/>
              </w:rPr>
              <w:t>909,511</w:t>
            </w:r>
          </w:p>
        </w:tc>
        <w:tc>
          <w:tcPr>
            <w:tcW w:w="0" w:type="auto"/>
            <w:tcBorders>
              <w:top w:val="single" w:sz="4" w:space="0" w:color="000000"/>
              <w:left w:val="single" w:sz="4" w:space="0" w:color="000000"/>
              <w:bottom w:val="single" w:sz="4" w:space="0" w:color="000000"/>
              <w:right w:val="single" w:sz="4" w:space="0" w:color="000000"/>
            </w:tcBorders>
          </w:tcPr>
          <w:p w14:paraId="2CDC0619" w14:textId="77777777" w:rsidR="00994BF6" w:rsidRPr="00E04D44" w:rsidRDefault="00994BF6" w:rsidP="00E420E1">
            <w:pPr>
              <w:spacing w:before="0" w:after="0"/>
              <w:jc w:val="right"/>
              <w:rPr>
                <w:bCs/>
                <w:spacing w:val="-3"/>
                <w:sz w:val="16"/>
                <w:szCs w:val="16"/>
              </w:rPr>
            </w:pPr>
            <w:r w:rsidRPr="00E04D44">
              <w:rPr>
                <w:bCs/>
                <w:spacing w:val="-3"/>
                <w:sz w:val="16"/>
                <w:szCs w:val="16"/>
              </w:rPr>
              <w:t>24,825,472</w:t>
            </w:r>
          </w:p>
        </w:tc>
        <w:tc>
          <w:tcPr>
            <w:tcW w:w="0" w:type="auto"/>
            <w:tcBorders>
              <w:top w:val="single" w:sz="4" w:space="0" w:color="000000"/>
              <w:left w:val="single" w:sz="4" w:space="0" w:color="000000"/>
              <w:bottom w:val="single" w:sz="4" w:space="0" w:color="000000"/>
            </w:tcBorders>
          </w:tcPr>
          <w:p w14:paraId="0FE2A7D4" w14:textId="77777777" w:rsidR="00994BF6" w:rsidRPr="00E04D44" w:rsidRDefault="00994BF6" w:rsidP="00E420E1">
            <w:pPr>
              <w:spacing w:before="0" w:after="0"/>
              <w:jc w:val="right"/>
              <w:rPr>
                <w:bCs/>
                <w:spacing w:val="-3"/>
                <w:sz w:val="16"/>
                <w:szCs w:val="16"/>
              </w:rPr>
            </w:pPr>
            <w:r w:rsidRPr="00E04D44">
              <w:rPr>
                <w:bCs/>
                <w:spacing w:val="-3"/>
                <w:sz w:val="16"/>
                <w:szCs w:val="16"/>
              </w:rPr>
              <w:t>27.30</w:t>
            </w:r>
          </w:p>
        </w:tc>
      </w:tr>
      <w:tr w:rsidR="00994BF6" w:rsidRPr="00E04D44" w14:paraId="4AD9FEF4" w14:textId="77777777" w:rsidTr="00E420E1">
        <w:trPr>
          <w:trHeight w:val="265"/>
          <w:jc w:val="center"/>
        </w:trPr>
        <w:tc>
          <w:tcPr>
            <w:tcW w:w="2145" w:type="dxa"/>
            <w:tcBorders>
              <w:top w:val="single" w:sz="4" w:space="0" w:color="000000"/>
              <w:bottom w:val="single" w:sz="4" w:space="0" w:color="000000"/>
              <w:right w:val="single" w:sz="4" w:space="0" w:color="000000"/>
            </w:tcBorders>
          </w:tcPr>
          <w:p w14:paraId="7DAD4F8B" w14:textId="77777777" w:rsidR="00994BF6" w:rsidRPr="00E04D44" w:rsidRDefault="00994BF6" w:rsidP="00E420E1">
            <w:pPr>
              <w:spacing w:before="0" w:after="0"/>
              <w:jc w:val="center"/>
              <w:rPr>
                <w:b/>
                <w:spacing w:val="-3"/>
                <w:sz w:val="16"/>
                <w:szCs w:val="16"/>
              </w:rPr>
            </w:pPr>
            <w:r w:rsidRPr="00E04D44">
              <w:rPr>
                <w:b/>
                <w:spacing w:val="-3"/>
                <w:sz w:val="16"/>
                <w:szCs w:val="16"/>
              </w:rPr>
              <w:t>SEPTIEMBRE</w:t>
            </w:r>
          </w:p>
        </w:tc>
        <w:tc>
          <w:tcPr>
            <w:tcW w:w="0" w:type="auto"/>
            <w:tcBorders>
              <w:top w:val="single" w:sz="4" w:space="0" w:color="000000"/>
              <w:left w:val="single" w:sz="4" w:space="0" w:color="000000"/>
              <w:bottom w:val="single" w:sz="4" w:space="0" w:color="000000"/>
              <w:right w:val="single" w:sz="4" w:space="0" w:color="000000"/>
            </w:tcBorders>
          </w:tcPr>
          <w:p w14:paraId="7CD17A0F" w14:textId="77777777" w:rsidR="00994BF6" w:rsidRPr="00E04D44" w:rsidRDefault="00994BF6" w:rsidP="00E420E1">
            <w:pPr>
              <w:spacing w:before="0" w:after="0"/>
              <w:jc w:val="right"/>
              <w:rPr>
                <w:bCs/>
                <w:spacing w:val="-3"/>
                <w:sz w:val="16"/>
                <w:szCs w:val="16"/>
              </w:rPr>
            </w:pPr>
            <w:r w:rsidRPr="00E04D44">
              <w:rPr>
                <w:bCs/>
                <w:spacing w:val="-3"/>
                <w:sz w:val="16"/>
                <w:szCs w:val="16"/>
              </w:rPr>
              <w:t>884,557</w:t>
            </w:r>
          </w:p>
        </w:tc>
        <w:tc>
          <w:tcPr>
            <w:tcW w:w="0" w:type="auto"/>
            <w:tcBorders>
              <w:top w:val="single" w:sz="4" w:space="0" w:color="000000"/>
              <w:left w:val="single" w:sz="4" w:space="0" w:color="000000"/>
              <w:bottom w:val="single" w:sz="4" w:space="0" w:color="000000"/>
              <w:right w:val="single" w:sz="4" w:space="0" w:color="000000"/>
            </w:tcBorders>
          </w:tcPr>
          <w:p w14:paraId="0B448751" w14:textId="77777777" w:rsidR="00994BF6" w:rsidRPr="00E04D44" w:rsidRDefault="00994BF6" w:rsidP="00E420E1">
            <w:pPr>
              <w:spacing w:before="0" w:after="0"/>
              <w:jc w:val="right"/>
              <w:rPr>
                <w:bCs/>
                <w:spacing w:val="-3"/>
                <w:sz w:val="16"/>
                <w:szCs w:val="16"/>
              </w:rPr>
            </w:pPr>
            <w:r w:rsidRPr="00E04D44">
              <w:rPr>
                <w:bCs/>
                <w:spacing w:val="-3"/>
                <w:sz w:val="16"/>
                <w:szCs w:val="16"/>
              </w:rPr>
              <w:t>24,185,368</w:t>
            </w:r>
          </w:p>
        </w:tc>
        <w:tc>
          <w:tcPr>
            <w:tcW w:w="0" w:type="auto"/>
            <w:tcBorders>
              <w:top w:val="single" w:sz="4" w:space="0" w:color="000000"/>
              <w:left w:val="single" w:sz="4" w:space="0" w:color="000000"/>
              <w:bottom w:val="single" w:sz="4" w:space="0" w:color="000000"/>
            </w:tcBorders>
          </w:tcPr>
          <w:p w14:paraId="5F07D743" w14:textId="77777777" w:rsidR="00994BF6" w:rsidRPr="00E04D44" w:rsidRDefault="00994BF6" w:rsidP="00E420E1">
            <w:pPr>
              <w:spacing w:before="0" w:after="0"/>
              <w:jc w:val="right"/>
              <w:rPr>
                <w:bCs/>
                <w:spacing w:val="-3"/>
                <w:sz w:val="16"/>
                <w:szCs w:val="16"/>
              </w:rPr>
            </w:pPr>
            <w:r w:rsidRPr="00E04D44">
              <w:rPr>
                <w:bCs/>
                <w:spacing w:val="-3"/>
                <w:sz w:val="16"/>
                <w:szCs w:val="16"/>
              </w:rPr>
              <w:t>27.34</w:t>
            </w:r>
          </w:p>
        </w:tc>
      </w:tr>
      <w:tr w:rsidR="00994BF6" w:rsidRPr="00E04D44" w14:paraId="06A431E0" w14:textId="77777777" w:rsidTr="00E420E1">
        <w:trPr>
          <w:trHeight w:val="262"/>
          <w:jc w:val="center"/>
        </w:trPr>
        <w:tc>
          <w:tcPr>
            <w:tcW w:w="2145" w:type="dxa"/>
            <w:tcBorders>
              <w:top w:val="single" w:sz="4" w:space="0" w:color="000000"/>
              <w:bottom w:val="single" w:sz="4" w:space="0" w:color="000000"/>
              <w:right w:val="single" w:sz="4" w:space="0" w:color="000000"/>
            </w:tcBorders>
          </w:tcPr>
          <w:p w14:paraId="2816B9C6" w14:textId="77777777" w:rsidR="00994BF6" w:rsidRPr="00E04D44" w:rsidRDefault="00994BF6" w:rsidP="00E420E1">
            <w:pPr>
              <w:spacing w:before="0" w:after="0"/>
              <w:jc w:val="center"/>
              <w:rPr>
                <w:b/>
                <w:spacing w:val="-3"/>
                <w:sz w:val="16"/>
                <w:szCs w:val="16"/>
              </w:rPr>
            </w:pPr>
            <w:r w:rsidRPr="00E04D44">
              <w:rPr>
                <w:b/>
                <w:spacing w:val="-3"/>
                <w:sz w:val="16"/>
                <w:szCs w:val="16"/>
              </w:rPr>
              <w:t>OCTUBRE</w:t>
            </w:r>
          </w:p>
        </w:tc>
        <w:tc>
          <w:tcPr>
            <w:tcW w:w="0" w:type="auto"/>
            <w:tcBorders>
              <w:top w:val="single" w:sz="4" w:space="0" w:color="000000"/>
              <w:left w:val="single" w:sz="4" w:space="0" w:color="000000"/>
              <w:bottom w:val="single" w:sz="4" w:space="0" w:color="000000"/>
              <w:right w:val="single" w:sz="4" w:space="0" w:color="000000"/>
            </w:tcBorders>
          </w:tcPr>
          <w:p w14:paraId="0AE1A053" w14:textId="77777777" w:rsidR="00994BF6" w:rsidRPr="00E04D44" w:rsidRDefault="00994BF6" w:rsidP="00E420E1">
            <w:pPr>
              <w:spacing w:before="0" w:after="0"/>
              <w:jc w:val="right"/>
              <w:rPr>
                <w:bCs/>
                <w:spacing w:val="-3"/>
                <w:sz w:val="16"/>
                <w:szCs w:val="16"/>
              </w:rPr>
            </w:pPr>
            <w:r w:rsidRPr="00E04D44">
              <w:rPr>
                <w:bCs/>
                <w:spacing w:val="-3"/>
                <w:sz w:val="16"/>
                <w:szCs w:val="16"/>
              </w:rPr>
              <w:t>855,852</w:t>
            </w:r>
          </w:p>
        </w:tc>
        <w:tc>
          <w:tcPr>
            <w:tcW w:w="0" w:type="auto"/>
            <w:tcBorders>
              <w:top w:val="single" w:sz="4" w:space="0" w:color="000000"/>
              <w:left w:val="single" w:sz="4" w:space="0" w:color="000000"/>
              <w:bottom w:val="single" w:sz="4" w:space="0" w:color="000000"/>
              <w:right w:val="single" w:sz="4" w:space="0" w:color="000000"/>
            </w:tcBorders>
          </w:tcPr>
          <w:p w14:paraId="0CD036E5" w14:textId="77777777" w:rsidR="00994BF6" w:rsidRPr="00E04D44" w:rsidRDefault="00994BF6" w:rsidP="00E420E1">
            <w:pPr>
              <w:spacing w:before="0" w:after="0"/>
              <w:jc w:val="right"/>
              <w:rPr>
                <w:bCs/>
                <w:spacing w:val="-3"/>
                <w:sz w:val="16"/>
                <w:szCs w:val="16"/>
              </w:rPr>
            </w:pPr>
            <w:r w:rsidRPr="00E04D44">
              <w:rPr>
                <w:bCs/>
                <w:spacing w:val="-3"/>
                <w:sz w:val="16"/>
                <w:szCs w:val="16"/>
              </w:rPr>
              <w:t>23,375,456</w:t>
            </w:r>
          </w:p>
        </w:tc>
        <w:tc>
          <w:tcPr>
            <w:tcW w:w="0" w:type="auto"/>
            <w:tcBorders>
              <w:top w:val="single" w:sz="4" w:space="0" w:color="000000"/>
              <w:left w:val="single" w:sz="4" w:space="0" w:color="000000"/>
              <w:bottom w:val="single" w:sz="4" w:space="0" w:color="000000"/>
            </w:tcBorders>
          </w:tcPr>
          <w:p w14:paraId="2AD69F26" w14:textId="77777777" w:rsidR="00994BF6" w:rsidRPr="00E04D44" w:rsidRDefault="00994BF6" w:rsidP="00E420E1">
            <w:pPr>
              <w:spacing w:before="0" w:after="0"/>
              <w:jc w:val="right"/>
              <w:rPr>
                <w:bCs/>
                <w:spacing w:val="-3"/>
                <w:sz w:val="16"/>
                <w:szCs w:val="16"/>
              </w:rPr>
            </w:pPr>
            <w:r w:rsidRPr="00E04D44">
              <w:rPr>
                <w:bCs/>
                <w:spacing w:val="-3"/>
                <w:sz w:val="16"/>
                <w:szCs w:val="16"/>
              </w:rPr>
              <w:t>27.31</w:t>
            </w:r>
          </w:p>
        </w:tc>
      </w:tr>
      <w:tr w:rsidR="00994BF6" w:rsidRPr="00E04D44" w14:paraId="6CFB93C2" w14:textId="77777777" w:rsidTr="00E420E1">
        <w:trPr>
          <w:trHeight w:val="266"/>
          <w:jc w:val="center"/>
        </w:trPr>
        <w:tc>
          <w:tcPr>
            <w:tcW w:w="2145" w:type="dxa"/>
            <w:tcBorders>
              <w:top w:val="single" w:sz="4" w:space="0" w:color="000000"/>
              <w:bottom w:val="single" w:sz="4" w:space="0" w:color="000000"/>
              <w:right w:val="single" w:sz="4" w:space="0" w:color="000000"/>
            </w:tcBorders>
          </w:tcPr>
          <w:p w14:paraId="641A1346" w14:textId="77777777" w:rsidR="00994BF6" w:rsidRPr="00E04D44" w:rsidRDefault="00994BF6" w:rsidP="00E420E1">
            <w:pPr>
              <w:spacing w:before="0" w:after="0"/>
              <w:jc w:val="center"/>
              <w:rPr>
                <w:b/>
                <w:spacing w:val="-3"/>
                <w:sz w:val="16"/>
                <w:szCs w:val="16"/>
              </w:rPr>
            </w:pPr>
            <w:r w:rsidRPr="00E04D44">
              <w:rPr>
                <w:b/>
                <w:spacing w:val="-3"/>
                <w:sz w:val="16"/>
                <w:szCs w:val="16"/>
              </w:rPr>
              <w:t>NOVIEMBRE</w:t>
            </w:r>
          </w:p>
        </w:tc>
        <w:tc>
          <w:tcPr>
            <w:tcW w:w="0" w:type="auto"/>
            <w:tcBorders>
              <w:top w:val="single" w:sz="4" w:space="0" w:color="000000"/>
              <w:left w:val="single" w:sz="4" w:space="0" w:color="000000"/>
              <w:bottom w:val="single" w:sz="4" w:space="0" w:color="000000"/>
              <w:right w:val="single" w:sz="4" w:space="0" w:color="000000"/>
            </w:tcBorders>
          </w:tcPr>
          <w:p w14:paraId="57624769" w14:textId="77777777" w:rsidR="00994BF6" w:rsidRPr="00E04D44" w:rsidRDefault="00994BF6" w:rsidP="00E420E1">
            <w:pPr>
              <w:spacing w:before="0" w:after="0"/>
              <w:jc w:val="right"/>
              <w:rPr>
                <w:bCs/>
                <w:spacing w:val="-3"/>
                <w:sz w:val="16"/>
                <w:szCs w:val="16"/>
              </w:rPr>
            </w:pPr>
            <w:r w:rsidRPr="00E04D44">
              <w:rPr>
                <w:bCs/>
                <w:spacing w:val="-3"/>
                <w:sz w:val="16"/>
                <w:szCs w:val="16"/>
              </w:rPr>
              <w:t>854,536</w:t>
            </w:r>
          </w:p>
        </w:tc>
        <w:tc>
          <w:tcPr>
            <w:tcW w:w="0" w:type="auto"/>
            <w:tcBorders>
              <w:top w:val="single" w:sz="4" w:space="0" w:color="000000"/>
              <w:left w:val="single" w:sz="4" w:space="0" w:color="000000"/>
              <w:bottom w:val="single" w:sz="4" w:space="0" w:color="000000"/>
              <w:right w:val="single" w:sz="4" w:space="0" w:color="000000"/>
            </w:tcBorders>
          </w:tcPr>
          <w:p w14:paraId="705A5EF5" w14:textId="77777777" w:rsidR="00994BF6" w:rsidRPr="00E04D44" w:rsidRDefault="00994BF6" w:rsidP="00E420E1">
            <w:pPr>
              <w:spacing w:before="0" w:after="0"/>
              <w:jc w:val="right"/>
              <w:rPr>
                <w:bCs/>
                <w:spacing w:val="-3"/>
                <w:sz w:val="16"/>
                <w:szCs w:val="16"/>
              </w:rPr>
            </w:pPr>
            <w:r w:rsidRPr="00E04D44">
              <w:rPr>
                <w:bCs/>
                <w:spacing w:val="-3"/>
                <w:sz w:val="16"/>
                <w:szCs w:val="16"/>
              </w:rPr>
              <w:t>25,744,612</w:t>
            </w:r>
          </w:p>
        </w:tc>
        <w:tc>
          <w:tcPr>
            <w:tcW w:w="0" w:type="auto"/>
            <w:tcBorders>
              <w:top w:val="single" w:sz="4" w:space="0" w:color="000000"/>
              <w:left w:val="single" w:sz="4" w:space="0" w:color="000000"/>
              <w:bottom w:val="single" w:sz="4" w:space="0" w:color="000000"/>
            </w:tcBorders>
          </w:tcPr>
          <w:p w14:paraId="55F9D8B6" w14:textId="77777777" w:rsidR="00994BF6" w:rsidRPr="00E04D44" w:rsidRDefault="00994BF6" w:rsidP="00E420E1">
            <w:pPr>
              <w:spacing w:before="0" w:after="0"/>
              <w:jc w:val="right"/>
              <w:rPr>
                <w:bCs/>
                <w:spacing w:val="-3"/>
                <w:sz w:val="16"/>
                <w:szCs w:val="16"/>
              </w:rPr>
            </w:pPr>
            <w:r w:rsidRPr="00E04D44">
              <w:rPr>
                <w:bCs/>
                <w:spacing w:val="-3"/>
                <w:sz w:val="16"/>
                <w:szCs w:val="16"/>
              </w:rPr>
              <w:t>30.13</w:t>
            </w:r>
          </w:p>
        </w:tc>
      </w:tr>
      <w:tr w:rsidR="00994BF6" w:rsidRPr="00E04D44" w14:paraId="339F8C78" w14:textId="77777777" w:rsidTr="00E420E1">
        <w:trPr>
          <w:trHeight w:val="261"/>
          <w:jc w:val="center"/>
        </w:trPr>
        <w:tc>
          <w:tcPr>
            <w:tcW w:w="2145" w:type="dxa"/>
            <w:tcBorders>
              <w:top w:val="single" w:sz="4" w:space="0" w:color="000000"/>
              <w:bottom w:val="single" w:sz="4" w:space="0" w:color="000000"/>
              <w:right w:val="single" w:sz="4" w:space="0" w:color="000000"/>
            </w:tcBorders>
          </w:tcPr>
          <w:p w14:paraId="0A606AEC" w14:textId="77777777" w:rsidR="00994BF6" w:rsidRPr="00E04D44" w:rsidRDefault="00994BF6" w:rsidP="00E420E1">
            <w:pPr>
              <w:spacing w:before="0" w:after="0"/>
              <w:jc w:val="center"/>
              <w:rPr>
                <w:b/>
                <w:spacing w:val="-3"/>
                <w:sz w:val="16"/>
                <w:szCs w:val="16"/>
              </w:rPr>
            </w:pPr>
            <w:r w:rsidRPr="00E04D44">
              <w:rPr>
                <w:b/>
                <w:spacing w:val="-3"/>
                <w:sz w:val="16"/>
                <w:szCs w:val="16"/>
              </w:rPr>
              <w:t>DICIEMBRE</w:t>
            </w:r>
          </w:p>
        </w:tc>
        <w:tc>
          <w:tcPr>
            <w:tcW w:w="0" w:type="auto"/>
            <w:tcBorders>
              <w:top w:val="single" w:sz="4" w:space="0" w:color="000000"/>
              <w:left w:val="single" w:sz="4" w:space="0" w:color="000000"/>
              <w:bottom w:val="single" w:sz="4" w:space="0" w:color="000000"/>
              <w:right w:val="single" w:sz="4" w:space="0" w:color="000000"/>
            </w:tcBorders>
          </w:tcPr>
          <w:p w14:paraId="2FF29383" w14:textId="77777777" w:rsidR="00994BF6" w:rsidRPr="00E04D44" w:rsidRDefault="00994BF6" w:rsidP="00E420E1">
            <w:pPr>
              <w:spacing w:before="0" w:after="0"/>
              <w:jc w:val="right"/>
              <w:rPr>
                <w:bCs/>
                <w:spacing w:val="-3"/>
                <w:sz w:val="16"/>
                <w:szCs w:val="16"/>
              </w:rPr>
            </w:pPr>
            <w:r w:rsidRPr="00E04D44">
              <w:rPr>
                <w:bCs/>
                <w:spacing w:val="-3"/>
                <w:sz w:val="16"/>
                <w:szCs w:val="16"/>
              </w:rPr>
              <w:t>934,713</w:t>
            </w:r>
          </w:p>
        </w:tc>
        <w:tc>
          <w:tcPr>
            <w:tcW w:w="0" w:type="auto"/>
            <w:tcBorders>
              <w:top w:val="single" w:sz="4" w:space="0" w:color="000000"/>
              <w:left w:val="single" w:sz="4" w:space="0" w:color="000000"/>
              <w:bottom w:val="single" w:sz="4" w:space="0" w:color="000000"/>
              <w:right w:val="single" w:sz="4" w:space="0" w:color="000000"/>
            </w:tcBorders>
          </w:tcPr>
          <w:p w14:paraId="0811CFC7" w14:textId="77777777" w:rsidR="00994BF6" w:rsidRPr="00E04D44" w:rsidRDefault="00994BF6" w:rsidP="00E420E1">
            <w:pPr>
              <w:spacing w:before="0" w:after="0"/>
              <w:jc w:val="right"/>
              <w:rPr>
                <w:bCs/>
                <w:spacing w:val="-3"/>
                <w:sz w:val="16"/>
                <w:szCs w:val="16"/>
              </w:rPr>
            </w:pPr>
            <w:r w:rsidRPr="00E04D44">
              <w:rPr>
                <w:bCs/>
                <w:spacing w:val="-3"/>
                <w:sz w:val="16"/>
                <w:szCs w:val="16"/>
              </w:rPr>
              <w:t>28,428,639</w:t>
            </w:r>
          </w:p>
        </w:tc>
        <w:tc>
          <w:tcPr>
            <w:tcW w:w="0" w:type="auto"/>
            <w:tcBorders>
              <w:top w:val="single" w:sz="4" w:space="0" w:color="000000"/>
              <w:left w:val="single" w:sz="4" w:space="0" w:color="000000"/>
              <w:bottom w:val="single" w:sz="4" w:space="0" w:color="000000"/>
            </w:tcBorders>
          </w:tcPr>
          <w:p w14:paraId="2E5CA7D6" w14:textId="77777777" w:rsidR="00994BF6" w:rsidRPr="00E04D44" w:rsidRDefault="00994BF6" w:rsidP="00E420E1">
            <w:pPr>
              <w:spacing w:before="0" w:after="0"/>
              <w:jc w:val="right"/>
              <w:rPr>
                <w:bCs/>
                <w:spacing w:val="-3"/>
                <w:sz w:val="16"/>
                <w:szCs w:val="16"/>
              </w:rPr>
            </w:pPr>
            <w:r w:rsidRPr="00E04D44">
              <w:rPr>
                <w:bCs/>
                <w:spacing w:val="-3"/>
                <w:sz w:val="16"/>
                <w:szCs w:val="16"/>
              </w:rPr>
              <w:t>30.41</w:t>
            </w:r>
          </w:p>
        </w:tc>
      </w:tr>
      <w:tr w:rsidR="00994BF6" w:rsidRPr="00E04D44" w14:paraId="5B088093" w14:textId="77777777" w:rsidTr="00E420E1">
        <w:trPr>
          <w:trHeight w:val="266"/>
          <w:jc w:val="center"/>
        </w:trPr>
        <w:tc>
          <w:tcPr>
            <w:tcW w:w="2145" w:type="dxa"/>
            <w:tcBorders>
              <w:top w:val="single" w:sz="4" w:space="0" w:color="000000"/>
              <w:bottom w:val="single" w:sz="4" w:space="0" w:color="000000"/>
              <w:right w:val="single" w:sz="4" w:space="0" w:color="000000"/>
            </w:tcBorders>
          </w:tcPr>
          <w:p w14:paraId="0ADC9543" w14:textId="77777777" w:rsidR="00994BF6" w:rsidRPr="00E04D44" w:rsidRDefault="00994BF6" w:rsidP="00E420E1">
            <w:pPr>
              <w:spacing w:before="0" w:after="0"/>
              <w:jc w:val="center"/>
              <w:rPr>
                <w:b/>
                <w:spacing w:val="-3"/>
                <w:sz w:val="16"/>
                <w:szCs w:val="16"/>
              </w:rPr>
            </w:pPr>
            <w:r w:rsidRPr="00E04D44">
              <w:rPr>
                <w:b/>
                <w:spacing w:val="-3"/>
                <w:sz w:val="16"/>
                <w:szCs w:val="16"/>
              </w:rPr>
              <w:t>TOTAL ANUAL</w:t>
            </w:r>
          </w:p>
        </w:tc>
        <w:tc>
          <w:tcPr>
            <w:tcW w:w="0" w:type="auto"/>
            <w:tcBorders>
              <w:top w:val="single" w:sz="4" w:space="0" w:color="000000"/>
              <w:left w:val="single" w:sz="4" w:space="0" w:color="000000"/>
              <w:bottom w:val="single" w:sz="4" w:space="0" w:color="000000"/>
              <w:right w:val="single" w:sz="4" w:space="0" w:color="000000"/>
            </w:tcBorders>
          </w:tcPr>
          <w:p w14:paraId="4B56F19F" w14:textId="77777777" w:rsidR="00994BF6" w:rsidRPr="00E04D44" w:rsidRDefault="00994BF6" w:rsidP="00E420E1">
            <w:pPr>
              <w:spacing w:before="0" w:after="0"/>
              <w:jc w:val="right"/>
              <w:rPr>
                <w:bCs/>
                <w:spacing w:val="-3"/>
                <w:sz w:val="16"/>
                <w:szCs w:val="16"/>
              </w:rPr>
            </w:pPr>
            <w:r w:rsidRPr="00E04D44">
              <w:rPr>
                <w:bCs/>
                <w:spacing w:val="-3"/>
                <w:sz w:val="16"/>
                <w:szCs w:val="16"/>
              </w:rPr>
              <w:t>10,594,036</w:t>
            </w:r>
          </w:p>
        </w:tc>
        <w:tc>
          <w:tcPr>
            <w:tcW w:w="0" w:type="auto"/>
            <w:tcBorders>
              <w:top w:val="single" w:sz="4" w:space="0" w:color="000000"/>
              <w:left w:val="single" w:sz="4" w:space="0" w:color="000000"/>
              <w:bottom w:val="single" w:sz="4" w:space="0" w:color="000000"/>
              <w:right w:val="single" w:sz="4" w:space="0" w:color="000000"/>
            </w:tcBorders>
          </w:tcPr>
          <w:p w14:paraId="61804923" w14:textId="77777777" w:rsidR="00994BF6" w:rsidRPr="00E04D44" w:rsidRDefault="00994BF6" w:rsidP="00E420E1">
            <w:pPr>
              <w:spacing w:before="0" w:after="0"/>
              <w:jc w:val="right"/>
              <w:rPr>
                <w:bCs/>
                <w:spacing w:val="-3"/>
                <w:sz w:val="16"/>
                <w:szCs w:val="16"/>
              </w:rPr>
            </w:pPr>
            <w:r w:rsidRPr="00E04D44">
              <w:rPr>
                <w:bCs/>
                <w:spacing w:val="-3"/>
                <w:sz w:val="16"/>
                <w:szCs w:val="16"/>
              </w:rPr>
              <w:t>294,127,625</w:t>
            </w:r>
          </w:p>
        </w:tc>
        <w:tc>
          <w:tcPr>
            <w:tcW w:w="0" w:type="auto"/>
            <w:tcBorders>
              <w:top w:val="single" w:sz="4" w:space="0" w:color="000000"/>
              <w:left w:val="single" w:sz="4" w:space="0" w:color="000000"/>
              <w:bottom w:val="single" w:sz="4" w:space="0" w:color="000000"/>
            </w:tcBorders>
          </w:tcPr>
          <w:p w14:paraId="11829E88" w14:textId="77777777" w:rsidR="00994BF6" w:rsidRPr="00E04D44" w:rsidRDefault="00994BF6" w:rsidP="00E420E1">
            <w:pPr>
              <w:spacing w:before="0" w:after="0"/>
              <w:jc w:val="right"/>
              <w:rPr>
                <w:bCs/>
                <w:spacing w:val="-3"/>
                <w:sz w:val="16"/>
                <w:szCs w:val="16"/>
              </w:rPr>
            </w:pPr>
            <w:r w:rsidRPr="00E04D44">
              <w:rPr>
                <w:bCs/>
                <w:spacing w:val="-3"/>
                <w:sz w:val="16"/>
                <w:szCs w:val="16"/>
              </w:rPr>
              <w:t>27.76</w:t>
            </w:r>
          </w:p>
        </w:tc>
      </w:tr>
      <w:tr w:rsidR="00994BF6" w:rsidRPr="00E04D44" w14:paraId="0DC6D930" w14:textId="77777777" w:rsidTr="00E420E1">
        <w:trPr>
          <w:trHeight w:val="41"/>
          <w:jc w:val="center"/>
        </w:trPr>
        <w:tc>
          <w:tcPr>
            <w:tcW w:w="2145" w:type="dxa"/>
            <w:tcBorders>
              <w:top w:val="single" w:sz="4" w:space="0" w:color="000000"/>
              <w:right w:val="single" w:sz="4" w:space="0" w:color="000000"/>
            </w:tcBorders>
          </w:tcPr>
          <w:p w14:paraId="67BB5202" w14:textId="677BF477" w:rsidR="00994BF6" w:rsidRPr="00E04D44" w:rsidRDefault="00994BF6" w:rsidP="00E420E1">
            <w:pPr>
              <w:spacing w:before="0" w:after="0"/>
              <w:jc w:val="center"/>
              <w:rPr>
                <w:b/>
                <w:spacing w:val="-3"/>
                <w:sz w:val="16"/>
                <w:szCs w:val="16"/>
              </w:rPr>
            </w:pPr>
            <w:r w:rsidRPr="00E04D44">
              <w:rPr>
                <w:b/>
                <w:spacing w:val="-3"/>
                <w:sz w:val="16"/>
                <w:szCs w:val="16"/>
              </w:rPr>
              <w:t>PROMEDIO</w:t>
            </w:r>
            <w:r w:rsidR="00E420E1" w:rsidRPr="00E04D44">
              <w:rPr>
                <w:b/>
                <w:spacing w:val="-3"/>
                <w:sz w:val="16"/>
                <w:szCs w:val="16"/>
              </w:rPr>
              <w:t xml:space="preserve"> </w:t>
            </w:r>
            <w:r w:rsidRPr="00E04D44">
              <w:rPr>
                <w:b/>
                <w:spacing w:val="-3"/>
                <w:sz w:val="16"/>
                <w:szCs w:val="16"/>
              </w:rPr>
              <w:t>MENSUAL</w:t>
            </w:r>
          </w:p>
        </w:tc>
        <w:tc>
          <w:tcPr>
            <w:tcW w:w="0" w:type="auto"/>
            <w:tcBorders>
              <w:top w:val="single" w:sz="4" w:space="0" w:color="000000"/>
              <w:left w:val="single" w:sz="4" w:space="0" w:color="000000"/>
              <w:right w:val="single" w:sz="4" w:space="0" w:color="000000"/>
            </w:tcBorders>
          </w:tcPr>
          <w:p w14:paraId="50B45F1F" w14:textId="77777777" w:rsidR="00994BF6" w:rsidRPr="00E04D44" w:rsidRDefault="00994BF6" w:rsidP="00E420E1">
            <w:pPr>
              <w:spacing w:before="0" w:after="0"/>
              <w:jc w:val="right"/>
              <w:rPr>
                <w:bCs/>
                <w:spacing w:val="-3"/>
                <w:sz w:val="16"/>
                <w:szCs w:val="16"/>
              </w:rPr>
            </w:pPr>
            <w:r w:rsidRPr="00E04D44">
              <w:rPr>
                <w:bCs/>
                <w:spacing w:val="-3"/>
                <w:sz w:val="16"/>
                <w:szCs w:val="16"/>
              </w:rPr>
              <w:t>882,836</w:t>
            </w:r>
          </w:p>
        </w:tc>
        <w:tc>
          <w:tcPr>
            <w:tcW w:w="0" w:type="auto"/>
            <w:tcBorders>
              <w:top w:val="single" w:sz="4" w:space="0" w:color="000000"/>
              <w:left w:val="single" w:sz="4" w:space="0" w:color="000000"/>
              <w:right w:val="single" w:sz="4" w:space="0" w:color="000000"/>
            </w:tcBorders>
          </w:tcPr>
          <w:p w14:paraId="705E0441" w14:textId="77777777" w:rsidR="00994BF6" w:rsidRPr="00E04D44" w:rsidRDefault="00994BF6" w:rsidP="00E420E1">
            <w:pPr>
              <w:spacing w:before="0" w:after="0"/>
              <w:jc w:val="right"/>
              <w:rPr>
                <w:bCs/>
                <w:spacing w:val="-3"/>
                <w:sz w:val="16"/>
                <w:szCs w:val="16"/>
              </w:rPr>
            </w:pPr>
            <w:r w:rsidRPr="00E04D44">
              <w:rPr>
                <w:bCs/>
                <w:spacing w:val="-3"/>
                <w:sz w:val="16"/>
                <w:szCs w:val="16"/>
              </w:rPr>
              <w:t>24,510,635</w:t>
            </w:r>
          </w:p>
        </w:tc>
        <w:tc>
          <w:tcPr>
            <w:tcW w:w="0" w:type="auto"/>
            <w:tcBorders>
              <w:top w:val="single" w:sz="4" w:space="0" w:color="000000"/>
              <w:left w:val="single" w:sz="4" w:space="0" w:color="000000"/>
            </w:tcBorders>
          </w:tcPr>
          <w:p w14:paraId="709B382C" w14:textId="77777777" w:rsidR="00994BF6" w:rsidRPr="00E04D44" w:rsidRDefault="00994BF6" w:rsidP="00E420E1">
            <w:pPr>
              <w:spacing w:before="0" w:after="0"/>
              <w:jc w:val="right"/>
              <w:rPr>
                <w:bCs/>
                <w:spacing w:val="-3"/>
                <w:sz w:val="16"/>
                <w:szCs w:val="16"/>
              </w:rPr>
            </w:pPr>
            <w:r w:rsidRPr="00E04D44">
              <w:rPr>
                <w:bCs/>
                <w:spacing w:val="-3"/>
                <w:sz w:val="16"/>
                <w:szCs w:val="16"/>
              </w:rPr>
              <w:t>27.76</w:t>
            </w:r>
          </w:p>
        </w:tc>
      </w:tr>
    </w:tbl>
    <w:p w14:paraId="6BB99620" w14:textId="2D5B6FE2" w:rsidR="00994BF6" w:rsidRPr="00AC4B38" w:rsidRDefault="00994BF6" w:rsidP="00994BF6">
      <w:pPr>
        <w:rPr>
          <w:i/>
          <w:iCs/>
          <w:spacing w:val="-3"/>
          <w:sz w:val="20"/>
          <w:szCs w:val="20"/>
        </w:rPr>
      </w:pPr>
      <w:r w:rsidRPr="00AC4B38">
        <w:rPr>
          <w:i/>
          <w:iCs/>
          <w:spacing w:val="-3"/>
          <w:sz w:val="20"/>
          <w:szCs w:val="20"/>
        </w:rPr>
        <w:t>De tal manera que el valor de la variable Oj,3 sería de $ 294.127.625 si tomamos como referencia el año 2017. Es importante también resaltar que para el año 2020, cuando la empresa CEDENAR inició a aplicar los cargos aprobados en resolución CREG 140 de 2019 con base en la resolución CREG 015 de 2018, el cargo de nivel de tensión 3 aplicado tuvo un incremento bastante significativo, tal como se evidencia en la siguiente tabla:</w:t>
      </w:r>
    </w:p>
    <w:p w14:paraId="54EC3509" w14:textId="672F9521" w:rsidR="00994BF6" w:rsidRPr="00AC4B38" w:rsidRDefault="00994BF6" w:rsidP="00E420E1">
      <w:pPr>
        <w:jc w:val="center"/>
        <w:rPr>
          <w:b/>
          <w:spacing w:val="-3"/>
          <w:sz w:val="20"/>
          <w:szCs w:val="20"/>
        </w:rPr>
      </w:pPr>
      <w:r w:rsidRPr="00AC4B38">
        <w:rPr>
          <w:b/>
          <w:spacing w:val="-3"/>
          <w:sz w:val="20"/>
          <w:szCs w:val="20"/>
        </w:rPr>
        <w:t>VALORES FACTURADOS POR CEDENAR POR USO DEL SISTEMA DE DISTRIBUCION LOCAL AÑO 2020</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50"/>
        <w:gridCol w:w="2454"/>
        <w:gridCol w:w="1351"/>
        <w:gridCol w:w="2111"/>
      </w:tblGrid>
      <w:tr w:rsidR="00AC455B" w:rsidRPr="00E04D44" w14:paraId="751D7A35" w14:textId="77777777" w:rsidTr="00AC455B">
        <w:trPr>
          <w:trHeight w:val="250"/>
          <w:jc w:val="center"/>
        </w:trPr>
        <w:tc>
          <w:tcPr>
            <w:tcW w:w="2150" w:type="dxa"/>
            <w:shd w:val="clear" w:color="auto" w:fill="C0C0C0"/>
            <w:vAlign w:val="center"/>
          </w:tcPr>
          <w:p w14:paraId="26E0A228" w14:textId="77777777" w:rsidR="00994BF6" w:rsidRPr="00E04D44" w:rsidRDefault="00994BF6" w:rsidP="00AC455B">
            <w:pPr>
              <w:spacing w:before="0" w:after="0"/>
              <w:jc w:val="center"/>
              <w:rPr>
                <w:b/>
                <w:spacing w:val="-3"/>
                <w:sz w:val="16"/>
                <w:szCs w:val="16"/>
              </w:rPr>
            </w:pPr>
            <w:r w:rsidRPr="00E04D44">
              <w:rPr>
                <w:b/>
                <w:spacing w:val="-3"/>
                <w:sz w:val="16"/>
                <w:szCs w:val="16"/>
              </w:rPr>
              <w:t>MES</w:t>
            </w:r>
          </w:p>
        </w:tc>
        <w:tc>
          <w:tcPr>
            <w:tcW w:w="0" w:type="auto"/>
            <w:shd w:val="clear" w:color="auto" w:fill="C0C0C0"/>
            <w:vAlign w:val="center"/>
          </w:tcPr>
          <w:p w14:paraId="12B9960D" w14:textId="77777777" w:rsidR="00994BF6" w:rsidRPr="00E04D44" w:rsidRDefault="00994BF6" w:rsidP="00AC455B">
            <w:pPr>
              <w:spacing w:before="0" w:after="0"/>
              <w:jc w:val="center"/>
              <w:rPr>
                <w:b/>
                <w:spacing w:val="-3"/>
                <w:sz w:val="16"/>
                <w:szCs w:val="16"/>
              </w:rPr>
            </w:pPr>
            <w:r w:rsidRPr="00E04D44">
              <w:rPr>
                <w:b/>
                <w:spacing w:val="-3"/>
                <w:sz w:val="16"/>
                <w:szCs w:val="16"/>
              </w:rPr>
              <w:t>ENERGIA TRANSMITIDA KWH</w:t>
            </w:r>
          </w:p>
        </w:tc>
        <w:tc>
          <w:tcPr>
            <w:tcW w:w="0" w:type="auto"/>
            <w:shd w:val="clear" w:color="auto" w:fill="C0C0C0"/>
            <w:vAlign w:val="center"/>
          </w:tcPr>
          <w:p w14:paraId="3E3A61CB" w14:textId="12DBDF49" w:rsidR="00994BF6" w:rsidRPr="00E04D44" w:rsidRDefault="00994BF6" w:rsidP="00AC455B">
            <w:pPr>
              <w:spacing w:before="0" w:after="0"/>
              <w:jc w:val="center"/>
              <w:rPr>
                <w:b/>
                <w:spacing w:val="-3"/>
                <w:sz w:val="16"/>
                <w:szCs w:val="16"/>
              </w:rPr>
            </w:pPr>
            <w:r w:rsidRPr="00E04D44">
              <w:rPr>
                <w:b/>
                <w:spacing w:val="-3"/>
                <w:sz w:val="16"/>
                <w:szCs w:val="16"/>
              </w:rPr>
              <w:t>VALOR TOTAL</w:t>
            </w:r>
            <w:r w:rsidR="00AC455B" w:rsidRPr="00E04D44">
              <w:rPr>
                <w:b/>
                <w:spacing w:val="-3"/>
                <w:sz w:val="16"/>
                <w:szCs w:val="16"/>
              </w:rPr>
              <w:t xml:space="preserve"> </w:t>
            </w:r>
            <w:r w:rsidRPr="00E04D44">
              <w:rPr>
                <w:b/>
                <w:spacing w:val="-3"/>
                <w:sz w:val="16"/>
                <w:szCs w:val="16"/>
              </w:rPr>
              <w:t>$</w:t>
            </w:r>
          </w:p>
        </w:tc>
        <w:tc>
          <w:tcPr>
            <w:tcW w:w="0" w:type="auto"/>
            <w:shd w:val="clear" w:color="auto" w:fill="C0C0C0"/>
            <w:vAlign w:val="center"/>
          </w:tcPr>
          <w:p w14:paraId="3A9805A6" w14:textId="3BD9636A" w:rsidR="00994BF6" w:rsidRPr="00E04D44" w:rsidRDefault="00994BF6" w:rsidP="00AC455B">
            <w:pPr>
              <w:spacing w:before="0" w:after="0"/>
              <w:jc w:val="center"/>
              <w:rPr>
                <w:b/>
                <w:spacing w:val="-3"/>
                <w:sz w:val="16"/>
                <w:szCs w:val="16"/>
              </w:rPr>
            </w:pPr>
            <w:r w:rsidRPr="00E04D44">
              <w:rPr>
                <w:b/>
                <w:spacing w:val="-3"/>
                <w:sz w:val="16"/>
                <w:szCs w:val="16"/>
              </w:rPr>
              <w:t>VALOR</w:t>
            </w:r>
            <w:r w:rsidR="00AC455B" w:rsidRPr="00E04D44">
              <w:rPr>
                <w:b/>
                <w:spacing w:val="-3"/>
                <w:sz w:val="16"/>
                <w:szCs w:val="16"/>
              </w:rPr>
              <w:t xml:space="preserve"> </w:t>
            </w:r>
            <w:r w:rsidRPr="00E04D44">
              <w:rPr>
                <w:b/>
                <w:spacing w:val="-3"/>
                <w:sz w:val="16"/>
                <w:szCs w:val="16"/>
              </w:rPr>
              <w:t>UNITARIO</w:t>
            </w:r>
            <w:r w:rsidR="00AC455B" w:rsidRPr="00E04D44">
              <w:rPr>
                <w:b/>
                <w:spacing w:val="-3"/>
                <w:sz w:val="16"/>
                <w:szCs w:val="16"/>
              </w:rPr>
              <w:t xml:space="preserve"> </w:t>
            </w:r>
            <w:r w:rsidRPr="00E04D44">
              <w:rPr>
                <w:b/>
                <w:spacing w:val="-3"/>
                <w:sz w:val="16"/>
                <w:szCs w:val="16"/>
              </w:rPr>
              <w:t>$/KWH</w:t>
            </w:r>
          </w:p>
        </w:tc>
      </w:tr>
      <w:tr w:rsidR="00994BF6" w:rsidRPr="00E04D44" w14:paraId="09C3E168" w14:textId="77777777" w:rsidTr="00AC455B">
        <w:trPr>
          <w:trHeight w:val="263"/>
          <w:jc w:val="center"/>
        </w:trPr>
        <w:tc>
          <w:tcPr>
            <w:tcW w:w="2150" w:type="dxa"/>
            <w:tcBorders>
              <w:bottom w:val="single" w:sz="4" w:space="0" w:color="000000"/>
              <w:right w:val="single" w:sz="4" w:space="0" w:color="000000"/>
            </w:tcBorders>
          </w:tcPr>
          <w:p w14:paraId="06E63958" w14:textId="77777777" w:rsidR="00994BF6" w:rsidRPr="00E04D44" w:rsidRDefault="00994BF6" w:rsidP="00AC455B">
            <w:pPr>
              <w:spacing w:before="0" w:after="0"/>
              <w:rPr>
                <w:b/>
                <w:spacing w:val="-3"/>
                <w:sz w:val="16"/>
                <w:szCs w:val="16"/>
              </w:rPr>
            </w:pPr>
            <w:r w:rsidRPr="00E04D44">
              <w:rPr>
                <w:b/>
                <w:spacing w:val="-3"/>
                <w:sz w:val="16"/>
                <w:szCs w:val="16"/>
              </w:rPr>
              <w:t>ENERO</w:t>
            </w:r>
          </w:p>
        </w:tc>
        <w:tc>
          <w:tcPr>
            <w:tcW w:w="0" w:type="auto"/>
            <w:tcBorders>
              <w:left w:val="single" w:sz="4" w:space="0" w:color="000000"/>
              <w:bottom w:val="single" w:sz="4" w:space="0" w:color="000000"/>
              <w:right w:val="single" w:sz="4" w:space="0" w:color="000000"/>
            </w:tcBorders>
            <w:vAlign w:val="center"/>
          </w:tcPr>
          <w:p w14:paraId="4932A2A2" w14:textId="77777777" w:rsidR="00994BF6" w:rsidRPr="00E04D44" w:rsidRDefault="00994BF6" w:rsidP="00AC455B">
            <w:pPr>
              <w:spacing w:before="0" w:after="0"/>
              <w:jc w:val="right"/>
              <w:rPr>
                <w:spacing w:val="-3"/>
                <w:sz w:val="16"/>
                <w:szCs w:val="16"/>
              </w:rPr>
            </w:pPr>
            <w:r w:rsidRPr="00E04D44">
              <w:rPr>
                <w:spacing w:val="-3"/>
                <w:sz w:val="16"/>
                <w:szCs w:val="16"/>
              </w:rPr>
              <w:t>1,042,241</w:t>
            </w:r>
          </w:p>
        </w:tc>
        <w:tc>
          <w:tcPr>
            <w:tcW w:w="0" w:type="auto"/>
            <w:tcBorders>
              <w:left w:val="single" w:sz="4" w:space="0" w:color="000000"/>
              <w:bottom w:val="single" w:sz="4" w:space="0" w:color="000000"/>
              <w:right w:val="single" w:sz="4" w:space="0" w:color="000000"/>
            </w:tcBorders>
            <w:vAlign w:val="center"/>
          </w:tcPr>
          <w:p w14:paraId="36960D80" w14:textId="77777777" w:rsidR="00994BF6" w:rsidRPr="00E04D44" w:rsidRDefault="00994BF6" w:rsidP="00AC455B">
            <w:pPr>
              <w:spacing w:before="0" w:after="0"/>
              <w:jc w:val="right"/>
              <w:rPr>
                <w:spacing w:val="-3"/>
                <w:sz w:val="16"/>
                <w:szCs w:val="16"/>
              </w:rPr>
            </w:pPr>
            <w:r w:rsidRPr="00E04D44">
              <w:rPr>
                <w:spacing w:val="-3"/>
                <w:sz w:val="16"/>
                <w:szCs w:val="16"/>
              </w:rPr>
              <w:t>31,117,261</w:t>
            </w:r>
          </w:p>
        </w:tc>
        <w:tc>
          <w:tcPr>
            <w:tcW w:w="0" w:type="auto"/>
            <w:tcBorders>
              <w:left w:val="single" w:sz="4" w:space="0" w:color="000000"/>
              <w:bottom w:val="single" w:sz="4" w:space="0" w:color="000000"/>
            </w:tcBorders>
            <w:vAlign w:val="center"/>
          </w:tcPr>
          <w:p w14:paraId="3590A983" w14:textId="77777777" w:rsidR="00994BF6" w:rsidRPr="00E04D44" w:rsidRDefault="00994BF6" w:rsidP="00AC455B">
            <w:pPr>
              <w:spacing w:before="0" w:after="0"/>
              <w:jc w:val="right"/>
              <w:rPr>
                <w:spacing w:val="-3"/>
                <w:sz w:val="16"/>
                <w:szCs w:val="16"/>
              </w:rPr>
            </w:pPr>
            <w:r w:rsidRPr="00E04D44">
              <w:rPr>
                <w:spacing w:val="-3"/>
                <w:sz w:val="16"/>
                <w:szCs w:val="16"/>
              </w:rPr>
              <w:t>29.86</w:t>
            </w:r>
          </w:p>
        </w:tc>
      </w:tr>
      <w:tr w:rsidR="00994BF6" w:rsidRPr="00E04D44" w14:paraId="6678E89F" w14:textId="77777777" w:rsidTr="00AC455B">
        <w:trPr>
          <w:trHeight w:val="265"/>
          <w:jc w:val="center"/>
        </w:trPr>
        <w:tc>
          <w:tcPr>
            <w:tcW w:w="2150" w:type="dxa"/>
            <w:tcBorders>
              <w:top w:val="single" w:sz="4" w:space="0" w:color="000000"/>
              <w:bottom w:val="single" w:sz="4" w:space="0" w:color="000000"/>
              <w:right w:val="single" w:sz="4" w:space="0" w:color="000000"/>
            </w:tcBorders>
          </w:tcPr>
          <w:p w14:paraId="3AAB0BF4" w14:textId="77777777" w:rsidR="00994BF6" w:rsidRPr="00E04D44" w:rsidRDefault="00994BF6" w:rsidP="00AC455B">
            <w:pPr>
              <w:spacing w:before="0" w:after="0"/>
              <w:rPr>
                <w:b/>
                <w:spacing w:val="-3"/>
                <w:sz w:val="16"/>
                <w:szCs w:val="16"/>
              </w:rPr>
            </w:pPr>
            <w:r w:rsidRPr="00E04D44">
              <w:rPr>
                <w:b/>
                <w:spacing w:val="-3"/>
                <w:sz w:val="16"/>
                <w:szCs w:val="16"/>
              </w:rPr>
              <w:t>FEBRERO</w:t>
            </w:r>
          </w:p>
        </w:tc>
        <w:tc>
          <w:tcPr>
            <w:tcW w:w="0" w:type="auto"/>
            <w:tcBorders>
              <w:top w:val="single" w:sz="4" w:space="0" w:color="000000"/>
              <w:left w:val="single" w:sz="4" w:space="0" w:color="000000"/>
              <w:bottom w:val="single" w:sz="4" w:space="0" w:color="000000"/>
              <w:right w:val="single" w:sz="4" w:space="0" w:color="000000"/>
            </w:tcBorders>
            <w:vAlign w:val="center"/>
          </w:tcPr>
          <w:p w14:paraId="4EF659D2" w14:textId="77777777" w:rsidR="00994BF6" w:rsidRPr="00E04D44" w:rsidRDefault="00994BF6" w:rsidP="00AC455B">
            <w:pPr>
              <w:spacing w:before="0" w:after="0"/>
              <w:jc w:val="right"/>
              <w:rPr>
                <w:spacing w:val="-3"/>
                <w:sz w:val="16"/>
                <w:szCs w:val="16"/>
              </w:rPr>
            </w:pPr>
            <w:r w:rsidRPr="00E04D44">
              <w:rPr>
                <w:spacing w:val="-3"/>
                <w:sz w:val="16"/>
                <w:szCs w:val="16"/>
              </w:rPr>
              <w:t>868,338</w:t>
            </w:r>
          </w:p>
        </w:tc>
        <w:tc>
          <w:tcPr>
            <w:tcW w:w="0" w:type="auto"/>
            <w:tcBorders>
              <w:top w:val="single" w:sz="4" w:space="0" w:color="000000"/>
              <w:left w:val="single" w:sz="4" w:space="0" w:color="000000"/>
              <w:bottom w:val="single" w:sz="4" w:space="0" w:color="000000"/>
              <w:right w:val="single" w:sz="4" w:space="0" w:color="000000"/>
            </w:tcBorders>
            <w:vAlign w:val="center"/>
          </w:tcPr>
          <w:p w14:paraId="5BE0A062" w14:textId="77777777" w:rsidR="00994BF6" w:rsidRPr="00E04D44" w:rsidRDefault="00994BF6" w:rsidP="00AC455B">
            <w:pPr>
              <w:spacing w:before="0" w:after="0"/>
              <w:jc w:val="right"/>
              <w:rPr>
                <w:spacing w:val="-3"/>
                <w:sz w:val="16"/>
                <w:szCs w:val="16"/>
              </w:rPr>
            </w:pPr>
            <w:r w:rsidRPr="00E04D44">
              <w:rPr>
                <w:spacing w:val="-3"/>
                <w:sz w:val="16"/>
                <w:szCs w:val="16"/>
              </w:rPr>
              <w:t>25,921,023</w:t>
            </w:r>
          </w:p>
        </w:tc>
        <w:tc>
          <w:tcPr>
            <w:tcW w:w="0" w:type="auto"/>
            <w:tcBorders>
              <w:top w:val="single" w:sz="4" w:space="0" w:color="000000"/>
              <w:left w:val="single" w:sz="4" w:space="0" w:color="000000"/>
              <w:bottom w:val="single" w:sz="4" w:space="0" w:color="000000"/>
            </w:tcBorders>
            <w:vAlign w:val="center"/>
          </w:tcPr>
          <w:p w14:paraId="5375BA4C" w14:textId="77777777" w:rsidR="00994BF6" w:rsidRPr="00E04D44" w:rsidRDefault="00994BF6" w:rsidP="00AC455B">
            <w:pPr>
              <w:spacing w:before="0" w:after="0"/>
              <w:jc w:val="right"/>
              <w:rPr>
                <w:spacing w:val="-3"/>
                <w:sz w:val="16"/>
                <w:szCs w:val="16"/>
              </w:rPr>
            </w:pPr>
            <w:r w:rsidRPr="00E04D44">
              <w:rPr>
                <w:spacing w:val="-3"/>
                <w:sz w:val="16"/>
                <w:szCs w:val="16"/>
              </w:rPr>
              <w:t>29.85</w:t>
            </w:r>
          </w:p>
        </w:tc>
      </w:tr>
      <w:tr w:rsidR="00994BF6" w:rsidRPr="00E04D44" w14:paraId="2CEE471C" w14:textId="77777777" w:rsidTr="00AC455B">
        <w:trPr>
          <w:trHeight w:val="261"/>
          <w:jc w:val="center"/>
        </w:trPr>
        <w:tc>
          <w:tcPr>
            <w:tcW w:w="2150" w:type="dxa"/>
            <w:tcBorders>
              <w:top w:val="single" w:sz="4" w:space="0" w:color="000000"/>
              <w:bottom w:val="single" w:sz="4" w:space="0" w:color="000000"/>
              <w:right w:val="single" w:sz="4" w:space="0" w:color="000000"/>
            </w:tcBorders>
          </w:tcPr>
          <w:p w14:paraId="478114FF" w14:textId="77777777" w:rsidR="00994BF6" w:rsidRPr="00E04D44" w:rsidRDefault="00994BF6" w:rsidP="00AC455B">
            <w:pPr>
              <w:spacing w:before="0" w:after="0"/>
              <w:rPr>
                <w:b/>
                <w:spacing w:val="-3"/>
                <w:sz w:val="16"/>
                <w:szCs w:val="16"/>
              </w:rPr>
            </w:pPr>
            <w:r w:rsidRPr="00E04D44">
              <w:rPr>
                <w:b/>
                <w:spacing w:val="-3"/>
                <w:sz w:val="16"/>
                <w:szCs w:val="16"/>
              </w:rPr>
              <w:t>MARZO</w:t>
            </w:r>
          </w:p>
        </w:tc>
        <w:tc>
          <w:tcPr>
            <w:tcW w:w="0" w:type="auto"/>
            <w:tcBorders>
              <w:top w:val="single" w:sz="4" w:space="0" w:color="000000"/>
              <w:left w:val="single" w:sz="4" w:space="0" w:color="000000"/>
              <w:bottom w:val="single" w:sz="4" w:space="0" w:color="000000"/>
              <w:right w:val="single" w:sz="4" w:space="0" w:color="000000"/>
            </w:tcBorders>
            <w:vAlign w:val="center"/>
          </w:tcPr>
          <w:p w14:paraId="3E0F506E" w14:textId="77777777" w:rsidR="00994BF6" w:rsidRPr="00E04D44" w:rsidRDefault="00994BF6" w:rsidP="00AC455B">
            <w:pPr>
              <w:spacing w:before="0" w:after="0"/>
              <w:jc w:val="right"/>
              <w:rPr>
                <w:spacing w:val="-3"/>
                <w:sz w:val="16"/>
                <w:szCs w:val="16"/>
              </w:rPr>
            </w:pPr>
            <w:r w:rsidRPr="00E04D44">
              <w:rPr>
                <w:spacing w:val="-3"/>
                <w:sz w:val="16"/>
                <w:szCs w:val="16"/>
              </w:rPr>
              <w:t>850,592</w:t>
            </w:r>
          </w:p>
        </w:tc>
        <w:tc>
          <w:tcPr>
            <w:tcW w:w="0" w:type="auto"/>
            <w:tcBorders>
              <w:top w:val="single" w:sz="4" w:space="0" w:color="000000"/>
              <w:left w:val="single" w:sz="4" w:space="0" w:color="000000"/>
              <w:bottom w:val="single" w:sz="4" w:space="0" w:color="000000"/>
              <w:right w:val="single" w:sz="4" w:space="0" w:color="000000"/>
            </w:tcBorders>
            <w:vAlign w:val="center"/>
          </w:tcPr>
          <w:p w14:paraId="6C8D64F9" w14:textId="77777777" w:rsidR="00994BF6" w:rsidRPr="00E04D44" w:rsidRDefault="00994BF6" w:rsidP="00AC455B">
            <w:pPr>
              <w:spacing w:before="0" w:after="0"/>
              <w:jc w:val="right"/>
              <w:rPr>
                <w:spacing w:val="-3"/>
                <w:sz w:val="16"/>
                <w:szCs w:val="16"/>
              </w:rPr>
            </w:pPr>
            <w:r w:rsidRPr="00E04D44">
              <w:rPr>
                <w:spacing w:val="-3"/>
                <w:sz w:val="16"/>
                <w:szCs w:val="16"/>
              </w:rPr>
              <w:t>69,185,193</w:t>
            </w:r>
          </w:p>
        </w:tc>
        <w:tc>
          <w:tcPr>
            <w:tcW w:w="0" w:type="auto"/>
            <w:tcBorders>
              <w:top w:val="single" w:sz="4" w:space="0" w:color="000000"/>
              <w:left w:val="single" w:sz="4" w:space="0" w:color="000000"/>
              <w:bottom w:val="single" w:sz="4" w:space="0" w:color="000000"/>
            </w:tcBorders>
            <w:vAlign w:val="center"/>
          </w:tcPr>
          <w:p w14:paraId="07679C92" w14:textId="77777777" w:rsidR="00994BF6" w:rsidRPr="00E04D44" w:rsidRDefault="00994BF6" w:rsidP="00AC455B">
            <w:pPr>
              <w:spacing w:before="0" w:after="0"/>
              <w:jc w:val="right"/>
              <w:rPr>
                <w:spacing w:val="-3"/>
                <w:sz w:val="16"/>
                <w:szCs w:val="16"/>
              </w:rPr>
            </w:pPr>
            <w:r w:rsidRPr="00E04D44">
              <w:rPr>
                <w:spacing w:val="-3"/>
                <w:sz w:val="16"/>
                <w:szCs w:val="16"/>
              </w:rPr>
              <w:t>81.34</w:t>
            </w:r>
          </w:p>
        </w:tc>
      </w:tr>
      <w:tr w:rsidR="00994BF6" w:rsidRPr="00E04D44" w14:paraId="2E2D9EFA" w14:textId="77777777" w:rsidTr="00AC455B">
        <w:trPr>
          <w:trHeight w:val="266"/>
          <w:jc w:val="center"/>
        </w:trPr>
        <w:tc>
          <w:tcPr>
            <w:tcW w:w="2150" w:type="dxa"/>
            <w:tcBorders>
              <w:top w:val="single" w:sz="4" w:space="0" w:color="000000"/>
              <w:bottom w:val="single" w:sz="4" w:space="0" w:color="000000"/>
              <w:right w:val="single" w:sz="4" w:space="0" w:color="000000"/>
            </w:tcBorders>
          </w:tcPr>
          <w:p w14:paraId="4C2ACE3E" w14:textId="77777777" w:rsidR="00994BF6" w:rsidRPr="00E04D44" w:rsidRDefault="00994BF6" w:rsidP="00AC455B">
            <w:pPr>
              <w:spacing w:before="0" w:after="0"/>
              <w:rPr>
                <w:b/>
                <w:spacing w:val="-3"/>
                <w:sz w:val="16"/>
                <w:szCs w:val="16"/>
              </w:rPr>
            </w:pPr>
            <w:r w:rsidRPr="00E04D44">
              <w:rPr>
                <w:b/>
                <w:spacing w:val="-3"/>
                <w:sz w:val="16"/>
                <w:szCs w:val="16"/>
              </w:rPr>
              <w:t>ABRIL</w:t>
            </w:r>
          </w:p>
        </w:tc>
        <w:tc>
          <w:tcPr>
            <w:tcW w:w="0" w:type="auto"/>
            <w:tcBorders>
              <w:top w:val="single" w:sz="4" w:space="0" w:color="000000"/>
              <w:left w:val="single" w:sz="4" w:space="0" w:color="000000"/>
              <w:bottom w:val="single" w:sz="4" w:space="0" w:color="000000"/>
              <w:right w:val="single" w:sz="4" w:space="0" w:color="000000"/>
            </w:tcBorders>
            <w:vAlign w:val="center"/>
          </w:tcPr>
          <w:p w14:paraId="21370EE5" w14:textId="77777777" w:rsidR="00994BF6" w:rsidRPr="00E04D44" w:rsidRDefault="00994BF6" w:rsidP="00AC455B">
            <w:pPr>
              <w:spacing w:before="0" w:after="0"/>
              <w:jc w:val="right"/>
              <w:rPr>
                <w:spacing w:val="-3"/>
                <w:sz w:val="16"/>
                <w:szCs w:val="16"/>
              </w:rPr>
            </w:pPr>
            <w:r w:rsidRPr="00E04D44">
              <w:rPr>
                <w:spacing w:val="-3"/>
                <w:sz w:val="16"/>
                <w:szCs w:val="16"/>
              </w:rPr>
              <w:t>874,511</w:t>
            </w:r>
          </w:p>
        </w:tc>
        <w:tc>
          <w:tcPr>
            <w:tcW w:w="0" w:type="auto"/>
            <w:tcBorders>
              <w:top w:val="single" w:sz="4" w:space="0" w:color="000000"/>
              <w:left w:val="single" w:sz="4" w:space="0" w:color="000000"/>
              <w:bottom w:val="single" w:sz="4" w:space="0" w:color="000000"/>
              <w:right w:val="single" w:sz="4" w:space="0" w:color="000000"/>
            </w:tcBorders>
            <w:vAlign w:val="center"/>
          </w:tcPr>
          <w:p w14:paraId="58433005" w14:textId="77777777" w:rsidR="00994BF6" w:rsidRPr="00E04D44" w:rsidRDefault="00994BF6" w:rsidP="00AC455B">
            <w:pPr>
              <w:spacing w:before="0" w:after="0"/>
              <w:jc w:val="right"/>
              <w:rPr>
                <w:spacing w:val="-3"/>
                <w:sz w:val="16"/>
                <w:szCs w:val="16"/>
              </w:rPr>
            </w:pPr>
            <w:r w:rsidRPr="00E04D44">
              <w:rPr>
                <w:spacing w:val="-3"/>
                <w:sz w:val="16"/>
                <w:szCs w:val="16"/>
              </w:rPr>
              <w:t>73,783,188</w:t>
            </w:r>
          </w:p>
        </w:tc>
        <w:tc>
          <w:tcPr>
            <w:tcW w:w="0" w:type="auto"/>
            <w:tcBorders>
              <w:top w:val="single" w:sz="4" w:space="0" w:color="000000"/>
              <w:left w:val="single" w:sz="4" w:space="0" w:color="000000"/>
              <w:bottom w:val="single" w:sz="4" w:space="0" w:color="000000"/>
            </w:tcBorders>
            <w:vAlign w:val="center"/>
          </w:tcPr>
          <w:p w14:paraId="24961EF0" w14:textId="77777777" w:rsidR="00994BF6" w:rsidRPr="00E04D44" w:rsidRDefault="00994BF6" w:rsidP="00AC455B">
            <w:pPr>
              <w:spacing w:before="0" w:after="0"/>
              <w:jc w:val="right"/>
              <w:rPr>
                <w:spacing w:val="-3"/>
                <w:sz w:val="16"/>
                <w:szCs w:val="16"/>
              </w:rPr>
            </w:pPr>
            <w:r w:rsidRPr="00E04D44">
              <w:rPr>
                <w:spacing w:val="-3"/>
                <w:sz w:val="16"/>
                <w:szCs w:val="16"/>
              </w:rPr>
              <w:t>84.37</w:t>
            </w:r>
          </w:p>
        </w:tc>
      </w:tr>
      <w:tr w:rsidR="00994BF6" w:rsidRPr="00E04D44" w14:paraId="159FA586" w14:textId="77777777" w:rsidTr="00AC455B">
        <w:trPr>
          <w:trHeight w:val="261"/>
          <w:jc w:val="center"/>
        </w:trPr>
        <w:tc>
          <w:tcPr>
            <w:tcW w:w="2150" w:type="dxa"/>
            <w:tcBorders>
              <w:top w:val="single" w:sz="4" w:space="0" w:color="000000"/>
              <w:bottom w:val="single" w:sz="4" w:space="0" w:color="000000"/>
              <w:right w:val="single" w:sz="4" w:space="0" w:color="000000"/>
            </w:tcBorders>
          </w:tcPr>
          <w:p w14:paraId="2738A2BB" w14:textId="77777777" w:rsidR="00994BF6" w:rsidRPr="00E04D44" w:rsidRDefault="00994BF6" w:rsidP="00AC455B">
            <w:pPr>
              <w:spacing w:before="0" w:after="0"/>
              <w:rPr>
                <w:b/>
                <w:spacing w:val="-3"/>
                <w:sz w:val="16"/>
                <w:szCs w:val="16"/>
              </w:rPr>
            </w:pPr>
            <w:r w:rsidRPr="00E04D44">
              <w:rPr>
                <w:b/>
                <w:spacing w:val="-3"/>
                <w:sz w:val="16"/>
                <w:szCs w:val="16"/>
              </w:rPr>
              <w:t>MAYO</w:t>
            </w:r>
          </w:p>
        </w:tc>
        <w:tc>
          <w:tcPr>
            <w:tcW w:w="0" w:type="auto"/>
            <w:tcBorders>
              <w:top w:val="single" w:sz="4" w:space="0" w:color="000000"/>
              <w:left w:val="single" w:sz="4" w:space="0" w:color="000000"/>
              <w:bottom w:val="single" w:sz="4" w:space="0" w:color="000000"/>
              <w:right w:val="single" w:sz="4" w:space="0" w:color="000000"/>
            </w:tcBorders>
            <w:vAlign w:val="center"/>
          </w:tcPr>
          <w:p w14:paraId="42C7A578" w14:textId="77777777" w:rsidR="00994BF6" w:rsidRPr="00E04D44" w:rsidRDefault="00994BF6" w:rsidP="00AC455B">
            <w:pPr>
              <w:spacing w:before="0" w:after="0"/>
              <w:jc w:val="right"/>
              <w:rPr>
                <w:spacing w:val="-3"/>
                <w:sz w:val="16"/>
                <w:szCs w:val="16"/>
              </w:rPr>
            </w:pPr>
            <w:r w:rsidRPr="00E04D44">
              <w:rPr>
                <w:spacing w:val="-3"/>
                <w:sz w:val="16"/>
                <w:szCs w:val="16"/>
              </w:rPr>
              <w:t>834,074</w:t>
            </w:r>
          </w:p>
        </w:tc>
        <w:tc>
          <w:tcPr>
            <w:tcW w:w="0" w:type="auto"/>
            <w:tcBorders>
              <w:top w:val="single" w:sz="4" w:space="0" w:color="000000"/>
              <w:left w:val="single" w:sz="4" w:space="0" w:color="000000"/>
              <w:bottom w:val="single" w:sz="4" w:space="0" w:color="000000"/>
              <w:right w:val="single" w:sz="4" w:space="0" w:color="000000"/>
            </w:tcBorders>
            <w:vAlign w:val="center"/>
          </w:tcPr>
          <w:p w14:paraId="0023B5A7" w14:textId="77777777" w:rsidR="00994BF6" w:rsidRPr="00E04D44" w:rsidRDefault="00994BF6" w:rsidP="00AC455B">
            <w:pPr>
              <w:spacing w:before="0" w:after="0"/>
              <w:jc w:val="right"/>
              <w:rPr>
                <w:spacing w:val="-3"/>
                <w:sz w:val="16"/>
                <w:szCs w:val="16"/>
              </w:rPr>
            </w:pPr>
            <w:r w:rsidRPr="00E04D44">
              <w:rPr>
                <w:spacing w:val="-3"/>
                <w:sz w:val="16"/>
                <w:szCs w:val="16"/>
              </w:rPr>
              <w:t>69,663,787</w:t>
            </w:r>
          </w:p>
        </w:tc>
        <w:tc>
          <w:tcPr>
            <w:tcW w:w="0" w:type="auto"/>
            <w:tcBorders>
              <w:top w:val="single" w:sz="4" w:space="0" w:color="000000"/>
              <w:left w:val="single" w:sz="4" w:space="0" w:color="000000"/>
              <w:bottom w:val="single" w:sz="4" w:space="0" w:color="000000"/>
            </w:tcBorders>
            <w:vAlign w:val="center"/>
          </w:tcPr>
          <w:p w14:paraId="74FC7EF6" w14:textId="77777777" w:rsidR="00994BF6" w:rsidRPr="00E04D44" w:rsidRDefault="00994BF6" w:rsidP="00AC455B">
            <w:pPr>
              <w:spacing w:before="0" w:after="0"/>
              <w:jc w:val="right"/>
              <w:rPr>
                <w:spacing w:val="-3"/>
                <w:sz w:val="16"/>
                <w:szCs w:val="16"/>
              </w:rPr>
            </w:pPr>
            <w:r w:rsidRPr="00E04D44">
              <w:rPr>
                <w:spacing w:val="-3"/>
                <w:sz w:val="16"/>
                <w:szCs w:val="16"/>
              </w:rPr>
              <w:t>83.52</w:t>
            </w:r>
          </w:p>
        </w:tc>
      </w:tr>
      <w:tr w:rsidR="00994BF6" w:rsidRPr="00E04D44" w14:paraId="3726C4F4" w14:textId="77777777" w:rsidTr="00AC455B">
        <w:trPr>
          <w:trHeight w:val="266"/>
          <w:jc w:val="center"/>
        </w:trPr>
        <w:tc>
          <w:tcPr>
            <w:tcW w:w="2150" w:type="dxa"/>
            <w:tcBorders>
              <w:top w:val="single" w:sz="4" w:space="0" w:color="000000"/>
              <w:bottom w:val="single" w:sz="4" w:space="0" w:color="000000"/>
              <w:right w:val="single" w:sz="4" w:space="0" w:color="000000"/>
            </w:tcBorders>
          </w:tcPr>
          <w:p w14:paraId="289DB4D0" w14:textId="77777777" w:rsidR="00994BF6" w:rsidRPr="00E04D44" w:rsidRDefault="00994BF6" w:rsidP="00AC455B">
            <w:pPr>
              <w:spacing w:before="0" w:after="0"/>
              <w:rPr>
                <w:b/>
                <w:spacing w:val="-3"/>
                <w:sz w:val="16"/>
                <w:szCs w:val="16"/>
              </w:rPr>
            </w:pPr>
            <w:r w:rsidRPr="00E04D44">
              <w:rPr>
                <w:b/>
                <w:spacing w:val="-3"/>
                <w:sz w:val="16"/>
                <w:szCs w:val="16"/>
              </w:rPr>
              <w:t>JUNIO</w:t>
            </w:r>
          </w:p>
        </w:tc>
        <w:tc>
          <w:tcPr>
            <w:tcW w:w="0" w:type="auto"/>
            <w:tcBorders>
              <w:top w:val="single" w:sz="4" w:space="0" w:color="000000"/>
              <w:left w:val="single" w:sz="4" w:space="0" w:color="000000"/>
              <w:bottom w:val="single" w:sz="4" w:space="0" w:color="000000"/>
              <w:right w:val="single" w:sz="4" w:space="0" w:color="000000"/>
            </w:tcBorders>
            <w:vAlign w:val="center"/>
          </w:tcPr>
          <w:p w14:paraId="452E4CB4" w14:textId="77777777" w:rsidR="00994BF6" w:rsidRPr="00E04D44" w:rsidRDefault="00994BF6" w:rsidP="00AC455B">
            <w:pPr>
              <w:spacing w:before="0" w:after="0"/>
              <w:jc w:val="right"/>
              <w:rPr>
                <w:spacing w:val="-3"/>
                <w:sz w:val="16"/>
                <w:szCs w:val="16"/>
              </w:rPr>
            </w:pPr>
            <w:r w:rsidRPr="00E04D44">
              <w:rPr>
                <w:spacing w:val="-3"/>
                <w:sz w:val="16"/>
                <w:szCs w:val="16"/>
              </w:rPr>
              <w:t>828,538</w:t>
            </w:r>
          </w:p>
        </w:tc>
        <w:tc>
          <w:tcPr>
            <w:tcW w:w="0" w:type="auto"/>
            <w:tcBorders>
              <w:top w:val="single" w:sz="4" w:space="0" w:color="000000"/>
              <w:left w:val="single" w:sz="4" w:space="0" w:color="000000"/>
              <w:bottom w:val="single" w:sz="4" w:space="0" w:color="000000"/>
              <w:right w:val="single" w:sz="4" w:space="0" w:color="000000"/>
            </w:tcBorders>
            <w:vAlign w:val="center"/>
          </w:tcPr>
          <w:p w14:paraId="1C4177A0" w14:textId="77777777" w:rsidR="00994BF6" w:rsidRPr="00E04D44" w:rsidRDefault="00994BF6" w:rsidP="00AC455B">
            <w:pPr>
              <w:spacing w:before="0" w:after="0"/>
              <w:jc w:val="right"/>
              <w:rPr>
                <w:spacing w:val="-3"/>
                <w:sz w:val="16"/>
                <w:szCs w:val="16"/>
              </w:rPr>
            </w:pPr>
            <w:r w:rsidRPr="00E04D44">
              <w:rPr>
                <w:spacing w:val="-3"/>
                <w:sz w:val="16"/>
                <w:szCs w:val="16"/>
              </w:rPr>
              <w:t>69,408,685</w:t>
            </w:r>
          </w:p>
        </w:tc>
        <w:tc>
          <w:tcPr>
            <w:tcW w:w="0" w:type="auto"/>
            <w:tcBorders>
              <w:top w:val="single" w:sz="4" w:space="0" w:color="000000"/>
              <w:left w:val="single" w:sz="4" w:space="0" w:color="000000"/>
              <w:bottom w:val="single" w:sz="4" w:space="0" w:color="000000"/>
            </w:tcBorders>
            <w:vAlign w:val="center"/>
          </w:tcPr>
          <w:p w14:paraId="1696EDA0" w14:textId="77777777" w:rsidR="00994BF6" w:rsidRPr="00E04D44" w:rsidRDefault="00994BF6" w:rsidP="00AC455B">
            <w:pPr>
              <w:spacing w:before="0" w:after="0"/>
              <w:jc w:val="right"/>
              <w:rPr>
                <w:spacing w:val="-3"/>
                <w:sz w:val="16"/>
                <w:szCs w:val="16"/>
              </w:rPr>
            </w:pPr>
            <w:r w:rsidRPr="00E04D44">
              <w:rPr>
                <w:spacing w:val="-3"/>
                <w:sz w:val="16"/>
                <w:szCs w:val="16"/>
              </w:rPr>
              <w:t>83.77</w:t>
            </w:r>
          </w:p>
        </w:tc>
      </w:tr>
      <w:tr w:rsidR="00994BF6" w:rsidRPr="00E04D44" w14:paraId="4402E960" w14:textId="77777777" w:rsidTr="00AC455B">
        <w:trPr>
          <w:trHeight w:val="262"/>
          <w:jc w:val="center"/>
        </w:trPr>
        <w:tc>
          <w:tcPr>
            <w:tcW w:w="2150" w:type="dxa"/>
            <w:tcBorders>
              <w:top w:val="single" w:sz="4" w:space="0" w:color="000000"/>
              <w:bottom w:val="single" w:sz="4" w:space="0" w:color="000000"/>
              <w:right w:val="single" w:sz="4" w:space="0" w:color="000000"/>
            </w:tcBorders>
          </w:tcPr>
          <w:p w14:paraId="655E9676" w14:textId="77777777" w:rsidR="00994BF6" w:rsidRPr="00E04D44" w:rsidRDefault="00994BF6" w:rsidP="00AC455B">
            <w:pPr>
              <w:spacing w:before="0" w:after="0"/>
              <w:rPr>
                <w:b/>
                <w:spacing w:val="-3"/>
                <w:sz w:val="16"/>
                <w:szCs w:val="16"/>
              </w:rPr>
            </w:pPr>
            <w:r w:rsidRPr="00E04D44">
              <w:rPr>
                <w:b/>
                <w:spacing w:val="-3"/>
                <w:sz w:val="16"/>
                <w:szCs w:val="16"/>
              </w:rPr>
              <w:t>JULIO</w:t>
            </w:r>
          </w:p>
        </w:tc>
        <w:tc>
          <w:tcPr>
            <w:tcW w:w="0" w:type="auto"/>
            <w:tcBorders>
              <w:top w:val="single" w:sz="4" w:space="0" w:color="000000"/>
              <w:left w:val="single" w:sz="4" w:space="0" w:color="000000"/>
              <w:bottom w:val="single" w:sz="4" w:space="0" w:color="000000"/>
              <w:right w:val="single" w:sz="4" w:space="0" w:color="000000"/>
            </w:tcBorders>
            <w:vAlign w:val="center"/>
          </w:tcPr>
          <w:p w14:paraId="78BF1431" w14:textId="77777777" w:rsidR="00994BF6" w:rsidRPr="00E04D44" w:rsidRDefault="00994BF6" w:rsidP="00AC455B">
            <w:pPr>
              <w:spacing w:before="0" w:after="0"/>
              <w:jc w:val="right"/>
              <w:rPr>
                <w:spacing w:val="-3"/>
                <w:sz w:val="16"/>
                <w:szCs w:val="16"/>
              </w:rPr>
            </w:pPr>
            <w:r w:rsidRPr="00E04D44">
              <w:rPr>
                <w:spacing w:val="-3"/>
                <w:sz w:val="16"/>
                <w:szCs w:val="16"/>
              </w:rPr>
              <w:t>853,377</w:t>
            </w:r>
          </w:p>
        </w:tc>
        <w:tc>
          <w:tcPr>
            <w:tcW w:w="0" w:type="auto"/>
            <w:tcBorders>
              <w:top w:val="single" w:sz="4" w:space="0" w:color="000000"/>
              <w:left w:val="single" w:sz="4" w:space="0" w:color="000000"/>
              <w:bottom w:val="single" w:sz="4" w:space="0" w:color="000000"/>
              <w:right w:val="single" w:sz="4" w:space="0" w:color="000000"/>
            </w:tcBorders>
            <w:vAlign w:val="center"/>
          </w:tcPr>
          <w:p w14:paraId="55768825" w14:textId="77777777" w:rsidR="00994BF6" w:rsidRPr="00E04D44" w:rsidRDefault="00994BF6" w:rsidP="00AC455B">
            <w:pPr>
              <w:spacing w:before="0" w:after="0"/>
              <w:jc w:val="right"/>
              <w:rPr>
                <w:spacing w:val="-3"/>
                <w:sz w:val="16"/>
                <w:szCs w:val="16"/>
              </w:rPr>
            </w:pPr>
            <w:r w:rsidRPr="00E04D44">
              <w:rPr>
                <w:spacing w:val="-3"/>
                <w:sz w:val="16"/>
                <w:szCs w:val="16"/>
              </w:rPr>
              <w:t>71,860,029</w:t>
            </w:r>
          </w:p>
        </w:tc>
        <w:tc>
          <w:tcPr>
            <w:tcW w:w="0" w:type="auto"/>
            <w:tcBorders>
              <w:top w:val="single" w:sz="4" w:space="0" w:color="000000"/>
              <w:left w:val="single" w:sz="4" w:space="0" w:color="000000"/>
              <w:bottom w:val="single" w:sz="4" w:space="0" w:color="000000"/>
            </w:tcBorders>
            <w:vAlign w:val="center"/>
          </w:tcPr>
          <w:p w14:paraId="3F51E675" w14:textId="77777777" w:rsidR="00994BF6" w:rsidRPr="00E04D44" w:rsidRDefault="00994BF6" w:rsidP="00AC455B">
            <w:pPr>
              <w:spacing w:before="0" w:after="0"/>
              <w:jc w:val="right"/>
              <w:rPr>
                <w:spacing w:val="-3"/>
                <w:sz w:val="16"/>
                <w:szCs w:val="16"/>
              </w:rPr>
            </w:pPr>
            <w:r w:rsidRPr="00E04D44">
              <w:rPr>
                <w:spacing w:val="-3"/>
                <w:sz w:val="16"/>
                <w:szCs w:val="16"/>
              </w:rPr>
              <w:t>84.21</w:t>
            </w:r>
          </w:p>
        </w:tc>
      </w:tr>
      <w:tr w:rsidR="00994BF6" w:rsidRPr="00E04D44" w14:paraId="633EC853" w14:textId="77777777" w:rsidTr="00AC455B">
        <w:trPr>
          <w:trHeight w:val="265"/>
          <w:jc w:val="center"/>
        </w:trPr>
        <w:tc>
          <w:tcPr>
            <w:tcW w:w="2150" w:type="dxa"/>
            <w:tcBorders>
              <w:top w:val="single" w:sz="4" w:space="0" w:color="000000"/>
              <w:bottom w:val="single" w:sz="4" w:space="0" w:color="000000"/>
              <w:right w:val="single" w:sz="4" w:space="0" w:color="000000"/>
            </w:tcBorders>
          </w:tcPr>
          <w:p w14:paraId="3EBFDDAB" w14:textId="77777777" w:rsidR="00994BF6" w:rsidRPr="00E04D44" w:rsidRDefault="00994BF6" w:rsidP="00AC455B">
            <w:pPr>
              <w:spacing w:before="0" w:after="0"/>
              <w:rPr>
                <w:b/>
                <w:spacing w:val="-3"/>
                <w:sz w:val="16"/>
                <w:szCs w:val="16"/>
              </w:rPr>
            </w:pPr>
            <w:r w:rsidRPr="00E04D44">
              <w:rPr>
                <w:b/>
                <w:spacing w:val="-3"/>
                <w:sz w:val="16"/>
                <w:szCs w:val="16"/>
              </w:rPr>
              <w:t>AGOSTO</w:t>
            </w:r>
          </w:p>
        </w:tc>
        <w:tc>
          <w:tcPr>
            <w:tcW w:w="0" w:type="auto"/>
            <w:tcBorders>
              <w:top w:val="single" w:sz="4" w:space="0" w:color="000000"/>
              <w:left w:val="single" w:sz="4" w:space="0" w:color="000000"/>
              <w:bottom w:val="single" w:sz="4" w:space="0" w:color="000000"/>
              <w:right w:val="single" w:sz="4" w:space="0" w:color="000000"/>
            </w:tcBorders>
            <w:vAlign w:val="center"/>
          </w:tcPr>
          <w:p w14:paraId="61A7C222" w14:textId="77777777" w:rsidR="00994BF6" w:rsidRPr="00E04D44" w:rsidRDefault="00994BF6" w:rsidP="00AC455B">
            <w:pPr>
              <w:spacing w:before="0" w:after="0"/>
              <w:jc w:val="right"/>
              <w:rPr>
                <w:spacing w:val="-3"/>
                <w:sz w:val="16"/>
                <w:szCs w:val="16"/>
              </w:rPr>
            </w:pPr>
            <w:r w:rsidRPr="00E04D44">
              <w:rPr>
                <w:spacing w:val="-3"/>
                <w:sz w:val="16"/>
                <w:szCs w:val="16"/>
              </w:rPr>
              <w:t>829,796</w:t>
            </w:r>
          </w:p>
        </w:tc>
        <w:tc>
          <w:tcPr>
            <w:tcW w:w="0" w:type="auto"/>
            <w:tcBorders>
              <w:top w:val="single" w:sz="4" w:space="0" w:color="000000"/>
              <w:left w:val="single" w:sz="4" w:space="0" w:color="000000"/>
              <w:bottom w:val="single" w:sz="4" w:space="0" w:color="000000"/>
              <w:right w:val="single" w:sz="4" w:space="0" w:color="000000"/>
            </w:tcBorders>
            <w:vAlign w:val="center"/>
          </w:tcPr>
          <w:p w14:paraId="7BCF8A75" w14:textId="77777777" w:rsidR="00994BF6" w:rsidRPr="00E04D44" w:rsidRDefault="00994BF6" w:rsidP="00AC455B">
            <w:pPr>
              <w:spacing w:before="0" w:after="0"/>
              <w:jc w:val="right"/>
              <w:rPr>
                <w:spacing w:val="-3"/>
                <w:sz w:val="16"/>
                <w:szCs w:val="16"/>
              </w:rPr>
            </w:pPr>
            <w:r w:rsidRPr="00E04D44">
              <w:rPr>
                <w:spacing w:val="-3"/>
                <w:sz w:val="16"/>
                <w:szCs w:val="16"/>
              </w:rPr>
              <w:t>70,516,666</w:t>
            </w:r>
          </w:p>
        </w:tc>
        <w:tc>
          <w:tcPr>
            <w:tcW w:w="0" w:type="auto"/>
            <w:tcBorders>
              <w:top w:val="single" w:sz="4" w:space="0" w:color="000000"/>
              <w:left w:val="single" w:sz="4" w:space="0" w:color="000000"/>
              <w:bottom w:val="single" w:sz="4" w:space="0" w:color="000000"/>
            </w:tcBorders>
            <w:vAlign w:val="center"/>
          </w:tcPr>
          <w:p w14:paraId="63FFB139" w14:textId="77777777" w:rsidR="00994BF6" w:rsidRPr="00E04D44" w:rsidRDefault="00994BF6" w:rsidP="00AC455B">
            <w:pPr>
              <w:spacing w:before="0" w:after="0"/>
              <w:jc w:val="right"/>
              <w:rPr>
                <w:spacing w:val="-3"/>
                <w:sz w:val="16"/>
                <w:szCs w:val="16"/>
              </w:rPr>
            </w:pPr>
            <w:r w:rsidRPr="00E04D44">
              <w:rPr>
                <w:spacing w:val="-3"/>
                <w:sz w:val="16"/>
                <w:szCs w:val="16"/>
              </w:rPr>
              <w:t>84.98</w:t>
            </w:r>
          </w:p>
        </w:tc>
      </w:tr>
      <w:tr w:rsidR="00994BF6" w:rsidRPr="00E04D44" w14:paraId="69A7010F" w14:textId="77777777" w:rsidTr="00AC455B">
        <w:trPr>
          <w:trHeight w:val="262"/>
          <w:jc w:val="center"/>
        </w:trPr>
        <w:tc>
          <w:tcPr>
            <w:tcW w:w="2150" w:type="dxa"/>
            <w:tcBorders>
              <w:top w:val="single" w:sz="4" w:space="0" w:color="000000"/>
              <w:bottom w:val="single" w:sz="4" w:space="0" w:color="000000"/>
              <w:right w:val="single" w:sz="4" w:space="0" w:color="000000"/>
            </w:tcBorders>
          </w:tcPr>
          <w:p w14:paraId="7A97F237" w14:textId="77777777" w:rsidR="00994BF6" w:rsidRPr="00E04D44" w:rsidRDefault="00994BF6" w:rsidP="00AC455B">
            <w:pPr>
              <w:spacing w:before="0" w:after="0"/>
              <w:rPr>
                <w:b/>
                <w:spacing w:val="-3"/>
                <w:sz w:val="16"/>
                <w:szCs w:val="16"/>
              </w:rPr>
            </w:pPr>
            <w:r w:rsidRPr="00E04D44">
              <w:rPr>
                <w:b/>
                <w:spacing w:val="-3"/>
                <w:sz w:val="16"/>
                <w:szCs w:val="16"/>
              </w:rPr>
              <w:t>SEPTIEMBRE</w:t>
            </w:r>
          </w:p>
        </w:tc>
        <w:tc>
          <w:tcPr>
            <w:tcW w:w="0" w:type="auto"/>
            <w:tcBorders>
              <w:top w:val="single" w:sz="4" w:space="0" w:color="000000"/>
              <w:left w:val="single" w:sz="4" w:space="0" w:color="000000"/>
              <w:bottom w:val="single" w:sz="4" w:space="0" w:color="000000"/>
              <w:right w:val="single" w:sz="4" w:space="0" w:color="000000"/>
            </w:tcBorders>
            <w:vAlign w:val="center"/>
          </w:tcPr>
          <w:p w14:paraId="32340E8F" w14:textId="77777777" w:rsidR="00994BF6" w:rsidRPr="00E04D44" w:rsidRDefault="00994BF6" w:rsidP="00AC455B">
            <w:pPr>
              <w:spacing w:before="0" w:after="0"/>
              <w:jc w:val="right"/>
              <w:rPr>
                <w:spacing w:val="-3"/>
                <w:sz w:val="16"/>
                <w:szCs w:val="16"/>
              </w:rPr>
            </w:pPr>
            <w:r w:rsidRPr="00E04D44">
              <w:rPr>
                <w:spacing w:val="-3"/>
                <w:sz w:val="16"/>
                <w:szCs w:val="16"/>
              </w:rPr>
              <w:t>870,903</w:t>
            </w:r>
          </w:p>
        </w:tc>
        <w:tc>
          <w:tcPr>
            <w:tcW w:w="0" w:type="auto"/>
            <w:tcBorders>
              <w:top w:val="single" w:sz="4" w:space="0" w:color="000000"/>
              <w:left w:val="single" w:sz="4" w:space="0" w:color="000000"/>
              <w:bottom w:val="single" w:sz="4" w:space="0" w:color="000000"/>
              <w:right w:val="single" w:sz="4" w:space="0" w:color="000000"/>
            </w:tcBorders>
            <w:vAlign w:val="center"/>
          </w:tcPr>
          <w:p w14:paraId="121F510E" w14:textId="77777777" w:rsidR="00994BF6" w:rsidRPr="00E04D44" w:rsidRDefault="00994BF6" w:rsidP="00AC455B">
            <w:pPr>
              <w:spacing w:before="0" w:after="0"/>
              <w:jc w:val="right"/>
              <w:rPr>
                <w:spacing w:val="-3"/>
                <w:sz w:val="16"/>
                <w:szCs w:val="16"/>
              </w:rPr>
            </w:pPr>
            <w:r w:rsidRPr="00E04D44">
              <w:rPr>
                <w:spacing w:val="-3"/>
                <w:sz w:val="16"/>
                <w:szCs w:val="16"/>
              </w:rPr>
              <w:t>74,635,784</w:t>
            </w:r>
          </w:p>
        </w:tc>
        <w:tc>
          <w:tcPr>
            <w:tcW w:w="0" w:type="auto"/>
            <w:tcBorders>
              <w:top w:val="single" w:sz="4" w:space="0" w:color="000000"/>
              <w:left w:val="single" w:sz="4" w:space="0" w:color="000000"/>
              <w:bottom w:val="single" w:sz="4" w:space="0" w:color="000000"/>
            </w:tcBorders>
            <w:vAlign w:val="center"/>
          </w:tcPr>
          <w:p w14:paraId="5675360A" w14:textId="77777777" w:rsidR="00994BF6" w:rsidRPr="00E04D44" w:rsidRDefault="00994BF6" w:rsidP="00AC455B">
            <w:pPr>
              <w:spacing w:before="0" w:after="0"/>
              <w:jc w:val="right"/>
              <w:rPr>
                <w:spacing w:val="-3"/>
                <w:sz w:val="16"/>
                <w:szCs w:val="16"/>
              </w:rPr>
            </w:pPr>
            <w:r w:rsidRPr="00E04D44">
              <w:rPr>
                <w:spacing w:val="-3"/>
                <w:sz w:val="16"/>
                <w:szCs w:val="16"/>
              </w:rPr>
              <w:t>85.70</w:t>
            </w:r>
          </w:p>
        </w:tc>
      </w:tr>
      <w:tr w:rsidR="00994BF6" w:rsidRPr="00E04D44" w14:paraId="6B0B600C" w14:textId="77777777" w:rsidTr="00AC455B">
        <w:trPr>
          <w:trHeight w:val="266"/>
          <w:jc w:val="center"/>
        </w:trPr>
        <w:tc>
          <w:tcPr>
            <w:tcW w:w="2150" w:type="dxa"/>
            <w:tcBorders>
              <w:top w:val="single" w:sz="4" w:space="0" w:color="000000"/>
              <w:bottom w:val="single" w:sz="4" w:space="0" w:color="000000"/>
              <w:right w:val="single" w:sz="4" w:space="0" w:color="000000"/>
            </w:tcBorders>
          </w:tcPr>
          <w:p w14:paraId="46E09E13" w14:textId="77777777" w:rsidR="00994BF6" w:rsidRPr="00E04D44" w:rsidRDefault="00994BF6" w:rsidP="00AC455B">
            <w:pPr>
              <w:spacing w:before="0" w:after="0"/>
              <w:rPr>
                <w:b/>
                <w:spacing w:val="-3"/>
                <w:sz w:val="16"/>
                <w:szCs w:val="16"/>
              </w:rPr>
            </w:pPr>
            <w:r w:rsidRPr="00E04D44">
              <w:rPr>
                <w:b/>
                <w:spacing w:val="-3"/>
                <w:sz w:val="16"/>
                <w:szCs w:val="16"/>
              </w:rPr>
              <w:t>OCTUBRE</w:t>
            </w:r>
          </w:p>
        </w:tc>
        <w:tc>
          <w:tcPr>
            <w:tcW w:w="0" w:type="auto"/>
            <w:tcBorders>
              <w:top w:val="single" w:sz="4" w:space="0" w:color="000000"/>
              <w:left w:val="single" w:sz="4" w:space="0" w:color="000000"/>
              <w:bottom w:val="single" w:sz="4" w:space="0" w:color="000000"/>
              <w:right w:val="single" w:sz="4" w:space="0" w:color="000000"/>
            </w:tcBorders>
            <w:vAlign w:val="center"/>
          </w:tcPr>
          <w:p w14:paraId="321D21E2" w14:textId="77777777" w:rsidR="00994BF6" w:rsidRPr="00E04D44" w:rsidRDefault="00994BF6" w:rsidP="00AC455B">
            <w:pPr>
              <w:spacing w:before="0" w:after="0"/>
              <w:jc w:val="right"/>
              <w:rPr>
                <w:spacing w:val="-3"/>
                <w:sz w:val="16"/>
                <w:szCs w:val="16"/>
              </w:rPr>
            </w:pPr>
            <w:r w:rsidRPr="00E04D44">
              <w:rPr>
                <w:spacing w:val="-3"/>
                <w:sz w:val="16"/>
                <w:szCs w:val="16"/>
              </w:rPr>
              <w:t>858,103</w:t>
            </w:r>
          </w:p>
        </w:tc>
        <w:tc>
          <w:tcPr>
            <w:tcW w:w="0" w:type="auto"/>
            <w:tcBorders>
              <w:top w:val="single" w:sz="4" w:space="0" w:color="000000"/>
              <w:left w:val="single" w:sz="4" w:space="0" w:color="000000"/>
              <w:bottom w:val="single" w:sz="4" w:space="0" w:color="000000"/>
              <w:right w:val="single" w:sz="4" w:space="0" w:color="000000"/>
            </w:tcBorders>
            <w:vAlign w:val="center"/>
          </w:tcPr>
          <w:p w14:paraId="22A9B2EB" w14:textId="77777777" w:rsidR="00994BF6" w:rsidRPr="00E04D44" w:rsidRDefault="00994BF6" w:rsidP="00AC455B">
            <w:pPr>
              <w:spacing w:before="0" w:after="0"/>
              <w:jc w:val="right"/>
              <w:rPr>
                <w:spacing w:val="-3"/>
                <w:sz w:val="16"/>
                <w:szCs w:val="16"/>
              </w:rPr>
            </w:pPr>
            <w:r w:rsidRPr="00E04D44">
              <w:rPr>
                <w:spacing w:val="-3"/>
                <w:sz w:val="16"/>
                <w:szCs w:val="16"/>
              </w:rPr>
              <w:t>73,608,779</w:t>
            </w:r>
          </w:p>
        </w:tc>
        <w:tc>
          <w:tcPr>
            <w:tcW w:w="0" w:type="auto"/>
            <w:tcBorders>
              <w:top w:val="single" w:sz="4" w:space="0" w:color="000000"/>
              <w:left w:val="single" w:sz="4" w:space="0" w:color="000000"/>
              <w:bottom w:val="single" w:sz="4" w:space="0" w:color="000000"/>
            </w:tcBorders>
            <w:vAlign w:val="center"/>
          </w:tcPr>
          <w:p w14:paraId="6341B6B6" w14:textId="77777777" w:rsidR="00994BF6" w:rsidRPr="00E04D44" w:rsidRDefault="00994BF6" w:rsidP="00AC455B">
            <w:pPr>
              <w:spacing w:before="0" w:after="0"/>
              <w:jc w:val="right"/>
              <w:rPr>
                <w:spacing w:val="-3"/>
                <w:sz w:val="16"/>
                <w:szCs w:val="16"/>
              </w:rPr>
            </w:pPr>
            <w:r w:rsidRPr="00E04D44">
              <w:rPr>
                <w:spacing w:val="-3"/>
                <w:sz w:val="16"/>
                <w:szCs w:val="16"/>
              </w:rPr>
              <w:t>85.78</w:t>
            </w:r>
          </w:p>
        </w:tc>
      </w:tr>
      <w:tr w:rsidR="00994BF6" w:rsidRPr="00E04D44" w14:paraId="3AD77774" w14:textId="77777777" w:rsidTr="00AC455B">
        <w:trPr>
          <w:trHeight w:val="261"/>
          <w:jc w:val="center"/>
        </w:trPr>
        <w:tc>
          <w:tcPr>
            <w:tcW w:w="2150" w:type="dxa"/>
            <w:tcBorders>
              <w:top w:val="single" w:sz="4" w:space="0" w:color="000000"/>
              <w:bottom w:val="single" w:sz="4" w:space="0" w:color="000000"/>
              <w:right w:val="single" w:sz="4" w:space="0" w:color="000000"/>
            </w:tcBorders>
          </w:tcPr>
          <w:p w14:paraId="2E7096D5" w14:textId="77777777" w:rsidR="00994BF6" w:rsidRPr="00E04D44" w:rsidRDefault="00994BF6" w:rsidP="00AC455B">
            <w:pPr>
              <w:spacing w:before="0" w:after="0"/>
              <w:rPr>
                <w:b/>
                <w:spacing w:val="-3"/>
                <w:sz w:val="16"/>
                <w:szCs w:val="16"/>
              </w:rPr>
            </w:pPr>
            <w:r w:rsidRPr="00E04D44">
              <w:rPr>
                <w:b/>
                <w:spacing w:val="-3"/>
                <w:sz w:val="16"/>
                <w:szCs w:val="16"/>
              </w:rPr>
              <w:t>NOVIEMBRE</w:t>
            </w:r>
          </w:p>
        </w:tc>
        <w:tc>
          <w:tcPr>
            <w:tcW w:w="0" w:type="auto"/>
            <w:tcBorders>
              <w:top w:val="single" w:sz="4" w:space="0" w:color="000000"/>
              <w:left w:val="single" w:sz="4" w:space="0" w:color="000000"/>
              <w:bottom w:val="single" w:sz="4" w:space="0" w:color="000000"/>
              <w:right w:val="single" w:sz="4" w:space="0" w:color="000000"/>
            </w:tcBorders>
            <w:vAlign w:val="center"/>
          </w:tcPr>
          <w:p w14:paraId="30574791" w14:textId="77777777" w:rsidR="00994BF6" w:rsidRPr="00E04D44" w:rsidRDefault="00994BF6" w:rsidP="00AC455B">
            <w:pPr>
              <w:spacing w:before="0" w:after="0"/>
              <w:jc w:val="right"/>
              <w:rPr>
                <w:spacing w:val="-3"/>
                <w:sz w:val="16"/>
                <w:szCs w:val="16"/>
              </w:rPr>
            </w:pPr>
            <w:r w:rsidRPr="00E04D44">
              <w:rPr>
                <w:spacing w:val="-3"/>
                <w:sz w:val="16"/>
                <w:szCs w:val="16"/>
              </w:rPr>
              <w:t>921,409</w:t>
            </w:r>
          </w:p>
        </w:tc>
        <w:tc>
          <w:tcPr>
            <w:tcW w:w="0" w:type="auto"/>
            <w:tcBorders>
              <w:top w:val="single" w:sz="4" w:space="0" w:color="000000"/>
              <w:left w:val="single" w:sz="4" w:space="0" w:color="000000"/>
              <w:bottom w:val="single" w:sz="4" w:space="0" w:color="000000"/>
              <w:right w:val="single" w:sz="4" w:space="0" w:color="000000"/>
            </w:tcBorders>
            <w:vAlign w:val="center"/>
          </w:tcPr>
          <w:p w14:paraId="1F614584" w14:textId="77777777" w:rsidR="00994BF6" w:rsidRPr="00E04D44" w:rsidRDefault="00994BF6" w:rsidP="00AC455B">
            <w:pPr>
              <w:spacing w:before="0" w:after="0"/>
              <w:jc w:val="right"/>
              <w:rPr>
                <w:spacing w:val="-3"/>
                <w:sz w:val="16"/>
                <w:szCs w:val="16"/>
              </w:rPr>
            </w:pPr>
            <w:r w:rsidRPr="00E04D44">
              <w:rPr>
                <w:spacing w:val="-3"/>
                <w:sz w:val="16"/>
                <w:szCs w:val="16"/>
              </w:rPr>
              <w:t>79,500,977</w:t>
            </w:r>
          </w:p>
        </w:tc>
        <w:tc>
          <w:tcPr>
            <w:tcW w:w="0" w:type="auto"/>
            <w:tcBorders>
              <w:top w:val="single" w:sz="4" w:space="0" w:color="000000"/>
              <w:left w:val="single" w:sz="4" w:space="0" w:color="000000"/>
              <w:bottom w:val="single" w:sz="4" w:space="0" w:color="000000"/>
            </w:tcBorders>
            <w:vAlign w:val="center"/>
          </w:tcPr>
          <w:p w14:paraId="71B4A980" w14:textId="77777777" w:rsidR="00994BF6" w:rsidRPr="00E04D44" w:rsidRDefault="00994BF6" w:rsidP="00AC455B">
            <w:pPr>
              <w:spacing w:before="0" w:after="0"/>
              <w:jc w:val="right"/>
              <w:rPr>
                <w:spacing w:val="-3"/>
                <w:sz w:val="16"/>
                <w:szCs w:val="16"/>
              </w:rPr>
            </w:pPr>
            <w:r w:rsidRPr="00E04D44">
              <w:rPr>
                <w:spacing w:val="-3"/>
                <w:sz w:val="16"/>
                <w:szCs w:val="16"/>
              </w:rPr>
              <w:t>86.28</w:t>
            </w:r>
          </w:p>
        </w:tc>
      </w:tr>
      <w:tr w:rsidR="00994BF6" w:rsidRPr="00E04D44" w14:paraId="0AF5F471" w14:textId="77777777" w:rsidTr="00AC455B">
        <w:trPr>
          <w:trHeight w:val="266"/>
          <w:jc w:val="center"/>
        </w:trPr>
        <w:tc>
          <w:tcPr>
            <w:tcW w:w="2150" w:type="dxa"/>
            <w:tcBorders>
              <w:top w:val="single" w:sz="4" w:space="0" w:color="000000"/>
              <w:bottom w:val="single" w:sz="4" w:space="0" w:color="000000"/>
              <w:right w:val="single" w:sz="4" w:space="0" w:color="000000"/>
            </w:tcBorders>
          </w:tcPr>
          <w:p w14:paraId="770E82F7" w14:textId="77777777" w:rsidR="00994BF6" w:rsidRPr="00E04D44" w:rsidRDefault="00994BF6" w:rsidP="00AC455B">
            <w:pPr>
              <w:spacing w:before="0" w:after="0"/>
              <w:rPr>
                <w:b/>
                <w:spacing w:val="-3"/>
                <w:sz w:val="16"/>
                <w:szCs w:val="16"/>
              </w:rPr>
            </w:pPr>
            <w:r w:rsidRPr="00E04D44">
              <w:rPr>
                <w:b/>
                <w:spacing w:val="-3"/>
                <w:sz w:val="16"/>
                <w:szCs w:val="16"/>
              </w:rPr>
              <w:t>DICIEMBRE</w:t>
            </w:r>
          </w:p>
        </w:tc>
        <w:tc>
          <w:tcPr>
            <w:tcW w:w="0" w:type="auto"/>
            <w:tcBorders>
              <w:top w:val="single" w:sz="4" w:space="0" w:color="000000"/>
              <w:left w:val="single" w:sz="4" w:space="0" w:color="000000"/>
              <w:bottom w:val="single" w:sz="4" w:space="0" w:color="000000"/>
              <w:right w:val="single" w:sz="4" w:space="0" w:color="000000"/>
            </w:tcBorders>
            <w:vAlign w:val="center"/>
          </w:tcPr>
          <w:p w14:paraId="02C3382B" w14:textId="77777777" w:rsidR="00994BF6" w:rsidRPr="00E04D44" w:rsidRDefault="00994BF6" w:rsidP="00AC455B">
            <w:pPr>
              <w:spacing w:before="0" w:after="0"/>
              <w:jc w:val="right"/>
              <w:rPr>
                <w:spacing w:val="-3"/>
                <w:sz w:val="16"/>
                <w:szCs w:val="16"/>
              </w:rPr>
            </w:pPr>
            <w:r w:rsidRPr="00E04D44">
              <w:rPr>
                <w:spacing w:val="-3"/>
                <w:sz w:val="16"/>
                <w:szCs w:val="16"/>
              </w:rPr>
              <w:t>944,673</w:t>
            </w:r>
          </w:p>
        </w:tc>
        <w:tc>
          <w:tcPr>
            <w:tcW w:w="0" w:type="auto"/>
            <w:tcBorders>
              <w:top w:val="single" w:sz="4" w:space="0" w:color="000000"/>
              <w:left w:val="single" w:sz="4" w:space="0" w:color="000000"/>
              <w:bottom w:val="single" w:sz="4" w:space="0" w:color="000000"/>
              <w:right w:val="single" w:sz="4" w:space="0" w:color="000000"/>
            </w:tcBorders>
            <w:vAlign w:val="center"/>
          </w:tcPr>
          <w:p w14:paraId="164E759B" w14:textId="77777777" w:rsidR="00994BF6" w:rsidRPr="00E04D44" w:rsidRDefault="00994BF6" w:rsidP="00AC455B">
            <w:pPr>
              <w:spacing w:before="0" w:after="0"/>
              <w:jc w:val="right"/>
              <w:rPr>
                <w:spacing w:val="-3"/>
                <w:sz w:val="16"/>
                <w:szCs w:val="16"/>
              </w:rPr>
            </w:pPr>
            <w:r w:rsidRPr="00E04D44">
              <w:rPr>
                <w:spacing w:val="-3"/>
                <w:sz w:val="16"/>
                <w:szCs w:val="16"/>
              </w:rPr>
              <w:t>81,547,819</w:t>
            </w:r>
          </w:p>
        </w:tc>
        <w:tc>
          <w:tcPr>
            <w:tcW w:w="0" w:type="auto"/>
            <w:tcBorders>
              <w:top w:val="single" w:sz="4" w:space="0" w:color="000000"/>
              <w:left w:val="single" w:sz="4" w:space="0" w:color="000000"/>
              <w:bottom w:val="single" w:sz="4" w:space="0" w:color="000000"/>
            </w:tcBorders>
            <w:vAlign w:val="center"/>
          </w:tcPr>
          <w:p w14:paraId="5B0286B0" w14:textId="77777777" w:rsidR="00994BF6" w:rsidRPr="00E04D44" w:rsidRDefault="00994BF6" w:rsidP="00AC455B">
            <w:pPr>
              <w:spacing w:before="0" w:after="0"/>
              <w:jc w:val="right"/>
              <w:rPr>
                <w:spacing w:val="-3"/>
                <w:sz w:val="16"/>
                <w:szCs w:val="16"/>
              </w:rPr>
            </w:pPr>
            <w:r w:rsidRPr="00E04D44">
              <w:rPr>
                <w:spacing w:val="-3"/>
                <w:sz w:val="16"/>
                <w:szCs w:val="16"/>
              </w:rPr>
              <w:t>86.32</w:t>
            </w:r>
          </w:p>
        </w:tc>
      </w:tr>
      <w:tr w:rsidR="00994BF6" w:rsidRPr="00E04D44" w14:paraId="74FDD76C" w14:textId="77777777" w:rsidTr="00AC455B">
        <w:trPr>
          <w:trHeight w:val="261"/>
          <w:jc w:val="center"/>
        </w:trPr>
        <w:tc>
          <w:tcPr>
            <w:tcW w:w="2150" w:type="dxa"/>
            <w:tcBorders>
              <w:top w:val="single" w:sz="4" w:space="0" w:color="000000"/>
              <w:bottom w:val="single" w:sz="4" w:space="0" w:color="000000"/>
              <w:right w:val="single" w:sz="4" w:space="0" w:color="000000"/>
            </w:tcBorders>
          </w:tcPr>
          <w:p w14:paraId="18AF591D" w14:textId="77777777" w:rsidR="00994BF6" w:rsidRPr="00E04D44" w:rsidRDefault="00994BF6" w:rsidP="00AC455B">
            <w:pPr>
              <w:spacing w:before="0" w:after="0"/>
              <w:rPr>
                <w:b/>
                <w:spacing w:val="-3"/>
                <w:sz w:val="16"/>
                <w:szCs w:val="16"/>
              </w:rPr>
            </w:pPr>
            <w:r w:rsidRPr="00E04D44">
              <w:rPr>
                <w:b/>
                <w:spacing w:val="-3"/>
                <w:sz w:val="16"/>
                <w:szCs w:val="16"/>
              </w:rPr>
              <w:lastRenderedPageBreak/>
              <w:t>TOTAL ANUAL</w:t>
            </w:r>
          </w:p>
        </w:tc>
        <w:tc>
          <w:tcPr>
            <w:tcW w:w="0" w:type="auto"/>
            <w:tcBorders>
              <w:top w:val="single" w:sz="4" w:space="0" w:color="000000"/>
              <w:left w:val="single" w:sz="4" w:space="0" w:color="000000"/>
              <w:bottom w:val="single" w:sz="4" w:space="0" w:color="000000"/>
              <w:right w:val="single" w:sz="4" w:space="0" w:color="000000"/>
            </w:tcBorders>
            <w:vAlign w:val="center"/>
          </w:tcPr>
          <w:p w14:paraId="19FA5AA5" w14:textId="77777777" w:rsidR="00994BF6" w:rsidRPr="00E04D44" w:rsidRDefault="00994BF6" w:rsidP="00AC455B">
            <w:pPr>
              <w:spacing w:before="0" w:after="0"/>
              <w:jc w:val="right"/>
              <w:rPr>
                <w:spacing w:val="-3"/>
                <w:sz w:val="16"/>
                <w:szCs w:val="16"/>
              </w:rPr>
            </w:pPr>
            <w:r w:rsidRPr="00E04D44">
              <w:rPr>
                <w:spacing w:val="-3"/>
                <w:sz w:val="16"/>
                <w:szCs w:val="16"/>
              </w:rPr>
              <w:t>10,576,555</w:t>
            </w:r>
          </w:p>
        </w:tc>
        <w:tc>
          <w:tcPr>
            <w:tcW w:w="0" w:type="auto"/>
            <w:tcBorders>
              <w:top w:val="single" w:sz="4" w:space="0" w:color="000000"/>
              <w:left w:val="single" w:sz="4" w:space="0" w:color="000000"/>
              <w:bottom w:val="single" w:sz="4" w:space="0" w:color="000000"/>
              <w:right w:val="single" w:sz="4" w:space="0" w:color="000000"/>
            </w:tcBorders>
            <w:vAlign w:val="center"/>
          </w:tcPr>
          <w:p w14:paraId="34742CC1" w14:textId="77777777" w:rsidR="00994BF6" w:rsidRPr="00E04D44" w:rsidRDefault="00994BF6" w:rsidP="00AC455B">
            <w:pPr>
              <w:spacing w:before="0" w:after="0"/>
              <w:jc w:val="right"/>
              <w:rPr>
                <w:spacing w:val="-3"/>
                <w:sz w:val="16"/>
                <w:szCs w:val="16"/>
              </w:rPr>
            </w:pPr>
            <w:r w:rsidRPr="00E04D44">
              <w:rPr>
                <w:spacing w:val="-3"/>
                <w:sz w:val="16"/>
                <w:szCs w:val="16"/>
              </w:rPr>
              <w:t>790,749,191</w:t>
            </w:r>
          </w:p>
        </w:tc>
        <w:tc>
          <w:tcPr>
            <w:tcW w:w="0" w:type="auto"/>
            <w:tcBorders>
              <w:top w:val="single" w:sz="4" w:space="0" w:color="000000"/>
              <w:left w:val="single" w:sz="4" w:space="0" w:color="000000"/>
              <w:bottom w:val="single" w:sz="4" w:space="0" w:color="000000"/>
            </w:tcBorders>
            <w:vAlign w:val="center"/>
          </w:tcPr>
          <w:p w14:paraId="67E5C685" w14:textId="77777777" w:rsidR="00994BF6" w:rsidRPr="00E04D44" w:rsidRDefault="00994BF6" w:rsidP="00AC455B">
            <w:pPr>
              <w:spacing w:before="0" w:after="0"/>
              <w:jc w:val="right"/>
              <w:rPr>
                <w:spacing w:val="-3"/>
                <w:sz w:val="16"/>
                <w:szCs w:val="16"/>
              </w:rPr>
            </w:pPr>
            <w:r w:rsidRPr="00E04D44">
              <w:rPr>
                <w:spacing w:val="-3"/>
                <w:sz w:val="16"/>
                <w:szCs w:val="16"/>
              </w:rPr>
              <w:t>74.76</w:t>
            </w:r>
          </w:p>
        </w:tc>
      </w:tr>
      <w:tr w:rsidR="00994BF6" w:rsidRPr="00E04D44" w14:paraId="03BDD0DE" w14:textId="77777777" w:rsidTr="00AC455B">
        <w:trPr>
          <w:trHeight w:val="125"/>
          <w:jc w:val="center"/>
        </w:trPr>
        <w:tc>
          <w:tcPr>
            <w:tcW w:w="2150" w:type="dxa"/>
            <w:tcBorders>
              <w:top w:val="single" w:sz="4" w:space="0" w:color="000000"/>
              <w:right w:val="single" w:sz="4" w:space="0" w:color="000000"/>
            </w:tcBorders>
          </w:tcPr>
          <w:p w14:paraId="493E34C8" w14:textId="77777777" w:rsidR="00994BF6" w:rsidRPr="00E04D44" w:rsidRDefault="00994BF6" w:rsidP="00AC455B">
            <w:pPr>
              <w:spacing w:before="0" w:after="0"/>
              <w:rPr>
                <w:b/>
                <w:spacing w:val="-3"/>
                <w:sz w:val="16"/>
                <w:szCs w:val="16"/>
              </w:rPr>
            </w:pPr>
            <w:r w:rsidRPr="00E04D44">
              <w:rPr>
                <w:b/>
                <w:spacing w:val="-3"/>
                <w:sz w:val="16"/>
                <w:szCs w:val="16"/>
              </w:rPr>
              <w:t>PROMEDIO MENSUAL</w:t>
            </w:r>
          </w:p>
        </w:tc>
        <w:tc>
          <w:tcPr>
            <w:tcW w:w="0" w:type="auto"/>
            <w:tcBorders>
              <w:top w:val="single" w:sz="4" w:space="0" w:color="000000"/>
              <w:left w:val="single" w:sz="4" w:space="0" w:color="000000"/>
              <w:right w:val="single" w:sz="4" w:space="0" w:color="000000"/>
            </w:tcBorders>
            <w:vAlign w:val="center"/>
          </w:tcPr>
          <w:p w14:paraId="10C9E427" w14:textId="77777777" w:rsidR="00994BF6" w:rsidRPr="00E04D44" w:rsidRDefault="00994BF6" w:rsidP="00AC455B">
            <w:pPr>
              <w:spacing w:before="0" w:after="0"/>
              <w:jc w:val="right"/>
              <w:rPr>
                <w:spacing w:val="-3"/>
                <w:sz w:val="16"/>
                <w:szCs w:val="16"/>
              </w:rPr>
            </w:pPr>
            <w:r w:rsidRPr="00E04D44">
              <w:rPr>
                <w:spacing w:val="-3"/>
                <w:sz w:val="16"/>
                <w:szCs w:val="16"/>
              </w:rPr>
              <w:t>881,380</w:t>
            </w:r>
          </w:p>
        </w:tc>
        <w:tc>
          <w:tcPr>
            <w:tcW w:w="0" w:type="auto"/>
            <w:tcBorders>
              <w:top w:val="single" w:sz="4" w:space="0" w:color="000000"/>
              <w:left w:val="single" w:sz="4" w:space="0" w:color="000000"/>
              <w:right w:val="single" w:sz="4" w:space="0" w:color="000000"/>
            </w:tcBorders>
            <w:vAlign w:val="center"/>
          </w:tcPr>
          <w:p w14:paraId="0D2D62A5" w14:textId="77777777" w:rsidR="00994BF6" w:rsidRPr="00E04D44" w:rsidRDefault="00994BF6" w:rsidP="00AC455B">
            <w:pPr>
              <w:spacing w:before="0" w:after="0"/>
              <w:jc w:val="right"/>
              <w:rPr>
                <w:spacing w:val="-3"/>
                <w:sz w:val="16"/>
                <w:szCs w:val="16"/>
              </w:rPr>
            </w:pPr>
            <w:r w:rsidRPr="00E04D44">
              <w:rPr>
                <w:spacing w:val="-3"/>
                <w:sz w:val="16"/>
                <w:szCs w:val="16"/>
              </w:rPr>
              <w:t>65,895,766</w:t>
            </w:r>
          </w:p>
        </w:tc>
        <w:tc>
          <w:tcPr>
            <w:tcW w:w="0" w:type="auto"/>
            <w:tcBorders>
              <w:top w:val="single" w:sz="4" w:space="0" w:color="000000"/>
              <w:left w:val="single" w:sz="4" w:space="0" w:color="000000"/>
            </w:tcBorders>
            <w:vAlign w:val="center"/>
          </w:tcPr>
          <w:p w14:paraId="008B86C4" w14:textId="77777777" w:rsidR="00994BF6" w:rsidRPr="00E04D44" w:rsidRDefault="00994BF6" w:rsidP="00AC455B">
            <w:pPr>
              <w:spacing w:before="0" w:after="0"/>
              <w:jc w:val="right"/>
              <w:rPr>
                <w:spacing w:val="-3"/>
                <w:sz w:val="16"/>
                <w:szCs w:val="16"/>
              </w:rPr>
            </w:pPr>
            <w:r w:rsidRPr="00E04D44">
              <w:rPr>
                <w:spacing w:val="-3"/>
                <w:sz w:val="16"/>
                <w:szCs w:val="16"/>
              </w:rPr>
              <w:t>74.76</w:t>
            </w:r>
          </w:p>
        </w:tc>
      </w:tr>
    </w:tbl>
    <w:p w14:paraId="0647F95B" w14:textId="77777777" w:rsidR="00A509FD" w:rsidRPr="00415EA3" w:rsidRDefault="00A509FD" w:rsidP="00A509FD">
      <w:pPr>
        <w:rPr>
          <w:b/>
          <w:bCs/>
          <w:spacing w:val="-3"/>
        </w:rPr>
      </w:pPr>
      <w:r w:rsidRPr="00415EA3">
        <w:rPr>
          <w:b/>
          <w:bCs/>
          <w:spacing w:val="-3"/>
        </w:rPr>
        <w:t>Análisis de la Comisión</w:t>
      </w:r>
    </w:p>
    <w:p w14:paraId="03DFE1BD" w14:textId="2302C853" w:rsidR="00987E5E" w:rsidRDefault="00566558" w:rsidP="00A509FD">
      <w:pPr>
        <w:rPr>
          <w:spacing w:val="-3"/>
        </w:rPr>
      </w:pPr>
      <w:r>
        <w:rPr>
          <w:spacing w:val="-3"/>
        </w:rPr>
        <w:t xml:space="preserve">En </w:t>
      </w:r>
      <w:r w:rsidR="0039244C">
        <w:rPr>
          <w:spacing w:val="-3"/>
        </w:rPr>
        <w:t xml:space="preserve">relación con el </w:t>
      </w:r>
      <w:r w:rsidR="008F383E">
        <w:rPr>
          <w:spacing w:val="-3"/>
        </w:rPr>
        <w:t>v</w:t>
      </w:r>
      <w:r w:rsidR="0039244C" w:rsidRPr="0039244C">
        <w:rPr>
          <w:spacing w:val="-3"/>
        </w:rPr>
        <w:t>alor anual por concepto de conexiones en el nivel de tensión 3</w:t>
      </w:r>
      <w:r w:rsidR="008F383E">
        <w:rPr>
          <w:spacing w:val="-3"/>
        </w:rPr>
        <w:t xml:space="preserve">, </w:t>
      </w:r>
      <w:r w:rsidR="008F383E">
        <w:rPr>
          <w:i/>
          <w:iCs/>
          <w:spacing w:val="-3"/>
        </w:rPr>
        <w:t>O</w:t>
      </w:r>
      <w:r w:rsidR="008F383E">
        <w:rPr>
          <w:i/>
          <w:iCs/>
          <w:spacing w:val="-3"/>
          <w:vertAlign w:val="subscript"/>
        </w:rPr>
        <w:t>j</w:t>
      </w:r>
      <w:r w:rsidR="008F383E" w:rsidRPr="00987E5E">
        <w:rPr>
          <w:i/>
          <w:iCs/>
          <w:spacing w:val="-3"/>
          <w:vertAlign w:val="subscript"/>
        </w:rPr>
        <w:t>,</w:t>
      </w:r>
      <w:r w:rsidR="008F383E">
        <w:rPr>
          <w:i/>
          <w:iCs/>
          <w:spacing w:val="-3"/>
          <w:vertAlign w:val="subscript"/>
        </w:rPr>
        <w:t>3</w:t>
      </w:r>
      <w:r w:rsidR="008F383E">
        <w:rPr>
          <w:spacing w:val="-3"/>
        </w:rPr>
        <w:t xml:space="preserve">, </w:t>
      </w:r>
      <w:r>
        <w:rPr>
          <w:spacing w:val="-3"/>
        </w:rPr>
        <w:t xml:space="preserve">el OR </w:t>
      </w:r>
      <w:r w:rsidR="00987E5E">
        <w:rPr>
          <w:spacing w:val="-3"/>
        </w:rPr>
        <w:t xml:space="preserve">no </w:t>
      </w:r>
      <w:r w:rsidR="00B91509">
        <w:rPr>
          <w:spacing w:val="-3"/>
        </w:rPr>
        <w:t xml:space="preserve">diligenció </w:t>
      </w:r>
      <w:r w:rsidR="00987E5E">
        <w:rPr>
          <w:spacing w:val="-3"/>
        </w:rPr>
        <w:t xml:space="preserve">información de las variables </w:t>
      </w:r>
      <w:r w:rsidR="00987E5E" w:rsidRPr="00987E5E">
        <w:rPr>
          <w:i/>
          <w:iCs/>
          <w:spacing w:val="-3"/>
        </w:rPr>
        <w:t>CD</w:t>
      </w:r>
      <w:r w:rsidR="00987E5E" w:rsidRPr="00987E5E">
        <w:rPr>
          <w:i/>
          <w:iCs/>
          <w:spacing w:val="-3"/>
          <w:vertAlign w:val="subscript"/>
        </w:rPr>
        <w:t>f,3</w:t>
      </w:r>
      <w:r w:rsidR="00953F95">
        <w:rPr>
          <w:spacing w:val="-3"/>
        </w:rPr>
        <w:t xml:space="preserve"> y</w:t>
      </w:r>
      <w:r w:rsidR="00987E5E">
        <w:rPr>
          <w:spacing w:val="-3"/>
        </w:rPr>
        <w:t xml:space="preserve"> </w:t>
      </w:r>
      <w:r w:rsidR="00953F95" w:rsidRPr="00987E5E">
        <w:rPr>
          <w:i/>
          <w:iCs/>
          <w:spacing w:val="-3"/>
        </w:rPr>
        <w:t>EI</w:t>
      </w:r>
      <w:r w:rsidR="00953F95" w:rsidRPr="00987E5E">
        <w:rPr>
          <w:i/>
          <w:iCs/>
          <w:spacing w:val="-3"/>
          <w:vertAlign w:val="subscript"/>
        </w:rPr>
        <w:t>j,f</w:t>
      </w:r>
      <w:r w:rsidR="00953F95">
        <w:rPr>
          <w:spacing w:val="-3"/>
        </w:rPr>
        <w:t xml:space="preserve"> </w:t>
      </w:r>
      <w:r w:rsidR="008F383E">
        <w:rPr>
          <w:spacing w:val="-3"/>
        </w:rPr>
        <w:t xml:space="preserve">en su solicitud inicial de ingresos, </w:t>
      </w:r>
      <w:r w:rsidR="00056CF7">
        <w:rPr>
          <w:spacing w:val="-3"/>
        </w:rPr>
        <w:t xml:space="preserve">lo cual </w:t>
      </w:r>
      <w:r w:rsidR="008F383E">
        <w:rPr>
          <w:spacing w:val="-3"/>
        </w:rPr>
        <w:t>indujo a</w:t>
      </w:r>
      <w:r w:rsidR="00056CF7">
        <w:rPr>
          <w:spacing w:val="-3"/>
        </w:rPr>
        <w:t xml:space="preserve"> interpreta</w:t>
      </w:r>
      <w:r w:rsidR="008F383E">
        <w:rPr>
          <w:spacing w:val="-3"/>
        </w:rPr>
        <w:t>r</w:t>
      </w:r>
      <w:r w:rsidR="00056CF7">
        <w:rPr>
          <w:spacing w:val="-3"/>
        </w:rPr>
        <w:t xml:space="preserve"> </w:t>
      </w:r>
      <w:r w:rsidR="00953F95">
        <w:rPr>
          <w:spacing w:val="-3"/>
        </w:rPr>
        <w:t>dicho valor anual como 0.</w:t>
      </w:r>
      <w:r w:rsidR="00056CF7">
        <w:rPr>
          <w:spacing w:val="-3"/>
        </w:rPr>
        <w:t xml:space="preserve"> </w:t>
      </w:r>
    </w:p>
    <w:p w14:paraId="1235C2B2" w14:textId="0511EF05" w:rsidR="00A509FD" w:rsidRPr="00673C6C" w:rsidRDefault="00055AB2" w:rsidP="00A509FD">
      <w:pPr>
        <w:rPr>
          <w:spacing w:val="-3"/>
        </w:rPr>
      </w:pPr>
      <w:r>
        <w:rPr>
          <w:spacing w:val="-3"/>
        </w:rPr>
        <w:t xml:space="preserve">En el presente recurso informa de la existencia de una </w:t>
      </w:r>
      <w:r w:rsidR="00580CE2">
        <w:rPr>
          <w:spacing w:val="-3"/>
        </w:rPr>
        <w:t xml:space="preserve">conexión al sistema de </w:t>
      </w:r>
      <w:r w:rsidR="00580CE2" w:rsidRPr="00580CE2">
        <w:rPr>
          <w:spacing w:val="-3"/>
        </w:rPr>
        <w:t>CEDENAR S.A. E.S.P.,</w:t>
      </w:r>
      <w:r w:rsidR="004E1514">
        <w:rPr>
          <w:spacing w:val="-3"/>
        </w:rPr>
        <w:t xml:space="preserve"> y </w:t>
      </w:r>
      <w:r w:rsidR="00882E76">
        <w:rPr>
          <w:spacing w:val="-3"/>
        </w:rPr>
        <w:t>valores de la energía importada y del cargo de referencia.</w:t>
      </w:r>
      <w:r w:rsidR="00EC46EC">
        <w:rPr>
          <w:spacing w:val="-3"/>
        </w:rPr>
        <w:t xml:space="preserve"> </w:t>
      </w:r>
      <w:r w:rsidR="003A08BA">
        <w:rPr>
          <w:spacing w:val="-3"/>
        </w:rPr>
        <w:t xml:space="preserve">En este sentido, y teniendo en cuenta que </w:t>
      </w:r>
      <w:r w:rsidR="00AD6A8B">
        <w:rPr>
          <w:spacing w:val="-3"/>
        </w:rPr>
        <w:t xml:space="preserve">la existencia de la conexión en mención </w:t>
      </w:r>
      <w:r w:rsidR="003A08BA">
        <w:rPr>
          <w:spacing w:val="-3"/>
        </w:rPr>
        <w:t>es consistente con la información de lecturas crudas</w:t>
      </w:r>
      <w:r w:rsidR="00B2646F">
        <w:rPr>
          <w:spacing w:val="-3"/>
        </w:rPr>
        <w:t xml:space="preserve"> de las fronteras comerciales</w:t>
      </w:r>
      <w:r w:rsidR="003A08BA">
        <w:rPr>
          <w:spacing w:val="-3"/>
        </w:rPr>
        <w:t xml:space="preserve"> </w:t>
      </w:r>
      <w:r w:rsidR="00B2646F">
        <w:rPr>
          <w:spacing w:val="-3"/>
        </w:rPr>
        <w:t>entregada por el LAC a la Comisión, s</w:t>
      </w:r>
      <w:r w:rsidR="00EC46EC">
        <w:rPr>
          <w:spacing w:val="-3"/>
        </w:rPr>
        <w:t xml:space="preserve">e acepta la información presentada por el OR, </w:t>
      </w:r>
      <w:r w:rsidR="00CF01E4">
        <w:rPr>
          <w:spacing w:val="-3"/>
        </w:rPr>
        <w:t>tomando como valor</w:t>
      </w:r>
      <w:r w:rsidR="00673C6C">
        <w:rPr>
          <w:spacing w:val="-3"/>
        </w:rPr>
        <w:t>es</w:t>
      </w:r>
      <w:r w:rsidR="00CF01E4">
        <w:rPr>
          <w:spacing w:val="-3"/>
        </w:rPr>
        <w:t xml:space="preserve"> para la variable </w:t>
      </w:r>
      <w:r w:rsidR="00CF01E4" w:rsidRPr="00987E5E">
        <w:rPr>
          <w:i/>
          <w:iCs/>
          <w:spacing w:val="-3"/>
        </w:rPr>
        <w:t>CD</w:t>
      </w:r>
      <w:r w:rsidR="00CF01E4">
        <w:rPr>
          <w:i/>
          <w:iCs/>
          <w:spacing w:val="-3"/>
          <w:vertAlign w:val="subscript"/>
        </w:rPr>
        <w:t>1</w:t>
      </w:r>
      <w:r w:rsidR="00CF01E4" w:rsidRPr="00987E5E">
        <w:rPr>
          <w:i/>
          <w:iCs/>
          <w:spacing w:val="-3"/>
          <w:vertAlign w:val="subscript"/>
        </w:rPr>
        <w:t>,3</w:t>
      </w:r>
      <w:r w:rsidR="00CF01E4">
        <w:rPr>
          <w:i/>
          <w:iCs/>
          <w:spacing w:val="-3"/>
          <w:vertAlign w:val="subscript"/>
        </w:rPr>
        <w:t xml:space="preserve"> </w:t>
      </w:r>
      <w:r w:rsidR="00CF01E4" w:rsidRPr="00CF01E4">
        <w:rPr>
          <w:spacing w:val="-3"/>
        </w:rPr>
        <w:t>10</w:t>
      </w:r>
      <w:r w:rsidR="00CF01E4">
        <w:rPr>
          <w:spacing w:val="-3"/>
        </w:rPr>
        <w:t>.</w:t>
      </w:r>
      <w:r w:rsidR="00CF01E4" w:rsidRPr="00CF01E4">
        <w:rPr>
          <w:spacing w:val="-3"/>
        </w:rPr>
        <w:t>594</w:t>
      </w:r>
      <w:r w:rsidR="00CF01E4">
        <w:rPr>
          <w:spacing w:val="-3"/>
        </w:rPr>
        <w:t>.</w:t>
      </w:r>
      <w:r w:rsidR="00CF01E4" w:rsidRPr="00CF01E4">
        <w:rPr>
          <w:spacing w:val="-3"/>
        </w:rPr>
        <w:t>036</w:t>
      </w:r>
      <w:r w:rsidR="00CF01E4">
        <w:rPr>
          <w:spacing w:val="-3"/>
        </w:rPr>
        <w:t xml:space="preserve"> kWh y </w:t>
      </w:r>
      <w:r w:rsidR="00673C6C">
        <w:rPr>
          <w:spacing w:val="-3"/>
        </w:rPr>
        <w:t xml:space="preserve">para la variable </w:t>
      </w:r>
      <w:r w:rsidR="00673C6C" w:rsidRPr="00987E5E">
        <w:rPr>
          <w:i/>
          <w:iCs/>
          <w:spacing w:val="-3"/>
        </w:rPr>
        <w:t>EI</w:t>
      </w:r>
      <w:r w:rsidR="00673C6C" w:rsidRPr="00987E5E">
        <w:rPr>
          <w:i/>
          <w:iCs/>
          <w:spacing w:val="-3"/>
          <w:vertAlign w:val="subscript"/>
        </w:rPr>
        <w:t>j,</w:t>
      </w:r>
      <w:r w:rsidR="00673C6C">
        <w:rPr>
          <w:i/>
          <w:iCs/>
          <w:spacing w:val="-3"/>
          <w:vertAlign w:val="subscript"/>
        </w:rPr>
        <w:t xml:space="preserve">1 </w:t>
      </w:r>
      <w:r w:rsidR="00673C6C" w:rsidRPr="00E55B9F">
        <w:rPr>
          <w:spacing w:val="-3"/>
        </w:rPr>
        <w:t>27</w:t>
      </w:r>
      <w:r w:rsidR="00E55B9F" w:rsidRPr="00E55B9F">
        <w:rPr>
          <w:spacing w:val="-3"/>
        </w:rPr>
        <w:t>,76 $/kWh</w:t>
      </w:r>
      <w:r w:rsidR="00E55B9F">
        <w:rPr>
          <w:spacing w:val="-3"/>
        </w:rPr>
        <w:t xml:space="preserve"> a partir del reporte total anual para 2017 entregado por el OR.</w:t>
      </w:r>
    </w:p>
    <w:p w14:paraId="6B456812" w14:textId="16F2A24B" w:rsidR="00D578F4" w:rsidRPr="0074265B" w:rsidRDefault="00FB1643" w:rsidP="0074265B">
      <w:pPr>
        <w:pStyle w:val="Prrafodelista"/>
        <w:numPr>
          <w:ilvl w:val="0"/>
          <w:numId w:val="9"/>
        </w:numPr>
        <w:ind w:left="548"/>
        <w:rPr>
          <w:b/>
        </w:rPr>
      </w:pPr>
      <w:r>
        <w:rPr>
          <w:b/>
        </w:rPr>
        <w:t>C</w:t>
      </w:r>
      <w:r w:rsidRPr="0074265B">
        <w:rPr>
          <w:b/>
        </w:rPr>
        <w:t>onsideraciones de tipo financiero</w:t>
      </w:r>
      <w:r w:rsidR="00D578F4" w:rsidRPr="0074265B">
        <w:rPr>
          <w:b/>
        </w:rPr>
        <w:t>:</w:t>
      </w:r>
    </w:p>
    <w:p w14:paraId="76663F66" w14:textId="77777777" w:rsidR="003F4B2B" w:rsidRPr="00AC4B38" w:rsidRDefault="003F4B2B" w:rsidP="0074265B">
      <w:pPr>
        <w:rPr>
          <w:i/>
          <w:iCs/>
          <w:spacing w:val="-3"/>
          <w:sz w:val="20"/>
          <w:szCs w:val="20"/>
        </w:rPr>
      </w:pPr>
      <w:r w:rsidRPr="00AC4B38">
        <w:rPr>
          <w:i/>
          <w:iCs/>
          <w:spacing w:val="-3"/>
          <w:sz w:val="20"/>
          <w:szCs w:val="20"/>
        </w:rPr>
        <w:t>Hemos realizado las proyecciones de ingresos con base en las variables aprobadas para EMEVASI S.A. E.S.P. en resolución CREG 220 de 2021 (anexo archivo Excel “PROYECCION INGRESOS”), obteniendo como resultado una reducción en los ingresos anuales de aproximadamente $1.131.000.000, que equivalen aproximadamente al 11,5 % de los ingresos operacionales de toda la empresa. Es aún más preocupante el tema de la aplicación retroactiva de los ingresos desde el año 2019, ya que se observa una diferencia a reintegrar desde enero de 2019 hasta noviembre de 2021, por valor aproximado de $ 1.834.000.000, que junto con la reducción de ingresos arriba anotada sumaría una reducción total de $ 2.965.000.000 para el primer año de aplicación de la resolución, equivalentes al 30 % del total de ingresos de la empresa, situación que sería completamente insostenible y que llevaría a la inviabilidad financiera de la empresa, tal como se demuestra en el estado de resultado integral proyectado a 2022 (adjunto).</w:t>
      </w:r>
    </w:p>
    <w:p w14:paraId="1AF2323E" w14:textId="066A8AF0" w:rsidR="003F4B2B" w:rsidRPr="00AC4B38" w:rsidRDefault="003F4B2B" w:rsidP="0074265B">
      <w:pPr>
        <w:rPr>
          <w:i/>
          <w:iCs/>
          <w:spacing w:val="-3"/>
          <w:sz w:val="20"/>
          <w:szCs w:val="20"/>
        </w:rPr>
      </w:pPr>
      <w:r w:rsidRPr="00AC4B38">
        <w:rPr>
          <w:i/>
          <w:iCs/>
          <w:spacing w:val="-3"/>
          <w:sz w:val="20"/>
          <w:szCs w:val="20"/>
        </w:rPr>
        <w:t>Considerando lo anterior, atentamente solicitamos a la Comisión que se conceda un plazo de sesenta (60) meses para el reintegro del ingreso retroactivo.</w:t>
      </w:r>
    </w:p>
    <w:p w14:paraId="5EC04E99" w14:textId="0AFCF727" w:rsidR="0042633F" w:rsidRPr="00415EA3" w:rsidRDefault="0042633F" w:rsidP="0042633F">
      <w:pPr>
        <w:rPr>
          <w:b/>
          <w:bCs/>
          <w:spacing w:val="-3"/>
        </w:rPr>
      </w:pPr>
      <w:r w:rsidRPr="00415EA3">
        <w:rPr>
          <w:b/>
          <w:bCs/>
          <w:spacing w:val="-3"/>
        </w:rPr>
        <w:t>Análisis de la Comisión</w:t>
      </w:r>
    </w:p>
    <w:p w14:paraId="26C549B6" w14:textId="77777777" w:rsidR="00465383" w:rsidRPr="00465383" w:rsidRDefault="00465383" w:rsidP="00465383">
      <w:pPr>
        <w:rPr>
          <w:spacing w:val="-3"/>
        </w:rPr>
      </w:pPr>
      <w:r w:rsidRPr="00465383">
        <w:rPr>
          <w:spacing w:val="-3"/>
        </w:rPr>
        <w:t>Con base en lo presentado, se observan dos elementos a ser analizados así:</w:t>
      </w:r>
    </w:p>
    <w:p w14:paraId="79A98F60" w14:textId="315A2A80" w:rsidR="00465383" w:rsidRPr="00465383" w:rsidRDefault="008B73D4" w:rsidP="00F065F0">
      <w:pPr>
        <w:numPr>
          <w:ilvl w:val="0"/>
          <w:numId w:val="10"/>
        </w:numPr>
        <w:tabs>
          <w:tab w:val="left" w:pos="270"/>
        </w:tabs>
        <w:ind w:left="0" w:firstLine="0"/>
        <w:rPr>
          <w:spacing w:val="-3"/>
          <w:lang w:val="es-CO"/>
        </w:rPr>
      </w:pPr>
      <w:r>
        <w:rPr>
          <w:spacing w:val="-3"/>
          <w:lang w:val="es-CO"/>
        </w:rPr>
        <w:t xml:space="preserve">Reducción del ingreso </w:t>
      </w:r>
      <w:r w:rsidR="00E32EE3">
        <w:rPr>
          <w:spacing w:val="-3"/>
          <w:lang w:val="es-CO"/>
        </w:rPr>
        <w:t>d</w:t>
      </w:r>
      <w:r w:rsidR="00465383" w:rsidRPr="00465383">
        <w:rPr>
          <w:spacing w:val="-3"/>
          <w:lang w:val="es-CO"/>
        </w:rPr>
        <w:t xml:space="preserve">el OR </w:t>
      </w:r>
      <w:r w:rsidR="00E32EE3">
        <w:rPr>
          <w:spacing w:val="-3"/>
          <w:lang w:val="es-CO"/>
        </w:rPr>
        <w:t xml:space="preserve">con la nueva metodología </w:t>
      </w:r>
      <w:r w:rsidR="00465383" w:rsidRPr="00465383">
        <w:rPr>
          <w:spacing w:val="-3"/>
          <w:lang w:val="es-CO"/>
        </w:rPr>
        <w:t>y,</w:t>
      </w:r>
    </w:p>
    <w:p w14:paraId="78EE41EB" w14:textId="5A6304AB" w:rsidR="00465383" w:rsidRPr="00465383" w:rsidRDefault="00465383" w:rsidP="00F065F0">
      <w:pPr>
        <w:numPr>
          <w:ilvl w:val="0"/>
          <w:numId w:val="10"/>
        </w:numPr>
        <w:tabs>
          <w:tab w:val="left" w:pos="270"/>
        </w:tabs>
        <w:ind w:left="0" w:firstLine="0"/>
        <w:rPr>
          <w:spacing w:val="-3"/>
          <w:lang w:val="es-CO"/>
        </w:rPr>
      </w:pPr>
      <w:r w:rsidRPr="00465383">
        <w:rPr>
          <w:spacing w:val="-3"/>
          <w:lang w:val="es-CO"/>
        </w:rPr>
        <w:t>El cálculo del monto a devolver por parte del OR y su relevancia respecto de las consideraciones de los egresos requeridos (inversión, gastos AOM, intereses, impuestos, recuperación de la inversión y rentabilidad)</w:t>
      </w:r>
      <w:r w:rsidR="00F065F0">
        <w:rPr>
          <w:spacing w:val="-3"/>
          <w:lang w:val="es-CO"/>
        </w:rPr>
        <w:t>.</w:t>
      </w:r>
    </w:p>
    <w:p w14:paraId="3AC5A90A" w14:textId="69323209" w:rsidR="0042633F" w:rsidRDefault="00465383" w:rsidP="0042633F">
      <w:pPr>
        <w:rPr>
          <w:spacing w:val="-3"/>
          <w:lang w:val="es-CO"/>
        </w:rPr>
      </w:pPr>
      <w:r w:rsidRPr="00465383">
        <w:rPr>
          <w:spacing w:val="-3"/>
          <w:lang w:val="es-CO"/>
        </w:rPr>
        <w:t xml:space="preserve">Respecto del primer aspecto, </w:t>
      </w:r>
      <w:r w:rsidR="00E32EE3">
        <w:rPr>
          <w:spacing w:val="-3"/>
          <w:lang w:val="es-CO"/>
        </w:rPr>
        <w:t>p</w:t>
      </w:r>
      <w:r w:rsidR="0042633F">
        <w:rPr>
          <w:spacing w:val="-3"/>
          <w:lang w:val="es-CO"/>
        </w:rPr>
        <w:t xml:space="preserve">ara analizar este fenómeno es importante conocer la naturaleza de la variación del ingreso, en este caso disminución, causada por la variable </w:t>
      </w:r>
      <w:r w:rsidR="0042633F" w:rsidRPr="009F0393">
        <w:rPr>
          <w:i/>
          <w:iCs/>
          <w:spacing w:val="-3"/>
          <w:lang w:val="es-CO"/>
        </w:rPr>
        <w:t>AIM</w:t>
      </w:r>
      <w:r w:rsidR="0042633F" w:rsidRPr="009F0393">
        <w:rPr>
          <w:i/>
          <w:iCs/>
          <w:spacing w:val="-3"/>
          <w:vertAlign w:val="subscript"/>
          <w:lang w:val="es-CO"/>
        </w:rPr>
        <w:t>j,n,m</w:t>
      </w:r>
      <w:r w:rsidR="0042633F">
        <w:rPr>
          <w:spacing w:val="-3"/>
          <w:lang w:val="es-CO"/>
        </w:rPr>
        <w:t>.</w:t>
      </w:r>
    </w:p>
    <w:p w14:paraId="4BF2A7FE" w14:textId="77777777" w:rsidR="0042633F" w:rsidRDefault="0042633F" w:rsidP="0042633F">
      <w:pPr>
        <w:rPr>
          <w:spacing w:val="-3"/>
          <w:lang w:val="es-CO"/>
        </w:rPr>
      </w:pPr>
      <w:r>
        <w:rPr>
          <w:spacing w:val="-3"/>
          <w:lang w:val="es-CO"/>
        </w:rPr>
        <w:t>La Resolución CREG 015 de 2018 estableció que las obligaciones de inversión presentadas para aprobación por los OR iniciaban en el 2019, independientemente de que su solicitud de aprobación de ingresos ya hubiese sido resuelta o no. La misma metodología también previó que el cambio en los ingresos aprobados con la nueva aplicación, incluyendo los ingresos relacionados con las inversiones, empezaban a causarse a partir de 2019 y para ello se introdujo una variable de ajuste, (</w:t>
      </w:r>
      <w:r w:rsidRPr="009F0393">
        <w:rPr>
          <w:i/>
          <w:iCs/>
          <w:spacing w:val="-3"/>
          <w:lang w:val="es-CO"/>
        </w:rPr>
        <w:t>AIM</w:t>
      </w:r>
      <w:r w:rsidRPr="009F0393">
        <w:rPr>
          <w:i/>
          <w:iCs/>
          <w:spacing w:val="-3"/>
          <w:vertAlign w:val="subscript"/>
          <w:lang w:val="es-CO"/>
        </w:rPr>
        <w:t>j,n,m</w:t>
      </w:r>
      <w:r>
        <w:rPr>
          <w:spacing w:val="-3"/>
          <w:lang w:val="es-CO"/>
        </w:rPr>
        <w:t xml:space="preserve">), mediante la cual, una vez que se hubiera aprobado la resolución de ingresos particular a un OR, se compararan los ingresos cobrados por un OR hasta ese momento con los que debía cobrar según la nueva metodología, con el fin de que la diferencia de recursos fueran distribuidos durante el primer año de aplicación de la metodología. </w:t>
      </w:r>
    </w:p>
    <w:p w14:paraId="3723A06D" w14:textId="77777777" w:rsidR="0042633F" w:rsidRDefault="0042633F" w:rsidP="0042633F">
      <w:pPr>
        <w:rPr>
          <w:spacing w:val="-3"/>
          <w:lang w:val="es-CO"/>
        </w:rPr>
      </w:pPr>
      <w:r>
        <w:rPr>
          <w:spacing w:val="-3"/>
          <w:lang w:val="es-CO"/>
        </w:rPr>
        <w:lastRenderedPageBreak/>
        <w:t>En los casos en los que los ingresos resultantes de la nueva metodología resultaran más altos que los recibidos con la anterior, el factor de ajuste es positivo indicando que el OR recibiría la diferencia de ingresos a partir de las tarifas del primer año y, de la misma forma, en caso de que los nuevos ingresos fueran inferiores a los cobrados, el factor de ajuste es negativo, indicando que el OR debería devolver a los usuarios el mayor valor cobrado.</w:t>
      </w:r>
    </w:p>
    <w:p w14:paraId="6CCE57AD" w14:textId="2761BDB6" w:rsidR="0042633F" w:rsidRDefault="0042633F" w:rsidP="0042633F">
      <w:pPr>
        <w:rPr>
          <w:spacing w:val="-3"/>
          <w:lang w:val="es-CO"/>
        </w:rPr>
      </w:pPr>
      <w:r>
        <w:rPr>
          <w:spacing w:val="-3"/>
          <w:lang w:val="es-CO"/>
        </w:rPr>
        <w:t xml:space="preserve">Esta última situación es la que presenta la </w:t>
      </w:r>
      <w:r w:rsidR="007C583D">
        <w:rPr>
          <w:spacing w:val="-3"/>
          <w:lang w:val="es-CO"/>
        </w:rPr>
        <w:t>Empresa de Energía del Valle de Sibundoy</w:t>
      </w:r>
      <w:r>
        <w:rPr>
          <w:spacing w:val="-3"/>
          <w:lang w:val="es-CO"/>
        </w:rPr>
        <w:t xml:space="preserve"> S.A. E.S.P. donde es pertinente mencionar que este factor de ajuste es calculable por parte de un OR desde el momento de solicitud de ingresos en aplicación de la Resolución CREG 015 de 2018, por lo que, desde la presentación de solicitud de ingresos, dicho agente pudo prever si su factor de ajuste sería positivo o negativo y anticiparse a las situaciones de ajuste de ingreso anunciadas. </w:t>
      </w:r>
    </w:p>
    <w:p w14:paraId="75D5C3DF" w14:textId="3A97C284" w:rsidR="0042633F" w:rsidRDefault="0042633F" w:rsidP="0042633F">
      <w:pPr>
        <w:rPr>
          <w:spacing w:val="-3"/>
        </w:rPr>
      </w:pPr>
      <w:r>
        <w:rPr>
          <w:spacing w:val="-3"/>
          <w:lang w:val="es-CO"/>
        </w:rPr>
        <w:t xml:space="preserve">Por su parte, respecto del </w:t>
      </w:r>
      <w:r w:rsidRPr="001004F6">
        <w:rPr>
          <w:spacing w:val="-3"/>
          <w:lang w:val="es-CO"/>
        </w:rPr>
        <w:t>cálculo del monto a devolver por parte del OR y su relevancia respecto de las consideraciones de los egresos requeridos</w:t>
      </w:r>
      <w:r>
        <w:rPr>
          <w:spacing w:val="-3"/>
          <w:lang w:val="es-CO"/>
        </w:rPr>
        <w:t xml:space="preserve">, </w:t>
      </w:r>
      <w:r w:rsidR="00447257">
        <w:rPr>
          <w:spacing w:val="-3"/>
          <w:lang w:val="es-CO"/>
        </w:rPr>
        <w:t>e</w:t>
      </w:r>
      <w:r>
        <w:rPr>
          <w:spacing w:val="-3"/>
        </w:rPr>
        <w:t xml:space="preserve">l OR presenta una tabla con </w:t>
      </w:r>
      <w:r w:rsidR="00AF0837">
        <w:rPr>
          <w:spacing w:val="-3"/>
        </w:rPr>
        <w:t>estimaciones</w:t>
      </w:r>
      <w:r>
        <w:rPr>
          <w:spacing w:val="-3"/>
        </w:rPr>
        <w:t xml:space="preserve"> de ingresos </w:t>
      </w:r>
      <w:r w:rsidR="00652550">
        <w:rPr>
          <w:spacing w:val="-3"/>
        </w:rPr>
        <w:t>d</w:t>
      </w:r>
      <w:r>
        <w:rPr>
          <w:spacing w:val="-3"/>
        </w:rPr>
        <w:t xml:space="preserve">el periodo </w:t>
      </w:r>
      <w:r w:rsidR="00652550">
        <w:rPr>
          <w:spacing w:val="-3"/>
        </w:rPr>
        <w:t>enero</w:t>
      </w:r>
      <w:r>
        <w:rPr>
          <w:spacing w:val="-3"/>
        </w:rPr>
        <w:t xml:space="preserve"> 2019 – </w:t>
      </w:r>
      <w:r w:rsidR="00652550">
        <w:rPr>
          <w:spacing w:val="-3"/>
        </w:rPr>
        <w:t>noviembre</w:t>
      </w:r>
      <w:r>
        <w:rPr>
          <w:spacing w:val="-3"/>
        </w:rPr>
        <w:t xml:space="preserve"> 2021, con valores acumulados de los ingresos obtenidos con la metodología de la Resolución CREG 097 de 2008 (valores IMA), valores resultantes de la aplicación de la nueva resolución (valores IMN) y los respectivos valores de ajuste (valores AIM).</w:t>
      </w:r>
    </w:p>
    <w:p w14:paraId="24C83F25" w14:textId="23F98302" w:rsidR="0042633F" w:rsidRDefault="00A47CED" w:rsidP="0042633F">
      <w:pPr>
        <w:rPr>
          <w:spacing w:val="-3"/>
        </w:rPr>
      </w:pPr>
      <w:r>
        <w:rPr>
          <w:spacing w:val="-3"/>
        </w:rPr>
        <w:t>De acuerdo con los cálculos del OR,</w:t>
      </w:r>
      <w:r w:rsidR="0042633F">
        <w:rPr>
          <w:spacing w:val="-3"/>
        </w:rPr>
        <w:t xml:space="preserve"> el acumulado de la variable de ajuste (AIM)</w:t>
      </w:r>
      <w:r>
        <w:rPr>
          <w:spacing w:val="-3"/>
        </w:rPr>
        <w:t xml:space="preserve"> para el periodo indicado anteriormente</w:t>
      </w:r>
      <w:r w:rsidR="0042633F">
        <w:rPr>
          <w:spacing w:val="-3"/>
        </w:rPr>
        <w:t xml:space="preserve"> asciende a</w:t>
      </w:r>
      <w:r w:rsidR="007E154E">
        <w:rPr>
          <w:spacing w:val="-3"/>
        </w:rPr>
        <w:t xml:space="preserve"> </w:t>
      </w:r>
      <w:r w:rsidR="0042633F">
        <w:rPr>
          <w:spacing w:val="-3"/>
        </w:rPr>
        <w:t>-$</w:t>
      </w:r>
      <w:r w:rsidR="007E154E" w:rsidRPr="007E154E">
        <w:rPr>
          <w:spacing w:val="-3"/>
        </w:rPr>
        <w:t>1</w:t>
      </w:r>
      <w:r>
        <w:rPr>
          <w:spacing w:val="-3"/>
        </w:rPr>
        <w:t>.</w:t>
      </w:r>
      <w:r w:rsidR="007E154E" w:rsidRPr="007E154E">
        <w:rPr>
          <w:spacing w:val="-3"/>
        </w:rPr>
        <w:t>833</w:t>
      </w:r>
      <w:r>
        <w:rPr>
          <w:spacing w:val="-3"/>
        </w:rPr>
        <w:t>.</w:t>
      </w:r>
      <w:r w:rsidR="007E154E" w:rsidRPr="007E154E">
        <w:rPr>
          <w:spacing w:val="-3"/>
        </w:rPr>
        <w:t>373</w:t>
      </w:r>
      <w:r>
        <w:rPr>
          <w:spacing w:val="-3"/>
        </w:rPr>
        <w:t>.</w:t>
      </w:r>
      <w:r w:rsidR="007E154E" w:rsidRPr="007E154E">
        <w:rPr>
          <w:spacing w:val="-3"/>
        </w:rPr>
        <w:t xml:space="preserve">854 </w:t>
      </w:r>
      <w:r w:rsidR="0042633F">
        <w:rPr>
          <w:spacing w:val="-3"/>
        </w:rPr>
        <w:t xml:space="preserve">pesos. El signo negativo significa que el OR recibió, en el periodo </w:t>
      </w:r>
      <w:r w:rsidR="00800CB3">
        <w:rPr>
          <w:spacing w:val="-3"/>
        </w:rPr>
        <w:t>enero</w:t>
      </w:r>
      <w:r w:rsidR="0042633F">
        <w:rPr>
          <w:spacing w:val="-3"/>
        </w:rPr>
        <w:t xml:space="preserve"> de 2019 – </w:t>
      </w:r>
      <w:r w:rsidR="00800CB3">
        <w:rPr>
          <w:spacing w:val="-3"/>
        </w:rPr>
        <w:t>noviembre</w:t>
      </w:r>
      <w:r w:rsidR="0042633F">
        <w:rPr>
          <w:spacing w:val="-3"/>
        </w:rPr>
        <w:t xml:space="preserve"> de 2021, dicha suma por parte de los usuarios y que la debe devolver a causa de la aprobación de menores ingresos con respecto a los obtenidos con la Resolución CREG 097 de 2008, como lo establece la metodología de la Resolución CREG 015 de 2018.</w:t>
      </w:r>
    </w:p>
    <w:p w14:paraId="60BAEF48" w14:textId="0EDB9CC9" w:rsidR="0042633F" w:rsidRDefault="000C3198" w:rsidP="000E01B2">
      <w:pPr>
        <w:rPr>
          <w:spacing w:val="-3"/>
        </w:rPr>
      </w:pPr>
      <w:r>
        <w:rPr>
          <w:spacing w:val="-3"/>
        </w:rPr>
        <w:t xml:space="preserve">Con base en la </w:t>
      </w:r>
      <w:r w:rsidR="00D0720A">
        <w:rPr>
          <w:spacing w:val="-3"/>
        </w:rPr>
        <w:t>información</w:t>
      </w:r>
      <w:r>
        <w:rPr>
          <w:spacing w:val="-3"/>
        </w:rPr>
        <w:t xml:space="preserve"> entregada por el OR a la Comisión, </w:t>
      </w:r>
      <w:r w:rsidR="00FC05AD">
        <w:rPr>
          <w:spacing w:val="-3"/>
        </w:rPr>
        <w:t>se ajust</w:t>
      </w:r>
      <w:r w:rsidR="00D0720A">
        <w:rPr>
          <w:spacing w:val="-3"/>
        </w:rPr>
        <w:t>ó</w:t>
      </w:r>
      <w:r w:rsidR="00FC05AD">
        <w:rPr>
          <w:spacing w:val="-3"/>
        </w:rPr>
        <w:t xml:space="preserve"> l</w:t>
      </w:r>
      <w:r w:rsidR="00D0720A">
        <w:rPr>
          <w:spacing w:val="-3"/>
        </w:rPr>
        <w:t>a estimación de</w:t>
      </w:r>
      <w:r w:rsidR="00FC05AD">
        <w:rPr>
          <w:spacing w:val="-3"/>
        </w:rPr>
        <w:t xml:space="preserve"> ingresos </w:t>
      </w:r>
      <w:r w:rsidR="00D0720A">
        <w:rPr>
          <w:spacing w:val="-3"/>
        </w:rPr>
        <w:t xml:space="preserve">teniendo en cuenta el valor por concepto de conexión Oj,3 y el valor del </w:t>
      </w:r>
      <w:r w:rsidR="006C6ABD">
        <w:rPr>
          <w:spacing w:val="-3"/>
        </w:rPr>
        <w:t xml:space="preserve">plan de mantenimiento de pérdidas que no fueron considerados por el OR. De esta manera, los ingresos mensuales se incrementan </w:t>
      </w:r>
      <w:r w:rsidR="000E01B2">
        <w:rPr>
          <w:spacing w:val="-3"/>
        </w:rPr>
        <w:t xml:space="preserve">como </w:t>
      </w:r>
      <w:r w:rsidR="0042633F" w:rsidRPr="000C35B1">
        <w:rPr>
          <w:spacing w:val="-3"/>
        </w:rPr>
        <w:t>se muestra en</w:t>
      </w:r>
      <w:r w:rsidR="000E01B2">
        <w:rPr>
          <w:spacing w:val="-3"/>
        </w:rPr>
        <w:t xml:space="preserve"> el resumen de</w:t>
      </w:r>
      <w:r w:rsidR="0042633F" w:rsidRPr="000C35B1">
        <w:rPr>
          <w:spacing w:val="-3"/>
        </w:rPr>
        <w:t xml:space="preserve"> la siguiente tabla:</w:t>
      </w:r>
    </w:p>
    <w:p w14:paraId="1587D0F2" w14:textId="4C3D81C6" w:rsidR="00131E50" w:rsidRDefault="00131E50" w:rsidP="00131E50">
      <w:pPr>
        <w:jc w:val="center"/>
        <w:rPr>
          <w:spacing w:val="-3"/>
        </w:rPr>
      </w:pPr>
      <w:r w:rsidRPr="00131E50">
        <w:rPr>
          <w:noProof/>
          <w:lang w:val="es-CO" w:eastAsia="es-CO"/>
        </w:rPr>
        <w:drawing>
          <wp:inline distT="0" distB="0" distL="0" distR="0" wp14:anchorId="4EC73E02" wp14:editId="074EF00A">
            <wp:extent cx="5465258" cy="16291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0602" cy="1636735"/>
                    </a:xfrm>
                    <a:prstGeom prst="rect">
                      <a:avLst/>
                    </a:prstGeom>
                    <a:noFill/>
                    <a:ln>
                      <a:noFill/>
                    </a:ln>
                  </pic:spPr>
                </pic:pic>
              </a:graphicData>
            </a:graphic>
          </wp:inline>
        </w:drawing>
      </w:r>
    </w:p>
    <w:p w14:paraId="68A49D7F" w14:textId="64DB30F9" w:rsidR="0042633F" w:rsidRDefault="0042633F" w:rsidP="0042633F">
      <w:pPr>
        <w:rPr>
          <w:spacing w:val="-3"/>
        </w:rPr>
      </w:pPr>
      <w:r>
        <w:rPr>
          <w:spacing w:val="-3"/>
        </w:rPr>
        <w:t>En la anterior tabla se observa que el valor de ajuste real de ingresos es de</w:t>
      </w:r>
      <w:r w:rsidR="00D74CB1">
        <w:rPr>
          <w:spacing w:val="-3"/>
        </w:rPr>
        <w:t xml:space="preserve"> aproximadamente</w:t>
      </w:r>
      <w:r>
        <w:rPr>
          <w:spacing w:val="-3"/>
        </w:rPr>
        <w:t xml:space="preserve"> -$</w:t>
      </w:r>
      <w:r w:rsidR="00D74CB1">
        <w:rPr>
          <w:spacing w:val="-3"/>
        </w:rPr>
        <w:t xml:space="preserve"> 855</w:t>
      </w:r>
      <w:r>
        <w:rPr>
          <w:spacing w:val="-3"/>
        </w:rPr>
        <w:t xml:space="preserve"> millones de pesos y no de </w:t>
      </w:r>
      <w:r>
        <w:rPr>
          <w:spacing w:val="-3"/>
        </w:rPr>
        <w:noBreakHyphen/>
      </w:r>
      <w:r w:rsidR="00B222E7">
        <w:rPr>
          <w:spacing w:val="-3"/>
        </w:rPr>
        <w:t xml:space="preserve"> </w:t>
      </w:r>
      <w:r>
        <w:rPr>
          <w:spacing w:val="-3"/>
        </w:rPr>
        <w:t>$</w:t>
      </w:r>
      <w:r w:rsidR="00B222E7">
        <w:rPr>
          <w:spacing w:val="-3"/>
        </w:rPr>
        <w:t>1</w:t>
      </w:r>
      <w:r>
        <w:rPr>
          <w:spacing w:val="-3"/>
        </w:rPr>
        <w:t>.</w:t>
      </w:r>
      <w:r w:rsidR="00B222E7">
        <w:rPr>
          <w:spacing w:val="-3"/>
        </w:rPr>
        <w:t>833 millones</w:t>
      </w:r>
      <w:r>
        <w:rPr>
          <w:spacing w:val="-3"/>
        </w:rPr>
        <w:t xml:space="preserve"> como lo presenta el OR en su comunicación. </w:t>
      </w:r>
    </w:p>
    <w:p w14:paraId="0E3AEF1A" w14:textId="09D1A1BD" w:rsidR="0042633F" w:rsidRDefault="0042633F" w:rsidP="0042633F">
      <w:pPr>
        <w:rPr>
          <w:spacing w:val="-3"/>
        </w:rPr>
      </w:pPr>
      <w:r>
        <w:rPr>
          <w:spacing w:val="-3"/>
        </w:rPr>
        <w:t xml:space="preserve">Por </w:t>
      </w:r>
      <w:r w:rsidR="005F7A9F">
        <w:rPr>
          <w:spacing w:val="-3"/>
        </w:rPr>
        <w:t>otro lado</w:t>
      </w:r>
      <w:r>
        <w:rPr>
          <w:spacing w:val="-3"/>
        </w:rPr>
        <w:t>, para verificar el impacto de una disminución del ingreso respecto de lo anteriormente recibido con base en la Resolución CREG 097 de 2008, se realizó un ejercicio donde se encuentra que, en promedio, un Operador de Red que reciba el 65% de los ingresos aprobados con la metodología de la Resolución CREG 015 de 2018 podrá enfrentar la suma de egresos constituidos por las inversiones a que se ha comprometido, los gastos de AOM, impuestos nacionales (considerando un nivel de 33%), los intereses de deuda (entendiendo una composición de capital de 60% recursos propios y 40% recursos externos sobre los que se aplica una tasa de deuda) y sin considerar ninguna tasa respecto de los recursos previamente recibidos por el OR y que deben ser devueltos a los usuarios. En dicho análisis tampoco se integraron los recursos adicionales posiblemente recibidos por un OR en función de los incentivos por mejoramiento de la calidad del servicio ni los obtenidos por concepto de compartición de infraestructura de energía eléctrica, así como tampoco se incluyeron los ingresos del AOM de pérdidas que ingresa de manera independiente por la variable CPROG.</w:t>
      </w:r>
    </w:p>
    <w:p w14:paraId="05F36362" w14:textId="29237DF3" w:rsidR="0042633F" w:rsidRDefault="0042633F" w:rsidP="0042633F">
      <w:pPr>
        <w:rPr>
          <w:spacing w:val="-3"/>
        </w:rPr>
      </w:pPr>
      <w:r>
        <w:rPr>
          <w:spacing w:val="-3"/>
        </w:rPr>
        <w:t xml:space="preserve">Así, entendiendo que el 65% es el porcentaje de ingresos con los cuales un OR puede enfrentar los costos en un periodo determinado, se observa que el OR </w:t>
      </w:r>
      <w:r w:rsidR="00192006">
        <w:rPr>
          <w:spacing w:val="-3"/>
        </w:rPr>
        <w:t>Empresa de Energía del Valle de Sibundoy</w:t>
      </w:r>
      <w:r>
        <w:rPr>
          <w:spacing w:val="-3"/>
        </w:rPr>
        <w:t xml:space="preserve"> S.A. E.S.P., considerando su disminución del ingreso, factur</w:t>
      </w:r>
      <w:r w:rsidR="00AD611A">
        <w:rPr>
          <w:spacing w:val="-3"/>
        </w:rPr>
        <w:t>ar</w:t>
      </w:r>
      <w:r w:rsidR="008068F6">
        <w:rPr>
          <w:spacing w:val="-3"/>
        </w:rPr>
        <w:t>ía</w:t>
      </w:r>
      <w:r>
        <w:rPr>
          <w:spacing w:val="-3"/>
        </w:rPr>
        <w:t xml:space="preserve"> alrededor del </w:t>
      </w:r>
      <w:r w:rsidR="008068F6">
        <w:rPr>
          <w:spacing w:val="-3"/>
        </w:rPr>
        <w:t>76</w:t>
      </w:r>
      <w:r>
        <w:rPr>
          <w:spacing w:val="-3"/>
        </w:rPr>
        <w:t>% de los ingresos aprobados con la metodología de la Resolución CREG 015 de 2018</w:t>
      </w:r>
      <w:r w:rsidR="008068F6">
        <w:rPr>
          <w:spacing w:val="-3"/>
        </w:rPr>
        <w:t xml:space="preserve"> una vez la resolución particular quede en firme</w:t>
      </w:r>
      <w:r>
        <w:rPr>
          <w:spacing w:val="-3"/>
        </w:rPr>
        <w:t xml:space="preserve"> </w:t>
      </w:r>
      <w:r w:rsidRPr="00147643">
        <w:rPr>
          <w:spacing w:val="-3"/>
        </w:rPr>
        <w:t xml:space="preserve">(a partir de </w:t>
      </w:r>
      <w:r w:rsidR="00AD611A" w:rsidRPr="00147643">
        <w:rPr>
          <w:spacing w:val="-3"/>
        </w:rPr>
        <w:t>la estimación entregada por el OR y ajustada por la CREG</w:t>
      </w:r>
      <w:r w:rsidRPr="00147643">
        <w:rPr>
          <w:spacing w:val="-3"/>
        </w:rPr>
        <w:t xml:space="preserve">, </w:t>
      </w:r>
      <w:r w:rsidR="00E566AA" w:rsidRPr="00147643">
        <w:rPr>
          <w:spacing w:val="-3"/>
        </w:rPr>
        <w:t xml:space="preserve">el OR tendría </w:t>
      </w:r>
      <w:r w:rsidRPr="00147643">
        <w:rPr>
          <w:spacing w:val="-3"/>
        </w:rPr>
        <w:t>unos ingresos nuevos del orden de $</w:t>
      </w:r>
      <w:r w:rsidR="00FF487B" w:rsidRPr="00147643">
        <w:rPr>
          <w:spacing w:val="-3"/>
        </w:rPr>
        <w:t>30</w:t>
      </w:r>
      <w:r w:rsidR="008029FD">
        <w:rPr>
          <w:spacing w:val="-3"/>
        </w:rPr>
        <w:t>0</w:t>
      </w:r>
      <w:r w:rsidRPr="00147643">
        <w:rPr>
          <w:spacing w:val="-3"/>
        </w:rPr>
        <w:t xml:space="preserve"> millones mensuales </w:t>
      </w:r>
      <w:r w:rsidR="00E566AA" w:rsidRPr="00147643">
        <w:rPr>
          <w:spacing w:val="-3"/>
        </w:rPr>
        <w:t>de los cuales se descontaría</w:t>
      </w:r>
      <w:r w:rsidR="00147643" w:rsidRPr="00147643">
        <w:rPr>
          <w:spacing w:val="-3"/>
        </w:rPr>
        <w:t xml:space="preserve"> </w:t>
      </w:r>
      <w:r w:rsidR="002B0B72">
        <w:rPr>
          <w:spacing w:val="-3"/>
        </w:rPr>
        <w:t>1/12</w:t>
      </w:r>
      <w:r w:rsidRPr="00147643">
        <w:rPr>
          <w:spacing w:val="-3"/>
        </w:rPr>
        <w:t xml:space="preserve"> de la variable AIM</w:t>
      </w:r>
      <w:r w:rsidR="002B0B72">
        <w:rPr>
          <w:spacing w:val="-3"/>
        </w:rPr>
        <w:t xml:space="preserve"> cada mes</w:t>
      </w:r>
      <w:r w:rsidRPr="00147643">
        <w:rPr>
          <w:spacing w:val="-3"/>
        </w:rPr>
        <w:t>).</w:t>
      </w:r>
    </w:p>
    <w:p w14:paraId="65385D26" w14:textId="43E3DB91" w:rsidR="0042633F" w:rsidRDefault="0042633F" w:rsidP="0042633F">
      <w:pPr>
        <w:rPr>
          <w:spacing w:val="-3"/>
        </w:rPr>
      </w:pPr>
      <w:r>
        <w:rPr>
          <w:spacing w:val="-3"/>
        </w:rPr>
        <w:t xml:space="preserve">Al respecto, el peticionario solicita que el plazo de doce meses, dispuesto por la metodología para el ajuste de los ingresos, sea ampliado a </w:t>
      </w:r>
      <w:r w:rsidR="009504A9">
        <w:rPr>
          <w:spacing w:val="-3"/>
        </w:rPr>
        <w:t>60</w:t>
      </w:r>
      <w:r>
        <w:rPr>
          <w:spacing w:val="-3"/>
        </w:rPr>
        <w:t xml:space="preserve"> meses.</w:t>
      </w:r>
    </w:p>
    <w:p w14:paraId="3E5A5DA3" w14:textId="36826780" w:rsidR="0042633F" w:rsidRDefault="0042633F" w:rsidP="0042633F">
      <w:pPr>
        <w:rPr>
          <w:spacing w:val="-3"/>
        </w:rPr>
      </w:pPr>
      <w:r>
        <w:rPr>
          <w:spacing w:val="-3"/>
        </w:rPr>
        <w:t xml:space="preserve">Considerando lo expuesto anteriormente sobre la previsibilidad de cálculo de la variable </w:t>
      </w:r>
      <w:r w:rsidRPr="009F0393">
        <w:rPr>
          <w:i/>
          <w:iCs/>
          <w:spacing w:val="-3"/>
          <w:lang w:val="es-CO"/>
        </w:rPr>
        <w:t>AIM</w:t>
      </w:r>
      <w:r w:rsidRPr="009F0393">
        <w:rPr>
          <w:i/>
          <w:iCs/>
          <w:spacing w:val="-3"/>
          <w:vertAlign w:val="subscript"/>
          <w:lang w:val="es-CO"/>
        </w:rPr>
        <w:t>j,n,m</w:t>
      </w:r>
      <w:r>
        <w:rPr>
          <w:spacing w:val="-3"/>
        </w:rPr>
        <w:t xml:space="preserve"> y su posible impacto al interior de las finanzas de un agente, la proximidad del porcentaje de ingresos recibidos actualmente y el mínimo necesario para cubrir las principales erogaciones de un OR y, de otra parte, entendiendo que el cálculo de los ingresos a devolver no considera ninguna actualización en el tiempo o intereses; es posible permitir que, en igualdad de condiciones con las modificaciones realizadas a otros OR que han efectuado solicitudes </w:t>
      </w:r>
      <w:r w:rsidR="00461B04">
        <w:rPr>
          <w:spacing w:val="-3"/>
        </w:rPr>
        <w:t>similares</w:t>
      </w:r>
      <w:r>
        <w:rPr>
          <w:spacing w:val="-3"/>
        </w:rPr>
        <w:t xml:space="preserve">, se amplíe el plazo para la devolución de los ingresos aún no devueltos a </w:t>
      </w:r>
      <w:r w:rsidR="00AB390D">
        <w:rPr>
          <w:spacing w:val="-3"/>
        </w:rPr>
        <w:t>36</w:t>
      </w:r>
      <w:r>
        <w:rPr>
          <w:spacing w:val="-3"/>
        </w:rPr>
        <w:t xml:space="preserve"> meses,  permitiendo que el OR aumente su porcentaje de ingresos a cerca del 9</w:t>
      </w:r>
      <w:r w:rsidR="00257C17">
        <w:rPr>
          <w:spacing w:val="-3"/>
        </w:rPr>
        <w:t>2</w:t>
      </w:r>
      <w:r>
        <w:rPr>
          <w:spacing w:val="-3"/>
        </w:rPr>
        <w:t>% de</w:t>
      </w:r>
      <w:r w:rsidR="00D27D5B">
        <w:rPr>
          <w:spacing w:val="-3"/>
        </w:rPr>
        <w:t xml:space="preserve">l valor </w:t>
      </w:r>
      <w:r>
        <w:rPr>
          <w:spacing w:val="-3"/>
        </w:rPr>
        <w:t>aprobado con la metodología de la Resolución CREG 015 de 2018 (sin considerar los ingresos por concepto de calidad, de AOM de pérdidas y de compartición de infraestructura).</w:t>
      </w:r>
    </w:p>
    <w:p w14:paraId="780A20D9" w14:textId="536A88F8" w:rsidR="005D16A8" w:rsidRDefault="00E768BE" w:rsidP="002A7D62">
      <w:pPr>
        <w:rPr>
          <w:spacing w:val="-3"/>
        </w:rPr>
      </w:pPr>
      <w:r>
        <w:rPr>
          <w:spacing w:val="-3"/>
        </w:rPr>
        <w:t>Según lo expuesto en el análisis a esta petición, no se accede a la solicitud del peticionario</w:t>
      </w:r>
      <w:r w:rsidR="00B11729">
        <w:rPr>
          <w:spacing w:val="-3"/>
        </w:rPr>
        <w:t>.</w:t>
      </w:r>
    </w:p>
    <w:p w14:paraId="47644FEE" w14:textId="0BAD7561" w:rsidR="002A7D62" w:rsidRPr="00BF69C9" w:rsidRDefault="002A7D62" w:rsidP="002A7D62">
      <w:pPr>
        <w:rPr>
          <w:spacing w:val="-3"/>
        </w:rPr>
      </w:pPr>
      <w:r w:rsidRPr="00BF69C9">
        <w:rPr>
          <w:spacing w:val="-3"/>
        </w:rPr>
        <w:t xml:space="preserve">Con base en lo anterior, la Comisión de Regulación de Energía y Gas, en su sesión </w:t>
      </w:r>
      <w:r w:rsidR="0093016A">
        <w:rPr>
          <w:spacing w:val="-3"/>
        </w:rPr>
        <w:t>1163</w:t>
      </w:r>
      <w:r w:rsidR="00366AC7" w:rsidRPr="000946B5">
        <w:rPr>
          <w:spacing w:val="-3"/>
        </w:rPr>
        <w:t xml:space="preserve"> del </w:t>
      </w:r>
      <w:r w:rsidR="0093016A">
        <w:rPr>
          <w:spacing w:val="-3"/>
        </w:rPr>
        <w:t>20</w:t>
      </w:r>
      <w:r w:rsidRPr="000946B5">
        <w:rPr>
          <w:spacing w:val="-3"/>
        </w:rPr>
        <w:t xml:space="preserve"> de </w:t>
      </w:r>
      <w:r w:rsidR="00D27D5B">
        <w:rPr>
          <w:spacing w:val="-3"/>
        </w:rPr>
        <w:t>abril</w:t>
      </w:r>
      <w:r w:rsidR="002F7B19" w:rsidRPr="000946B5">
        <w:rPr>
          <w:spacing w:val="-3"/>
        </w:rPr>
        <w:t xml:space="preserve"> </w:t>
      </w:r>
      <w:r w:rsidRPr="000946B5">
        <w:rPr>
          <w:spacing w:val="-3"/>
        </w:rPr>
        <w:t>de 20</w:t>
      </w:r>
      <w:r w:rsidR="00FB166D">
        <w:rPr>
          <w:spacing w:val="-3"/>
        </w:rPr>
        <w:t>2</w:t>
      </w:r>
      <w:r w:rsidR="00E768BE">
        <w:rPr>
          <w:spacing w:val="-3"/>
        </w:rPr>
        <w:t>2</w:t>
      </w:r>
      <w:r w:rsidRPr="000946B5">
        <w:rPr>
          <w:spacing w:val="-3"/>
        </w:rPr>
        <w:t>,</w:t>
      </w:r>
      <w:r w:rsidRPr="00BF69C9">
        <w:rPr>
          <w:spacing w:val="-3"/>
        </w:rPr>
        <w:t xml:space="preserve"> acordó expedir esta resolución. </w:t>
      </w:r>
    </w:p>
    <w:p w14:paraId="772745E5" w14:textId="77777777" w:rsidR="000946B5" w:rsidRDefault="000946B5" w:rsidP="000946B5">
      <w:pPr>
        <w:tabs>
          <w:tab w:val="left" w:pos="2400"/>
          <w:tab w:val="center" w:pos="4652"/>
        </w:tabs>
        <w:spacing w:before="0" w:after="0"/>
        <w:ind w:right="51"/>
        <w:jc w:val="left"/>
        <w:rPr>
          <w:b/>
        </w:rPr>
      </w:pPr>
    </w:p>
    <w:p w14:paraId="6E5B4B14" w14:textId="6B45CEC2" w:rsidR="00595129" w:rsidRDefault="00595129" w:rsidP="000946B5">
      <w:pPr>
        <w:tabs>
          <w:tab w:val="left" w:pos="2400"/>
          <w:tab w:val="center" w:pos="4652"/>
        </w:tabs>
        <w:spacing w:before="0" w:after="0"/>
        <w:ind w:right="51"/>
        <w:jc w:val="center"/>
        <w:rPr>
          <w:b/>
        </w:rPr>
      </w:pPr>
      <w:r w:rsidRPr="00BF69C9">
        <w:rPr>
          <w:b/>
        </w:rPr>
        <w:t>RESUELVE:</w:t>
      </w:r>
    </w:p>
    <w:p w14:paraId="6D3A8937" w14:textId="7ADC7D0B" w:rsidR="00757F99" w:rsidRDefault="00FB0680" w:rsidP="001610A8">
      <w:pPr>
        <w:pStyle w:val="Artculo"/>
        <w:spacing w:before="200" w:after="200"/>
        <w:ind w:left="0"/>
        <w:outlineLvl w:val="2"/>
        <w:rPr>
          <w:b w:val="0"/>
        </w:rPr>
      </w:pPr>
      <w:bookmarkStart w:id="0" w:name="_Ref95398635"/>
      <w:r w:rsidRPr="00A614A5">
        <w:rPr>
          <w:bCs/>
        </w:rPr>
        <w:t xml:space="preserve">Modificar el artículo </w:t>
      </w:r>
      <w:r>
        <w:rPr>
          <w:bCs/>
        </w:rPr>
        <w:t>9</w:t>
      </w:r>
      <w:r w:rsidRPr="00A614A5">
        <w:rPr>
          <w:bCs/>
        </w:rPr>
        <w:t xml:space="preserve"> de la Resolución CREG 220 de 202</w:t>
      </w:r>
      <w:r>
        <w:rPr>
          <w:bCs/>
        </w:rPr>
        <w:t>1.</w:t>
      </w:r>
      <w:r w:rsidRPr="00FB0680">
        <w:rPr>
          <w:bCs/>
        </w:rPr>
        <w:t xml:space="preserve"> </w:t>
      </w:r>
      <w:r w:rsidRPr="00FB0680">
        <w:rPr>
          <w:b w:val="0"/>
        </w:rPr>
        <w:t>El</w:t>
      </w:r>
      <w:r>
        <w:rPr>
          <w:bCs/>
        </w:rPr>
        <w:t xml:space="preserve"> </w:t>
      </w:r>
      <w:r w:rsidRPr="00FB0680">
        <w:rPr>
          <w:b w:val="0"/>
        </w:rPr>
        <w:t>artículo 9 de la Resolución CREG 220 de 202</w:t>
      </w:r>
      <w:r w:rsidR="00266CF8">
        <w:rPr>
          <w:b w:val="0"/>
        </w:rPr>
        <w:t xml:space="preserve">1 </w:t>
      </w:r>
      <w:r w:rsidR="00757F99">
        <w:rPr>
          <w:b w:val="0"/>
        </w:rPr>
        <w:t>quedará así:</w:t>
      </w:r>
    </w:p>
    <w:p w14:paraId="108651D0" w14:textId="5F95174D" w:rsidR="00A90132" w:rsidRDefault="00266CF8" w:rsidP="00503642">
      <w:pPr>
        <w:ind w:left="708"/>
        <w:rPr>
          <w:i/>
          <w:iCs/>
          <w:sz w:val="22"/>
          <w:szCs w:val="22"/>
        </w:rPr>
      </w:pPr>
      <w:r w:rsidRPr="00503642">
        <w:rPr>
          <w:b/>
          <w:bCs/>
          <w:i/>
          <w:iCs/>
          <w:sz w:val="22"/>
          <w:szCs w:val="22"/>
        </w:rPr>
        <w:t xml:space="preserve">Artículo 9. </w:t>
      </w:r>
      <w:r w:rsidR="00503642" w:rsidRPr="00503642">
        <w:rPr>
          <w:b/>
          <w:bCs/>
          <w:i/>
          <w:iCs/>
          <w:sz w:val="22"/>
          <w:szCs w:val="22"/>
        </w:rPr>
        <w:t xml:space="preserve">Indicadores de referencia de calidad media. </w:t>
      </w:r>
      <w:r w:rsidR="00503642" w:rsidRPr="00503642">
        <w:rPr>
          <w:i/>
          <w:iCs/>
          <w:sz w:val="22"/>
          <w:szCs w:val="22"/>
        </w:rPr>
        <w:t>Los indicadores de referencia de la calidad media SAIDI_Rj y SAIFI_Rj, son los siguientes:</w:t>
      </w:r>
    </w:p>
    <w:p w14:paraId="2A84E1C1" w14:textId="491B8F4B" w:rsidR="00827E20" w:rsidRPr="00827E20" w:rsidRDefault="00827E20" w:rsidP="00827E20">
      <w:pPr>
        <w:pStyle w:val="Descripcin"/>
        <w:spacing w:before="240" w:after="120" w:line="240" w:lineRule="auto"/>
        <w:rPr>
          <w:sz w:val="20"/>
          <w:szCs w:val="18"/>
        </w:rPr>
      </w:pPr>
      <w:r w:rsidRPr="00827E20">
        <w:rPr>
          <w:sz w:val="20"/>
          <w:szCs w:val="18"/>
        </w:rPr>
        <w:t xml:space="preserve">Tabla </w:t>
      </w:r>
      <w:r w:rsidR="00076B19">
        <w:rPr>
          <w:sz w:val="20"/>
          <w:szCs w:val="18"/>
        </w:rPr>
        <w:t>11</w:t>
      </w:r>
      <w:r w:rsidRPr="00827E20">
        <w:rPr>
          <w:sz w:val="20"/>
          <w:szCs w:val="18"/>
        </w:rPr>
        <w:t xml:space="preserve"> Indicadores 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827E20" w:rsidRPr="00827E20" w14:paraId="3A431FD3" w14:textId="77777777" w:rsidTr="001B7B3E">
        <w:trPr>
          <w:trHeight w:val="255"/>
          <w:tblHeader/>
          <w:jc w:val="center"/>
        </w:trPr>
        <w:tc>
          <w:tcPr>
            <w:tcW w:w="1360" w:type="dxa"/>
            <w:shd w:val="clear" w:color="000000" w:fill="FFFFFF"/>
            <w:vAlign w:val="center"/>
            <w:hideMark/>
          </w:tcPr>
          <w:p w14:paraId="46D57F0E" w14:textId="77777777" w:rsidR="00827E20" w:rsidRPr="00827E20" w:rsidRDefault="00827E20" w:rsidP="001B7B3E">
            <w:pPr>
              <w:spacing w:before="0" w:after="0"/>
              <w:jc w:val="center"/>
              <w:rPr>
                <w:rFonts w:cs="Arial"/>
                <w:b/>
                <w:bCs/>
                <w:sz w:val="18"/>
                <w:szCs w:val="18"/>
                <w:lang w:val="es-CO" w:eastAsia="es-CO"/>
              </w:rPr>
            </w:pPr>
            <w:r w:rsidRPr="00827E20">
              <w:rPr>
                <w:rFonts w:cs="Arial"/>
                <w:b/>
                <w:bCs/>
                <w:sz w:val="18"/>
                <w:szCs w:val="18"/>
                <w:lang w:val="es-CO" w:eastAsia="es-CO"/>
              </w:rPr>
              <w:t>Variable</w:t>
            </w:r>
          </w:p>
        </w:tc>
        <w:tc>
          <w:tcPr>
            <w:tcW w:w="1329" w:type="dxa"/>
            <w:shd w:val="clear" w:color="000000" w:fill="FFFFFF"/>
          </w:tcPr>
          <w:p w14:paraId="0778230B" w14:textId="77777777" w:rsidR="00827E20" w:rsidRPr="00827E20" w:rsidRDefault="00827E20" w:rsidP="001B7B3E">
            <w:pPr>
              <w:spacing w:before="0" w:after="0"/>
              <w:jc w:val="center"/>
              <w:rPr>
                <w:rFonts w:cs="Arial"/>
                <w:b/>
                <w:bCs/>
                <w:sz w:val="18"/>
                <w:szCs w:val="18"/>
                <w:lang w:val="es-CO" w:eastAsia="es-CO"/>
              </w:rPr>
            </w:pPr>
            <w:r w:rsidRPr="00827E20">
              <w:rPr>
                <w:rFonts w:cs="Arial"/>
                <w:b/>
                <w:bCs/>
                <w:sz w:val="18"/>
                <w:szCs w:val="18"/>
                <w:lang w:val="es-CO" w:eastAsia="es-CO"/>
              </w:rPr>
              <w:t>Unidad</w:t>
            </w:r>
          </w:p>
        </w:tc>
        <w:tc>
          <w:tcPr>
            <w:tcW w:w="2126" w:type="dxa"/>
            <w:shd w:val="clear" w:color="000000" w:fill="FFFFFF"/>
            <w:vAlign w:val="center"/>
            <w:hideMark/>
          </w:tcPr>
          <w:p w14:paraId="26E50024" w14:textId="77777777" w:rsidR="00827E20" w:rsidRPr="00827E20" w:rsidRDefault="00827E20" w:rsidP="001B7B3E">
            <w:pPr>
              <w:spacing w:before="0" w:after="0"/>
              <w:jc w:val="center"/>
              <w:rPr>
                <w:rFonts w:cs="Arial"/>
                <w:b/>
                <w:bCs/>
                <w:sz w:val="18"/>
                <w:szCs w:val="18"/>
                <w:lang w:val="es-CO" w:eastAsia="es-CO"/>
              </w:rPr>
            </w:pPr>
            <w:r w:rsidRPr="00827E20">
              <w:rPr>
                <w:rFonts w:cs="Arial"/>
                <w:b/>
                <w:bCs/>
                <w:sz w:val="18"/>
                <w:szCs w:val="18"/>
                <w:lang w:val="es-CO" w:eastAsia="es-CO"/>
              </w:rPr>
              <w:t>Valor</w:t>
            </w:r>
          </w:p>
        </w:tc>
      </w:tr>
      <w:tr w:rsidR="00F70607" w:rsidRPr="00827E20" w14:paraId="5BAE177E" w14:textId="77777777" w:rsidTr="001B7B3E">
        <w:trPr>
          <w:trHeight w:val="330"/>
          <w:jc w:val="center"/>
        </w:trPr>
        <w:tc>
          <w:tcPr>
            <w:tcW w:w="1360" w:type="dxa"/>
            <w:shd w:val="clear" w:color="000000" w:fill="FFFFFF"/>
            <w:noWrap/>
            <w:vAlign w:val="center"/>
            <w:hideMark/>
          </w:tcPr>
          <w:p w14:paraId="3C28A4B7" w14:textId="77777777" w:rsidR="00F70607" w:rsidRPr="00827E20" w:rsidRDefault="00F70607" w:rsidP="00F70607">
            <w:pPr>
              <w:spacing w:before="0" w:after="0"/>
              <w:jc w:val="center"/>
              <w:rPr>
                <w:rFonts w:cs="Arial"/>
                <w:i/>
                <w:iCs/>
                <w:sz w:val="18"/>
                <w:szCs w:val="18"/>
                <w:lang w:val="es-CO" w:eastAsia="es-CO"/>
              </w:rPr>
            </w:pPr>
            <w:r w:rsidRPr="00827E20">
              <w:rPr>
                <w:rFonts w:cs="Arial"/>
                <w:i/>
                <w:iCs/>
                <w:sz w:val="18"/>
                <w:szCs w:val="18"/>
                <w:lang w:val="es-CO" w:eastAsia="es-CO"/>
              </w:rPr>
              <w:t>SAIDI_R</w:t>
            </w:r>
            <w:r w:rsidRPr="00827E20">
              <w:rPr>
                <w:rFonts w:cs="Arial"/>
                <w:i/>
                <w:iCs/>
                <w:sz w:val="18"/>
                <w:szCs w:val="18"/>
                <w:vertAlign w:val="subscript"/>
                <w:lang w:val="es-CO" w:eastAsia="es-CO"/>
              </w:rPr>
              <w:t xml:space="preserve">j </w:t>
            </w:r>
          </w:p>
        </w:tc>
        <w:tc>
          <w:tcPr>
            <w:tcW w:w="1329" w:type="dxa"/>
            <w:vAlign w:val="center"/>
          </w:tcPr>
          <w:p w14:paraId="7E43C9C2" w14:textId="77777777" w:rsidR="00F70607" w:rsidRPr="00827E20" w:rsidRDefault="00F70607" w:rsidP="00F70607">
            <w:pPr>
              <w:spacing w:before="0" w:after="0"/>
              <w:jc w:val="center"/>
              <w:rPr>
                <w:rFonts w:cs="Arial"/>
                <w:sz w:val="18"/>
                <w:szCs w:val="18"/>
                <w:lang w:val="es-CO" w:eastAsia="es-CO"/>
              </w:rPr>
            </w:pPr>
            <w:r w:rsidRPr="00827E20">
              <w:rPr>
                <w:rFonts w:cs="Arial"/>
                <w:sz w:val="18"/>
                <w:szCs w:val="18"/>
                <w:lang w:val="es-CO" w:eastAsia="es-CO"/>
              </w:rPr>
              <w:t>Horas</w:t>
            </w:r>
          </w:p>
        </w:tc>
        <w:tc>
          <w:tcPr>
            <w:tcW w:w="2126" w:type="dxa"/>
            <w:shd w:val="clear" w:color="auto" w:fill="auto"/>
            <w:noWrap/>
            <w:vAlign w:val="center"/>
            <w:hideMark/>
          </w:tcPr>
          <w:p w14:paraId="09A00A0C" w14:textId="40CD9766" w:rsidR="00F70607" w:rsidRPr="00827E20" w:rsidRDefault="00F70607" w:rsidP="00F70607">
            <w:pPr>
              <w:spacing w:before="0" w:after="0"/>
              <w:jc w:val="right"/>
              <w:rPr>
                <w:rFonts w:cs="Arial"/>
                <w:sz w:val="18"/>
                <w:szCs w:val="18"/>
                <w:highlight w:val="yellow"/>
                <w:lang w:val="es-CO" w:eastAsia="es-CO"/>
              </w:rPr>
            </w:pPr>
            <w:r>
              <w:rPr>
                <w:rFonts w:cs="Arial"/>
                <w:sz w:val="18"/>
                <w:szCs w:val="18"/>
              </w:rPr>
              <w:t>32,501</w:t>
            </w:r>
          </w:p>
        </w:tc>
      </w:tr>
      <w:tr w:rsidR="00F70607" w:rsidRPr="00827E20" w14:paraId="2C26EF7D" w14:textId="77777777" w:rsidTr="001B7B3E">
        <w:trPr>
          <w:trHeight w:val="330"/>
          <w:jc w:val="center"/>
        </w:trPr>
        <w:tc>
          <w:tcPr>
            <w:tcW w:w="1360" w:type="dxa"/>
            <w:shd w:val="clear" w:color="000000" w:fill="FFFFFF"/>
            <w:noWrap/>
            <w:vAlign w:val="center"/>
            <w:hideMark/>
          </w:tcPr>
          <w:p w14:paraId="40C83243" w14:textId="77777777" w:rsidR="00F70607" w:rsidRPr="00827E20" w:rsidRDefault="00F70607" w:rsidP="00F70607">
            <w:pPr>
              <w:spacing w:before="0" w:after="0"/>
              <w:jc w:val="center"/>
              <w:rPr>
                <w:rFonts w:cs="Arial"/>
                <w:i/>
                <w:iCs/>
                <w:sz w:val="18"/>
                <w:szCs w:val="18"/>
                <w:vertAlign w:val="subscript"/>
                <w:lang w:val="es-CO" w:eastAsia="es-CO"/>
              </w:rPr>
            </w:pPr>
            <w:r w:rsidRPr="00827E20">
              <w:rPr>
                <w:rFonts w:cs="Arial"/>
                <w:i/>
                <w:iCs/>
                <w:sz w:val="18"/>
                <w:szCs w:val="18"/>
                <w:lang w:val="es-CO" w:eastAsia="es-CO"/>
              </w:rPr>
              <w:t>SAIFI_R</w:t>
            </w:r>
            <w:r w:rsidRPr="00827E20">
              <w:rPr>
                <w:rFonts w:cs="Arial"/>
                <w:i/>
                <w:iCs/>
                <w:sz w:val="18"/>
                <w:szCs w:val="18"/>
                <w:vertAlign w:val="subscript"/>
                <w:lang w:val="es-CO" w:eastAsia="es-CO"/>
              </w:rPr>
              <w:t>j</w:t>
            </w:r>
          </w:p>
        </w:tc>
        <w:tc>
          <w:tcPr>
            <w:tcW w:w="1329" w:type="dxa"/>
            <w:vAlign w:val="center"/>
          </w:tcPr>
          <w:p w14:paraId="5B3D06FC" w14:textId="77777777" w:rsidR="00F70607" w:rsidRPr="00827E20" w:rsidRDefault="00F70607" w:rsidP="00F70607">
            <w:pPr>
              <w:spacing w:before="0" w:after="0"/>
              <w:jc w:val="center"/>
              <w:rPr>
                <w:rFonts w:cs="Arial"/>
                <w:sz w:val="18"/>
                <w:szCs w:val="18"/>
                <w:lang w:val="es-CO" w:eastAsia="es-CO"/>
              </w:rPr>
            </w:pPr>
            <w:r w:rsidRPr="00827E20">
              <w:rPr>
                <w:rFonts w:cs="Arial"/>
                <w:sz w:val="18"/>
                <w:szCs w:val="18"/>
                <w:lang w:val="es-CO" w:eastAsia="es-CO"/>
              </w:rPr>
              <w:t>Veces</w:t>
            </w:r>
          </w:p>
        </w:tc>
        <w:tc>
          <w:tcPr>
            <w:tcW w:w="2126" w:type="dxa"/>
            <w:shd w:val="clear" w:color="auto" w:fill="auto"/>
            <w:noWrap/>
            <w:vAlign w:val="center"/>
            <w:hideMark/>
          </w:tcPr>
          <w:p w14:paraId="4F41D8CC" w14:textId="75991D81" w:rsidR="00F70607" w:rsidRPr="00827E20" w:rsidRDefault="00F70607" w:rsidP="00F70607">
            <w:pPr>
              <w:spacing w:before="0" w:after="0"/>
              <w:jc w:val="right"/>
              <w:rPr>
                <w:rFonts w:cs="Arial"/>
                <w:sz w:val="18"/>
                <w:szCs w:val="18"/>
                <w:highlight w:val="yellow"/>
              </w:rPr>
            </w:pPr>
            <w:r>
              <w:rPr>
                <w:rFonts w:cs="Arial"/>
                <w:sz w:val="18"/>
                <w:szCs w:val="18"/>
              </w:rPr>
              <w:t>12,878</w:t>
            </w:r>
          </w:p>
        </w:tc>
      </w:tr>
    </w:tbl>
    <w:p w14:paraId="6B1CEC28" w14:textId="27962D65" w:rsidR="004555A1" w:rsidRPr="007A58B1" w:rsidRDefault="004555A1" w:rsidP="00A90132">
      <w:pPr>
        <w:pStyle w:val="Artculo"/>
        <w:spacing w:before="200" w:after="200"/>
        <w:ind w:left="0"/>
        <w:outlineLvl w:val="2"/>
        <w:rPr>
          <w:b w:val="0"/>
        </w:rPr>
      </w:pPr>
      <w:r w:rsidRPr="00A614A5">
        <w:rPr>
          <w:bCs/>
        </w:rPr>
        <w:t xml:space="preserve">Modificar el artículo </w:t>
      </w:r>
      <w:r>
        <w:rPr>
          <w:bCs/>
        </w:rPr>
        <w:t>10</w:t>
      </w:r>
      <w:r w:rsidRPr="00A614A5">
        <w:rPr>
          <w:bCs/>
        </w:rPr>
        <w:t xml:space="preserve"> de la Resolución CREG 220 de 202</w:t>
      </w:r>
      <w:r>
        <w:rPr>
          <w:bCs/>
        </w:rPr>
        <w:t>1.</w:t>
      </w:r>
      <w:r w:rsidR="007A58B1">
        <w:rPr>
          <w:bCs/>
        </w:rPr>
        <w:t xml:space="preserve"> </w:t>
      </w:r>
      <w:r w:rsidR="007A58B1" w:rsidRPr="00FB0680">
        <w:rPr>
          <w:b w:val="0"/>
        </w:rPr>
        <w:t>El</w:t>
      </w:r>
      <w:r w:rsidR="007A58B1">
        <w:rPr>
          <w:bCs/>
        </w:rPr>
        <w:t xml:space="preserve"> </w:t>
      </w:r>
      <w:r w:rsidR="007A58B1" w:rsidRPr="00FB0680">
        <w:rPr>
          <w:b w:val="0"/>
        </w:rPr>
        <w:t xml:space="preserve">artículo </w:t>
      </w:r>
      <w:r w:rsidR="007A58B1">
        <w:rPr>
          <w:b w:val="0"/>
        </w:rPr>
        <w:t>10</w:t>
      </w:r>
      <w:r w:rsidR="007A58B1" w:rsidRPr="00FB0680">
        <w:rPr>
          <w:b w:val="0"/>
        </w:rPr>
        <w:t xml:space="preserve"> de la Resolución CREG 220 de 202</w:t>
      </w:r>
      <w:r w:rsidR="007A58B1">
        <w:rPr>
          <w:b w:val="0"/>
        </w:rPr>
        <w:t>1 quedará así:</w:t>
      </w:r>
    </w:p>
    <w:p w14:paraId="5E87BC22" w14:textId="020BB517" w:rsidR="007A58B1" w:rsidRDefault="007A58B1" w:rsidP="007A58B1">
      <w:pPr>
        <w:ind w:left="708"/>
        <w:rPr>
          <w:i/>
          <w:iCs/>
          <w:sz w:val="22"/>
          <w:szCs w:val="22"/>
        </w:rPr>
      </w:pPr>
      <w:bookmarkStart w:id="1" w:name="_Hlk101119966"/>
      <w:r w:rsidRPr="00503642">
        <w:rPr>
          <w:b/>
          <w:bCs/>
          <w:i/>
          <w:iCs/>
          <w:sz w:val="22"/>
          <w:szCs w:val="22"/>
        </w:rPr>
        <w:t xml:space="preserve">Artículo </w:t>
      </w:r>
      <w:r>
        <w:rPr>
          <w:b/>
          <w:bCs/>
          <w:i/>
          <w:iCs/>
          <w:sz w:val="22"/>
          <w:szCs w:val="22"/>
        </w:rPr>
        <w:t>10</w:t>
      </w:r>
      <w:r w:rsidRPr="00503642">
        <w:rPr>
          <w:b/>
          <w:bCs/>
          <w:i/>
          <w:iCs/>
          <w:sz w:val="22"/>
          <w:szCs w:val="22"/>
        </w:rPr>
        <w:t xml:space="preserve">. </w:t>
      </w:r>
      <w:r w:rsidR="00CC07D2" w:rsidRPr="00CC07D2">
        <w:rPr>
          <w:b/>
          <w:bCs/>
          <w:i/>
          <w:iCs/>
          <w:sz w:val="22"/>
          <w:szCs w:val="22"/>
        </w:rPr>
        <w:t>Metas anuales de calidad media para el indicador de duración de eventos.</w:t>
      </w:r>
      <w:r w:rsidR="00CC07D2">
        <w:rPr>
          <w:b/>
          <w:bCs/>
          <w:i/>
          <w:iCs/>
          <w:sz w:val="22"/>
          <w:szCs w:val="22"/>
        </w:rPr>
        <w:t xml:space="preserve"> </w:t>
      </w:r>
      <w:r w:rsidR="006B77F7" w:rsidRPr="006B77F7">
        <w:rPr>
          <w:i/>
          <w:iCs/>
          <w:sz w:val="22"/>
          <w:szCs w:val="22"/>
        </w:rPr>
        <w:t>Las metas anuales de calidad media para el indicador de duración de eventos, SAIDI_Mj,t, son las siguientes:</w:t>
      </w:r>
    </w:p>
    <w:p w14:paraId="527EE676" w14:textId="5865C156" w:rsidR="006E44C3" w:rsidRPr="006E44C3" w:rsidRDefault="006E44C3" w:rsidP="006E44C3">
      <w:pPr>
        <w:pStyle w:val="Descripcin"/>
        <w:spacing w:before="240" w:after="120" w:line="240" w:lineRule="auto"/>
        <w:rPr>
          <w:sz w:val="20"/>
          <w:szCs w:val="18"/>
        </w:rPr>
      </w:pPr>
      <w:r w:rsidRPr="006E44C3">
        <w:rPr>
          <w:sz w:val="20"/>
          <w:szCs w:val="18"/>
        </w:rPr>
        <w:t xml:space="preserve">Tabla </w:t>
      </w:r>
      <w:r w:rsidR="00076B19">
        <w:rPr>
          <w:sz w:val="20"/>
          <w:szCs w:val="18"/>
        </w:rPr>
        <w:t>12</w:t>
      </w:r>
      <w:r w:rsidRPr="006E44C3">
        <w:rPr>
          <w:sz w:val="20"/>
          <w:szCs w:val="18"/>
        </w:rPr>
        <w:t xml:space="preserve"> Metas anuales de calidad media para el indicador de duración,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6E44C3" w:rsidRPr="00BE6240" w14:paraId="4A70B0B6" w14:textId="77777777" w:rsidTr="001B7B3E">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695C20E5" w14:textId="77777777" w:rsidR="006E44C3" w:rsidRPr="00BE6240" w:rsidRDefault="006E44C3" w:rsidP="001B7B3E">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0E66DDD7" w14:textId="77777777" w:rsidR="006E44C3" w:rsidRPr="00BE6240" w:rsidRDefault="006E44C3" w:rsidP="001B7B3E">
            <w:pPr>
              <w:spacing w:before="0" w:after="0"/>
              <w:jc w:val="center"/>
              <w:rPr>
                <w:rFonts w:cs="Arial"/>
                <w:b/>
                <w:bCs/>
                <w:sz w:val="18"/>
                <w:szCs w:val="18"/>
                <w:lang w:val="es-CO" w:eastAsia="es-CO"/>
              </w:rPr>
            </w:pPr>
            <w:r w:rsidRPr="00BE6240">
              <w:rPr>
                <w:rFonts w:cs="Arial"/>
                <w:b/>
                <w:bCs/>
                <w:sz w:val="18"/>
                <w:szCs w:val="18"/>
                <w:lang w:val="es-CO" w:eastAsia="es-CO"/>
              </w:rPr>
              <w:t>SAIDI_M</w:t>
            </w:r>
            <w:r w:rsidRPr="00BE6240">
              <w:rPr>
                <w:rFonts w:cs="Arial"/>
                <w:i/>
                <w:iCs/>
                <w:sz w:val="20"/>
                <w:szCs w:val="20"/>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1B59431F" w14:textId="77777777" w:rsidR="006E44C3" w:rsidRPr="00BE6240" w:rsidRDefault="006E44C3" w:rsidP="001B7B3E">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6E44C3" w:rsidRPr="00BE6240" w14:paraId="2564D8C3" w14:textId="77777777" w:rsidTr="001B7B3E">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603815A6" w14:textId="77777777" w:rsidR="006E44C3" w:rsidRPr="00BE6240" w:rsidRDefault="006E44C3" w:rsidP="001B7B3E">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62A371D8" w14:textId="77777777" w:rsidR="006E44C3" w:rsidRPr="00BE6240" w:rsidRDefault="006E44C3" w:rsidP="001B7B3E">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335364EE" w14:textId="77777777" w:rsidR="006E44C3" w:rsidRPr="00BE6240" w:rsidRDefault="006E44C3" w:rsidP="001B7B3E">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2153C2CC" w14:textId="77777777" w:rsidR="006E44C3" w:rsidRPr="00BE6240" w:rsidRDefault="006E44C3" w:rsidP="001B7B3E">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D259E4" w:rsidRPr="00BE6240" w14:paraId="4C7F4B6F" w14:textId="77777777" w:rsidTr="001B7B3E">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8DC83B6" w14:textId="77777777" w:rsidR="00D259E4" w:rsidRPr="00BE6240" w:rsidRDefault="00D259E4" w:rsidP="00D259E4">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2EB5B2E9" w14:textId="26717BC9" w:rsidR="00D259E4" w:rsidRPr="00651FFA" w:rsidRDefault="00D259E4" w:rsidP="00D259E4">
            <w:pPr>
              <w:spacing w:before="0" w:after="0"/>
              <w:jc w:val="center"/>
              <w:rPr>
                <w:rFonts w:cs="Arial"/>
                <w:sz w:val="18"/>
                <w:szCs w:val="18"/>
                <w:highlight w:val="yellow"/>
                <w:lang w:val="es-CO" w:eastAsia="es-CO"/>
              </w:rPr>
            </w:pPr>
            <w:r>
              <w:rPr>
                <w:rFonts w:cs="Arial"/>
                <w:sz w:val="18"/>
                <w:szCs w:val="18"/>
              </w:rPr>
              <w:t>29,901</w:t>
            </w:r>
          </w:p>
        </w:tc>
        <w:tc>
          <w:tcPr>
            <w:tcW w:w="1960" w:type="dxa"/>
            <w:tcBorders>
              <w:top w:val="nil"/>
              <w:left w:val="nil"/>
              <w:bottom w:val="single" w:sz="4" w:space="0" w:color="auto"/>
              <w:right w:val="single" w:sz="4" w:space="0" w:color="auto"/>
            </w:tcBorders>
            <w:shd w:val="clear" w:color="auto" w:fill="auto"/>
            <w:noWrap/>
            <w:vAlign w:val="center"/>
            <w:hideMark/>
          </w:tcPr>
          <w:p w14:paraId="0B9D6DAA" w14:textId="14774C22" w:rsidR="00D259E4" w:rsidRPr="00651FFA" w:rsidRDefault="00D259E4" w:rsidP="00D259E4">
            <w:pPr>
              <w:spacing w:before="0" w:after="0"/>
              <w:jc w:val="center"/>
              <w:rPr>
                <w:rFonts w:cs="Arial"/>
                <w:sz w:val="18"/>
                <w:szCs w:val="18"/>
                <w:highlight w:val="yellow"/>
              </w:rPr>
            </w:pPr>
            <w:r>
              <w:rPr>
                <w:rFonts w:cs="Arial"/>
                <w:sz w:val="18"/>
                <w:szCs w:val="18"/>
              </w:rPr>
              <w:t>29,752</w:t>
            </w:r>
          </w:p>
        </w:tc>
        <w:tc>
          <w:tcPr>
            <w:tcW w:w="1960" w:type="dxa"/>
            <w:tcBorders>
              <w:top w:val="nil"/>
              <w:left w:val="nil"/>
              <w:bottom w:val="single" w:sz="4" w:space="0" w:color="auto"/>
              <w:right w:val="single" w:sz="4" w:space="0" w:color="auto"/>
            </w:tcBorders>
            <w:shd w:val="clear" w:color="auto" w:fill="auto"/>
            <w:noWrap/>
            <w:vAlign w:val="center"/>
            <w:hideMark/>
          </w:tcPr>
          <w:p w14:paraId="3184BE24" w14:textId="70A55DFE" w:rsidR="00D259E4" w:rsidRPr="00651FFA" w:rsidRDefault="00D259E4" w:rsidP="00D259E4">
            <w:pPr>
              <w:spacing w:before="0" w:after="0"/>
              <w:jc w:val="center"/>
              <w:rPr>
                <w:rFonts w:cs="Arial"/>
                <w:sz w:val="18"/>
                <w:szCs w:val="18"/>
                <w:highlight w:val="yellow"/>
              </w:rPr>
            </w:pPr>
            <w:r>
              <w:rPr>
                <w:rFonts w:cs="Arial"/>
                <w:sz w:val="18"/>
                <w:szCs w:val="18"/>
              </w:rPr>
              <w:t>30,051</w:t>
            </w:r>
          </w:p>
        </w:tc>
      </w:tr>
      <w:tr w:rsidR="00D259E4" w:rsidRPr="00BE6240" w14:paraId="4346136C" w14:textId="77777777" w:rsidTr="001B7B3E">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4A7DD1CB" w14:textId="77777777" w:rsidR="00D259E4" w:rsidRPr="00BE6240" w:rsidRDefault="00D259E4" w:rsidP="00D259E4">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57E624DF" w14:textId="77BF5AC7" w:rsidR="00D259E4" w:rsidRPr="00651FFA" w:rsidRDefault="00D259E4" w:rsidP="00D259E4">
            <w:pPr>
              <w:spacing w:before="0" w:after="0"/>
              <w:jc w:val="center"/>
              <w:rPr>
                <w:rFonts w:cs="Arial"/>
                <w:sz w:val="18"/>
                <w:szCs w:val="18"/>
                <w:highlight w:val="yellow"/>
              </w:rPr>
            </w:pPr>
            <w:r>
              <w:rPr>
                <w:rFonts w:cs="Arial"/>
                <w:sz w:val="18"/>
                <w:szCs w:val="18"/>
              </w:rPr>
              <w:t>27,509</w:t>
            </w:r>
          </w:p>
        </w:tc>
        <w:tc>
          <w:tcPr>
            <w:tcW w:w="1960" w:type="dxa"/>
            <w:tcBorders>
              <w:top w:val="nil"/>
              <w:left w:val="nil"/>
              <w:bottom w:val="single" w:sz="4" w:space="0" w:color="auto"/>
              <w:right w:val="single" w:sz="4" w:space="0" w:color="auto"/>
            </w:tcBorders>
            <w:shd w:val="clear" w:color="auto" w:fill="auto"/>
            <w:noWrap/>
            <w:vAlign w:val="center"/>
            <w:hideMark/>
          </w:tcPr>
          <w:p w14:paraId="33216DD5" w14:textId="428A5057" w:rsidR="00D259E4" w:rsidRPr="00651FFA" w:rsidRDefault="00D259E4" w:rsidP="00D259E4">
            <w:pPr>
              <w:spacing w:before="0" w:after="0"/>
              <w:jc w:val="center"/>
              <w:rPr>
                <w:rFonts w:cs="Arial"/>
                <w:sz w:val="18"/>
                <w:szCs w:val="18"/>
                <w:highlight w:val="yellow"/>
              </w:rPr>
            </w:pPr>
            <w:r>
              <w:rPr>
                <w:rFonts w:cs="Arial"/>
                <w:sz w:val="18"/>
                <w:szCs w:val="18"/>
              </w:rPr>
              <w:t>27,372</w:t>
            </w:r>
          </w:p>
        </w:tc>
        <w:tc>
          <w:tcPr>
            <w:tcW w:w="1960" w:type="dxa"/>
            <w:tcBorders>
              <w:top w:val="nil"/>
              <w:left w:val="nil"/>
              <w:bottom w:val="single" w:sz="4" w:space="0" w:color="auto"/>
              <w:right w:val="single" w:sz="4" w:space="0" w:color="auto"/>
            </w:tcBorders>
            <w:shd w:val="clear" w:color="auto" w:fill="auto"/>
            <w:noWrap/>
            <w:vAlign w:val="center"/>
            <w:hideMark/>
          </w:tcPr>
          <w:p w14:paraId="247F50A8" w14:textId="54FA7AF2" w:rsidR="00D259E4" w:rsidRPr="00651FFA" w:rsidRDefault="00D259E4" w:rsidP="00D259E4">
            <w:pPr>
              <w:spacing w:before="0" w:after="0"/>
              <w:jc w:val="center"/>
              <w:rPr>
                <w:rFonts w:cs="Arial"/>
                <w:sz w:val="18"/>
                <w:szCs w:val="18"/>
                <w:highlight w:val="yellow"/>
              </w:rPr>
            </w:pPr>
            <w:r>
              <w:rPr>
                <w:rFonts w:cs="Arial"/>
                <w:sz w:val="18"/>
                <w:szCs w:val="18"/>
              </w:rPr>
              <w:t>27,647</w:t>
            </w:r>
          </w:p>
        </w:tc>
      </w:tr>
      <w:tr w:rsidR="00D259E4" w:rsidRPr="00BE6240" w14:paraId="34835527" w14:textId="77777777" w:rsidTr="001B7B3E">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26400A1" w14:textId="77777777" w:rsidR="00D259E4" w:rsidRPr="00BE6240" w:rsidRDefault="00D259E4" w:rsidP="00D259E4">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01791DFF" w14:textId="708116FD" w:rsidR="00D259E4" w:rsidRPr="00651FFA" w:rsidRDefault="00D259E4" w:rsidP="00D259E4">
            <w:pPr>
              <w:spacing w:before="0" w:after="0"/>
              <w:jc w:val="center"/>
              <w:rPr>
                <w:rFonts w:cs="Arial"/>
                <w:sz w:val="18"/>
                <w:szCs w:val="18"/>
                <w:highlight w:val="yellow"/>
              </w:rPr>
            </w:pPr>
            <w:r>
              <w:rPr>
                <w:rFonts w:cs="Arial"/>
                <w:sz w:val="18"/>
                <w:szCs w:val="18"/>
              </w:rPr>
              <w:t>25,308</w:t>
            </w:r>
          </w:p>
        </w:tc>
        <w:tc>
          <w:tcPr>
            <w:tcW w:w="1960" w:type="dxa"/>
            <w:tcBorders>
              <w:top w:val="nil"/>
              <w:left w:val="nil"/>
              <w:bottom w:val="single" w:sz="4" w:space="0" w:color="auto"/>
              <w:right w:val="single" w:sz="4" w:space="0" w:color="auto"/>
            </w:tcBorders>
            <w:shd w:val="clear" w:color="auto" w:fill="auto"/>
            <w:noWrap/>
            <w:vAlign w:val="center"/>
            <w:hideMark/>
          </w:tcPr>
          <w:p w14:paraId="1E807CB5" w14:textId="18B928B7" w:rsidR="00D259E4" w:rsidRPr="00651FFA" w:rsidRDefault="00D259E4" w:rsidP="00D259E4">
            <w:pPr>
              <w:spacing w:before="0" w:after="0"/>
              <w:jc w:val="center"/>
              <w:rPr>
                <w:rFonts w:cs="Arial"/>
                <w:sz w:val="18"/>
                <w:szCs w:val="18"/>
                <w:highlight w:val="yellow"/>
              </w:rPr>
            </w:pPr>
            <w:r>
              <w:rPr>
                <w:rFonts w:cs="Arial"/>
                <w:sz w:val="18"/>
                <w:szCs w:val="18"/>
              </w:rPr>
              <w:t>25,182</w:t>
            </w:r>
          </w:p>
        </w:tc>
        <w:tc>
          <w:tcPr>
            <w:tcW w:w="1960" w:type="dxa"/>
            <w:tcBorders>
              <w:top w:val="nil"/>
              <w:left w:val="nil"/>
              <w:bottom w:val="single" w:sz="4" w:space="0" w:color="auto"/>
              <w:right w:val="single" w:sz="4" w:space="0" w:color="auto"/>
            </w:tcBorders>
            <w:shd w:val="clear" w:color="auto" w:fill="auto"/>
            <w:noWrap/>
            <w:vAlign w:val="center"/>
            <w:hideMark/>
          </w:tcPr>
          <w:p w14:paraId="423CE0A8" w14:textId="628C050F" w:rsidR="00D259E4" w:rsidRPr="00651FFA" w:rsidRDefault="00D259E4" w:rsidP="00D259E4">
            <w:pPr>
              <w:spacing w:before="0" w:after="0"/>
              <w:jc w:val="center"/>
              <w:rPr>
                <w:rFonts w:cs="Arial"/>
                <w:sz w:val="18"/>
                <w:szCs w:val="18"/>
                <w:highlight w:val="yellow"/>
              </w:rPr>
            </w:pPr>
            <w:r>
              <w:rPr>
                <w:rFonts w:cs="Arial"/>
                <w:sz w:val="18"/>
                <w:szCs w:val="18"/>
              </w:rPr>
              <w:t>25,435</w:t>
            </w:r>
          </w:p>
        </w:tc>
      </w:tr>
      <w:tr w:rsidR="00D259E4" w:rsidRPr="00BE6240" w14:paraId="25F791C4" w14:textId="77777777" w:rsidTr="001B7B3E">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D66794F" w14:textId="77777777" w:rsidR="00D259E4" w:rsidRPr="00BE6240" w:rsidRDefault="00D259E4" w:rsidP="00D259E4">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4F4891C2" w14:textId="2CCD524D" w:rsidR="00D259E4" w:rsidRPr="00651FFA" w:rsidRDefault="00D259E4" w:rsidP="00D259E4">
            <w:pPr>
              <w:spacing w:before="0" w:after="0"/>
              <w:jc w:val="center"/>
              <w:rPr>
                <w:rFonts w:cs="Arial"/>
                <w:sz w:val="18"/>
                <w:szCs w:val="18"/>
                <w:highlight w:val="yellow"/>
              </w:rPr>
            </w:pPr>
            <w:r>
              <w:rPr>
                <w:rFonts w:cs="Arial"/>
                <w:sz w:val="18"/>
                <w:szCs w:val="18"/>
              </w:rPr>
              <w:t>23,284</w:t>
            </w:r>
          </w:p>
        </w:tc>
        <w:tc>
          <w:tcPr>
            <w:tcW w:w="1960" w:type="dxa"/>
            <w:tcBorders>
              <w:top w:val="nil"/>
              <w:left w:val="nil"/>
              <w:bottom w:val="single" w:sz="4" w:space="0" w:color="auto"/>
              <w:right w:val="single" w:sz="4" w:space="0" w:color="auto"/>
            </w:tcBorders>
            <w:shd w:val="clear" w:color="auto" w:fill="auto"/>
            <w:noWrap/>
            <w:vAlign w:val="center"/>
            <w:hideMark/>
          </w:tcPr>
          <w:p w14:paraId="2E0C92F3" w14:textId="7E37E73F" w:rsidR="00D259E4" w:rsidRPr="00651FFA" w:rsidRDefault="00D259E4" w:rsidP="00D259E4">
            <w:pPr>
              <w:spacing w:before="0" w:after="0"/>
              <w:jc w:val="center"/>
              <w:rPr>
                <w:rFonts w:cs="Arial"/>
                <w:sz w:val="18"/>
                <w:szCs w:val="18"/>
                <w:highlight w:val="yellow"/>
              </w:rPr>
            </w:pPr>
            <w:r>
              <w:rPr>
                <w:rFonts w:cs="Arial"/>
                <w:sz w:val="18"/>
                <w:szCs w:val="18"/>
              </w:rPr>
              <w:t>23,167</w:t>
            </w:r>
          </w:p>
        </w:tc>
        <w:tc>
          <w:tcPr>
            <w:tcW w:w="1960" w:type="dxa"/>
            <w:tcBorders>
              <w:top w:val="nil"/>
              <w:left w:val="nil"/>
              <w:bottom w:val="single" w:sz="4" w:space="0" w:color="auto"/>
              <w:right w:val="single" w:sz="4" w:space="0" w:color="auto"/>
            </w:tcBorders>
            <w:shd w:val="clear" w:color="auto" w:fill="auto"/>
            <w:noWrap/>
            <w:vAlign w:val="center"/>
            <w:hideMark/>
          </w:tcPr>
          <w:p w14:paraId="336E3517" w14:textId="7DB4E3F6" w:rsidR="00D259E4" w:rsidRPr="00651FFA" w:rsidRDefault="00D259E4" w:rsidP="00D259E4">
            <w:pPr>
              <w:spacing w:before="0" w:after="0"/>
              <w:jc w:val="center"/>
              <w:rPr>
                <w:rFonts w:cs="Arial"/>
                <w:sz w:val="18"/>
                <w:szCs w:val="18"/>
                <w:highlight w:val="yellow"/>
              </w:rPr>
            </w:pPr>
            <w:r>
              <w:rPr>
                <w:rFonts w:cs="Arial"/>
                <w:sz w:val="18"/>
                <w:szCs w:val="18"/>
              </w:rPr>
              <w:t>23,400</w:t>
            </w:r>
          </w:p>
        </w:tc>
      </w:tr>
      <w:tr w:rsidR="00D259E4" w:rsidRPr="00BE6240" w14:paraId="39946120" w14:textId="77777777" w:rsidTr="001B7B3E">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59FE0F3" w14:textId="77777777" w:rsidR="00D259E4" w:rsidRPr="00BE6240" w:rsidRDefault="00D259E4" w:rsidP="00D259E4">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01858E77" w14:textId="7D71E4F4" w:rsidR="00D259E4" w:rsidRPr="00651FFA" w:rsidRDefault="00D259E4" w:rsidP="00D259E4">
            <w:pPr>
              <w:spacing w:before="0" w:after="0"/>
              <w:jc w:val="center"/>
              <w:rPr>
                <w:rFonts w:cs="Arial"/>
                <w:sz w:val="18"/>
                <w:szCs w:val="18"/>
                <w:highlight w:val="yellow"/>
              </w:rPr>
            </w:pPr>
            <w:r>
              <w:rPr>
                <w:rFonts w:cs="Arial"/>
                <w:sz w:val="18"/>
                <w:szCs w:val="18"/>
              </w:rPr>
              <w:t>21,421</w:t>
            </w:r>
          </w:p>
        </w:tc>
        <w:tc>
          <w:tcPr>
            <w:tcW w:w="1960" w:type="dxa"/>
            <w:tcBorders>
              <w:top w:val="nil"/>
              <w:left w:val="nil"/>
              <w:bottom w:val="single" w:sz="4" w:space="0" w:color="auto"/>
              <w:right w:val="single" w:sz="4" w:space="0" w:color="auto"/>
            </w:tcBorders>
            <w:shd w:val="clear" w:color="auto" w:fill="auto"/>
            <w:noWrap/>
            <w:vAlign w:val="center"/>
            <w:hideMark/>
          </w:tcPr>
          <w:p w14:paraId="7BB729F1" w14:textId="07A7A049" w:rsidR="00D259E4" w:rsidRPr="00651FFA" w:rsidRDefault="00D259E4" w:rsidP="00D259E4">
            <w:pPr>
              <w:spacing w:before="0" w:after="0"/>
              <w:jc w:val="center"/>
              <w:rPr>
                <w:rFonts w:cs="Arial"/>
                <w:sz w:val="18"/>
                <w:szCs w:val="18"/>
                <w:highlight w:val="yellow"/>
              </w:rPr>
            </w:pPr>
            <w:r>
              <w:rPr>
                <w:rFonts w:cs="Arial"/>
                <w:sz w:val="18"/>
                <w:szCs w:val="18"/>
              </w:rPr>
              <w:t>21,314</w:t>
            </w:r>
          </w:p>
        </w:tc>
        <w:tc>
          <w:tcPr>
            <w:tcW w:w="1960" w:type="dxa"/>
            <w:tcBorders>
              <w:top w:val="nil"/>
              <w:left w:val="nil"/>
              <w:bottom w:val="single" w:sz="4" w:space="0" w:color="auto"/>
              <w:right w:val="single" w:sz="4" w:space="0" w:color="auto"/>
            </w:tcBorders>
            <w:shd w:val="clear" w:color="auto" w:fill="auto"/>
            <w:noWrap/>
            <w:vAlign w:val="center"/>
            <w:hideMark/>
          </w:tcPr>
          <w:p w14:paraId="3CD10407" w14:textId="18D77DE4" w:rsidR="00D259E4" w:rsidRPr="00651FFA" w:rsidRDefault="00D259E4" w:rsidP="00D259E4">
            <w:pPr>
              <w:spacing w:before="0" w:after="0"/>
              <w:jc w:val="center"/>
              <w:rPr>
                <w:rFonts w:cs="Arial"/>
                <w:sz w:val="18"/>
                <w:szCs w:val="18"/>
                <w:highlight w:val="yellow"/>
              </w:rPr>
            </w:pPr>
            <w:r>
              <w:rPr>
                <w:rFonts w:cs="Arial"/>
                <w:sz w:val="18"/>
                <w:szCs w:val="18"/>
              </w:rPr>
              <w:t>21,528</w:t>
            </w:r>
          </w:p>
        </w:tc>
      </w:tr>
    </w:tbl>
    <w:bookmarkEnd w:id="1"/>
    <w:p w14:paraId="45900B46" w14:textId="104D92D8" w:rsidR="004555A1" w:rsidRPr="007A58B1" w:rsidRDefault="004555A1" w:rsidP="00A90132">
      <w:pPr>
        <w:pStyle w:val="Artculo"/>
        <w:spacing w:before="200" w:after="200"/>
        <w:ind w:left="0"/>
        <w:outlineLvl w:val="2"/>
        <w:rPr>
          <w:b w:val="0"/>
        </w:rPr>
      </w:pPr>
      <w:r w:rsidRPr="00A614A5">
        <w:rPr>
          <w:bCs/>
        </w:rPr>
        <w:t xml:space="preserve">Modificar el artículo </w:t>
      </w:r>
      <w:r>
        <w:rPr>
          <w:bCs/>
        </w:rPr>
        <w:t>11</w:t>
      </w:r>
      <w:r w:rsidRPr="00A614A5">
        <w:rPr>
          <w:bCs/>
        </w:rPr>
        <w:t xml:space="preserve"> de la Resolución CREG 220 de 202</w:t>
      </w:r>
      <w:r>
        <w:rPr>
          <w:bCs/>
        </w:rPr>
        <w:t>1.</w:t>
      </w:r>
      <w:r w:rsidR="007A58B1">
        <w:rPr>
          <w:bCs/>
        </w:rPr>
        <w:t xml:space="preserve"> </w:t>
      </w:r>
      <w:r w:rsidR="007A58B1" w:rsidRPr="00FB0680">
        <w:rPr>
          <w:b w:val="0"/>
        </w:rPr>
        <w:t>El</w:t>
      </w:r>
      <w:r w:rsidR="007A58B1">
        <w:rPr>
          <w:bCs/>
        </w:rPr>
        <w:t xml:space="preserve"> </w:t>
      </w:r>
      <w:r w:rsidR="007A58B1" w:rsidRPr="00FB0680">
        <w:rPr>
          <w:b w:val="0"/>
        </w:rPr>
        <w:t xml:space="preserve">artículo </w:t>
      </w:r>
      <w:r w:rsidR="007A58B1">
        <w:rPr>
          <w:b w:val="0"/>
        </w:rPr>
        <w:t>11</w:t>
      </w:r>
      <w:r w:rsidR="007A58B1" w:rsidRPr="00FB0680">
        <w:rPr>
          <w:b w:val="0"/>
        </w:rPr>
        <w:t xml:space="preserve"> de la Resolución CREG 220 de 202</w:t>
      </w:r>
      <w:r w:rsidR="007A58B1">
        <w:rPr>
          <w:b w:val="0"/>
        </w:rPr>
        <w:t>1 quedará así:</w:t>
      </w:r>
    </w:p>
    <w:p w14:paraId="491992A0" w14:textId="123117AD" w:rsidR="007A58B1" w:rsidRDefault="007A58B1" w:rsidP="007A58B1">
      <w:pPr>
        <w:ind w:left="708"/>
        <w:rPr>
          <w:i/>
          <w:iCs/>
          <w:sz w:val="22"/>
          <w:szCs w:val="22"/>
        </w:rPr>
      </w:pPr>
      <w:r w:rsidRPr="00503642">
        <w:rPr>
          <w:b/>
          <w:bCs/>
          <w:i/>
          <w:iCs/>
          <w:sz w:val="22"/>
          <w:szCs w:val="22"/>
        </w:rPr>
        <w:t xml:space="preserve">Artículo </w:t>
      </w:r>
      <w:r>
        <w:rPr>
          <w:b/>
          <w:bCs/>
          <w:i/>
          <w:iCs/>
          <w:sz w:val="22"/>
          <w:szCs w:val="22"/>
        </w:rPr>
        <w:t>11</w:t>
      </w:r>
      <w:r w:rsidRPr="00503642">
        <w:rPr>
          <w:b/>
          <w:bCs/>
          <w:i/>
          <w:iCs/>
          <w:sz w:val="22"/>
          <w:szCs w:val="22"/>
        </w:rPr>
        <w:t xml:space="preserve">. </w:t>
      </w:r>
      <w:r w:rsidR="00FA38BE" w:rsidRPr="00FA38BE">
        <w:rPr>
          <w:b/>
          <w:bCs/>
          <w:i/>
          <w:iCs/>
          <w:sz w:val="22"/>
          <w:szCs w:val="22"/>
        </w:rPr>
        <w:t xml:space="preserve">Metas anuales de calidad media para el indicador de frecuencia de eventos. </w:t>
      </w:r>
      <w:r w:rsidR="00FA38BE" w:rsidRPr="00FA38BE">
        <w:rPr>
          <w:i/>
          <w:iCs/>
          <w:sz w:val="22"/>
          <w:szCs w:val="22"/>
        </w:rPr>
        <w:t>Las metas anuales de calidad media para el indicador de frecuencia de eventos, SAIFI_Mj,t, son las siguientes</w:t>
      </w:r>
      <w:r w:rsidRPr="00FA38BE">
        <w:rPr>
          <w:i/>
          <w:iCs/>
          <w:sz w:val="22"/>
          <w:szCs w:val="22"/>
        </w:rPr>
        <w:t>:</w:t>
      </w:r>
    </w:p>
    <w:p w14:paraId="5CCC6B7F" w14:textId="58884869" w:rsidR="00076B19" w:rsidRPr="00076B19" w:rsidRDefault="00076B19" w:rsidP="00076B19">
      <w:pPr>
        <w:pStyle w:val="Descripcin"/>
        <w:spacing w:before="240" w:after="120" w:line="240" w:lineRule="auto"/>
        <w:rPr>
          <w:sz w:val="20"/>
          <w:szCs w:val="18"/>
        </w:rPr>
      </w:pPr>
      <w:r w:rsidRPr="00076B19">
        <w:rPr>
          <w:sz w:val="20"/>
          <w:szCs w:val="18"/>
        </w:rPr>
        <w:t xml:space="preserve">Tabla </w:t>
      </w:r>
      <w:r>
        <w:rPr>
          <w:sz w:val="20"/>
          <w:szCs w:val="18"/>
        </w:rPr>
        <w:t>13</w:t>
      </w:r>
      <w:r w:rsidRPr="00076B19">
        <w:rPr>
          <w:sz w:val="20"/>
          <w:szCs w:val="18"/>
        </w:rPr>
        <w:t xml:space="preserve"> Metas anuales de calidad media para el indicador de frecuencia, 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076B19" w:rsidRPr="00BE6240" w14:paraId="24EC6745" w14:textId="77777777" w:rsidTr="001B7B3E">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2944E10C" w14:textId="77777777" w:rsidR="00076B19" w:rsidRPr="00BE6240" w:rsidRDefault="00076B19" w:rsidP="001B7B3E">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527A5124" w14:textId="77777777" w:rsidR="00076B19" w:rsidRPr="00BE6240" w:rsidRDefault="00076B19" w:rsidP="001B7B3E">
            <w:pPr>
              <w:spacing w:before="0" w:after="0"/>
              <w:jc w:val="center"/>
              <w:rPr>
                <w:rFonts w:cs="Arial"/>
                <w:b/>
                <w:bCs/>
                <w:sz w:val="18"/>
                <w:szCs w:val="18"/>
                <w:lang w:val="es-CO" w:eastAsia="es-CO"/>
              </w:rPr>
            </w:pPr>
            <w:r w:rsidRPr="00BE6240">
              <w:rPr>
                <w:rFonts w:cs="Arial"/>
                <w:b/>
                <w:bCs/>
                <w:sz w:val="18"/>
                <w:szCs w:val="18"/>
                <w:lang w:val="es-CO" w:eastAsia="es-CO"/>
              </w:rPr>
              <w:t>SAIFI_M</w:t>
            </w:r>
            <w:r w:rsidRPr="00BE6240">
              <w:rPr>
                <w:rFonts w:cs="Arial"/>
                <w:i/>
                <w:iCs/>
                <w:sz w:val="20"/>
                <w:szCs w:val="20"/>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3987AC5E" w14:textId="77777777" w:rsidR="00076B19" w:rsidRPr="00BE6240" w:rsidRDefault="00076B19" w:rsidP="001B7B3E">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076B19" w:rsidRPr="00BE6240" w14:paraId="7D55431E" w14:textId="77777777" w:rsidTr="001B7B3E">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1C4282BB" w14:textId="77777777" w:rsidR="00076B19" w:rsidRPr="00BE6240" w:rsidRDefault="00076B19" w:rsidP="001B7B3E">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3E9E1068" w14:textId="77777777" w:rsidR="00076B19" w:rsidRPr="00BE6240" w:rsidRDefault="00076B19" w:rsidP="001B7B3E">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50E842C4" w14:textId="77777777" w:rsidR="00076B19" w:rsidRPr="00BE6240" w:rsidRDefault="00076B19" w:rsidP="001B7B3E">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79564300" w14:textId="77777777" w:rsidR="00076B19" w:rsidRPr="00BE6240" w:rsidRDefault="00076B19" w:rsidP="001B7B3E">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400706" w:rsidRPr="00BE6240" w14:paraId="499EFCCA" w14:textId="77777777" w:rsidTr="001B7B3E">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4AFCDA4C" w14:textId="77777777" w:rsidR="00400706" w:rsidRPr="00BE6240" w:rsidRDefault="00400706" w:rsidP="00400706">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614F6DF3" w14:textId="52E008A0" w:rsidR="00400706" w:rsidRPr="00490958" w:rsidRDefault="00400706" w:rsidP="00400706">
            <w:pPr>
              <w:spacing w:before="0" w:after="0"/>
              <w:jc w:val="center"/>
              <w:rPr>
                <w:rFonts w:cs="Arial"/>
                <w:sz w:val="18"/>
                <w:szCs w:val="18"/>
                <w:highlight w:val="yellow"/>
                <w:lang w:val="es-CO" w:eastAsia="es-CO"/>
              </w:rPr>
            </w:pPr>
            <w:r>
              <w:rPr>
                <w:rFonts w:cs="Arial"/>
                <w:sz w:val="18"/>
                <w:szCs w:val="18"/>
              </w:rPr>
              <w:t>11,847</w:t>
            </w:r>
          </w:p>
        </w:tc>
        <w:tc>
          <w:tcPr>
            <w:tcW w:w="1887" w:type="dxa"/>
            <w:tcBorders>
              <w:top w:val="nil"/>
              <w:left w:val="nil"/>
              <w:bottom w:val="single" w:sz="4" w:space="0" w:color="auto"/>
              <w:right w:val="single" w:sz="4" w:space="0" w:color="auto"/>
            </w:tcBorders>
            <w:shd w:val="clear" w:color="auto" w:fill="auto"/>
            <w:noWrap/>
            <w:vAlign w:val="center"/>
          </w:tcPr>
          <w:p w14:paraId="3F39E309" w14:textId="612B27F3" w:rsidR="00400706" w:rsidRPr="00490958" w:rsidRDefault="00400706" w:rsidP="00400706">
            <w:pPr>
              <w:spacing w:before="0" w:after="0"/>
              <w:jc w:val="center"/>
              <w:rPr>
                <w:rFonts w:cs="Arial"/>
                <w:sz w:val="18"/>
                <w:szCs w:val="18"/>
                <w:highlight w:val="yellow"/>
              </w:rPr>
            </w:pPr>
            <w:r>
              <w:rPr>
                <w:rFonts w:cs="Arial"/>
                <w:sz w:val="18"/>
                <w:szCs w:val="18"/>
              </w:rPr>
              <w:t>11,788</w:t>
            </w:r>
          </w:p>
        </w:tc>
        <w:tc>
          <w:tcPr>
            <w:tcW w:w="1960" w:type="dxa"/>
            <w:tcBorders>
              <w:top w:val="nil"/>
              <w:left w:val="nil"/>
              <w:bottom w:val="single" w:sz="4" w:space="0" w:color="auto"/>
              <w:right w:val="single" w:sz="4" w:space="0" w:color="auto"/>
            </w:tcBorders>
            <w:shd w:val="clear" w:color="auto" w:fill="auto"/>
            <w:noWrap/>
            <w:vAlign w:val="center"/>
          </w:tcPr>
          <w:p w14:paraId="2AC7AF5B" w14:textId="0DCC8BC7" w:rsidR="00400706" w:rsidRPr="00490958" w:rsidRDefault="00400706" w:rsidP="00400706">
            <w:pPr>
              <w:spacing w:before="0" w:after="0"/>
              <w:jc w:val="center"/>
              <w:rPr>
                <w:rFonts w:cs="Arial"/>
                <w:sz w:val="18"/>
                <w:szCs w:val="18"/>
                <w:highlight w:val="yellow"/>
              </w:rPr>
            </w:pPr>
            <w:r>
              <w:rPr>
                <w:rFonts w:cs="Arial"/>
                <w:sz w:val="18"/>
                <w:szCs w:val="18"/>
              </w:rPr>
              <w:t>11,907</w:t>
            </w:r>
          </w:p>
        </w:tc>
      </w:tr>
      <w:tr w:rsidR="00400706" w:rsidRPr="00BE6240" w14:paraId="484EC393" w14:textId="77777777" w:rsidTr="001B7B3E">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354BD34" w14:textId="77777777" w:rsidR="00400706" w:rsidRPr="00BE6240" w:rsidRDefault="00400706" w:rsidP="00400706">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14EB5C58" w14:textId="57DA7C7E" w:rsidR="00400706" w:rsidRPr="00490958" w:rsidRDefault="00400706" w:rsidP="00400706">
            <w:pPr>
              <w:spacing w:before="0" w:after="0"/>
              <w:jc w:val="center"/>
              <w:rPr>
                <w:rFonts w:cs="Arial"/>
                <w:sz w:val="18"/>
                <w:szCs w:val="18"/>
                <w:highlight w:val="yellow"/>
              </w:rPr>
            </w:pPr>
            <w:r>
              <w:rPr>
                <w:rFonts w:cs="Arial"/>
                <w:sz w:val="18"/>
                <w:szCs w:val="18"/>
              </w:rPr>
              <w:t>10,900</w:t>
            </w:r>
          </w:p>
        </w:tc>
        <w:tc>
          <w:tcPr>
            <w:tcW w:w="1887" w:type="dxa"/>
            <w:tcBorders>
              <w:top w:val="nil"/>
              <w:left w:val="nil"/>
              <w:bottom w:val="single" w:sz="4" w:space="0" w:color="auto"/>
              <w:right w:val="single" w:sz="4" w:space="0" w:color="auto"/>
            </w:tcBorders>
            <w:shd w:val="clear" w:color="auto" w:fill="auto"/>
            <w:noWrap/>
            <w:vAlign w:val="center"/>
            <w:hideMark/>
          </w:tcPr>
          <w:p w14:paraId="2442578A" w14:textId="7BC8F28F" w:rsidR="00400706" w:rsidRPr="00490958" w:rsidRDefault="00400706" w:rsidP="00400706">
            <w:pPr>
              <w:spacing w:before="0" w:after="0"/>
              <w:jc w:val="center"/>
              <w:rPr>
                <w:rFonts w:cs="Arial"/>
                <w:sz w:val="18"/>
                <w:szCs w:val="18"/>
                <w:highlight w:val="yellow"/>
              </w:rPr>
            </w:pPr>
            <w:r>
              <w:rPr>
                <w:rFonts w:cs="Arial"/>
                <w:sz w:val="18"/>
                <w:szCs w:val="18"/>
              </w:rPr>
              <w:t>10,845</w:t>
            </w:r>
          </w:p>
        </w:tc>
        <w:tc>
          <w:tcPr>
            <w:tcW w:w="1960" w:type="dxa"/>
            <w:tcBorders>
              <w:top w:val="nil"/>
              <w:left w:val="nil"/>
              <w:bottom w:val="single" w:sz="4" w:space="0" w:color="auto"/>
              <w:right w:val="single" w:sz="4" w:space="0" w:color="auto"/>
            </w:tcBorders>
            <w:shd w:val="clear" w:color="auto" w:fill="auto"/>
            <w:noWrap/>
            <w:vAlign w:val="center"/>
            <w:hideMark/>
          </w:tcPr>
          <w:p w14:paraId="20250C1F" w14:textId="2D559689" w:rsidR="00400706" w:rsidRPr="00490958" w:rsidRDefault="00400706" w:rsidP="00400706">
            <w:pPr>
              <w:spacing w:before="0" w:after="0"/>
              <w:jc w:val="center"/>
              <w:rPr>
                <w:rFonts w:cs="Arial"/>
                <w:sz w:val="18"/>
                <w:szCs w:val="18"/>
                <w:highlight w:val="yellow"/>
              </w:rPr>
            </w:pPr>
            <w:r>
              <w:rPr>
                <w:rFonts w:cs="Arial"/>
                <w:sz w:val="18"/>
                <w:szCs w:val="18"/>
              </w:rPr>
              <w:t>10,954</w:t>
            </w:r>
          </w:p>
        </w:tc>
      </w:tr>
      <w:tr w:rsidR="00400706" w:rsidRPr="00BE6240" w14:paraId="6F81D373" w14:textId="77777777" w:rsidTr="001B7B3E">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10B1AEBB" w14:textId="77777777" w:rsidR="00400706" w:rsidRPr="00BE6240" w:rsidRDefault="00400706" w:rsidP="00400706">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0B88E4A0" w14:textId="1AFA6819" w:rsidR="00400706" w:rsidRPr="00490958" w:rsidRDefault="00400706" w:rsidP="00400706">
            <w:pPr>
              <w:spacing w:before="0" w:after="0"/>
              <w:jc w:val="center"/>
              <w:rPr>
                <w:rFonts w:cs="Arial"/>
                <w:sz w:val="18"/>
                <w:szCs w:val="18"/>
                <w:highlight w:val="yellow"/>
              </w:rPr>
            </w:pPr>
            <w:r>
              <w:rPr>
                <w:rFonts w:cs="Arial"/>
                <w:sz w:val="18"/>
                <w:szCs w:val="18"/>
              </w:rPr>
              <w:t>10,028</w:t>
            </w:r>
          </w:p>
        </w:tc>
        <w:tc>
          <w:tcPr>
            <w:tcW w:w="1887" w:type="dxa"/>
            <w:tcBorders>
              <w:top w:val="nil"/>
              <w:left w:val="nil"/>
              <w:bottom w:val="single" w:sz="4" w:space="0" w:color="auto"/>
              <w:right w:val="single" w:sz="4" w:space="0" w:color="auto"/>
            </w:tcBorders>
            <w:shd w:val="clear" w:color="auto" w:fill="auto"/>
            <w:noWrap/>
            <w:vAlign w:val="center"/>
            <w:hideMark/>
          </w:tcPr>
          <w:p w14:paraId="1DB77371" w14:textId="09AA0C40" w:rsidR="00400706" w:rsidRPr="00490958" w:rsidRDefault="00400706" w:rsidP="00400706">
            <w:pPr>
              <w:spacing w:before="0" w:after="0"/>
              <w:jc w:val="center"/>
              <w:rPr>
                <w:rFonts w:cs="Arial"/>
                <w:sz w:val="18"/>
                <w:szCs w:val="18"/>
                <w:highlight w:val="yellow"/>
              </w:rPr>
            </w:pPr>
            <w:r>
              <w:rPr>
                <w:rFonts w:cs="Arial"/>
                <w:sz w:val="18"/>
                <w:szCs w:val="18"/>
              </w:rPr>
              <w:t>9,978</w:t>
            </w:r>
          </w:p>
        </w:tc>
        <w:tc>
          <w:tcPr>
            <w:tcW w:w="1960" w:type="dxa"/>
            <w:tcBorders>
              <w:top w:val="nil"/>
              <w:left w:val="nil"/>
              <w:bottom w:val="single" w:sz="4" w:space="0" w:color="auto"/>
              <w:right w:val="single" w:sz="4" w:space="0" w:color="auto"/>
            </w:tcBorders>
            <w:shd w:val="clear" w:color="auto" w:fill="auto"/>
            <w:noWrap/>
            <w:vAlign w:val="center"/>
            <w:hideMark/>
          </w:tcPr>
          <w:p w14:paraId="21D47B10" w14:textId="5649A2FE" w:rsidR="00400706" w:rsidRPr="00490958" w:rsidRDefault="00400706" w:rsidP="00400706">
            <w:pPr>
              <w:spacing w:before="0" w:after="0"/>
              <w:jc w:val="center"/>
              <w:rPr>
                <w:rFonts w:cs="Arial"/>
                <w:sz w:val="18"/>
                <w:szCs w:val="18"/>
                <w:highlight w:val="yellow"/>
              </w:rPr>
            </w:pPr>
            <w:r>
              <w:rPr>
                <w:rFonts w:cs="Arial"/>
                <w:sz w:val="18"/>
                <w:szCs w:val="18"/>
              </w:rPr>
              <w:t>10,078</w:t>
            </w:r>
          </w:p>
        </w:tc>
      </w:tr>
      <w:tr w:rsidR="00400706" w:rsidRPr="00BE6240" w14:paraId="7AB5FAC6" w14:textId="77777777" w:rsidTr="001B7B3E">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6299DD49" w14:textId="77777777" w:rsidR="00400706" w:rsidRPr="00BE6240" w:rsidRDefault="00400706" w:rsidP="00400706">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43CB12C2" w14:textId="064EB75B" w:rsidR="00400706" w:rsidRPr="00490958" w:rsidRDefault="00400706" w:rsidP="00400706">
            <w:pPr>
              <w:spacing w:before="0" w:after="0"/>
              <w:jc w:val="center"/>
              <w:rPr>
                <w:rFonts w:cs="Arial"/>
                <w:sz w:val="18"/>
                <w:szCs w:val="18"/>
                <w:highlight w:val="yellow"/>
              </w:rPr>
            </w:pPr>
            <w:r>
              <w:rPr>
                <w:rFonts w:cs="Arial"/>
                <w:sz w:val="18"/>
                <w:szCs w:val="18"/>
              </w:rPr>
              <w:t>9,225</w:t>
            </w:r>
          </w:p>
        </w:tc>
        <w:tc>
          <w:tcPr>
            <w:tcW w:w="1887" w:type="dxa"/>
            <w:tcBorders>
              <w:top w:val="nil"/>
              <w:left w:val="nil"/>
              <w:bottom w:val="single" w:sz="4" w:space="0" w:color="auto"/>
              <w:right w:val="single" w:sz="4" w:space="0" w:color="auto"/>
            </w:tcBorders>
            <w:shd w:val="clear" w:color="auto" w:fill="auto"/>
            <w:noWrap/>
            <w:vAlign w:val="center"/>
            <w:hideMark/>
          </w:tcPr>
          <w:p w14:paraId="609B8320" w14:textId="781152E9" w:rsidR="00400706" w:rsidRPr="00490958" w:rsidRDefault="00400706" w:rsidP="00400706">
            <w:pPr>
              <w:spacing w:before="0" w:after="0"/>
              <w:jc w:val="center"/>
              <w:rPr>
                <w:rFonts w:cs="Arial"/>
                <w:sz w:val="18"/>
                <w:szCs w:val="18"/>
                <w:highlight w:val="yellow"/>
              </w:rPr>
            </w:pPr>
            <w:r>
              <w:rPr>
                <w:rFonts w:cs="Arial"/>
                <w:sz w:val="18"/>
                <w:szCs w:val="18"/>
              </w:rPr>
              <w:t>9,179</w:t>
            </w:r>
          </w:p>
        </w:tc>
        <w:tc>
          <w:tcPr>
            <w:tcW w:w="1960" w:type="dxa"/>
            <w:tcBorders>
              <w:top w:val="nil"/>
              <w:left w:val="nil"/>
              <w:bottom w:val="single" w:sz="4" w:space="0" w:color="auto"/>
              <w:right w:val="single" w:sz="4" w:space="0" w:color="auto"/>
            </w:tcBorders>
            <w:shd w:val="clear" w:color="auto" w:fill="auto"/>
            <w:noWrap/>
            <w:vAlign w:val="center"/>
            <w:hideMark/>
          </w:tcPr>
          <w:p w14:paraId="49025CFC" w14:textId="541EA9E5" w:rsidR="00400706" w:rsidRPr="00490958" w:rsidRDefault="00400706" w:rsidP="00400706">
            <w:pPr>
              <w:spacing w:before="0" w:after="0"/>
              <w:jc w:val="center"/>
              <w:rPr>
                <w:rFonts w:cs="Arial"/>
                <w:sz w:val="18"/>
                <w:szCs w:val="18"/>
                <w:highlight w:val="yellow"/>
              </w:rPr>
            </w:pPr>
            <w:r>
              <w:rPr>
                <w:rFonts w:cs="Arial"/>
                <w:sz w:val="18"/>
                <w:szCs w:val="18"/>
              </w:rPr>
              <w:t>9,272</w:t>
            </w:r>
          </w:p>
        </w:tc>
      </w:tr>
      <w:tr w:rsidR="00400706" w:rsidRPr="00BE6240" w14:paraId="0878B31C" w14:textId="77777777" w:rsidTr="001B7B3E">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26265DB" w14:textId="77777777" w:rsidR="00400706" w:rsidRPr="00BE6240" w:rsidRDefault="00400706" w:rsidP="00400706">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03EA5A01" w14:textId="401A03B6" w:rsidR="00400706" w:rsidRPr="00490958" w:rsidRDefault="00400706" w:rsidP="00400706">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508B8ADD" w14:textId="3075A409" w:rsidR="00400706" w:rsidRPr="00490958" w:rsidRDefault="00400706" w:rsidP="00400706">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145B2A76" w14:textId="49A2985B" w:rsidR="00400706" w:rsidRPr="00490958" w:rsidRDefault="00400706" w:rsidP="00400706">
            <w:pPr>
              <w:spacing w:before="0" w:after="0"/>
              <w:jc w:val="center"/>
              <w:rPr>
                <w:rFonts w:cs="Arial"/>
                <w:sz w:val="18"/>
                <w:szCs w:val="18"/>
                <w:highlight w:val="yellow"/>
              </w:rPr>
            </w:pPr>
            <w:r>
              <w:rPr>
                <w:rFonts w:cs="Arial"/>
                <w:sz w:val="18"/>
                <w:szCs w:val="18"/>
              </w:rPr>
              <w:t>9,045</w:t>
            </w:r>
          </w:p>
        </w:tc>
      </w:tr>
    </w:tbl>
    <w:p w14:paraId="16D2AE4C" w14:textId="11758B98" w:rsidR="004555A1" w:rsidRPr="007A58B1" w:rsidRDefault="004555A1" w:rsidP="00A90132">
      <w:pPr>
        <w:pStyle w:val="Artculo"/>
        <w:spacing w:before="200" w:after="200"/>
        <w:ind w:left="0"/>
        <w:outlineLvl w:val="2"/>
        <w:rPr>
          <w:b w:val="0"/>
        </w:rPr>
      </w:pPr>
      <w:r w:rsidRPr="00A614A5">
        <w:rPr>
          <w:bCs/>
        </w:rPr>
        <w:t xml:space="preserve">Modificar el artículo </w:t>
      </w:r>
      <w:r>
        <w:rPr>
          <w:bCs/>
        </w:rPr>
        <w:t>12</w:t>
      </w:r>
      <w:r w:rsidRPr="00A614A5">
        <w:rPr>
          <w:bCs/>
        </w:rPr>
        <w:t xml:space="preserve"> de la Resolución CREG 220 de 202</w:t>
      </w:r>
      <w:r>
        <w:rPr>
          <w:bCs/>
        </w:rPr>
        <w:t>1.</w:t>
      </w:r>
      <w:r w:rsidR="007A58B1" w:rsidRPr="007A58B1">
        <w:rPr>
          <w:b w:val="0"/>
        </w:rPr>
        <w:t xml:space="preserve"> </w:t>
      </w:r>
      <w:r w:rsidR="007A58B1" w:rsidRPr="00FB0680">
        <w:rPr>
          <w:b w:val="0"/>
        </w:rPr>
        <w:t>El</w:t>
      </w:r>
      <w:r w:rsidR="007A58B1">
        <w:rPr>
          <w:bCs/>
        </w:rPr>
        <w:t xml:space="preserve"> </w:t>
      </w:r>
      <w:r w:rsidR="007A58B1" w:rsidRPr="00FB0680">
        <w:rPr>
          <w:b w:val="0"/>
        </w:rPr>
        <w:t xml:space="preserve">artículo </w:t>
      </w:r>
      <w:r w:rsidR="007A58B1">
        <w:rPr>
          <w:b w:val="0"/>
        </w:rPr>
        <w:t>12</w:t>
      </w:r>
      <w:r w:rsidR="007A58B1" w:rsidRPr="00FB0680">
        <w:rPr>
          <w:b w:val="0"/>
        </w:rPr>
        <w:t xml:space="preserve"> de la Resolución CREG 220 de 202</w:t>
      </w:r>
      <w:r w:rsidR="007A58B1">
        <w:rPr>
          <w:b w:val="0"/>
        </w:rPr>
        <w:t>1 quedará así:</w:t>
      </w:r>
    </w:p>
    <w:p w14:paraId="524416A0" w14:textId="0295B28A" w:rsidR="007A58B1" w:rsidRDefault="007A58B1" w:rsidP="007A58B1">
      <w:pPr>
        <w:ind w:left="708"/>
        <w:rPr>
          <w:i/>
          <w:iCs/>
          <w:sz w:val="22"/>
          <w:szCs w:val="22"/>
        </w:rPr>
      </w:pPr>
      <w:r w:rsidRPr="00503642">
        <w:rPr>
          <w:b/>
          <w:bCs/>
          <w:i/>
          <w:iCs/>
          <w:sz w:val="22"/>
          <w:szCs w:val="22"/>
        </w:rPr>
        <w:t xml:space="preserve">Artículo </w:t>
      </w:r>
      <w:r>
        <w:rPr>
          <w:b/>
          <w:bCs/>
          <w:i/>
          <w:iCs/>
          <w:sz w:val="22"/>
          <w:szCs w:val="22"/>
        </w:rPr>
        <w:t>12</w:t>
      </w:r>
      <w:r w:rsidRPr="00503642">
        <w:rPr>
          <w:b/>
          <w:bCs/>
          <w:i/>
          <w:iCs/>
          <w:sz w:val="22"/>
          <w:szCs w:val="22"/>
        </w:rPr>
        <w:t xml:space="preserve">. </w:t>
      </w:r>
      <w:r w:rsidR="00AD0005" w:rsidRPr="00AD0005">
        <w:rPr>
          <w:b/>
          <w:bCs/>
          <w:i/>
          <w:iCs/>
          <w:sz w:val="22"/>
          <w:szCs w:val="22"/>
        </w:rPr>
        <w:t xml:space="preserve">Indicadores de calidad individual de duración de eventos. </w:t>
      </w:r>
      <w:r w:rsidR="00AD0005" w:rsidRPr="00AD0005">
        <w:rPr>
          <w:i/>
          <w:iCs/>
          <w:sz w:val="22"/>
          <w:szCs w:val="22"/>
        </w:rPr>
        <w:t>La duración máxima anual de los eventos percibidos por los usuarios, DIUGj,n,q, en los niveles de tensión 2, 3 y 1, es la siguiente</w:t>
      </w:r>
      <w:r w:rsidRPr="00503642">
        <w:rPr>
          <w:i/>
          <w:iCs/>
          <w:sz w:val="22"/>
          <w:szCs w:val="22"/>
        </w:rPr>
        <w:t>:</w:t>
      </w:r>
    </w:p>
    <w:p w14:paraId="19720B4C" w14:textId="28629C4E" w:rsidR="0023086E" w:rsidRPr="0023086E" w:rsidRDefault="0023086E" w:rsidP="0023086E">
      <w:pPr>
        <w:pStyle w:val="Descripcin"/>
        <w:spacing w:before="240" w:after="120" w:line="240" w:lineRule="auto"/>
        <w:rPr>
          <w:sz w:val="20"/>
          <w:szCs w:val="18"/>
        </w:rPr>
      </w:pPr>
      <w:r w:rsidRPr="0023086E">
        <w:rPr>
          <w:sz w:val="20"/>
          <w:szCs w:val="18"/>
        </w:rPr>
        <w:t>Tabla 14 DIUG niveles de tensión 2 y 3,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23086E" w:rsidRPr="00B8131D" w14:paraId="70DD7F69" w14:textId="77777777" w:rsidTr="001B7B3E">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833AF"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C538894"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BAB84F5"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E189A1F"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E6531C" w:rsidRPr="00B8131D" w14:paraId="68F7674C"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C6DCB6A"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1B218D7B" w14:textId="68D66A19" w:rsidR="00E6531C" w:rsidRPr="00490958" w:rsidRDefault="00E6531C" w:rsidP="00E6531C">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13D77C7" w14:textId="1CEC18AC" w:rsidR="00E6531C" w:rsidRPr="00490958" w:rsidRDefault="00E6531C" w:rsidP="00E6531C">
            <w:pPr>
              <w:spacing w:before="0" w:after="0"/>
              <w:ind w:right="277"/>
              <w:jc w:val="center"/>
              <w:rPr>
                <w:rFonts w:cs="Arial"/>
                <w:sz w:val="18"/>
                <w:szCs w:val="18"/>
                <w:highlight w:val="yellow"/>
              </w:rPr>
            </w:pPr>
            <w:r>
              <w:rPr>
                <w:rFonts w:cs="Arial"/>
                <w:sz w:val="18"/>
                <w:szCs w:val="18"/>
              </w:rPr>
              <w:t>21,28</w:t>
            </w:r>
          </w:p>
        </w:tc>
        <w:tc>
          <w:tcPr>
            <w:tcW w:w="1960" w:type="dxa"/>
            <w:tcBorders>
              <w:top w:val="nil"/>
              <w:left w:val="nil"/>
              <w:bottom w:val="single" w:sz="4" w:space="0" w:color="auto"/>
              <w:right w:val="single" w:sz="4" w:space="0" w:color="auto"/>
            </w:tcBorders>
            <w:shd w:val="clear" w:color="auto" w:fill="auto"/>
            <w:noWrap/>
            <w:vAlign w:val="center"/>
            <w:hideMark/>
          </w:tcPr>
          <w:p w14:paraId="5E29142A" w14:textId="1A15D215" w:rsidR="00E6531C" w:rsidRPr="00490958" w:rsidRDefault="00E6531C" w:rsidP="00E6531C">
            <w:pPr>
              <w:spacing w:before="0" w:after="0"/>
              <w:ind w:right="277"/>
              <w:jc w:val="center"/>
              <w:rPr>
                <w:rFonts w:cs="Arial"/>
                <w:sz w:val="18"/>
                <w:szCs w:val="18"/>
                <w:highlight w:val="yellow"/>
              </w:rPr>
            </w:pPr>
            <w:r>
              <w:rPr>
                <w:rFonts w:cs="Arial"/>
                <w:sz w:val="18"/>
                <w:szCs w:val="18"/>
              </w:rPr>
              <w:t>34,01</w:t>
            </w:r>
          </w:p>
        </w:tc>
      </w:tr>
      <w:tr w:rsidR="00E6531C" w:rsidRPr="00B8131D" w14:paraId="2847A128"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642B8DB"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8BA9920" w14:textId="13538505"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9914C4C" w14:textId="020FFD8C"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628DA33" w14:textId="252D33AB"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r>
      <w:tr w:rsidR="00E6531C" w:rsidRPr="00B8131D" w14:paraId="220C3606"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EFE5212"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5D9F74DF" w14:textId="4890C2B2"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9538446" w14:textId="6F13D195"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4065589" w14:textId="79E1C70A"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r>
    </w:tbl>
    <w:p w14:paraId="49814212" w14:textId="6F6D92BB" w:rsidR="0023086E" w:rsidRPr="0023086E" w:rsidRDefault="0023086E" w:rsidP="0023086E">
      <w:pPr>
        <w:pStyle w:val="Descripcin"/>
        <w:spacing w:before="240" w:after="120" w:line="240" w:lineRule="auto"/>
        <w:rPr>
          <w:sz w:val="20"/>
          <w:szCs w:val="18"/>
        </w:rPr>
      </w:pPr>
      <w:r w:rsidRPr="0023086E">
        <w:rPr>
          <w:sz w:val="20"/>
          <w:szCs w:val="18"/>
        </w:rPr>
        <w:t>Tabla 15 DIUG nivel de tensión 1,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23086E" w:rsidRPr="00B8131D" w14:paraId="1A922F89" w14:textId="77777777" w:rsidTr="001B7B3E">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087B9"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0F3C696"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3161E11"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28C4725" w14:textId="77777777" w:rsidR="0023086E" w:rsidRPr="00B8131D" w:rsidRDefault="0023086E" w:rsidP="001B7B3E">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E6531C" w:rsidRPr="00B8131D" w14:paraId="055F547E"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5364D1E"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3F397A80" w14:textId="6AEFCEBD" w:rsidR="00E6531C" w:rsidRPr="00490958" w:rsidRDefault="00E6531C" w:rsidP="00E6531C">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B1D4B0E" w14:textId="4D7C6650" w:rsidR="00E6531C" w:rsidRPr="00490958" w:rsidRDefault="00E6531C" w:rsidP="00E6531C">
            <w:pPr>
              <w:spacing w:before="0" w:after="0"/>
              <w:ind w:right="277"/>
              <w:jc w:val="center"/>
              <w:rPr>
                <w:rFonts w:cs="Arial"/>
                <w:sz w:val="18"/>
                <w:szCs w:val="18"/>
                <w:highlight w:val="yellow"/>
              </w:rPr>
            </w:pPr>
            <w:r>
              <w:rPr>
                <w:rFonts w:cs="Arial"/>
                <w:sz w:val="18"/>
                <w:szCs w:val="18"/>
              </w:rPr>
              <w:t>28,27</w:t>
            </w:r>
          </w:p>
        </w:tc>
        <w:tc>
          <w:tcPr>
            <w:tcW w:w="1960" w:type="dxa"/>
            <w:tcBorders>
              <w:top w:val="nil"/>
              <w:left w:val="nil"/>
              <w:bottom w:val="single" w:sz="4" w:space="0" w:color="auto"/>
              <w:right w:val="single" w:sz="4" w:space="0" w:color="auto"/>
            </w:tcBorders>
            <w:shd w:val="clear" w:color="auto" w:fill="auto"/>
            <w:noWrap/>
            <w:vAlign w:val="center"/>
            <w:hideMark/>
          </w:tcPr>
          <w:p w14:paraId="4DD527A9" w14:textId="6A71E968" w:rsidR="00E6531C" w:rsidRPr="00490958" w:rsidRDefault="00E6531C" w:rsidP="00E6531C">
            <w:pPr>
              <w:spacing w:before="0" w:after="0"/>
              <w:ind w:right="277"/>
              <w:jc w:val="center"/>
              <w:rPr>
                <w:rFonts w:cs="Arial"/>
                <w:sz w:val="18"/>
                <w:szCs w:val="18"/>
                <w:highlight w:val="yellow"/>
              </w:rPr>
            </w:pPr>
            <w:r>
              <w:rPr>
                <w:rFonts w:cs="Arial"/>
                <w:sz w:val="18"/>
                <w:szCs w:val="18"/>
              </w:rPr>
              <w:t>55,37</w:t>
            </w:r>
          </w:p>
        </w:tc>
      </w:tr>
      <w:tr w:rsidR="00E6531C" w:rsidRPr="00B8131D" w14:paraId="6C3BA33A"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5390DF0"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68D87173" w14:textId="352212FD"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2852AA2" w14:textId="513AC012"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9C16B3B" w14:textId="2558B7B0"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r>
      <w:tr w:rsidR="00E6531C" w:rsidRPr="00B8131D" w14:paraId="34645D6B"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6F1DE62" w14:textId="77777777" w:rsidR="00E6531C" w:rsidRPr="00B8131D" w:rsidRDefault="00E6531C" w:rsidP="00E6531C">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47ED283F" w14:textId="2386A048"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02DE023" w14:textId="191D555F"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AFC8418" w14:textId="3D9D52D3" w:rsidR="00E6531C" w:rsidRPr="00490958" w:rsidRDefault="00E6531C" w:rsidP="00E6531C">
            <w:pPr>
              <w:spacing w:before="0" w:after="0"/>
              <w:ind w:right="277"/>
              <w:jc w:val="center"/>
              <w:rPr>
                <w:rFonts w:cs="Arial"/>
                <w:sz w:val="18"/>
                <w:szCs w:val="18"/>
                <w:highlight w:val="yellow"/>
              </w:rPr>
            </w:pPr>
            <w:r>
              <w:rPr>
                <w:rFonts w:cs="Arial"/>
                <w:sz w:val="18"/>
                <w:szCs w:val="18"/>
              </w:rPr>
              <w:t>-</w:t>
            </w:r>
          </w:p>
        </w:tc>
      </w:tr>
    </w:tbl>
    <w:p w14:paraId="520C0945" w14:textId="31F71EDA" w:rsidR="004555A1" w:rsidRPr="007A58B1" w:rsidRDefault="004555A1" w:rsidP="00A90132">
      <w:pPr>
        <w:pStyle w:val="Artculo"/>
        <w:spacing w:before="200" w:after="200"/>
        <w:ind w:left="0"/>
        <w:outlineLvl w:val="2"/>
        <w:rPr>
          <w:b w:val="0"/>
        </w:rPr>
      </w:pPr>
      <w:r w:rsidRPr="00A614A5">
        <w:rPr>
          <w:bCs/>
        </w:rPr>
        <w:t xml:space="preserve">Modificar el artículo </w:t>
      </w:r>
      <w:r>
        <w:rPr>
          <w:bCs/>
        </w:rPr>
        <w:t>13</w:t>
      </w:r>
      <w:r w:rsidRPr="00A614A5">
        <w:rPr>
          <w:bCs/>
        </w:rPr>
        <w:t xml:space="preserve"> de la Resolución CREG 220 de 202</w:t>
      </w:r>
      <w:r>
        <w:rPr>
          <w:bCs/>
        </w:rPr>
        <w:t>1.</w:t>
      </w:r>
      <w:r w:rsidR="007A58B1" w:rsidRPr="007A58B1">
        <w:rPr>
          <w:b w:val="0"/>
        </w:rPr>
        <w:t xml:space="preserve"> </w:t>
      </w:r>
      <w:r w:rsidR="007A58B1" w:rsidRPr="00FB0680">
        <w:rPr>
          <w:b w:val="0"/>
        </w:rPr>
        <w:t>El</w:t>
      </w:r>
      <w:r w:rsidR="007A58B1">
        <w:rPr>
          <w:bCs/>
        </w:rPr>
        <w:t xml:space="preserve"> </w:t>
      </w:r>
      <w:r w:rsidR="007A58B1" w:rsidRPr="00FB0680">
        <w:rPr>
          <w:b w:val="0"/>
        </w:rPr>
        <w:t xml:space="preserve">artículo </w:t>
      </w:r>
      <w:r w:rsidR="007A58B1">
        <w:rPr>
          <w:b w:val="0"/>
        </w:rPr>
        <w:t>13</w:t>
      </w:r>
      <w:r w:rsidR="007A58B1" w:rsidRPr="00FB0680">
        <w:rPr>
          <w:b w:val="0"/>
        </w:rPr>
        <w:t xml:space="preserve"> de la Resolución CREG 220 de 202</w:t>
      </w:r>
      <w:r w:rsidR="007A58B1">
        <w:rPr>
          <w:b w:val="0"/>
        </w:rPr>
        <w:t>1 quedará así:</w:t>
      </w:r>
    </w:p>
    <w:p w14:paraId="49A1A44E" w14:textId="6FAEE8E8" w:rsidR="007A58B1" w:rsidRDefault="007A58B1" w:rsidP="007A58B1">
      <w:pPr>
        <w:ind w:left="708"/>
        <w:rPr>
          <w:i/>
          <w:iCs/>
          <w:sz w:val="22"/>
          <w:szCs w:val="22"/>
        </w:rPr>
      </w:pPr>
      <w:r w:rsidRPr="00503642">
        <w:rPr>
          <w:b/>
          <w:bCs/>
          <w:i/>
          <w:iCs/>
          <w:sz w:val="22"/>
          <w:szCs w:val="22"/>
        </w:rPr>
        <w:t xml:space="preserve">Artículo </w:t>
      </w:r>
      <w:r>
        <w:rPr>
          <w:b/>
          <w:bCs/>
          <w:i/>
          <w:iCs/>
          <w:sz w:val="22"/>
          <w:szCs w:val="22"/>
        </w:rPr>
        <w:t>13</w:t>
      </w:r>
      <w:r w:rsidRPr="00503642">
        <w:rPr>
          <w:b/>
          <w:bCs/>
          <w:i/>
          <w:iCs/>
          <w:sz w:val="22"/>
          <w:szCs w:val="22"/>
        </w:rPr>
        <w:t xml:space="preserve">. </w:t>
      </w:r>
      <w:r w:rsidR="00B86196" w:rsidRPr="00B86196">
        <w:rPr>
          <w:b/>
          <w:bCs/>
          <w:i/>
          <w:iCs/>
          <w:sz w:val="22"/>
          <w:szCs w:val="22"/>
        </w:rPr>
        <w:t xml:space="preserve">Indicadores de calidad individual de frecuencia de eventos. </w:t>
      </w:r>
      <w:r w:rsidR="00B86196" w:rsidRPr="00B86196">
        <w:rPr>
          <w:i/>
          <w:iCs/>
          <w:sz w:val="22"/>
          <w:szCs w:val="22"/>
        </w:rPr>
        <w:t>La frecuencia máxima anual de los eventos percibidos por los usuarios, FIUGj,n,q, en los niveles de tensión 2, 3 y 1, es la siguiente</w:t>
      </w:r>
      <w:r w:rsidRPr="00503642">
        <w:rPr>
          <w:i/>
          <w:iCs/>
          <w:sz w:val="22"/>
          <w:szCs w:val="22"/>
        </w:rPr>
        <w:t>:</w:t>
      </w:r>
    </w:p>
    <w:p w14:paraId="7FDC4D96" w14:textId="5283425C" w:rsidR="00BD51E8" w:rsidRPr="00BD51E8" w:rsidRDefault="00BD51E8" w:rsidP="00BD51E8">
      <w:pPr>
        <w:pStyle w:val="Descripcin"/>
        <w:spacing w:before="240" w:after="120" w:line="240" w:lineRule="auto"/>
        <w:rPr>
          <w:sz w:val="20"/>
          <w:szCs w:val="18"/>
        </w:rPr>
      </w:pPr>
      <w:r w:rsidRPr="00BD51E8">
        <w:rPr>
          <w:sz w:val="20"/>
          <w:szCs w:val="18"/>
        </w:rPr>
        <w:t>Tabla 16 FIUG niveles de tensión 2 y 3, 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D51E8" w:rsidRPr="00B8131D" w14:paraId="6C41C0EE" w14:textId="77777777" w:rsidTr="001B7B3E">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97C50"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842D69D"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7301ECC"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C1A692E"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BD51E8" w:rsidRPr="00B8131D" w14:paraId="47C62B81"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19365A5"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7EAF3617" w14:textId="36C35236" w:rsidR="00BD51E8" w:rsidRPr="00490958" w:rsidRDefault="00BD51E8" w:rsidP="00BD51E8">
            <w:pPr>
              <w:spacing w:before="0" w:after="0"/>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2BB17AE" w14:textId="6EDE03BE" w:rsidR="00BD51E8" w:rsidRPr="00490958" w:rsidRDefault="00BD51E8" w:rsidP="00BD51E8">
            <w:pPr>
              <w:spacing w:before="0" w:after="0"/>
              <w:jc w:val="center"/>
              <w:rPr>
                <w:rFonts w:cs="Arial"/>
                <w:sz w:val="18"/>
                <w:szCs w:val="18"/>
                <w:highlight w:val="yellow"/>
              </w:rPr>
            </w:pPr>
            <w:r>
              <w:rPr>
                <w:rFonts w:cs="Arial"/>
                <w:sz w:val="18"/>
                <w:szCs w:val="18"/>
              </w:rPr>
              <w:t>10</w:t>
            </w:r>
          </w:p>
        </w:tc>
        <w:tc>
          <w:tcPr>
            <w:tcW w:w="1960" w:type="dxa"/>
            <w:tcBorders>
              <w:top w:val="nil"/>
              <w:left w:val="nil"/>
              <w:bottom w:val="single" w:sz="4" w:space="0" w:color="auto"/>
              <w:right w:val="single" w:sz="4" w:space="0" w:color="auto"/>
            </w:tcBorders>
            <w:shd w:val="clear" w:color="auto" w:fill="auto"/>
            <w:noWrap/>
            <w:vAlign w:val="center"/>
            <w:hideMark/>
          </w:tcPr>
          <w:p w14:paraId="7E88237B" w14:textId="4FA1757A" w:rsidR="00BD51E8" w:rsidRPr="00490958" w:rsidRDefault="00BD51E8" w:rsidP="00BD51E8">
            <w:pPr>
              <w:spacing w:before="0" w:after="0"/>
              <w:jc w:val="center"/>
              <w:rPr>
                <w:rFonts w:cs="Arial"/>
                <w:sz w:val="18"/>
                <w:szCs w:val="18"/>
                <w:highlight w:val="yellow"/>
              </w:rPr>
            </w:pPr>
            <w:r>
              <w:rPr>
                <w:rFonts w:cs="Arial"/>
                <w:sz w:val="18"/>
                <w:szCs w:val="18"/>
              </w:rPr>
              <w:t>13</w:t>
            </w:r>
          </w:p>
        </w:tc>
      </w:tr>
      <w:tr w:rsidR="00BD51E8" w:rsidRPr="00B8131D" w14:paraId="7A23E4BF"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7FDD97"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C64A8A4" w14:textId="1857D049"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CA6A406" w14:textId="17E4ED83"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FEF4B2D" w14:textId="5ED2296D" w:rsidR="00BD51E8" w:rsidRPr="00490958" w:rsidRDefault="00BD51E8" w:rsidP="00BD51E8">
            <w:pPr>
              <w:spacing w:before="0" w:after="0"/>
              <w:jc w:val="center"/>
              <w:rPr>
                <w:rFonts w:cs="Arial"/>
                <w:sz w:val="18"/>
                <w:szCs w:val="18"/>
                <w:highlight w:val="yellow"/>
              </w:rPr>
            </w:pPr>
            <w:r>
              <w:rPr>
                <w:rFonts w:cs="Arial"/>
                <w:sz w:val="18"/>
                <w:szCs w:val="18"/>
              </w:rPr>
              <w:t>-</w:t>
            </w:r>
          </w:p>
        </w:tc>
      </w:tr>
      <w:tr w:rsidR="00BD51E8" w:rsidRPr="00B8131D" w14:paraId="68CB0AB5"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E0B66B3"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266FCFD9" w14:textId="004E6C72"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A85841C" w14:textId="1542100F"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F29FC90" w14:textId="1185E9C0" w:rsidR="00BD51E8" w:rsidRPr="00490958" w:rsidRDefault="00BD51E8" w:rsidP="00BD51E8">
            <w:pPr>
              <w:spacing w:before="0" w:after="0"/>
              <w:jc w:val="center"/>
              <w:rPr>
                <w:rFonts w:cs="Arial"/>
                <w:sz w:val="18"/>
                <w:szCs w:val="18"/>
                <w:highlight w:val="yellow"/>
              </w:rPr>
            </w:pPr>
            <w:r>
              <w:rPr>
                <w:rFonts w:cs="Arial"/>
                <w:sz w:val="18"/>
                <w:szCs w:val="18"/>
              </w:rPr>
              <w:t>-</w:t>
            </w:r>
          </w:p>
        </w:tc>
      </w:tr>
    </w:tbl>
    <w:p w14:paraId="10C42A56" w14:textId="11684EDE" w:rsidR="00BD51E8" w:rsidRPr="00BD51E8" w:rsidRDefault="00BD51E8" w:rsidP="00BD51E8">
      <w:pPr>
        <w:pStyle w:val="Descripcin"/>
        <w:spacing w:before="240" w:after="120" w:line="240" w:lineRule="auto"/>
        <w:rPr>
          <w:sz w:val="20"/>
          <w:szCs w:val="18"/>
        </w:rPr>
      </w:pPr>
      <w:r w:rsidRPr="00BD51E8">
        <w:rPr>
          <w:sz w:val="20"/>
          <w:szCs w:val="18"/>
        </w:rPr>
        <w:t xml:space="preserve">Tabla 17 FIUG nivel de tensión 1, veces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D51E8" w:rsidRPr="00B8131D" w14:paraId="34D1039D" w14:textId="77777777" w:rsidTr="001B7B3E">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8D32C"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1EA2617"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EC3F16F"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E120831" w14:textId="77777777" w:rsidR="00BD51E8" w:rsidRPr="00B8131D" w:rsidRDefault="00BD51E8" w:rsidP="001B7B3E">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BD51E8" w:rsidRPr="00490958" w14:paraId="3DCC4B57"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1846045"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5E6E26C8" w14:textId="73752270" w:rsidR="00BD51E8" w:rsidRPr="00490958" w:rsidRDefault="00BD51E8" w:rsidP="00BD51E8">
            <w:pPr>
              <w:spacing w:before="0" w:after="0"/>
              <w:ind w:right="-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2D2C031" w14:textId="6082EDFC" w:rsidR="00BD51E8" w:rsidRPr="00490958" w:rsidRDefault="00BD51E8" w:rsidP="00BD51E8">
            <w:pPr>
              <w:spacing w:before="0" w:after="0"/>
              <w:jc w:val="center"/>
              <w:rPr>
                <w:rFonts w:cs="Arial"/>
                <w:sz w:val="18"/>
                <w:szCs w:val="18"/>
                <w:highlight w:val="yellow"/>
              </w:rPr>
            </w:pPr>
            <w:r>
              <w:rPr>
                <w:rFonts w:cs="Arial"/>
                <w:sz w:val="18"/>
                <w:szCs w:val="18"/>
              </w:rPr>
              <w:t>13</w:t>
            </w:r>
          </w:p>
        </w:tc>
        <w:tc>
          <w:tcPr>
            <w:tcW w:w="1960" w:type="dxa"/>
            <w:tcBorders>
              <w:top w:val="nil"/>
              <w:left w:val="nil"/>
              <w:bottom w:val="single" w:sz="4" w:space="0" w:color="auto"/>
              <w:right w:val="single" w:sz="4" w:space="0" w:color="auto"/>
            </w:tcBorders>
            <w:shd w:val="clear" w:color="auto" w:fill="auto"/>
            <w:noWrap/>
            <w:vAlign w:val="center"/>
            <w:hideMark/>
          </w:tcPr>
          <w:p w14:paraId="2A23E31B" w14:textId="4377BB4A" w:rsidR="00BD51E8" w:rsidRPr="00490958" w:rsidRDefault="00BD51E8" w:rsidP="00BD51E8">
            <w:pPr>
              <w:spacing w:before="0" w:after="0"/>
              <w:ind w:right="-55"/>
              <w:jc w:val="center"/>
              <w:rPr>
                <w:rFonts w:cs="Arial"/>
                <w:sz w:val="18"/>
                <w:szCs w:val="18"/>
                <w:highlight w:val="yellow"/>
              </w:rPr>
            </w:pPr>
            <w:r>
              <w:rPr>
                <w:rFonts w:cs="Arial"/>
                <w:sz w:val="18"/>
                <w:szCs w:val="18"/>
              </w:rPr>
              <w:t>21</w:t>
            </w:r>
          </w:p>
        </w:tc>
      </w:tr>
      <w:tr w:rsidR="00BD51E8" w:rsidRPr="00490958" w14:paraId="7225434B"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1731BD9"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18004C78" w14:textId="65D033C1" w:rsidR="00BD51E8" w:rsidRPr="00490958" w:rsidRDefault="00BD51E8" w:rsidP="00BD51E8">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E825C00" w14:textId="61646B2C"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A1065FC" w14:textId="44637A1E" w:rsidR="00BD51E8" w:rsidRPr="00490958" w:rsidRDefault="00BD51E8" w:rsidP="00BD51E8">
            <w:pPr>
              <w:spacing w:before="0" w:after="0"/>
              <w:ind w:right="-55"/>
              <w:jc w:val="center"/>
              <w:rPr>
                <w:rFonts w:cs="Arial"/>
                <w:sz w:val="18"/>
                <w:szCs w:val="18"/>
                <w:highlight w:val="yellow"/>
              </w:rPr>
            </w:pPr>
            <w:r>
              <w:rPr>
                <w:rFonts w:cs="Arial"/>
                <w:sz w:val="18"/>
                <w:szCs w:val="18"/>
              </w:rPr>
              <w:t>-</w:t>
            </w:r>
          </w:p>
        </w:tc>
      </w:tr>
      <w:tr w:rsidR="00BD51E8" w:rsidRPr="00490958" w14:paraId="053A2CEA" w14:textId="77777777" w:rsidTr="001B7B3E">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A9390C8" w14:textId="77777777" w:rsidR="00BD51E8" w:rsidRPr="00B8131D" w:rsidRDefault="00BD51E8" w:rsidP="00BD51E8">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2A25F7F0" w14:textId="2BBBB175" w:rsidR="00BD51E8" w:rsidRPr="00490958" w:rsidRDefault="00BD51E8" w:rsidP="00BD51E8">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DA57D45" w14:textId="6A4847DA" w:rsidR="00BD51E8" w:rsidRPr="00490958" w:rsidRDefault="00BD51E8" w:rsidP="00BD51E8">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0C373B2" w14:textId="07885807" w:rsidR="00BD51E8" w:rsidRPr="00490958" w:rsidRDefault="00BD51E8" w:rsidP="00BD51E8">
            <w:pPr>
              <w:spacing w:before="0" w:after="0"/>
              <w:ind w:right="-55"/>
              <w:jc w:val="center"/>
              <w:rPr>
                <w:rFonts w:cs="Arial"/>
                <w:sz w:val="18"/>
                <w:szCs w:val="18"/>
                <w:highlight w:val="yellow"/>
              </w:rPr>
            </w:pPr>
            <w:r>
              <w:rPr>
                <w:rFonts w:cs="Arial"/>
                <w:sz w:val="18"/>
                <w:szCs w:val="18"/>
              </w:rPr>
              <w:t>-</w:t>
            </w:r>
          </w:p>
        </w:tc>
      </w:tr>
    </w:tbl>
    <w:p w14:paraId="44335849" w14:textId="2609B387" w:rsidR="00A90132" w:rsidRDefault="00A90132" w:rsidP="00A90132">
      <w:pPr>
        <w:pStyle w:val="Artculo"/>
        <w:spacing w:before="200" w:after="200"/>
        <w:ind w:left="0"/>
        <w:outlineLvl w:val="2"/>
        <w:rPr>
          <w:b w:val="0"/>
        </w:rPr>
      </w:pPr>
      <w:r w:rsidRPr="00A614A5">
        <w:rPr>
          <w:bCs/>
        </w:rPr>
        <w:t>Modificar el artículo 18 de la Resolución CREG 220 de 2021</w:t>
      </w:r>
      <w:r w:rsidR="004555A1">
        <w:rPr>
          <w:bCs/>
        </w:rPr>
        <w:t>.</w:t>
      </w:r>
      <w:r>
        <w:rPr>
          <w:b w:val="0"/>
        </w:rPr>
        <w:t xml:space="preserve"> </w:t>
      </w:r>
      <w:r w:rsidR="0097270C">
        <w:rPr>
          <w:b w:val="0"/>
        </w:rPr>
        <w:t>E</w:t>
      </w:r>
      <w:r w:rsidR="007D58F9">
        <w:rPr>
          <w:b w:val="0"/>
        </w:rPr>
        <w:t>l</w:t>
      </w:r>
      <w:r w:rsidR="0097270C">
        <w:rPr>
          <w:b w:val="0"/>
        </w:rPr>
        <w:t xml:space="preserve"> artículo</w:t>
      </w:r>
      <w:r w:rsidR="00E40551">
        <w:rPr>
          <w:b w:val="0"/>
        </w:rPr>
        <w:t xml:space="preserve"> 18 de la Resolución CREG 220 de 2021</w:t>
      </w:r>
      <w:r>
        <w:rPr>
          <w:b w:val="0"/>
        </w:rPr>
        <w:t xml:space="preserve"> quedará así:</w:t>
      </w:r>
    </w:p>
    <w:p w14:paraId="3906B2A2" w14:textId="77777777" w:rsidR="00972F88" w:rsidRPr="00CB38F8" w:rsidRDefault="00033074" w:rsidP="00911F9D">
      <w:pPr>
        <w:ind w:left="708"/>
        <w:rPr>
          <w:b/>
          <w:i/>
          <w:iCs/>
          <w:sz w:val="22"/>
          <w:szCs w:val="22"/>
        </w:rPr>
      </w:pPr>
      <w:r w:rsidRPr="00CB38F8">
        <w:rPr>
          <w:b/>
          <w:bCs/>
          <w:i/>
          <w:iCs/>
          <w:sz w:val="22"/>
          <w:szCs w:val="22"/>
        </w:rPr>
        <w:t xml:space="preserve">Artículo 18. </w:t>
      </w:r>
      <w:r w:rsidR="00972F88" w:rsidRPr="00CB38F8">
        <w:rPr>
          <w:b/>
          <w:bCs/>
          <w:i/>
          <w:iCs/>
          <w:sz w:val="22"/>
          <w:szCs w:val="22"/>
        </w:rPr>
        <w:t>Valor anual por concepto de conexiones al sistema de otro OR.</w:t>
      </w:r>
      <w:r w:rsidR="00972F88" w:rsidRPr="00CB38F8">
        <w:rPr>
          <w:i/>
          <w:iCs/>
          <w:sz w:val="22"/>
          <w:szCs w:val="22"/>
        </w:rPr>
        <w:t xml:space="preserve"> El valor anual por concepto de conexiones al sistema de otros OR en los niveles de tensión 3 y 2, O</w:t>
      </w:r>
      <w:r w:rsidR="00972F88" w:rsidRPr="00CB38F8">
        <w:rPr>
          <w:i/>
          <w:iCs/>
          <w:sz w:val="22"/>
          <w:szCs w:val="22"/>
          <w:vertAlign w:val="subscript"/>
        </w:rPr>
        <w:t>j,n</w:t>
      </w:r>
      <w:r w:rsidR="00972F88" w:rsidRPr="00CB38F8">
        <w:rPr>
          <w:i/>
          <w:iCs/>
          <w:sz w:val="22"/>
          <w:szCs w:val="22"/>
        </w:rPr>
        <w:t>, es el siguiente:</w:t>
      </w:r>
    </w:p>
    <w:p w14:paraId="50FFC237" w14:textId="22B43BC5" w:rsidR="00972F88" w:rsidRPr="00911F9D" w:rsidRDefault="00972F88" w:rsidP="00911F9D">
      <w:pPr>
        <w:pStyle w:val="Descripcin"/>
        <w:spacing w:before="240" w:after="120" w:line="240" w:lineRule="auto"/>
        <w:ind w:left="708"/>
        <w:rPr>
          <w:sz w:val="20"/>
          <w:szCs w:val="18"/>
        </w:rPr>
      </w:pPr>
      <w:r w:rsidRPr="00911F9D">
        <w:rPr>
          <w:sz w:val="20"/>
          <w:szCs w:val="18"/>
        </w:rPr>
        <w:t xml:space="preserve">Tabla </w:t>
      </w:r>
      <w:r w:rsidR="00FB0680">
        <w:rPr>
          <w:sz w:val="20"/>
          <w:szCs w:val="18"/>
        </w:rPr>
        <w:t>22</w:t>
      </w:r>
      <w:r w:rsidRPr="00911F9D">
        <w:rPr>
          <w:sz w:val="20"/>
          <w:szCs w:val="18"/>
        </w:rPr>
        <w:t xml:space="preserve"> 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972F88" w:rsidRPr="00911F9D" w14:paraId="2EF62069" w14:textId="77777777" w:rsidTr="00911F9D">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A8C92" w14:textId="77777777" w:rsidR="00972F88" w:rsidRPr="00BD51E8" w:rsidRDefault="00972F88" w:rsidP="001B7B3E">
            <w:pPr>
              <w:spacing w:before="0" w:after="0"/>
              <w:jc w:val="center"/>
              <w:rPr>
                <w:rFonts w:cs="Arial"/>
                <w:b/>
                <w:bCs/>
                <w:sz w:val="18"/>
                <w:szCs w:val="18"/>
                <w:lang w:val="es-CO" w:eastAsia="es-CO"/>
              </w:rPr>
            </w:pPr>
            <w:r w:rsidRPr="00BD51E8">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3B7FC004" w14:textId="77777777" w:rsidR="00972F88" w:rsidRPr="00BD51E8" w:rsidRDefault="00972F88" w:rsidP="001B7B3E">
            <w:pPr>
              <w:spacing w:before="0" w:after="0"/>
              <w:jc w:val="center"/>
              <w:rPr>
                <w:rFonts w:cs="Arial"/>
                <w:b/>
                <w:bCs/>
                <w:sz w:val="18"/>
                <w:szCs w:val="18"/>
                <w:lang w:val="es-CO" w:eastAsia="es-CO"/>
              </w:rPr>
            </w:pPr>
            <w:r w:rsidRPr="00BD51E8">
              <w:rPr>
                <w:rFonts w:cs="Arial"/>
                <w:b/>
                <w:bCs/>
                <w:sz w:val="18"/>
                <w:szCs w:val="18"/>
                <w:lang w:val="es-CO" w:eastAsia="es-CO"/>
              </w:rPr>
              <w:t>Pesos de diciembre de 2017</w:t>
            </w:r>
          </w:p>
        </w:tc>
      </w:tr>
      <w:tr w:rsidR="00972F88" w:rsidRPr="00911F9D" w14:paraId="24C0E0F8" w14:textId="77777777" w:rsidTr="00911F9D">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3463682" w14:textId="77777777" w:rsidR="00972F88" w:rsidRPr="00BD51E8" w:rsidRDefault="00972F88" w:rsidP="001B7B3E">
            <w:pPr>
              <w:spacing w:before="0" w:after="0"/>
              <w:jc w:val="center"/>
              <w:rPr>
                <w:rFonts w:cs="Arial"/>
                <w:i/>
                <w:iCs/>
                <w:sz w:val="18"/>
                <w:szCs w:val="18"/>
                <w:lang w:val="es-CO" w:eastAsia="es-CO"/>
              </w:rPr>
            </w:pPr>
            <w:r w:rsidRPr="00BD51E8">
              <w:rPr>
                <w:rFonts w:cs="Arial"/>
                <w:i/>
                <w:iCs/>
                <w:sz w:val="18"/>
                <w:szCs w:val="18"/>
                <w:lang w:val="es-CO" w:eastAsia="es-CO"/>
              </w:rPr>
              <w:t>O</w:t>
            </w:r>
            <w:r w:rsidRPr="00BD51E8">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14:paraId="27A5F551" w14:textId="3628F3AD" w:rsidR="00972F88" w:rsidRPr="00BD51E8" w:rsidRDefault="00FC2925" w:rsidP="00FC2925">
            <w:pPr>
              <w:spacing w:before="0" w:after="0"/>
              <w:jc w:val="right"/>
              <w:rPr>
                <w:sz w:val="18"/>
                <w:szCs w:val="18"/>
                <w:lang w:val="en-US"/>
              </w:rPr>
            </w:pPr>
            <w:r w:rsidRPr="00BD51E8">
              <w:rPr>
                <w:sz w:val="18"/>
                <w:szCs w:val="18"/>
              </w:rPr>
              <w:t>294.090.439</w:t>
            </w:r>
          </w:p>
        </w:tc>
      </w:tr>
      <w:tr w:rsidR="00972F88" w:rsidRPr="00911F9D" w14:paraId="0D14D3A6" w14:textId="77777777" w:rsidTr="00911F9D">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6835AF2" w14:textId="77777777" w:rsidR="00972F88" w:rsidRPr="00BD51E8" w:rsidRDefault="00972F88" w:rsidP="001B7B3E">
            <w:pPr>
              <w:spacing w:before="0" w:after="0"/>
              <w:jc w:val="center"/>
              <w:rPr>
                <w:rFonts w:cs="Arial"/>
                <w:i/>
                <w:iCs/>
                <w:sz w:val="18"/>
                <w:szCs w:val="18"/>
                <w:lang w:val="es-CO" w:eastAsia="es-CO"/>
              </w:rPr>
            </w:pPr>
            <w:r w:rsidRPr="00BD51E8">
              <w:rPr>
                <w:rFonts w:cs="Arial"/>
                <w:i/>
                <w:iCs/>
                <w:sz w:val="18"/>
                <w:szCs w:val="18"/>
                <w:lang w:val="es-CO" w:eastAsia="es-CO"/>
              </w:rPr>
              <w:t>O</w:t>
            </w:r>
            <w:r w:rsidRPr="00BD51E8">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14:paraId="4844A904" w14:textId="77777777" w:rsidR="00972F88" w:rsidRPr="00BD51E8" w:rsidRDefault="00972F88" w:rsidP="001B7B3E">
            <w:pPr>
              <w:spacing w:before="0" w:after="0"/>
              <w:jc w:val="right"/>
              <w:rPr>
                <w:rFonts w:cs="Arial"/>
                <w:sz w:val="18"/>
                <w:szCs w:val="18"/>
              </w:rPr>
            </w:pPr>
            <w:r w:rsidRPr="00BD51E8">
              <w:rPr>
                <w:sz w:val="18"/>
                <w:szCs w:val="18"/>
              </w:rPr>
              <w:t>0</w:t>
            </w:r>
          </w:p>
        </w:tc>
      </w:tr>
    </w:tbl>
    <w:p w14:paraId="61F6FDC1" w14:textId="0BFD42C0" w:rsidR="001610A8" w:rsidRPr="00E70369" w:rsidRDefault="001610A8" w:rsidP="001610A8">
      <w:pPr>
        <w:pStyle w:val="Artculo"/>
        <w:spacing w:before="200" w:after="200"/>
        <w:ind w:left="0"/>
        <w:outlineLvl w:val="2"/>
        <w:rPr>
          <w:b w:val="0"/>
        </w:rPr>
      </w:pPr>
      <w:r>
        <w:rPr>
          <w:b w:val="0"/>
          <w:bCs/>
        </w:rPr>
        <w:t xml:space="preserve">Proponer a la </w:t>
      </w:r>
      <w:r w:rsidR="003D7F14">
        <w:rPr>
          <w:b w:val="0"/>
          <w:bCs/>
        </w:rPr>
        <w:t>Empresa de Energía del Valle de Sibundoy</w:t>
      </w:r>
      <w:r>
        <w:rPr>
          <w:b w:val="0"/>
          <w:bCs/>
        </w:rPr>
        <w:t xml:space="preserve"> S.A. E.S.P. </w:t>
      </w:r>
      <w:r w:rsidRPr="00E70369">
        <w:rPr>
          <w:b w:val="0"/>
          <w:bCs/>
        </w:rPr>
        <w:t xml:space="preserve">la aplicación de la variable </w:t>
      </w:r>
      <w:r w:rsidRPr="00E70369">
        <w:rPr>
          <w:b w:val="0"/>
          <w:bCs/>
          <w:i/>
          <w:iCs/>
        </w:rPr>
        <w:t>AIMj</w:t>
      </w:r>
      <w:r w:rsidRPr="00E70369">
        <w:rPr>
          <w:b w:val="0"/>
          <w:bCs/>
          <w:i/>
          <w:iCs/>
          <w:vertAlign w:val="subscript"/>
        </w:rPr>
        <w:t>,n,m</w:t>
      </w:r>
      <w:r w:rsidRPr="00E70369">
        <w:rPr>
          <w:b w:val="0"/>
          <w:bCs/>
        </w:rPr>
        <w:t xml:space="preserve">, definida en el numeral 1.3.4.1 de la Resolución CREG 015 de 2018, </w:t>
      </w:r>
      <w:r w:rsidRPr="00E70369">
        <w:rPr>
          <w:b w:val="0"/>
        </w:rPr>
        <w:t xml:space="preserve">con base en el ajuste </w:t>
      </w:r>
      <w:r>
        <w:rPr>
          <w:b w:val="0"/>
        </w:rPr>
        <w:t>determinado</w:t>
      </w:r>
      <w:r w:rsidRPr="00E70369">
        <w:rPr>
          <w:b w:val="0"/>
        </w:rPr>
        <w:t xml:space="preserve"> en este artículo.</w:t>
      </w:r>
      <w:bookmarkEnd w:id="0"/>
    </w:p>
    <w:p w14:paraId="5B71AE34" w14:textId="1EE3AF47" w:rsidR="001610A8" w:rsidRPr="0067569D" w:rsidRDefault="00DE1451" w:rsidP="00DE1451">
      <w:r>
        <w:t>Para las liquidaciones de los treinta y seis (36) meses siguientes a la entrada en vigencia de esta resolución</w:t>
      </w:r>
      <w:r w:rsidR="001610A8" w:rsidRPr="0067569D">
        <w:t xml:space="preserve">, el valor de la variable </w:t>
      </w:r>
      <w:r w:rsidR="001610A8" w:rsidRPr="0067569D">
        <w:rPr>
          <w:i/>
          <w:iCs/>
        </w:rPr>
        <w:t>AIMj</w:t>
      </w:r>
      <w:r w:rsidR="001610A8" w:rsidRPr="0067569D">
        <w:rPr>
          <w:i/>
          <w:iCs/>
          <w:vertAlign w:val="subscript"/>
        </w:rPr>
        <w:t>,n,m</w:t>
      </w:r>
      <w:r w:rsidR="001610A8" w:rsidRPr="0067569D">
        <w:t xml:space="preserve"> se calculará con la siguiente modificación:</w:t>
      </w:r>
    </w:p>
    <w:p w14:paraId="3334D99B" w14:textId="4C7F8EFD" w:rsidR="001610A8" w:rsidRPr="00BF69C9" w:rsidRDefault="00867F61" w:rsidP="00BA6D2C">
      <w:pPr>
        <w:spacing w:before="240" w:after="240"/>
        <w:rPr>
          <w:lang w:val="es-ES_tradnl"/>
        </w:rPr>
      </w:pPr>
      <m:oMathPara>
        <m:oMath>
          <m:sSub>
            <m:sSubPr>
              <m:ctrlPr>
                <w:rPr>
                  <w:rFonts w:ascii="Cambria Math" w:hAnsi="Cambria Math"/>
                  <w:lang w:val="es-ES_tradnl"/>
                </w:rPr>
              </m:ctrlPr>
            </m:sSubPr>
            <m:e>
              <m:r>
                <m:rPr>
                  <m:sty m:val="bi"/>
                </m:rPr>
                <w:rPr>
                  <w:rFonts w:ascii="Cambria Math" w:hAnsi="Cambria Math"/>
                  <w:lang w:val="es-ES_tradnl"/>
                </w:rPr>
                <m:t>AIM</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m:t>
              </m:r>
            </m:sub>
          </m:sSub>
          <m:r>
            <m:rPr>
              <m:sty m:val="p"/>
            </m:rPr>
            <w:rPr>
              <w:rFonts w:ascii="Cambria Math" w:hAnsi="Cambria Math"/>
              <w:lang w:val="es-ES_tradnl"/>
            </w:rPr>
            <m:t>=</m:t>
          </m:r>
          <m:f>
            <m:fPr>
              <m:ctrlPr>
                <w:rPr>
                  <w:rFonts w:ascii="Cambria Math" w:hAnsi="Cambria Math"/>
                  <w:lang w:val="es-ES_tradnl"/>
                </w:rPr>
              </m:ctrlPr>
            </m:fPr>
            <m:num>
              <m:nary>
                <m:naryPr>
                  <m:chr m:val="∑"/>
                  <m:limLoc m:val="undOvr"/>
                  <m:ctrlPr>
                    <w:rPr>
                      <w:rFonts w:ascii="Cambria Math" w:hAnsi="Cambria Math"/>
                      <w:lang w:val="es-ES_tradnl"/>
                    </w:rPr>
                  </m:ctrlPr>
                </m:naryPr>
                <m:sub>
                  <m:r>
                    <m:rPr>
                      <m:sty m:val="bi"/>
                    </m:rPr>
                    <w:rPr>
                      <w:rFonts w:ascii="Cambria Math" w:hAnsi="Cambria Math"/>
                      <w:lang w:val="es-ES_tradnl"/>
                    </w:rPr>
                    <m:t>ma</m:t>
                  </m:r>
                  <m:r>
                    <m:rPr>
                      <m:sty m:val="p"/>
                    </m:rPr>
                    <w:rPr>
                      <w:rFonts w:ascii="Cambria Math" w:hAnsi="Cambria Math"/>
                      <w:lang w:val="es-ES_tradnl"/>
                    </w:rPr>
                    <m:t>=</m:t>
                  </m:r>
                  <m:r>
                    <m:rPr>
                      <m:sty m:val="b"/>
                    </m:rPr>
                    <w:rPr>
                      <w:rFonts w:ascii="Cambria Math" w:hAnsi="Cambria Math"/>
                      <w:lang w:val="es-ES_tradnl"/>
                    </w:rPr>
                    <m:t>1</m:t>
                  </m:r>
                </m:sub>
                <m:sup>
                  <m:sSub>
                    <m:sSubPr>
                      <m:ctrlPr>
                        <w:rPr>
                          <w:rFonts w:ascii="Cambria Math" w:hAnsi="Cambria Math"/>
                          <w:lang w:val="es-ES_tradnl"/>
                        </w:rPr>
                      </m:ctrlPr>
                    </m:sSubPr>
                    <m:e>
                      <m:r>
                        <m:rPr>
                          <m:sty m:val="bi"/>
                        </m:rPr>
                        <w:rPr>
                          <w:rFonts w:ascii="Cambria Math" w:hAnsi="Cambria Math"/>
                          <w:lang w:val="es-ES_tradnl"/>
                        </w:rPr>
                        <m:t>NMA</m:t>
                      </m:r>
                    </m:e>
                    <m:sub>
                      <m:r>
                        <m:rPr>
                          <m:sty m:val="bi"/>
                        </m:rPr>
                        <w:rPr>
                          <w:rFonts w:ascii="Cambria Math" w:hAnsi="Cambria Math"/>
                          <w:lang w:val="es-ES_tradnl"/>
                        </w:rPr>
                        <m:t>j</m:t>
                      </m:r>
                    </m:sub>
                  </m:sSub>
                </m:sup>
                <m:e>
                  <m:d>
                    <m:dPr>
                      <m:ctrlPr>
                        <w:rPr>
                          <w:rFonts w:ascii="Cambria Math" w:hAnsi="Cambria Math"/>
                          <w:lang w:val="es-ES_tradnl"/>
                        </w:rPr>
                      </m:ctrlPr>
                    </m:dPr>
                    <m:e>
                      <m:sSub>
                        <m:sSubPr>
                          <m:ctrlPr>
                            <w:rPr>
                              <w:rFonts w:ascii="Cambria Math" w:hAnsi="Cambria Math"/>
                              <w:lang w:val="es-ES_tradnl"/>
                            </w:rPr>
                          </m:ctrlPr>
                        </m:sSubPr>
                        <m:e>
                          <m:r>
                            <m:rPr>
                              <m:sty m:val="bi"/>
                            </m:rPr>
                            <w:rPr>
                              <w:rFonts w:ascii="Cambria Math" w:hAnsi="Cambria Math"/>
                              <w:lang w:val="es-ES_tradnl"/>
                            </w:rPr>
                            <m:t>IMN</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ma</m:t>
                          </m:r>
                        </m:sub>
                      </m:sSub>
                      <m:r>
                        <m:rPr>
                          <m:sty m:val="p"/>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IMA</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ma</m:t>
                          </m:r>
                        </m:sub>
                      </m:sSub>
                    </m:e>
                  </m:d>
                </m:e>
              </m:nary>
            </m:num>
            <m:den>
              <m:r>
                <m:rPr>
                  <m:sty m:val="b"/>
                </m:rPr>
                <w:rPr>
                  <w:rFonts w:ascii="Cambria Math" w:hAnsi="Cambria Math"/>
                  <w:lang w:val="es-ES_tradnl"/>
                </w:rPr>
                <m:t>36</m:t>
              </m:r>
            </m:den>
          </m:f>
          <m:r>
            <m:rPr>
              <m:sty m:val="p"/>
            </m:rPr>
            <w:rPr>
              <w:rFonts w:ascii="Cambria Math" w:hAnsi="Cambria Math"/>
              <w:lang w:val="es-ES_tradnl"/>
            </w:rPr>
            <m:t>*</m:t>
          </m:r>
          <m:f>
            <m:fPr>
              <m:ctrlPr>
                <w:rPr>
                  <w:rFonts w:ascii="Cambria Math" w:hAnsi="Cambria Math"/>
                  <w:lang w:val="es-ES_tradnl"/>
                </w:rPr>
              </m:ctrlPr>
            </m:fPr>
            <m:num>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m</m:t>
                  </m:r>
                  <m:r>
                    <m:rPr>
                      <m:sty m:val="p"/>
                    </m:rPr>
                    <w:rPr>
                      <w:rFonts w:ascii="Cambria Math" w:hAnsi="Cambria Math"/>
                      <w:lang w:val="es-ES_tradnl"/>
                    </w:rPr>
                    <m:t>-</m:t>
                  </m:r>
                  <m:r>
                    <m:rPr>
                      <m:sty m:val="b"/>
                    </m:rPr>
                    <w:rPr>
                      <w:rFonts w:ascii="Cambria Math" w:hAnsi="Cambria Math"/>
                      <w:lang w:val="es-ES_tradnl"/>
                    </w:rPr>
                    <m:t>1</m:t>
                  </m:r>
                </m:sub>
              </m:sSub>
            </m:num>
            <m:den>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aa</m:t>
                  </m:r>
                  <m:r>
                    <m:rPr>
                      <m:sty m:val="p"/>
                    </m:rPr>
                    <w:rPr>
                      <w:rFonts w:ascii="Cambria Math" w:hAnsi="Cambria Math"/>
                      <w:lang w:val="es-ES_tradnl"/>
                    </w:rPr>
                    <m:t>,</m:t>
                  </m:r>
                  <m:r>
                    <m:rPr>
                      <m:sty m:val="bi"/>
                    </m:rPr>
                    <w:rPr>
                      <w:rFonts w:ascii="Cambria Math" w:hAnsi="Cambria Math"/>
                      <w:lang w:val="es-ES_tradnl"/>
                    </w:rPr>
                    <m:t>j</m:t>
                  </m:r>
                </m:sub>
              </m:sSub>
            </m:den>
          </m:f>
          <m:r>
            <m:rPr>
              <m:sty m:val="p"/>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NAIM</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m:t>
              </m:r>
            </m:sub>
          </m:sSub>
        </m:oMath>
      </m:oMathPara>
    </w:p>
    <w:p w14:paraId="7BBFE635" w14:textId="0694B401" w:rsidR="001610A8" w:rsidRPr="00E83D66" w:rsidRDefault="009A2F0C" w:rsidP="00B52565">
      <w:r>
        <w:rPr>
          <w:lang w:val="es-ES_tradnl"/>
        </w:rPr>
        <w:t>Donde l</w:t>
      </w:r>
      <w:r w:rsidR="001610A8" w:rsidRPr="00010C31">
        <w:t xml:space="preserve">as variables corresponden a las definidas en el </w:t>
      </w:r>
      <w:r w:rsidR="001610A8" w:rsidRPr="00E83D66">
        <w:rPr>
          <w:bCs/>
        </w:rPr>
        <w:t>numeral 1.3.4.1 de la Resolución CREG 015 de 2018.</w:t>
      </w:r>
    </w:p>
    <w:p w14:paraId="3D4F6314" w14:textId="46E24076" w:rsidR="00217A9C" w:rsidRDefault="00217A9C" w:rsidP="00217A9C">
      <w:pPr>
        <w:pStyle w:val="Artculo"/>
        <w:ind w:left="0"/>
        <w:outlineLvl w:val="2"/>
        <w:rPr>
          <w:b w:val="0"/>
        </w:rPr>
      </w:pPr>
      <w:r>
        <w:rPr>
          <w:b w:val="0"/>
        </w:rPr>
        <w:t xml:space="preserve">Lo previsto en el artículo </w:t>
      </w:r>
      <w:r w:rsidR="007A58B1">
        <w:rPr>
          <w:b w:val="0"/>
        </w:rPr>
        <w:t>7</w:t>
      </w:r>
      <w:r>
        <w:rPr>
          <w:b w:val="0"/>
        </w:rPr>
        <w:t xml:space="preserve"> de esta resolución solo se podrá aplicar a partir del primer día del mes siguiente a cuando la empresa expresamente manifieste que está de acuerdo con la alternativa propuesta. Con este propósito, la </w:t>
      </w:r>
      <w:r w:rsidR="000577F0">
        <w:rPr>
          <w:b w:val="0"/>
        </w:rPr>
        <w:t>Empresa de Energía del Valle de Sibundoy</w:t>
      </w:r>
      <w:r>
        <w:rPr>
          <w:b w:val="0"/>
        </w:rPr>
        <w:t xml:space="preserve"> S.A.</w:t>
      </w:r>
      <w:r w:rsidRPr="00F03EBF">
        <w:rPr>
          <w:b w:val="0"/>
        </w:rPr>
        <w:t xml:space="preserve"> E.S.P.</w:t>
      </w:r>
      <w:r>
        <w:rPr>
          <w:b w:val="0"/>
        </w:rPr>
        <w:t xml:space="preserve"> tendrá un plazo de cinco días hábiles, contados a partir de la fecha cuando quede en firme esta resolución, para entregar su manifestación a la CREG. </w:t>
      </w:r>
    </w:p>
    <w:p w14:paraId="2998D8F3" w14:textId="7019C4FD" w:rsidR="00217A9C" w:rsidRPr="00D01783" w:rsidRDefault="00217A9C" w:rsidP="00217A9C">
      <w:r w:rsidRPr="00D01783">
        <w:t xml:space="preserve">Cumplido este plazo, si la empresa no ha entregado su respuesta o manifiesta no estar de acuerdo, lo previsto en el artículo </w:t>
      </w:r>
      <w:r w:rsidR="007A58B1">
        <w:t>7</w:t>
      </w:r>
      <w:r w:rsidRPr="00D01783">
        <w:t xml:space="preserve"> de la presente resolución pierde fuerza ejecutoria y se continuará con el cálculo de los cargos sin tener en cuenta el cambio propuesto en ese artículo.</w:t>
      </w:r>
    </w:p>
    <w:p w14:paraId="67C79E38" w14:textId="093244C9" w:rsidR="00217A9C" w:rsidRPr="00120EEE" w:rsidRDefault="00217A9C" w:rsidP="00217A9C">
      <w:pPr>
        <w:pStyle w:val="Artculo"/>
        <w:spacing w:before="200" w:after="200"/>
        <w:ind w:left="0"/>
        <w:outlineLvl w:val="2"/>
        <w:rPr>
          <w:b w:val="0"/>
          <w:bCs/>
        </w:rPr>
      </w:pPr>
      <w:bookmarkStart w:id="2" w:name="_Hlk43212977"/>
      <w:r w:rsidRPr="00120EEE">
        <w:rPr>
          <w:b w:val="0"/>
          <w:bCs/>
        </w:rPr>
        <w:t>La presente resolución deberá notificarse a</w:t>
      </w:r>
      <w:r>
        <w:rPr>
          <w:b w:val="0"/>
          <w:bCs/>
        </w:rPr>
        <w:t>l representante legal de</w:t>
      </w:r>
      <w:r w:rsidRPr="00120EEE">
        <w:rPr>
          <w:b w:val="0"/>
          <w:bCs/>
        </w:rPr>
        <w:t xml:space="preserve"> la </w:t>
      </w:r>
      <w:r w:rsidR="000577F0">
        <w:rPr>
          <w:b w:val="0"/>
          <w:bCs/>
        </w:rPr>
        <w:t>Empresa de Energía del Valle de Sibundoy</w:t>
      </w:r>
      <w:r w:rsidRPr="00120EEE">
        <w:rPr>
          <w:b w:val="0"/>
          <w:bCs/>
        </w:rPr>
        <w:t xml:space="preserve"> S.A. E.S.P. y publicarse en el </w:t>
      </w:r>
      <w:r w:rsidRPr="00A6571F">
        <w:rPr>
          <w:b w:val="0"/>
          <w:bCs/>
          <w:i/>
          <w:iCs/>
        </w:rPr>
        <w:t>Diario Oficial</w:t>
      </w:r>
      <w:r w:rsidRPr="00120EEE">
        <w:rPr>
          <w:b w:val="0"/>
          <w:bCs/>
        </w:rPr>
        <w:t xml:space="preserve">. </w:t>
      </w:r>
      <w:bookmarkEnd w:id="2"/>
      <w:r w:rsidR="005B6970" w:rsidRPr="006B1167">
        <w:rPr>
          <w:b w:val="0"/>
        </w:rPr>
        <w:t>C</w:t>
      </w:r>
      <w:r w:rsidR="005B6970" w:rsidRPr="00D524D5">
        <w:rPr>
          <w:b w:val="0"/>
        </w:rPr>
        <w:t xml:space="preserve">ontra lo dispuesto en este acto no procede </w:t>
      </w:r>
      <w:r w:rsidR="005B6970" w:rsidRPr="00D524D5">
        <w:rPr>
          <w:b w:val="0"/>
          <w:bCs/>
          <w:lang w:val="es-CO"/>
        </w:rPr>
        <w:t>recurso alguno, toda vez que se entienden agotados todos los recursos que por ley son obligatorios.</w:t>
      </w: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783A2B9E" w14:textId="77777777" w:rsidR="007C127E" w:rsidRPr="00BF69C9" w:rsidRDefault="007C127E" w:rsidP="00B43325">
      <w:pPr>
        <w:ind w:left="2127" w:right="425" w:hanging="1418"/>
      </w:pPr>
    </w:p>
    <w:p w14:paraId="6AA84D0C" w14:textId="2A59301D" w:rsidR="007C127E" w:rsidRPr="00BF69C9" w:rsidRDefault="003343FE" w:rsidP="007C127E">
      <w:r w:rsidRPr="00BF69C9">
        <w:t>Dado en Bogotá D.C</w:t>
      </w:r>
      <w:r w:rsidRPr="00700181">
        <w:t xml:space="preserve">., </w:t>
      </w:r>
      <w:r w:rsidR="00E672AB" w:rsidRPr="00700181">
        <w:t xml:space="preserve">a </w:t>
      </w:r>
      <w:r w:rsidR="003E7CE9">
        <w:rPr>
          <w:b/>
        </w:rPr>
        <w:t>20</w:t>
      </w:r>
      <w:r w:rsidR="00E672AB" w:rsidRPr="00700181">
        <w:rPr>
          <w:b/>
        </w:rPr>
        <w:t xml:space="preserve"> </w:t>
      </w:r>
      <w:r w:rsidR="00033074">
        <w:rPr>
          <w:b/>
        </w:rPr>
        <w:t>ABR</w:t>
      </w:r>
      <w:r w:rsidR="00700181">
        <w:rPr>
          <w:b/>
        </w:rPr>
        <w:t>.</w:t>
      </w:r>
      <w:r w:rsidR="00E672AB" w:rsidRPr="00700181">
        <w:rPr>
          <w:b/>
        </w:rPr>
        <w:t xml:space="preserve"> 202</w:t>
      </w:r>
      <w:r w:rsidR="00217A9C">
        <w:rPr>
          <w:b/>
        </w:rPr>
        <w:t>2</w:t>
      </w:r>
    </w:p>
    <w:p w14:paraId="55A0C0EA" w14:textId="658BCF19" w:rsidR="003343FE" w:rsidRDefault="003343FE" w:rsidP="007C127E"/>
    <w:p w14:paraId="74990A5D" w14:textId="77777777" w:rsidR="003F18BC" w:rsidRDefault="003F18BC" w:rsidP="007C127E"/>
    <w:p w14:paraId="3C942D54" w14:textId="77777777" w:rsidR="00ED732C" w:rsidRPr="00BF69C9" w:rsidRDefault="00ED732C" w:rsidP="007C127E"/>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3F18BC" w:rsidRPr="00666660" w14:paraId="699FDBC5" w14:textId="77777777" w:rsidTr="005C69E8">
        <w:trPr>
          <w:jc w:val="center"/>
        </w:trPr>
        <w:tc>
          <w:tcPr>
            <w:tcW w:w="5103" w:type="dxa"/>
          </w:tcPr>
          <w:p w14:paraId="5DEAB6A1" w14:textId="77777777" w:rsidR="003F18BC" w:rsidRDefault="003F18BC" w:rsidP="003F18BC">
            <w:pPr>
              <w:tabs>
                <w:tab w:val="left" w:pos="-720"/>
              </w:tabs>
              <w:suppressAutoHyphens/>
              <w:spacing w:before="0" w:after="0"/>
              <w:jc w:val="center"/>
              <w:rPr>
                <w:rFonts w:cs="Arial"/>
                <w:b/>
                <w:spacing w:val="-3"/>
              </w:rPr>
            </w:pPr>
            <w:r>
              <w:rPr>
                <w:rFonts w:cs="Arial"/>
                <w:b/>
                <w:spacing w:val="-3"/>
              </w:rPr>
              <w:t>MIGUEL LOTERO ROBLEDO</w:t>
            </w:r>
          </w:p>
          <w:p w14:paraId="106D2525" w14:textId="77777777" w:rsidR="003F18BC" w:rsidRPr="00E0124E" w:rsidRDefault="003F18BC" w:rsidP="003F18BC">
            <w:pPr>
              <w:tabs>
                <w:tab w:val="left" w:pos="-720"/>
              </w:tabs>
              <w:suppressAutoHyphens/>
              <w:spacing w:before="0" w:after="0"/>
              <w:jc w:val="center"/>
              <w:rPr>
                <w:rFonts w:cs="Arial"/>
                <w:bCs/>
                <w:spacing w:val="-3"/>
              </w:rPr>
            </w:pPr>
            <w:r>
              <w:rPr>
                <w:rFonts w:cs="Arial"/>
                <w:bCs/>
                <w:spacing w:val="-3"/>
              </w:rPr>
              <w:t>Viceministro de Energía</w:t>
            </w:r>
          </w:p>
          <w:p w14:paraId="4636AA13" w14:textId="77777777" w:rsidR="003F18BC" w:rsidRDefault="003F18BC" w:rsidP="003F18BC">
            <w:pPr>
              <w:tabs>
                <w:tab w:val="left" w:pos="-720"/>
              </w:tabs>
              <w:suppressAutoHyphens/>
              <w:spacing w:before="0" w:after="0"/>
            </w:pPr>
            <w:r>
              <w:t xml:space="preserve">Delegado del Ministro de </w:t>
            </w:r>
            <w:r w:rsidRPr="00EF4ACC">
              <w:t>Minas y</w:t>
            </w:r>
            <w:r>
              <w:t xml:space="preserve"> </w:t>
            </w:r>
            <w:r w:rsidRPr="00EF4ACC">
              <w:t>Energía</w:t>
            </w:r>
            <w:r>
              <w:t xml:space="preserve"> </w:t>
            </w:r>
          </w:p>
          <w:p w14:paraId="3A276622" w14:textId="77777777" w:rsidR="003F18BC" w:rsidRPr="00BD0865" w:rsidRDefault="003F18BC" w:rsidP="003F18BC">
            <w:pPr>
              <w:tabs>
                <w:tab w:val="left" w:pos="-720"/>
              </w:tabs>
              <w:suppressAutoHyphens/>
              <w:spacing w:before="0" w:after="0"/>
              <w:jc w:val="center"/>
              <w:rPr>
                <w:rFonts w:cs="Arial"/>
                <w:b/>
                <w:strike/>
                <w:spacing w:val="-3"/>
              </w:rPr>
            </w:pPr>
            <w:r w:rsidRPr="00EF4ACC">
              <w:t>Presidente</w:t>
            </w:r>
          </w:p>
        </w:tc>
        <w:tc>
          <w:tcPr>
            <w:tcW w:w="4820" w:type="dxa"/>
          </w:tcPr>
          <w:p w14:paraId="701ED35F" w14:textId="53DD1109" w:rsidR="003F18BC" w:rsidRPr="0093016A" w:rsidRDefault="0093016A" w:rsidP="003F18BC">
            <w:pPr>
              <w:tabs>
                <w:tab w:val="left" w:pos="-720"/>
              </w:tabs>
              <w:suppressAutoHyphens/>
              <w:spacing w:before="0" w:after="0"/>
              <w:jc w:val="center"/>
              <w:rPr>
                <w:rFonts w:cs="Arial"/>
                <w:b/>
                <w:bCs/>
                <w:spacing w:val="-3"/>
              </w:rPr>
            </w:pPr>
            <w:r w:rsidRPr="0093016A">
              <w:rPr>
                <w:rFonts w:cs="Arial"/>
                <w:b/>
                <w:bCs/>
                <w:spacing w:val="-3"/>
              </w:rPr>
              <w:t>MARÍA CLAUDIA ALZATE MONROY</w:t>
            </w:r>
            <w:r w:rsidRPr="0093016A">
              <w:rPr>
                <w:rFonts w:cs="Arial"/>
                <w:b/>
                <w:bCs/>
                <w:spacing w:val="-3"/>
              </w:rPr>
              <w:br/>
            </w:r>
            <w:r w:rsidR="003F18BC" w:rsidRPr="0093016A">
              <w:rPr>
                <w:rFonts w:cs="Arial"/>
                <w:spacing w:val="-3"/>
              </w:rPr>
              <w:t>Director</w:t>
            </w:r>
            <w:r w:rsidR="005245AC" w:rsidRPr="0093016A">
              <w:rPr>
                <w:rFonts w:cs="Arial"/>
                <w:spacing w:val="-3"/>
              </w:rPr>
              <w:t xml:space="preserve">a </w:t>
            </w:r>
            <w:r w:rsidR="003F18BC" w:rsidRPr="0093016A">
              <w:rPr>
                <w:rFonts w:cs="Arial"/>
                <w:spacing w:val="-3"/>
              </w:rPr>
              <w:t xml:space="preserve"> Ejecutiv</w:t>
            </w:r>
            <w:r w:rsidR="005245AC" w:rsidRPr="0093016A">
              <w:rPr>
                <w:rFonts w:cs="Arial"/>
                <w:spacing w:val="-3"/>
              </w:rPr>
              <w:t>a (E)</w:t>
            </w:r>
          </w:p>
        </w:tc>
      </w:tr>
    </w:tbl>
    <w:p w14:paraId="444D55B7" w14:textId="77777777" w:rsidR="00950BFC" w:rsidRPr="00BF69C9" w:rsidRDefault="00950BFC" w:rsidP="00950BFC"/>
    <w:sectPr w:rsidR="00950BFC" w:rsidRPr="00BF69C9" w:rsidSect="000B7990">
      <w:headerReference w:type="default" r:id="rId17"/>
      <w:headerReference w:type="first" r:id="rId18"/>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9704" w14:textId="77777777" w:rsidR="00F244F6" w:rsidRDefault="00F244F6">
      <w:r>
        <w:separator/>
      </w:r>
    </w:p>
    <w:p w14:paraId="01B364DA" w14:textId="77777777" w:rsidR="00F244F6" w:rsidRDefault="00F244F6"/>
    <w:p w14:paraId="5A309DFD" w14:textId="77777777" w:rsidR="00F244F6" w:rsidRDefault="00F244F6" w:rsidP="00C851C0"/>
  </w:endnote>
  <w:endnote w:type="continuationSeparator" w:id="0">
    <w:p w14:paraId="6063BF19" w14:textId="77777777" w:rsidR="00F244F6" w:rsidRDefault="00F244F6">
      <w:r>
        <w:continuationSeparator/>
      </w:r>
    </w:p>
    <w:p w14:paraId="6DA7194A" w14:textId="77777777" w:rsidR="00F244F6" w:rsidRDefault="00F244F6"/>
    <w:p w14:paraId="3E822BB6" w14:textId="77777777" w:rsidR="00F244F6" w:rsidRDefault="00F244F6" w:rsidP="00C851C0"/>
  </w:endnote>
  <w:endnote w:type="continuationNotice" w:id="1">
    <w:p w14:paraId="2FA51670" w14:textId="77777777" w:rsidR="00F244F6" w:rsidRDefault="00F244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2F30" w14:textId="77777777" w:rsidR="00F244F6" w:rsidRDefault="00F244F6">
      <w:r>
        <w:separator/>
      </w:r>
    </w:p>
    <w:p w14:paraId="6B0516C8" w14:textId="77777777" w:rsidR="00F244F6" w:rsidRDefault="00F244F6"/>
    <w:p w14:paraId="3D47E866" w14:textId="77777777" w:rsidR="00F244F6" w:rsidRDefault="00F244F6" w:rsidP="00C851C0"/>
  </w:footnote>
  <w:footnote w:type="continuationSeparator" w:id="0">
    <w:p w14:paraId="6BA9B673" w14:textId="77777777" w:rsidR="00F244F6" w:rsidRDefault="00F244F6">
      <w:r>
        <w:continuationSeparator/>
      </w:r>
    </w:p>
    <w:p w14:paraId="68C94A8B" w14:textId="77777777" w:rsidR="00F244F6" w:rsidRDefault="00F244F6"/>
    <w:p w14:paraId="0D3D9E93" w14:textId="77777777" w:rsidR="00F244F6" w:rsidRDefault="00F244F6" w:rsidP="00C851C0"/>
  </w:footnote>
  <w:footnote w:type="continuationNotice" w:id="1">
    <w:p w14:paraId="6526F59F" w14:textId="77777777" w:rsidR="00F244F6" w:rsidRDefault="00F244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7417A91A" w:rsidR="005E05D5" w:rsidRPr="002560C5" w:rsidRDefault="005E05D5"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700181">
      <w:rPr>
        <w:rFonts w:cs="Arial"/>
        <w:bCs/>
        <w:sz w:val="22"/>
        <w:szCs w:val="22"/>
        <w:u w:val="single"/>
      </w:rPr>
      <w:t xml:space="preserve">. </w:t>
    </w:r>
    <w:r w:rsidR="000E52AC" w:rsidRPr="0093016A">
      <w:rPr>
        <w:rFonts w:cs="Arial"/>
        <w:bCs/>
        <w:szCs w:val="24"/>
        <w:u w:val="single"/>
      </w:rPr>
      <w:t xml:space="preserve">501 </w:t>
    </w:r>
    <w:r w:rsidR="0093016A" w:rsidRPr="0093016A">
      <w:rPr>
        <w:rFonts w:cs="Arial"/>
        <w:bCs/>
        <w:szCs w:val="24"/>
        <w:u w:val="single"/>
      </w:rPr>
      <w:t>037</w:t>
    </w:r>
    <w:r w:rsidR="00700181" w:rsidRPr="0093016A">
      <w:rPr>
        <w:rFonts w:cs="Arial"/>
        <w:b w:val="0"/>
        <w:szCs w:val="24"/>
      </w:rPr>
      <w:t xml:space="preserve"> </w:t>
    </w:r>
    <w:r w:rsidRPr="002560C5">
      <w:rPr>
        <w:rFonts w:cs="Arial"/>
        <w:b w:val="0"/>
        <w:sz w:val="22"/>
        <w:szCs w:val="22"/>
      </w:rPr>
      <w:tab/>
      <w:t xml:space="preserve">DE </w:t>
    </w:r>
    <w:r w:rsidR="0093016A">
      <w:rPr>
        <w:rFonts w:cs="Arial"/>
        <w:bCs/>
        <w:szCs w:val="24"/>
        <w:u w:val="single"/>
      </w:rPr>
      <w:t>20</w:t>
    </w:r>
    <w:r w:rsidR="00700181" w:rsidRPr="00700181">
      <w:rPr>
        <w:rFonts w:cs="Arial"/>
        <w:bCs/>
        <w:szCs w:val="24"/>
        <w:u w:val="single"/>
      </w:rPr>
      <w:t xml:space="preserve"> </w:t>
    </w:r>
    <w:r w:rsidR="00582C3B">
      <w:rPr>
        <w:rFonts w:cs="Arial"/>
        <w:bCs/>
        <w:szCs w:val="24"/>
        <w:u w:val="single"/>
      </w:rPr>
      <w:t>ABR</w:t>
    </w:r>
    <w:r w:rsidR="00700181" w:rsidRPr="00700181">
      <w:rPr>
        <w:rFonts w:cs="Arial"/>
        <w:bCs/>
        <w:szCs w:val="24"/>
        <w:u w:val="single"/>
      </w:rPr>
      <w:t>. 202</w:t>
    </w:r>
    <w:r w:rsidR="000E52AC">
      <w:rPr>
        <w:rFonts w:cs="Arial"/>
        <w:bCs/>
        <w:szCs w:val="24"/>
        <w:u w:val="single"/>
      </w:rPr>
      <w:t>2</w:t>
    </w:r>
    <w:r w:rsidR="00700181">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5245AC">
      <w:rPr>
        <w:rFonts w:cs="Arial"/>
        <w:b w:val="0"/>
        <w:noProof/>
        <w:sz w:val="22"/>
        <w:szCs w:val="22"/>
      </w:rPr>
      <w:t>12</w:t>
    </w:r>
    <w:r w:rsidRPr="002560C5">
      <w:rPr>
        <w:rFonts w:cs="Arial"/>
        <w:b w:val="0"/>
        <w:sz w:val="22"/>
        <w:szCs w:val="22"/>
      </w:rPr>
      <w:fldChar w:fldCharType="end"/>
    </w:r>
    <w:r w:rsidRPr="002560C5">
      <w:rPr>
        <w:rFonts w:cs="Arial"/>
        <w:b w:val="0"/>
        <w:sz w:val="22"/>
        <w:szCs w:val="22"/>
      </w:rPr>
      <w:t>/</w:t>
    </w:r>
    <w:r w:rsidR="00867F61">
      <w:fldChar w:fldCharType="begin"/>
    </w:r>
    <w:r w:rsidR="00867F61">
      <w:instrText>NUMPAGES  \* MERGEFORMAT</w:instrText>
    </w:r>
    <w:r w:rsidR="00867F61">
      <w:fldChar w:fldCharType="separate"/>
    </w:r>
    <w:r w:rsidR="005245AC" w:rsidRPr="005245AC">
      <w:rPr>
        <w:rFonts w:cs="Arial"/>
        <w:b w:val="0"/>
        <w:noProof/>
        <w:sz w:val="22"/>
        <w:szCs w:val="22"/>
      </w:rPr>
      <w:t>12</w:t>
    </w:r>
    <w:r w:rsidR="00867F61">
      <w:rPr>
        <w:rFonts w:cs="Arial"/>
        <w:b w:val="0"/>
        <w:noProof/>
        <w:sz w:val="22"/>
        <w:szCs w:val="22"/>
      </w:rPr>
      <w:fldChar w:fldCharType="end"/>
    </w:r>
  </w:p>
  <w:p w14:paraId="5EEBDD92" w14:textId="77777777" w:rsidR="005E05D5" w:rsidRDefault="005E05D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DA0C770">
            <v:rect id="Rectangle 1"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89E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w:pict>
        </mc:Fallback>
      </mc:AlternateContent>
    </w:r>
  </w:p>
  <w:p w14:paraId="19A008AD" w14:textId="61D17372" w:rsidR="005E05D5" w:rsidRPr="00F30572" w:rsidRDefault="00FF3586" w:rsidP="00C202E9">
    <w:pPr>
      <w:pBdr>
        <w:bottom w:val="single" w:sz="4" w:space="1" w:color="auto"/>
      </w:pBdr>
      <w:rPr>
        <w:sz w:val="22"/>
        <w:szCs w:val="22"/>
      </w:rPr>
    </w:pPr>
    <w:r w:rsidRPr="00FF3586">
      <w:rPr>
        <w:sz w:val="22"/>
        <w:szCs w:val="22"/>
      </w:rPr>
      <w:t xml:space="preserve">Por la cual se resuelve </w:t>
    </w:r>
    <w:r w:rsidR="00452E95">
      <w:rPr>
        <w:sz w:val="22"/>
        <w:szCs w:val="22"/>
      </w:rPr>
      <w:t xml:space="preserve">el recurso de reposición interpuesto por la Empresa de </w:t>
    </w:r>
    <w:r w:rsidRPr="00FF3586">
      <w:rPr>
        <w:sz w:val="22"/>
        <w:szCs w:val="22"/>
      </w:rPr>
      <w:t>E</w:t>
    </w:r>
    <w:r w:rsidR="00452E95">
      <w:rPr>
        <w:sz w:val="22"/>
        <w:szCs w:val="22"/>
      </w:rPr>
      <w:t xml:space="preserve">nergía del Valle de Sibundoy </w:t>
    </w:r>
    <w:r w:rsidRPr="00FF3586">
      <w:rPr>
        <w:sz w:val="22"/>
        <w:szCs w:val="22"/>
      </w:rPr>
      <w:t>S.A. E.S.P.</w:t>
    </w:r>
    <w:r w:rsidR="0062052A">
      <w:rPr>
        <w:sz w:val="22"/>
        <w:szCs w:val="22"/>
      </w:rPr>
      <w:t>,</w:t>
    </w:r>
    <w:r w:rsidR="003E7CE9">
      <w:rPr>
        <w:sz w:val="22"/>
        <w:szCs w:val="22"/>
      </w:rPr>
      <w:t xml:space="preserve"> </w:t>
    </w:r>
    <w:r w:rsidR="003E7CE9" w:rsidRPr="003E7CE9">
      <w:rPr>
        <w:sz w:val="22"/>
        <w:szCs w:val="22"/>
      </w:rPr>
      <w:t>contra la Resolución CREG 220 de 2021</w:t>
    </w:r>
    <w:r w:rsidR="003E7CE9">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50EADAE3" w:rsidR="005E05D5" w:rsidRDefault="005E05D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E05D5" w:rsidRDefault="005E05D5">
    <w:pPr>
      <w:pStyle w:val="Encabezado"/>
      <w:jc w:val="center"/>
      <w:rPr>
        <w:rFonts w:ascii="Arial" w:hAnsi="Arial" w:cs="Arial"/>
        <w:spacing w:val="20"/>
        <w:sz w:val="20"/>
      </w:rPr>
    </w:pPr>
  </w:p>
  <w:p w14:paraId="1A5CD802" w14:textId="77777777" w:rsidR="005E05D5" w:rsidRDefault="005E05D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3520C1A">
            <v:rect id="Rectangle 2"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32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2F5371"/>
    <w:multiLevelType w:val="hybridMultilevel"/>
    <w:tmpl w:val="D780CB4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000EB"/>
    <w:multiLevelType w:val="hybridMultilevel"/>
    <w:tmpl w:val="EC10B570"/>
    <w:lvl w:ilvl="0" w:tplc="097C5228">
      <w:start w:val="1"/>
      <w:numFmt w:val="decimal"/>
      <w:lvlText w:val="%1."/>
      <w:lvlJc w:val="left"/>
      <w:pPr>
        <w:ind w:left="-131" w:hanging="360"/>
      </w:pPr>
      <w:rPr>
        <w:rFonts w:ascii="Times New Roman" w:eastAsia="Times New Roman" w:hAnsi="Times New Roman" w:cs="Times New Roman" w:hint="default"/>
        <w:w w:val="100"/>
        <w:sz w:val="24"/>
        <w:szCs w:val="24"/>
        <w:lang w:val="es-ES" w:eastAsia="en-US" w:bidi="ar-SA"/>
      </w:rPr>
    </w:lvl>
    <w:lvl w:ilvl="1" w:tplc="3D16F004">
      <w:numFmt w:val="bullet"/>
      <w:lvlText w:val="•"/>
      <w:lvlJc w:val="left"/>
      <w:pPr>
        <w:ind w:left="628" w:hanging="360"/>
      </w:pPr>
      <w:rPr>
        <w:rFonts w:hint="default"/>
        <w:lang w:val="es-ES" w:eastAsia="en-US" w:bidi="ar-SA"/>
      </w:rPr>
    </w:lvl>
    <w:lvl w:ilvl="2" w:tplc="5C0E156E">
      <w:numFmt w:val="bullet"/>
      <w:lvlText w:val="•"/>
      <w:lvlJc w:val="left"/>
      <w:pPr>
        <w:ind w:left="1396" w:hanging="360"/>
      </w:pPr>
      <w:rPr>
        <w:rFonts w:hint="default"/>
        <w:lang w:val="es-ES" w:eastAsia="en-US" w:bidi="ar-SA"/>
      </w:rPr>
    </w:lvl>
    <w:lvl w:ilvl="3" w:tplc="69F68ED4">
      <w:numFmt w:val="bullet"/>
      <w:lvlText w:val="•"/>
      <w:lvlJc w:val="left"/>
      <w:pPr>
        <w:ind w:left="2165" w:hanging="360"/>
      </w:pPr>
      <w:rPr>
        <w:rFonts w:hint="default"/>
        <w:lang w:val="es-ES" w:eastAsia="en-US" w:bidi="ar-SA"/>
      </w:rPr>
    </w:lvl>
    <w:lvl w:ilvl="4" w:tplc="FCBA2AFA">
      <w:numFmt w:val="bullet"/>
      <w:lvlText w:val="•"/>
      <w:lvlJc w:val="left"/>
      <w:pPr>
        <w:ind w:left="2933" w:hanging="360"/>
      </w:pPr>
      <w:rPr>
        <w:rFonts w:hint="default"/>
        <w:lang w:val="es-ES" w:eastAsia="en-US" w:bidi="ar-SA"/>
      </w:rPr>
    </w:lvl>
    <w:lvl w:ilvl="5" w:tplc="3EACCB92">
      <w:numFmt w:val="bullet"/>
      <w:lvlText w:val="•"/>
      <w:lvlJc w:val="left"/>
      <w:pPr>
        <w:ind w:left="3702" w:hanging="360"/>
      </w:pPr>
      <w:rPr>
        <w:rFonts w:hint="default"/>
        <w:lang w:val="es-ES" w:eastAsia="en-US" w:bidi="ar-SA"/>
      </w:rPr>
    </w:lvl>
    <w:lvl w:ilvl="6" w:tplc="23B05FD8">
      <w:numFmt w:val="bullet"/>
      <w:lvlText w:val="•"/>
      <w:lvlJc w:val="left"/>
      <w:pPr>
        <w:ind w:left="4470" w:hanging="360"/>
      </w:pPr>
      <w:rPr>
        <w:rFonts w:hint="default"/>
        <w:lang w:val="es-ES" w:eastAsia="en-US" w:bidi="ar-SA"/>
      </w:rPr>
    </w:lvl>
    <w:lvl w:ilvl="7" w:tplc="4E0E0842">
      <w:numFmt w:val="bullet"/>
      <w:lvlText w:val="•"/>
      <w:lvlJc w:val="left"/>
      <w:pPr>
        <w:ind w:left="5238" w:hanging="360"/>
      </w:pPr>
      <w:rPr>
        <w:rFonts w:hint="default"/>
        <w:lang w:val="es-ES" w:eastAsia="en-US" w:bidi="ar-SA"/>
      </w:rPr>
    </w:lvl>
    <w:lvl w:ilvl="8" w:tplc="3EE68222">
      <w:numFmt w:val="bullet"/>
      <w:lvlText w:val="•"/>
      <w:lvlJc w:val="left"/>
      <w:pPr>
        <w:ind w:left="6007" w:hanging="360"/>
      </w:pPr>
      <w:rPr>
        <w:rFonts w:hint="default"/>
        <w:lang w:val="es-ES" w:eastAsia="en-US" w:bidi="ar-SA"/>
      </w:rPr>
    </w:lvl>
  </w:abstractNum>
  <w:abstractNum w:abstractNumId="7" w15:restartNumberingAfterBreak="0">
    <w:nsid w:val="1A7812C8"/>
    <w:multiLevelType w:val="hybridMultilevel"/>
    <w:tmpl w:val="D780CB46"/>
    <w:lvl w:ilvl="0" w:tplc="056430A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4F471EEB"/>
    <w:multiLevelType w:val="multilevel"/>
    <w:tmpl w:val="7F48610C"/>
    <w:name w:val="Nueva lista 3"/>
    <w:lvl w:ilvl="0">
      <w:start w:val="1"/>
      <w:numFmt w:val="decimal"/>
      <w:pStyle w:val="Artculo"/>
      <w:suff w:val="space"/>
      <w:lvlText w:val="Artículo %1."/>
      <w:lvlJc w:val="left"/>
      <w:pPr>
        <w:ind w:left="184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50B551D"/>
    <w:multiLevelType w:val="hybridMultilevel"/>
    <w:tmpl w:val="8F40EB6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7F6770"/>
    <w:multiLevelType w:val="hybridMultilevel"/>
    <w:tmpl w:val="0CFC7A4E"/>
    <w:lvl w:ilvl="0" w:tplc="056430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8071DF"/>
    <w:multiLevelType w:val="hybridMultilevel"/>
    <w:tmpl w:val="1D8CE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32B16E9"/>
    <w:multiLevelType w:val="hybridMultilevel"/>
    <w:tmpl w:val="1E90BCAA"/>
    <w:lvl w:ilvl="0" w:tplc="71A07512">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B2C2602A">
      <w:numFmt w:val="bullet"/>
      <w:lvlText w:val="•"/>
      <w:lvlJc w:val="left"/>
      <w:pPr>
        <w:ind w:left="1479" w:hanging="360"/>
      </w:pPr>
      <w:rPr>
        <w:rFonts w:hint="default"/>
        <w:lang w:val="es-ES" w:eastAsia="en-US" w:bidi="ar-SA"/>
      </w:rPr>
    </w:lvl>
    <w:lvl w:ilvl="2" w:tplc="8C201674">
      <w:numFmt w:val="bullet"/>
      <w:lvlText w:val="•"/>
      <w:lvlJc w:val="left"/>
      <w:pPr>
        <w:ind w:left="2247" w:hanging="360"/>
      </w:pPr>
      <w:rPr>
        <w:rFonts w:hint="default"/>
        <w:lang w:val="es-ES" w:eastAsia="en-US" w:bidi="ar-SA"/>
      </w:rPr>
    </w:lvl>
    <w:lvl w:ilvl="3" w:tplc="E20EF598">
      <w:numFmt w:val="bullet"/>
      <w:lvlText w:val="•"/>
      <w:lvlJc w:val="left"/>
      <w:pPr>
        <w:ind w:left="3016" w:hanging="360"/>
      </w:pPr>
      <w:rPr>
        <w:rFonts w:hint="default"/>
        <w:lang w:val="es-ES" w:eastAsia="en-US" w:bidi="ar-SA"/>
      </w:rPr>
    </w:lvl>
    <w:lvl w:ilvl="4" w:tplc="8FC0324A">
      <w:numFmt w:val="bullet"/>
      <w:lvlText w:val="•"/>
      <w:lvlJc w:val="left"/>
      <w:pPr>
        <w:ind w:left="3784" w:hanging="360"/>
      </w:pPr>
      <w:rPr>
        <w:rFonts w:hint="default"/>
        <w:lang w:val="es-ES" w:eastAsia="en-US" w:bidi="ar-SA"/>
      </w:rPr>
    </w:lvl>
    <w:lvl w:ilvl="5" w:tplc="AC2A53A8">
      <w:numFmt w:val="bullet"/>
      <w:lvlText w:val="•"/>
      <w:lvlJc w:val="left"/>
      <w:pPr>
        <w:ind w:left="4553" w:hanging="360"/>
      </w:pPr>
      <w:rPr>
        <w:rFonts w:hint="default"/>
        <w:lang w:val="es-ES" w:eastAsia="en-US" w:bidi="ar-SA"/>
      </w:rPr>
    </w:lvl>
    <w:lvl w:ilvl="6" w:tplc="D2BCF050">
      <w:numFmt w:val="bullet"/>
      <w:lvlText w:val="•"/>
      <w:lvlJc w:val="left"/>
      <w:pPr>
        <w:ind w:left="5321" w:hanging="360"/>
      </w:pPr>
      <w:rPr>
        <w:rFonts w:hint="default"/>
        <w:lang w:val="es-ES" w:eastAsia="en-US" w:bidi="ar-SA"/>
      </w:rPr>
    </w:lvl>
    <w:lvl w:ilvl="7" w:tplc="C5C824CC">
      <w:numFmt w:val="bullet"/>
      <w:lvlText w:val="•"/>
      <w:lvlJc w:val="left"/>
      <w:pPr>
        <w:ind w:left="6089" w:hanging="360"/>
      </w:pPr>
      <w:rPr>
        <w:rFonts w:hint="default"/>
        <w:lang w:val="es-ES" w:eastAsia="en-US" w:bidi="ar-SA"/>
      </w:rPr>
    </w:lvl>
    <w:lvl w:ilvl="8" w:tplc="13F4D8CE">
      <w:numFmt w:val="bullet"/>
      <w:lvlText w:val="•"/>
      <w:lvlJc w:val="left"/>
      <w:pPr>
        <w:ind w:left="6858" w:hanging="360"/>
      </w:pPr>
      <w:rPr>
        <w:rFonts w:hint="default"/>
        <w:lang w:val="es-ES" w:eastAsia="en-US" w:bidi="ar-SA"/>
      </w:rPr>
    </w:lvl>
  </w:abstractNum>
  <w:abstractNum w:abstractNumId="2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6088203">
    <w:abstractNumId w:val="1"/>
  </w:num>
  <w:num w:numId="2" w16cid:durableId="1281497279">
    <w:abstractNumId w:val="9"/>
  </w:num>
  <w:num w:numId="3" w16cid:durableId="1391879077">
    <w:abstractNumId w:val="16"/>
  </w:num>
  <w:num w:numId="4" w16cid:durableId="1674458162">
    <w:abstractNumId w:val="12"/>
  </w:num>
  <w:num w:numId="5" w16cid:durableId="1129545287">
    <w:abstractNumId w:val="18"/>
  </w:num>
  <w:num w:numId="6" w16cid:durableId="1063990763">
    <w:abstractNumId w:val="4"/>
  </w:num>
  <w:num w:numId="7" w16cid:durableId="2039424516">
    <w:abstractNumId w:val="10"/>
  </w:num>
  <w:num w:numId="8" w16cid:durableId="1461803111">
    <w:abstractNumId w:val="20"/>
  </w:num>
  <w:num w:numId="9" w16cid:durableId="1794403018">
    <w:abstractNumId w:val="13"/>
  </w:num>
  <w:num w:numId="10" w16cid:durableId="297421683">
    <w:abstractNumId w:val="7"/>
  </w:num>
  <w:num w:numId="11" w16cid:durableId="1427380233">
    <w:abstractNumId w:val="5"/>
  </w:num>
  <w:num w:numId="12" w16cid:durableId="372965445">
    <w:abstractNumId w:val="14"/>
  </w:num>
  <w:num w:numId="13" w16cid:durableId="75289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413044">
    <w:abstractNumId w:val="6"/>
  </w:num>
  <w:num w:numId="15" w16cid:durableId="1561863082">
    <w:abstractNumId w:val="19"/>
  </w:num>
  <w:num w:numId="16" w16cid:durableId="1344820175">
    <w:abstractNumId w:val="2"/>
  </w:num>
  <w:num w:numId="17" w16cid:durableId="1289582174">
    <w:abstractNumId w:val="15"/>
  </w:num>
  <w:num w:numId="18" w16cid:durableId="11070906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6FB"/>
    <w:rsid w:val="00006585"/>
    <w:rsid w:val="00006AE2"/>
    <w:rsid w:val="00006D75"/>
    <w:rsid w:val="00006EF5"/>
    <w:rsid w:val="000076A1"/>
    <w:rsid w:val="00011774"/>
    <w:rsid w:val="00011A25"/>
    <w:rsid w:val="0001209B"/>
    <w:rsid w:val="00012259"/>
    <w:rsid w:val="00012315"/>
    <w:rsid w:val="00012D6A"/>
    <w:rsid w:val="0001368F"/>
    <w:rsid w:val="00015F4C"/>
    <w:rsid w:val="000164E6"/>
    <w:rsid w:val="00016B85"/>
    <w:rsid w:val="00017396"/>
    <w:rsid w:val="000203BE"/>
    <w:rsid w:val="0002117B"/>
    <w:rsid w:val="0002278D"/>
    <w:rsid w:val="00022832"/>
    <w:rsid w:val="00023088"/>
    <w:rsid w:val="00023841"/>
    <w:rsid w:val="00023DC0"/>
    <w:rsid w:val="000245AA"/>
    <w:rsid w:val="00024EEB"/>
    <w:rsid w:val="00025383"/>
    <w:rsid w:val="00025D05"/>
    <w:rsid w:val="000268D6"/>
    <w:rsid w:val="00027C0A"/>
    <w:rsid w:val="00027C0E"/>
    <w:rsid w:val="00032C8E"/>
    <w:rsid w:val="00033074"/>
    <w:rsid w:val="0003390E"/>
    <w:rsid w:val="00034669"/>
    <w:rsid w:val="00034F65"/>
    <w:rsid w:val="0003547A"/>
    <w:rsid w:val="0003568E"/>
    <w:rsid w:val="000356FD"/>
    <w:rsid w:val="00036933"/>
    <w:rsid w:val="0003695A"/>
    <w:rsid w:val="00040250"/>
    <w:rsid w:val="00042A98"/>
    <w:rsid w:val="00042B1A"/>
    <w:rsid w:val="000432E2"/>
    <w:rsid w:val="000446EC"/>
    <w:rsid w:val="00044AC4"/>
    <w:rsid w:val="00045094"/>
    <w:rsid w:val="00045D3D"/>
    <w:rsid w:val="00047168"/>
    <w:rsid w:val="00047355"/>
    <w:rsid w:val="000513AB"/>
    <w:rsid w:val="0005171B"/>
    <w:rsid w:val="00051D1F"/>
    <w:rsid w:val="00052931"/>
    <w:rsid w:val="00053BE6"/>
    <w:rsid w:val="000551AC"/>
    <w:rsid w:val="00055984"/>
    <w:rsid w:val="00055AB2"/>
    <w:rsid w:val="00056CF7"/>
    <w:rsid w:val="00056ECE"/>
    <w:rsid w:val="0005705F"/>
    <w:rsid w:val="0005740C"/>
    <w:rsid w:val="000577F0"/>
    <w:rsid w:val="00063454"/>
    <w:rsid w:val="00063657"/>
    <w:rsid w:val="000636F4"/>
    <w:rsid w:val="000718BC"/>
    <w:rsid w:val="0007409E"/>
    <w:rsid w:val="00076680"/>
    <w:rsid w:val="00076A1D"/>
    <w:rsid w:val="00076B19"/>
    <w:rsid w:val="000771FB"/>
    <w:rsid w:val="00077752"/>
    <w:rsid w:val="00080487"/>
    <w:rsid w:val="0008073E"/>
    <w:rsid w:val="0008115D"/>
    <w:rsid w:val="000821D9"/>
    <w:rsid w:val="00082B34"/>
    <w:rsid w:val="00082FE9"/>
    <w:rsid w:val="000831AC"/>
    <w:rsid w:val="000837A5"/>
    <w:rsid w:val="00083AA8"/>
    <w:rsid w:val="00084F74"/>
    <w:rsid w:val="00085118"/>
    <w:rsid w:val="000857D1"/>
    <w:rsid w:val="0008751B"/>
    <w:rsid w:val="0008756D"/>
    <w:rsid w:val="0008776A"/>
    <w:rsid w:val="0009104E"/>
    <w:rsid w:val="0009196C"/>
    <w:rsid w:val="00091CDB"/>
    <w:rsid w:val="00092B47"/>
    <w:rsid w:val="000946B5"/>
    <w:rsid w:val="00095EA2"/>
    <w:rsid w:val="00096D9B"/>
    <w:rsid w:val="00097794"/>
    <w:rsid w:val="000A1319"/>
    <w:rsid w:val="000A19AC"/>
    <w:rsid w:val="000A1D0D"/>
    <w:rsid w:val="000A373C"/>
    <w:rsid w:val="000A38CC"/>
    <w:rsid w:val="000A5837"/>
    <w:rsid w:val="000A69E6"/>
    <w:rsid w:val="000A72AE"/>
    <w:rsid w:val="000B2EC9"/>
    <w:rsid w:val="000B3688"/>
    <w:rsid w:val="000B538A"/>
    <w:rsid w:val="000B65BD"/>
    <w:rsid w:val="000B6706"/>
    <w:rsid w:val="000B7990"/>
    <w:rsid w:val="000C06AF"/>
    <w:rsid w:val="000C11F1"/>
    <w:rsid w:val="000C1951"/>
    <w:rsid w:val="000C1DE0"/>
    <w:rsid w:val="000C2098"/>
    <w:rsid w:val="000C266A"/>
    <w:rsid w:val="000C3198"/>
    <w:rsid w:val="000C35B1"/>
    <w:rsid w:val="000C5DF4"/>
    <w:rsid w:val="000C5E7C"/>
    <w:rsid w:val="000C64D6"/>
    <w:rsid w:val="000C6881"/>
    <w:rsid w:val="000C6D0C"/>
    <w:rsid w:val="000C743D"/>
    <w:rsid w:val="000C784A"/>
    <w:rsid w:val="000D06DD"/>
    <w:rsid w:val="000D1E36"/>
    <w:rsid w:val="000D26F8"/>
    <w:rsid w:val="000D2A00"/>
    <w:rsid w:val="000D36AF"/>
    <w:rsid w:val="000D3884"/>
    <w:rsid w:val="000D3FC2"/>
    <w:rsid w:val="000D5201"/>
    <w:rsid w:val="000D5C79"/>
    <w:rsid w:val="000D72B7"/>
    <w:rsid w:val="000E01B2"/>
    <w:rsid w:val="000E1970"/>
    <w:rsid w:val="000E2A42"/>
    <w:rsid w:val="000E3D26"/>
    <w:rsid w:val="000E48E3"/>
    <w:rsid w:val="000E4959"/>
    <w:rsid w:val="000E52AC"/>
    <w:rsid w:val="000E5ACE"/>
    <w:rsid w:val="000E7F3C"/>
    <w:rsid w:val="000F0E21"/>
    <w:rsid w:val="000F30B5"/>
    <w:rsid w:val="000F3A75"/>
    <w:rsid w:val="000F4463"/>
    <w:rsid w:val="000F47C4"/>
    <w:rsid w:val="000F5392"/>
    <w:rsid w:val="000F54BB"/>
    <w:rsid w:val="000F563E"/>
    <w:rsid w:val="000F5DC6"/>
    <w:rsid w:val="000F68AA"/>
    <w:rsid w:val="000F68D7"/>
    <w:rsid w:val="000F7AE9"/>
    <w:rsid w:val="000F7C81"/>
    <w:rsid w:val="0010037D"/>
    <w:rsid w:val="001004F6"/>
    <w:rsid w:val="0010087D"/>
    <w:rsid w:val="0010101F"/>
    <w:rsid w:val="00101F35"/>
    <w:rsid w:val="0010236C"/>
    <w:rsid w:val="0010333D"/>
    <w:rsid w:val="00104BCC"/>
    <w:rsid w:val="00105E02"/>
    <w:rsid w:val="0010658E"/>
    <w:rsid w:val="00106654"/>
    <w:rsid w:val="001067D3"/>
    <w:rsid w:val="00107AA7"/>
    <w:rsid w:val="0011002C"/>
    <w:rsid w:val="001106AF"/>
    <w:rsid w:val="00110912"/>
    <w:rsid w:val="00111C7E"/>
    <w:rsid w:val="001129C7"/>
    <w:rsid w:val="00112F16"/>
    <w:rsid w:val="00113953"/>
    <w:rsid w:val="001147FF"/>
    <w:rsid w:val="001177E6"/>
    <w:rsid w:val="00117E9F"/>
    <w:rsid w:val="00121EE4"/>
    <w:rsid w:val="00126B7F"/>
    <w:rsid w:val="0012783F"/>
    <w:rsid w:val="00130D85"/>
    <w:rsid w:val="00131E50"/>
    <w:rsid w:val="001328B6"/>
    <w:rsid w:val="00132FE3"/>
    <w:rsid w:val="001333FC"/>
    <w:rsid w:val="001334C8"/>
    <w:rsid w:val="0013384D"/>
    <w:rsid w:val="00133EC9"/>
    <w:rsid w:val="0013526C"/>
    <w:rsid w:val="001356B3"/>
    <w:rsid w:val="00135C1F"/>
    <w:rsid w:val="00136F57"/>
    <w:rsid w:val="001405C6"/>
    <w:rsid w:val="0014064C"/>
    <w:rsid w:val="00141013"/>
    <w:rsid w:val="00142021"/>
    <w:rsid w:val="0014208F"/>
    <w:rsid w:val="0014220A"/>
    <w:rsid w:val="0014256F"/>
    <w:rsid w:val="0014363D"/>
    <w:rsid w:val="00144681"/>
    <w:rsid w:val="00145736"/>
    <w:rsid w:val="001459D6"/>
    <w:rsid w:val="001473B3"/>
    <w:rsid w:val="00147643"/>
    <w:rsid w:val="001478B5"/>
    <w:rsid w:val="0015124F"/>
    <w:rsid w:val="00151A0F"/>
    <w:rsid w:val="0015228B"/>
    <w:rsid w:val="00152D9A"/>
    <w:rsid w:val="00152E0C"/>
    <w:rsid w:val="00152ECB"/>
    <w:rsid w:val="0015338C"/>
    <w:rsid w:val="00153731"/>
    <w:rsid w:val="001541F3"/>
    <w:rsid w:val="00154D0C"/>
    <w:rsid w:val="00155CC7"/>
    <w:rsid w:val="001560A7"/>
    <w:rsid w:val="001574D9"/>
    <w:rsid w:val="00157B49"/>
    <w:rsid w:val="00157C9D"/>
    <w:rsid w:val="00160A6A"/>
    <w:rsid w:val="00160BCF"/>
    <w:rsid w:val="00161084"/>
    <w:rsid w:val="001610A8"/>
    <w:rsid w:val="00164E00"/>
    <w:rsid w:val="00165F6C"/>
    <w:rsid w:val="00166AA9"/>
    <w:rsid w:val="00166B53"/>
    <w:rsid w:val="001710F9"/>
    <w:rsid w:val="00171B59"/>
    <w:rsid w:val="001762DD"/>
    <w:rsid w:val="00177652"/>
    <w:rsid w:val="001778BC"/>
    <w:rsid w:val="00177D48"/>
    <w:rsid w:val="0018241F"/>
    <w:rsid w:val="001827DF"/>
    <w:rsid w:val="001831D5"/>
    <w:rsid w:val="00184170"/>
    <w:rsid w:val="00185F79"/>
    <w:rsid w:val="001871B3"/>
    <w:rsid w:val="001876F9"/>
    <w:rsid w:val="00190C2D"/>
    <w:rsid w:val="001915CC"/>
    <w:rsid w:val="00192006"/>
    <w:rsid w:val="00192CBF"/>
    <w:rsid w:val="00192FF1"/>
    <w:rsid w:val="00194947"/>
    <w:rsid w:val="001949D2"/>
    <w:rsid w:val="00194C52"/>
    <w:rsid w:val="001953A6"/>
    <w:rsid w:val="0019667F"/>
    <w:rsid w:val="00196D8C"/>
    <w:rsid w:val="00197F32"/>
    <w:rsid w:val="001A1422"/>
    <w:rsid w:val="001A2B6E"/>
    <w:rsid w:val="001A2FF7"/>
    <w:rsid w:val="001A3643"/>
    <w:rsid w:val="001A39D5"/>
    <w:rsid w:val="001A44FC"/>
    <w:rsid w:val="001A4F35"/>
    <w:rsid w:val="001A57D3"/>
    <w:rsid w:val="001A5D30"/>
    <w:rsid w:val="001A5F1B"/>
    <w:rsid w:val="001A6488"/>
    <w:rsid w:val="001A697D"/>
    <w:rsid w:val="001A7613"/>
    <w:rsid w:val="001A7DAD"/>
    <w:rsid w:val="001B03F7"/>
    <w:rsid w:val="001B05A4"/>
    <w:rsid w:val="001B17F4"/>
    <w:rsid w:val="001B1C22"/>
    <w:rsid w:val="001B34C6"/>
    <w:rsid w:val="001B3B4D"/>
    <w:rsid w:val="001B4704"/>
    <w:rsid w:val="001B4A5D"/>
    <w:rsid w:val="001B6055"/>
    <w:rsid w:val="001B6DC1"/>
    <w:rsid w:val="001C0C42"/>
    <w:rsid w:val="001C2018"/>
    <w:rsid w:val="001C30CD"/>
    <w:rsid w:val="001C36F4"/>
    <w:rsid w:val="001C3877"/>
    <w:rsid w:val="001C4A3C"/>
    <w:rsid w:val="001C5BBD"/>
    <w:rsid w:val="001D0772"/>
    <w:rsid w:val="001D31E0"/>
    <w:rsid w:val="001D3333"/>
    <w:rsid w:val="001D516B"/>
    <w:rsid w:val="001D7832"/>
    <w:rsid w:val="001E30A5"/>
    <w:rsid w:val="001E3911"/>
    <w:rsid w:val="001E485E"/>
    <w:rsid w:val="001E5B04"/>
    <w:rsid w:val="001E692F"/>
    <w:rsid w:val="001E6D31"/>
    <w:rsid w:val="001E6ED5"/>
    <w:rsid w:val="001F2C5B"/>
    <w:rsid w:val="001F2E9D"/>
    <w:rsid w:val="001F2FD8"/>
    <w:rsid w:val="001F4256"/>
    <w:rsid w:val="001F5AFE"/>
    <w:rsid w:val="001F633B"/>
    <w:rsid w:val="001F780F"/>
    <w:rsid w:val="002012D8"/>
    <w:rsid w:val="002015A0"/>
    <w:rsid w:val="002038CE"/>
    <w:rsid w:val="002039D6"/>
    <w:rsid w:val="00203B90"/>
    <w:rsid w:val="00204D82"/>
    <w:rsid w:val="0020533E"/>
    <w:rsid w:val="00206A28"/>
    <w:rsid w:val="00206F56"/>
    <w:rsid w:val="002071FE"/>
    <w:rsid w:val="00207D99"/>
    <w:rsid w:val="00210DC1"/>
    <w:rsid w:val="00211482"/>
    <w:rsid w:val="0021157A"/>
    <w:rsid w:val="00211D34"/>
    <w:rsid w:val="002133FA"/>
    <w:rsid w:val="00214328"/>
    <w:rsid w:val="00214F04"/>
    <w:rsid w:val="002160D4"/>
    <w:rsid w:val="00217A9C"/>
    <w:rsid w:val="00217D47"/>
    <w:rsid w:val="00220A3B"/>
    <w:rsid w:val="00221BED"/>
    <w:rsid w:val="002236A6"/>
    <w:rsid w:val="00223E50"/>
    <w:rsid w:val="0022483E"/>
    <w:rsid w:val="00224FC9"/>
    <w:rsid w:val="00225548"/>
    <w:rsid w:val="00227061"/>
    <w:rsid w:val="002277C5"/>
    <w:rsid w:val="00227E1E"/>
    <w:rsid w:val="002304F1"/>
    <w:rsid w:val="0023086E"/>
    <w:rsid w:val="00231308"/>
    <w:rsid w:val="0023338E"/>
    <w:rsid w:val="00234163"/>
    <w:rsid w:val="002343E7"/>
    <w:rsid w:val="002352B9"/>
    <w:rsid w:val="0023598E"/>
    <w:rsid w:val="0023621E"/>
    <w:rsid w:val="002367F5"/>
    <w:rsid w:val="00237EDC"/>
    <w:rsid w:val="00240640"/>
    <w:rsid w:val="00241C07"/>
    <w:rsid w:val="00242A95"/>
    <w:rsid w:val="00242F2B"/>
    <w:rsid w:val="002436B9"/>
    <w:rsid w:val="00243A0A"/>
    <w:rsid w:val="00243B1C"/>
    <w:rsid w:val="002444FF"/>
    <w:rsid w:val="00245A57"/>
    <w:rsid w:val="00245E5D"/>
    <w:rsid w:val="00250078"/>
    <w:rsid w:val="002504AB"/>
    <w:rsid w:val="002507E1"/>
    <w:rsid w:val="00250DA6"/>
    <w:rsid w:val="002514FD"/>
    <w:rsid w:val="0025525F"/>
    <w:rsid w:val="00255634"/>
    <w:rsid w:val="00255960"/>
    <w:rsid w:val="002560C5"/>
    <w:rsid w:val="00256AC2"/>
    <w:rsid w:val="00256DBC"/>
    <w:rsid w:val="00256EA4"/>
    <w:rsid w:val="002571C8"/>
    <w:rsid w:val="002578B3"/>
    <w:rsid w:val="002579DC"/>
    <w:rsid w:val="00257A41"/>
    <w:rsid w:val="00257C17"/>
    <w:rsid w:val="002603B0"/>
    <w:rsid w:val="00260906"/>
    <w:rsid w:val="00261CF7"/>
    <w:rsid w:val="00262248"/>
    <w:rsid w:val="0026282C"/>
    <w:rsid w:val="00262924"/>
    <w:rsid w:val="00262D86"/>
    <w:rsid w:val="00262E0C"/>
    <w:rsid w:val="002631B1"/>
    <w:rsid w:val="00264F14"/>
    <w:rsid w:val="0026521A"/>
    <w:rsid w:val="002654BA"/>
    <w:rsid w:val="002657E2"/>
    <w:rsid w:val="00266CD6"/>
    <w:rsid w:val="00266CF8"/>
    <w:rsid w:val="002673AC"/>
    <w:rsid w:val="00270C4A"/>
    <w:rsid w:val="00271A33"/>
    <w:rsid w:val="0027278C"/>
    <w:rsid w:val="00272DEE"/>
    <w:rsid w:val="00273484"/>
    <w:rsid w:val="002739BD"/>
    <w:rsid w:val="00274C95"/>
    <w:rsid w:val="00275DAB"/>
    <w:rsid w:val="00276059"/>
    <w:rsid w:val="00277F87"/>
    <w:rsid w:val="00280F65"/>
    <w:rsid w:val="002821BE"/>
    <w:rsid w:val="00282255"/>
    <w:rsid w:val="002836E2"/>
    <w:rsid w:val="00283F58"/>
    <w:rsid w:val="0028662C"/>
    <w:rsid w:val="00286920"/>
    <w:rsid w:val="00286C23"/>
    <w:rsid w:val="00287B8B"/>
    <w:rsid w:val="002903C0"/>
    <w:rsid w:val="002903D1"/>
    <w:rsid w:val="00291726"/>
    <w:rsid w:val="00291B0F"/>
    <w:rsid w:val="002922A7"/>
    <w:rsid w:val="00292FE9"/>
    <w:rsid w:val="00295857"/>
    <w:rsid w:val="00295ACD"/>
    <w:rsid w:val="0029698E"/>
    <w:rsid w:val="002A463D"/>
    <w:rsid w:val="002A51EF"/>
    <w:rsid w:val="002A782A"/>
    <w:rsid w:val="002A7D62"/>
    <w:rsid w:val="002B0B72"/>
    <w:rsid w:val="002B11E2"/>
    <w:rsid w:val="002B1B4C"/>
    <w:rsid w:val="002B24B8"/>
    <w:rsid w:val="002B5A11"/>
    <w:rsid w:val="002B5E3C"/>
    <w:rsid w:val="002B71B1"/>
    <w:rsid w:val="002B7B13"/>
    <w:rsid w:val="002C01FA"/>
    <w:rsid w:val="002C2B57"/>
    <w:rsid w:val="002C3488"/>
    <w:rsid w:val="002C493A"/>
    <w:rsid w:val="002C5023"/>
    <w:rsid w:val="002C5612"/>
    <w:rsid w:val="002C7252"/>
    <w:rsid w:val="002D3AE9"/>
    <w:rsid w:val="002D3CE7"/>
    <w:rsid w:val="002D4510"/>
    <w:rsid w:val="002D4C2B"/>
    <w:rsid w:val="002D7D6C"/>
    <w:rsid w:val="002E09F5"/>
    <w:rsid w:val="002E1770"/>
    <w:rsid w:val="002E1AF2"/>
    <w:rsid w:val="002E1F65"/>
    <w:rsid w:val="002E635C"/>
    <w:rsid w:val="002E7997"/>
    <w:rsid w:val="002F00BD"/>
    <w:rsid w:val="002F026E"/>
    <w:rsid w:val="002F0734"/>
    <w:rsid w:val="002F16CF"/>
    <w:rsid w:val="002F22EB"/>
    <w:rsid w:val="002F3712"/>
    <w:rsid w:val="002F42E1"/>
    <w:rsid w:val="002F46E7"/>
    <w:rsid w:val="002F5C66"/>
    <w:rsid w:val="002F5ED4"/>
    <w:rsid w:val="002F5FA7"/>
    <w:rsid w:val="002F6094"/>
    <w:rsid w:val="002F72DB"/>
    <w:rsid w:val="002F75C0"/>
    <w:rsid w:val="002F7B19"/>
    <w:rsid w:val="003008A1"/>
    <w:rsid w:val="00302EFB"/>
    <w:rsid w:val="0030336F"/>
    <w:rsid w:val="003040BE"/>
    <w:rsid w:val="0030641B"/>
    <w:rsid w:val="003066B8"/>
    <w:rsid w:val="00306894"/>
    <w:rsid w:val="00306F7F"/>
    <w:rsid w:val="00307AEC"/>
    <w:rsid w:val="00307E9C"/>
    <w:rsid w:val="00307F8B"/>
    <w:rsid w:val="00307F96"/>
    <w:rsid w:val="003101DA"/>
    <w:rsid w:val="003111C3"/>
    <w:rsid w:val="00312443"/>
    <w:rsid w:val="00312DDD"/>
    <w:rsid w:val="00313B84"/>
    <w:rsid w:val="00313E1D"/>
    <w:rsid w:val="00314757"/>
    <w:rsid w:val="00315689"/>
    <w:rsid w:val="00315CD0"/>
    <w:rsid w:val="003163BC"/>
    <w:rsid w:val="00317410"/>
    <w:rsid w:val="003211CE"/>
    <w:rsid w:val="0032190A"/>
    <w:rsid w:val="00321B17"/>
    <w:rsid w:val="00321B6E"/>
    <w:rsid w:val="003245B3"/>
    <w:rsid w:val="003246A9"/>
    <w:rsid w:val="00325EAF"/>
    <w:rsid w:val="0032714E"/>
    <w:rsid w:val="00327412"/>
    <w:rsid w:val="00327443"/>
    <w:rsid w:val="00330E17"/>
    <w:rsid w:val="0033159D"/>
    <w:rsid w:val="00331C8C"/>
    <w:rsid w:val="003320FD"/>
    <w:rsid w:val="00332225"/>
    <w:rsid w:val="003343C8"/>
    <w:rsid w:val="003343FE"/>
    <w:rsid w:val="003344C3"/>
    <w:rsid w:val="0033564E"/>
    <w:rsid w:val="00335EAC"/>
    <w:rsid w:val="0033715F"/>
    <w:rsid w:val="003373A2"/>
    <w:rsid w:val="00337C84"/>
    <w:rsid w:val="0034152E"/>
    <w:rsid w:val="00346347"/>
    <w:rsid w:val="003473A2"/>
    <w:rsid w:val="00350A8C"/>
    <w:rsid w:val="00350DE4"/>
    <w:rsid w:val="00351086"/>
    <w:rsid w:val="00351E6B"/>
    <w:rsid w:val="00352C2F"/>
    <w:rsid w:val="0035403A"/>
    <w:rsid w:val="00361EF5"/>
    <w:rsid w:val="0036394B"/>
    <w:rsid w:val="0036423B"/>
    <w:rsid w:val="00366788"/>
    <w:rsid w:val="00366AC7"/>
    <w:rsid w:val="00366DB6"/>
    <w:rsid w:val="003671B0"/>
    <w:rsid w:val="0036724C"/>
    <w:rsid w:val="0036763F"/>
    <w:rsid w:val="00370325"/>
    <w:rsid w:val="003706AD"/>
    <w:rsid w:val="003709B5"/>
    <w:rsid w:val="0037156B"/>
    <w:rsid w:val="00371A80"/>
    <w:rsid w:val="003735E3"/>
    <w:rsid w:val="0037421D"/>
    <w:rsid w:val="003742B8"/>
    <w:rsid w:val="00374855"/>
    <w:rsid w:val="0037566A"/>
    <w:rsid w:val="003759C2"/>
    <w:rsid w:val="0037710B"/>
    <w:rsid w:val="00377577"/>
    <w:rsid w:val="00377FCD"/>
    <w:rsid w:val="00380F32"/>
    <w:rsid w:val="00381AAD"/>
    <w:rsid w:val="00382701"/>
    <w:rsid w:val="00383AB4"/>
    <w:rsid w:val="00384260"/>
    <w:rsid w:val="00385A73"/>
    <w:rsid w:val="003863A2"/>
    <w:rsid w:val="00386A9A"/>
    <w:rsid w:val="00387C27"/>
    <w:rsid w:val="0039127D"/>
    <w:rsid w:val="0039155D"/>
    <w:rsid w:val="0039172F"/>
    <w:rsid w:val="00391DD5"/>
    <w:rsid w:val="00391E42"/>
    <w:rsid w:val="003923CF"/>
    <w:rsid w:val="0039240B"/>
    <w:rsid w:val="0039244C"/>
    <w:rsid w:val="003927F8"/>
    <w:rsid w:val="0039337E"/>
    <w:rsid w:val="00393F9F"/>
    <w:rsid w:val="00394CCF"/>
    <w:rsid w:val="00395DA5"/>
    <w:rsid w:val="003960F3"/>
    <w:rsid w:val="00396389"/>
    <w:rsid w:val="0039666B"/>
    <w:rsid w:val="00397365"/>
    <w:rsid w:val="00397DA6"/>
    <w:rsid w:val="003A0389"/>
    <w:rsid w:val="003A08BA"/>
    <w:rsid w:val="003A09A2"/>
    <w:rsid w:val="003A1451"/>
    <w:rsid w:val="003A1A65"/>
    <w:rsid w:val="003A2B67"/>
    <w:rsid w:val="003A31F6"/>
    <w:rsid w:val="003A3A6C"/>
    <w:rsid w:val="003A3E98"/>
    <w:rsid w:val="003A4D67"/>
    <w:rsid w:val="003A6FE1"/>
    <w:rsid w:val="003B1627"/>
    <w:rsid w:val="003B2C98"/>
    <w:rsid w:val="003B3EF0"/>
    <w:rsid w:val="003B4485"/>
    <w:rsid w:val="003B534A"/>
    <w:rsid w:val="003B5828"/>
    <w:rsid w:val="003B5A58"/>
    <w:rsid w:val="003B79D4"/>
    <w:rsid w:val="003B7AE8"/>
    <w:rsid w:val="003C0474"/>
    <w:rsid w:val="003C156A"/>
    <w:rsid w:val="003C242C"/>
    <w:rsid w:val="003C2FAD"/>
    <w:rsid w:val="003C3447"/>
    <w:rsid w:val="003C4072"/>
    <w:rsid w:val="003D0607"/>
    <w:rsid w:val="003D076C"/>
    <w:rsid w:val="003D1367"/>
    <w:rsid w:val="003D160E"/>
    <w:rsid w:val="003D1FD8"/>
    <w:rsid w:val="003D34F9"/>
    <w:rsid w:val="003D38E3"/>
    <w:rsid w:val="003D3B02"/>
    <w:rsid w:val="003D6335"/>
    <w:rsid w:val="003D7344"/>
    <w:rsid w:val="003D7F14"/>
    <w:rsid w:val="003E013F"/>
    <w:rsid w:val="003E01CE"/>
    <w:rsid w:val="003E0745"/>
    <w:rsid w:val="003E3442"/>
    <w:rsid w:val="003E52ED"/>
    <w:rsid w:val="003E54EE"/>
    <w:rsid w:val="003E5626"/>
    <w:rsid w:val="003E7112"/>
    <w:rsid w:val="003E7817"/>
    <w:rsid w:val="003E78B5"/>
    <w:rsid w:val="003E7CE9"/>
    <w:rsid w:val="003F1778"/>
    <w:rsid w:val="003F18BC"/>
    <w:rsid w:val="003F216B"/>
    <w:rsid w:val="003F4B2B"/>
    <w:rsid w:val="003F5048"/>
    <w:rsid w:val="003F54A4"/>
    <w:rsid w:val="003F65FB"/>
    <w:rsid w:val="003F6E71"/>
    <w:rsid w:val="003F70F2"/>
    <w:rsid w:val="003F77E3"/>
    <w:rsid w:val="003F7F77"/>
    <w:rsid w:val="00400706"/>
    <w:rsid w:val="00400A3D"/>
    <w:rsid w:val="0040199C"/>
    <w:rsid w:val="00402C03"/>
    <w:rsid w:val="00404763"/>
    <w:rsid w:val="004048F2"/>
    <w:rsid w:val="00405029"/>
    <w:rsid w:val="0040618B"/>
    <w:rsid w:val="0040781C"/>
    <w:rsid w:val="00407A25"/>
    <w:rsid w:val="00410552"/>
    <w:rsid w:val="00410ED8"/>
    <w:rsid w:val="004135D1"/>
    <w:rsid w:val="004151D9"/>
    <w:rsid w:val="0041597A"/>
    <w:rsid w:val="004159EC"/>
    <w:rsid w:val="00415BAB"/>
    <w:rsid w:val="00415EA3"/>
    <w:rsid w:val="00415ED2"/>
    <w:rsid w:val="00420205"/>
    <w:rsid w:val="0042068C"/>
    <w:rsid w:val="004213ED"/>
    <w:rsid w:val="00421904"/>
    <w:rsid w:val="004223C7"/>
    <w:rsid w:val="0042329C"/>
    <w:rsid w:val="00423679"/>
    <w:rsid w:val="004237FF"/>
    <w:rsid w:val="004255DF"/>
    <w:rsid w:val="0042576A"/>
    <w:rsid w:val="00425A70"/>
    <w:rsid w:val="00425E93"/>
    <w:rsid w:val="00425F7D"/>
    <w:rsid w:val="0042633F"/>
    <w:rsid w:val="004272FF"/>
    <w:rsid w:val="00432822"/>
    <w:rsid w:val="00436107"/>
    <w:rsid w:val="00440450"/>
    <w:rsid w:val="00440840"/>
    <w:rsid w:val="00440DC7"/>
    <w:rsid w:val="00441C8E"/>
    <w:rsid w:val="00441FD9"/>
    <w:rsid w:val="004429D9"/>
    <w:rsid w:val="0044318E"/>
    <w:rsid w:val="00443B35"/>
    <w:rsid w:val="00446813"/>
    <w:rsid w:val="00446BEE"/>
    <w:rsid w:val="00446C55"/>
    <w:rsid w:val="0044708F"/>
    <w:rsid w:val="00447257"/>
    <w:rsid w:val="0045009B"/>
    <w:rsid w:val="0045017D"/>
    <w:rsid w:val="004508F2"/>
    <w:rsid w:val="00450A9D"/>
    <w:rsid w:val="004511E7"/>
    <w:rsid w:val="00451303"/>
    <w:rsid w:val="0045178C"/>
    <w:rsid w:val="00451BBF"/>
    <w:rsid w:val="00452577"/>
    <w:rsid w:val="004526AC"/>
    <w:rsid w:val="0045293D"/>
    <w:rsid w:val="00452E95"/>
    <w:rsid w:val="00453679"/>
    <w:rsid w:val="0045437A"/>
    <w:rsid w:val="0045463B"/>
    <w:rsid w:val="004555A1"/>
    <w:rsid w:val="00455AAD"/>
    <w:rsid w:val="00455DAE"/>
    <w:rsid w:val="00455E26"/>
    <w:rsid w:val="00456622"/>
    <w:rsid w:val="00457330"/>
    <w:rsid w:val="00461628"/>
    <w:rsid w:val="00461B04"/>
    <w:rsid w:val="00461D9A"/>
    <w:rsid w:val="00462714"/>
    <w:rsid w:val="00465383"/>
    <w:rsid w:val="00466988"/>
    <w:rsid w:val="0047092D"/>
    <w:rsid w:val="00470E02"/>
    <w:rsid w:val="0047122B"/>
    <w:rsid w:val="00471AC7"/>
    <w:rsid w:val="00472125"/>
    <w:rsid w:val="00473B71"/>
    <w:rsid w:val="00473B7A"/>
    <w:rsid w:val="00474922"/>
    <w:rsid w:val="004771D9"/>
    <w:rsid w:val="00481F5D"/>
    <w:rsid w:val="0048216C"/>
    <w:rsid w:val="00482D44"/>
    <w:rsid w:val="004836D4"/>
    <w:rsid w:val="00483D96"/>
    <w:rsid w:val="00485CA3"/>
    <w:rsid w:val="00486657"/>
    <w:rsid w:val="0048761E"/>
    <w:rsid w:val="00490CC9"/>
    <w:rsid w:val="00492C4A"/>
    <w:rsid w:val="004930C2"/>
    <w:rsid w:val="0049508D"/>
    <w:rsid w:val="00495753"/>
    <w:rsid w:val="004957F9"/>
    <w:rsid w:val="00495EFD"/>
    <w:rsid w:val="004960DD"/>
    <w:rsid w:val="004960E9"/>
    <w:rsid w:val="00497384"/>
    <w:rsid w:val="00497DC9"/>
    <w:rsid w:val="004A0CDD"/>
    <w:rsid w:val="004A2E88"/>
    <w:rsid w:val="004A3E5E"/>
    <w:rsid w:val="004A5305"/>
    <w:rsid w:val="004A6144"/>
    <w:rsid w:val="004A6D92"/>
    <w:rsid w:val="004B01F9"/>
    <w:rsid w:val="004B132B"/>
    <w:rsid w:val="004B13C6"/>
    <w:rsid w:val="004B1550"/>
    <w:rsid w:val="004B1AEA"/>
    <w:rsid w:val="004B343A"/>
    <w:rsid w:val="004B3CE5"/>
    <w:rsid w:val="004B41C9"/>
    <w:rsid w:val="004B4E31"/>
    <w:rsid w:val="004B7FAF"/>
    <w:rsid w:val="004C0257"/>
    <w:rsid w:val="004C0564"/>
    <w:rsid w:val="004C05BC"/>
    <w:rsid w:val="004C603C"/>
    <w:rsid w:val="004C687E"/>
    <w:rsid w:val="004C6AB2"/>
    <w:rsid w:val="004D040D"/>
    <w:rsid w:val="004D182B"/>
    <w:rsid w:val="004D26C4"/>
    <w:rsid w:val="004D4089"/>
    <w:rsid w:val="004D4B8C"/>
    <w:rsid w:val="004D5A3A"/>
    <w:rsid w:val="004D6BC4"/>
    <w:rsid w:val="004D72B2"/>
    <w:rsid w:val="004D7634"/>
    <w:rsid w:val="004E04D6"/>
    <w:rsid w:val="004E1214"/>
    <w:rsid w:val="004E1514"/>
    <w:rsid w:val="004E196A"/>
    <w:rsid w:val="004E410F"/>
    <w:rsid w:val="004E55D4"/>
    <w:rsid w:val="004E5EAA"/>
    <w:rsid w:val="004E611A"/>
    <w:rsid w:val="004E650C"/>
    <w:rsid w:val="004E6CB5"/>
    <w:rsid w:val="004F01D2"/>
    <w:rsid w:val="004F0852"/>
    <w:rsid w:val="004F0BD7"/>
    <w:rsid w:val="004F165C"/>
    <w:rsid w:val="004F177E"/>
    <w:rsid w:val="004F17CA"/>
    <w:rsid w:val="004F3DF8"/>
    <w:rsid w:val="004F5F72"/>
    <w:rsid w:val="004F6360"/>
    <w:rsid w:val="004F6460"/>
    <w:rsid w:val="004F6ABD"/>
    <w:rsid w:val="005010CF"/>
    <w:rsid w:val="00503067"/>
    <w:rsid w:val="005031D5"/>
    <w:rsid w:val="00503642"/>
    <w:rsid w:val="005044C6"/>
    <w:rsid w:val="005046DF"/>
    <w:rsid w:val="00506AFF"/>
    <w:rsid w:val="00506E54"/>
    <w:rsid w:val="00507DC6"/>
    <w:rsid w:val="00511EF4"/>
    <w:rsid w:val="0051288E"/>
    <w:rsid w:val="00515AD9"/>
    <w:rsid w:val="00515D56"/>
    <w:rsid w:val="0051635B"/>
    <w:rsid w:val="00517400"/>
    <w:rsid w:val="005208B0"/>
    <w:rsid w:val="00521271"/>
    <w:rsid w:val="0052144F"/>
    <w:rsid w:val="00523A96"/>
    <w:rsid w:val="00524137"/>
    <w:rsid w:val="005245AC"/>
    <w:rsid w:val="00525389"/>
    <w:rsid w:val="00525583"/>
    <w:rsid w:val="00525697"/>
    <w:rsid w:val="00525AEE"/>
    <w:rsid w:val="00526330"/>
    <w:rsid w:val="00526A6A"/>
    <w:rsid w:val="00526C8C"/>
    <w:rsid w:val="0052720E"/>
    <w:rsid w:val="0052725A"/>
    <w:rsid w:val="005300D3"/>
    <w:rsid w:val="0053058C"/>
    <w:rsid w:val="0053152C"/>
    <w:rsid w:val="0053520D"/>
    <w:rsid w:val="00536925"/>
    <w:rsid w:val="0054109E"/>
    <w:rsid w:val="005413DE"/>
    <w:rsid w:val="00541BE8"/>
    <w:rsid w:val="00541D42"/>
    <w:rsid w:val="00542A10"/>
    <w:rsid w:val="00543038"/>
    <w:rsid w:val="00543B0C"/>
    <w:rsid w:val="00544F82"/>
    <w:rsid w:val="00545DA9"/>
    <w:rsid w:val="005460E7"/>
    <w:rsid w:val="00546568"/>
    <w:rsid w:val="00546CD5"/>
    <w:rsid w:val="005509D2"/>
    <w:rsid w:val="00551C12"/>
    <w:rsid w:val="00553D1E"/>
    <w:rsid w:val="00554C96"/>
    <w:rsid w:val="00554CFF"/>
    <w:rsid w:val="00555BA6"/>
    <w:rsid w:val="00555F0E"/>
    <w:rsid w:val="00556ADE"/>
    <w:rsid w:val="00557262"/>
    <w:rsid w:val="005575E9"/>
    <w:rsid w:val="00560A68"/>
    <w:rsid w:val="005628C1"/>
    <w:rsid w:val="00563E79"/>
    <w:rsid w:val="005641A6"/>
    <w:rsid w:val="0056428B"/>
    <w:rsid w:val="00564B67"/>
    <w:rsid w:val="00564B8B"/>
    <w:rsid w:val="00564EDF"/>
    <w:rsid w:val="0056570C"/>
    <w:rsid w:val="00566558"/>
    <w:rsid w:val="00566685"/>
    <w:rsid w:val="005673AC"/>
    <w:rsid w:val="00567424"/>
    <w:rsid w:val="00567EA9"/>
    <w:rsid w:val="00570CC7"/>
    <w:rsid w:val="005711EC"/>
    <w:rsid w:val="005714A3"/>
    <w:rsid w:val="00571930"/>
    <w:rsid w:val="00571C46"/>
    <w:rsid w:val="00571D26"/>
    <w:rsid w:val="00574008"/>
    <w:rsid w:val="00574901"/>
    <w:rsid w:val="005750F5"/>
    <w:rsid w:val="0057630A"/>
    <w:rsid w:val="00576DC0"/>
    <w:rsid w:val="00580CE2"/>
    <w:rsid w:val="00582C3B"/>
    <w:rsid w:val="005843A4"/>
    <w:rsid w:val="00585928"/>
    <w:rsid w:val="00585CF8"/>
    <w:rsid w:val="00585EEC"/>
    <w:rsid w:val="00586CF2"/>
    <w:rsid w:val="00590FA3"/>
    <w:rsid w:val="005912D1"/>
    <w:rsid w:val="0059145D"/>
    <w:rsid w:val="0059318C"/>
    <w:rsid w:val="00593981"/>
    <w:rsid w:val="00593C4F"/>
    <w:rsid w:val="005943AA"/>
    <w:rsid w:val="005946A8"/>
    <w:rsid w:val="00595129"/>
    <w:rsid w:val="0059537B"/>
    <w:rsid w:val="005A01FB"/>
    <w:rsid w:val="005A0E0C"/>
    <w:rsid w:val="005A0F40"/>
    <w:rsid w:val="005A15F7"/>
    <w:rsid w:val="005A2D4D"/>
    <w:rsid w:val="005A35ED"/>
    <w:rsid w:val="005A3E1C"/>
    <w:rsid w:val="005A4407"/>
    <w:rsid w:val="005A5175"/>
    <w:rsid w:val="005A59EF"/>
    <w:rsid w:val="005A5B8B"/>
    <w:rsid w:val="005A648D"/>
    <w:rsid w:val="005A676C"/>
    <w:rsid w:val="005B0C53"/>
    <w:rsid w:val="005B0C6A"/>
    <w:rsid w:val="005B1300"/>
    <w:rsid w:val="005B1C7E"/>
    <w:rsid w:val="005B2098"/>
    <w:rsid w:val="005B6970"/>
    <w:rsid w:val="005B6CB3"/>
    <w:rsid w:val="005B6E70"/>
    <w:rsid w:val="005C00E9"/>
    <w:rsid w:val="005C1C67"/>
    <w:rsid w:val="005C2146"/>
    <w:rsid w:val="005C3BAA"/>
    <w:rsid w:val="005C51B8"/>
    <w:rsid w:val="005C6976"/>
    <w:rsid w:val="005C69E8"/>
    <w:rsid w:val="005C7781"/>
    <w:rsid w:val="005D0A73"/>
    <w:rsid w:val="005D16A8"/>
    <w:rsid w:val="005D1C05"/>
    <w:rsid w:val="005D1DE8"/>
    <w:rsid w:val="005D352F"/>
    <w:rsid w:val="005D533D"/>
    <w:rsid w:val="005D5BC6"/>
    <w:rsid w:val="005D7B37"/>
    <w:rsid w:val="005E05D5"/>
    <w:rsid w:val="005E2135"/>
    <w:rsid w:val="005E2B7C"/>
    <w:rsid w:val="005E2DD4"/>
    <w:rsid w:val="005E4914"/>
    <w:rsid w:val="005E5942"/>
    <w:rsid w:val="005E724B"/>
    <w:rsid w:val="005E7AFC"/>
    <w:rsid w:val="005F3416"/>
    <w:rsid w:val="005F39CA"/>
    <w:rsid w:val="005F46E1"/>
    <w:rsid w:val="005F4ED6"/>
    <w:rsid w:val="005F526D"/>
    <w:rsid w:val="005F55D5"/>
    <w:rsid w:val="005F6F41"/>
    <w:rsid w:val="005F7013"/>
    <w:rsid w:val="005F7A9F"/>
    <w:rsid w:val="00600441"/>
    <w:rsid w:val="00601D6F"/>
    <w:rsid w:val="00601DDF"/>
    <w:rsid w:val="0060354A"/>
    <w:rsid w:val="00603FE6"/>
    <w:rsid w:val="00605420"/>
    <w:rsid w:val="00605467"/>
    <w:rsid w:val="00605DA0"/>
    <w:rsid w:val="00610842"/>
    <w:rsid w:val="00610A14"/>
    <w:rsid w:val="0061112B"/>
    <w:rsid w:val="0061155A"/>
    <w:rsid w:val="00611B5C"/>
    <w:rsid w:val="00614138"/>
    <w:rsid w:val="00614509"/>
    <w:rsid w:val="0061497A"/>
    <w:rsid w:val="0061581B"/>
    <w:rsid w:val="00616160"/>
    <w:rsid w:val="0061624C"/>
    <w:rsid w:val="006166B9"/>
    <w:rsid w:val="00616B17"/>
    <w:rsid w:val="00620164"/>
    <w:rsid w:val="006203E4"/>
    <w:rsid w:val="0062052A"/>
    <w:rsid w:val="00620FCF"/>
    <w:rsid w:val="00621659"/>
    <w:rsid w:val="00622638"/>
    <w:rsid w:val="00622B67"/>
    <w:rsid w:val="00623032"/>
    <w:rsid w:val="006236DF"/>
    <w:rsid w:val="00625D9F"/>
    <w:rsid w:val="00625DC6"/>
    <w:rsid w:val="00625FD5"/>
    <w:rsid w:val="006263B4"/>
    <w:rsid w:val="0062729D"/>
    <w:rsid w:val="00627335"/>
    <w:rsid w:val="006327E7"/>
    <w:rsid w:val="00632871"/>
    <w:rsid w:val="00632B83"/>
    <w:rsid w:val="00635B22"/>
    <w:rsid w:val="00636835"/>
    <w:rsid w:val="00637CD2"/>
    <w:rsid w:val="00637F1B"/>
    <w:rsid w:val="00640350"/>
    <w:rsid w:val="00640FB5"/>
    <w:rsid w:val="00641554"/>
    <w:rsid w:val="0064343E"/>
    <w:rsid w:val="006434A0"/>
    <w:rsid w:val="0064391D"/>
    <w:rsid w:val="00644E86"/>
    <w:rsid w:val="00645BF9"/>
    <w:rsid w:val="00646756"/>
    <w:rsid w:val="006470F1"/>
    <w:rsid w:val="006508AB"/>
    <w:rsid w:val="00650D7D"/>
    <w:rsid w:val="00651154"/>
    <w:rsid w:val="006515E8"/>
    <w:rsid w:val="006516F4"/>
    <w:rsid w:val="00651821"/>
    <w:rsid w:val="00651BBF"/>
    <w:rsid w:val="00651C8E"/>
    <w:rsid w:val="00652550"/>
    <w:rsid w:val="006528E5"/>
    <w:rsid w:val="00653187"/>
    <w:rsid w:val="00654384"/>
    <w:rsid w:val="0065790F"/>
    <w:rsid w:val="006622B2"/>
    <w:rsid w:val="00662E38"/>
    <w:rsid w:val="0066542F"/>
    <w:rsid w:val="00666A1D"/>
    <w:rsid w:val="006675CD"/>
    <w:rsid w:val="00667AD5"/>
    <w:rsid w:val="0067238D"/>
    <w:rsid w:val="00673C6C"/>
    <w:rsid w:val="006740B2"/>
    <w:rsid w:val="00674313"/>
    <w:rsid w:val="006747D5"/>
    <w:rsid w:val="00675985"/>
    <w:rsid w:val="00677E6A"/>
    <w:rsid w:val="00680BFA"/>
    <w:rsid w:val="00680DA2"/>
    <w:rsid w:val="00683683"/>
    <w:rsid w:val="00683EB3"/>
    <w:rsid w:val="00684D9B"/>
    <w:rsid w:val="0068510A"/>
    <w:rsid w:val="00685BCB"/>
    <w:rsid w:val="00690CEF"/>
    <w:rsid w:val="0069245B"/>
    <w:rsid w:val="00693193"/>
    <w:rsid w:val="00694E6C"/>
    <w:rsid w:val="00695ED6"/>
    <w:rsid w:val="0069620B"/>
    <w:rsid w:val="00697556"/>
    <w:rsid w:val="00697909"/>
    <w:rsid w:val="006A0091"/>
    <w:rsid w:val="006A1CA8"/>
    <w:rsid w:val="006A1EB6"/>
    <w:rsid w:val="006A2EDF"/>
    <w:rsid w:val="006A3183"/>
    <w:rsid w:val="006A616B"/>
    <w:rsid w:val="006A72C7"/>
    <w:rsid w:val="006B1B85"/>
    <w:rsid w:val="006B1FDF"/>
    <w:rsid w:val="006B2300"/>
    <w:rsid w:val="006B4081"/>
    <w:rsid w:val="006B4647"/>
    <w:rsid w:val="006B4C2B"/>
    <w:rsid w:val="006B5DFE"/>
    <w:rsid w:val="006B6139"/>
    <w:rsid w:val="006B6194"/>
    <w:rsid w:val="006B661E"/>
    <w:rsid w:val="006B6D47"/>
    <w:rsid w:val="006B7078"/>
    <w:rsid w:val="006B719A"/>
    <w:rsid w:val="006B77F7"/>
    <w:rsid w:val="006C0769"/>
    <w:rsid w:val="006C1FD7"/>
    <w:rsid w:val="006C3E16"/>
    <w:rsid w:val="006C4912"/>
    <w:rsid w:val="006C5488"/>
    <w:rsid w:val="006C5AFE"/>
    <w:rsid w:val="006C62E0"/>
    <w:rsid w:val="006C6475"/>
    <w:rsid w:val="006C6ABD"/>
    <w:rsid w:val="006C6D04"/>
    <w:rsid w:val="006C7715"/>
    <w:rsid w:val="006C788C"/>
    <w:rsid w:val="006C7AF6"/>
    <w:rsid w:val="006D1E97"/>
    <w:rsid w:val="006D2747"/>
    <w:rsid w:val="006D30B1"/>
    <w:rsid w:val="006D5E04"/>
    <w:rsid w:val="006D7C05"/>
    <w:rsid w:val="006E0A54"/>
    <w:rsid w:val="006E0C4B"/>
    <w:rsid w:val="006E155D"/>
    <w:rsid w:val="006E1EEA"/>
    <w:rsid w:val="006E4298"/>
    <w:rsid w:val="006E44C3"/>
    <w:rsid w:val="006E46CA"/>
    <w:rsid w:val="006E4C15"/>
    <w:rsid w:val="006E5FC3"/>
    <w:rsid w:val="006E62A8"/>
    <w:rsid w:val="006E6394"/>
    <w:rsid w:val="006E72FE"/>
    <w:rsid w:val="006E7FD8"/>
    <w:rsid w:val="006F0027"/>
    <w:rsid w:val="006F1808"/>
    <w:rsid w:val="006F268E"/>
    <w:rsid w:val="006F2EC8"/>
    <w:rsid w:val="006F33A3"/>
    <w:rsid w:val="006F3970"/>
    <w:rsid w:val="006F4824"/>
    <w:rsid w:val="006F56D0"/>
    <w:rsid w:val="006F5E13"/>
    <w:rsid w:val="006F6D95"/>
    <w:rsid w:val="006F7CFE"/>
    <w:rsid w:val="00700181"/>
    <w:rsid w:val="0070068C"/>
    <w:rsid w:val="00700A17"/>
    <w:rsid w:val="00702937"/>
    <w:rsid w:val="00705F85"/>
    <w:rsid w:val="00706F13"/>
    <w:rsid w:val="007072E8"/>
    <w:rsid w:val="00707330"/>
    <w:rsid w:val="007076FB"/>
    <w:rsid w:val="00710FF1"/>
    <w:rsid w:val="007127EF"/>
    <w:rsid w:val="007134B4"/>
    <w:rsid w:val="00714A31"/>
    <w:rsid w:val="00714BDC"/>
    <w:rsid w:val="007160BF"/>
    <w:rsid w:val="0071618D"/>
    <w:rsid w:val="00720BCE"/>
    <w:rsid w:val="0072116F"/>
    <w:rsid w:val="00721534"/>
    <w:rsid w:val="00721A52"/>
    <w:rsid w:val="00721D5B"/>
    <w:rsid w:val="00722B3D"/>
    <w:rsid w:val="00723CF0"/>
    <w:rsid w:val="0072463D"/>
    <w:rsid w:val="00724792"/>
    <w:rsid w:val="00724A10"/>
    <w:rsid w:val="00724C58"/>
    <w:rsid w:val="00725FA4"/>
    <w:rsid w:val="007263D9"/>
    <w:rsid w:val="00726EFA"/>
    <w:rsid w:val="00727B2C"/>
    <w:rsid w:val="00727D72"/>
    <w:rsid w:val="00732450"/>
    <w:rsid w:val="00732E0B"/>
    <w:rsid w:val="00732FDC"/>
    <w:rsid w:val="00733DD7"/>
    <w:rsid w:val="007340CC"/>
    <w:rsid w:val="00734187"/>
    <w:rsid w:val="00734C73"/>
    <w:rsid w:val="007355CB"/>
    <w:rsid w:val="00735CCF"/>
    <w:rsid w:val="00740446"/>
    <w:rsid w:val="0074265B"/>
    <w:rsid w:val="007438A9"/>
    <w:rsid w:val="00743E7F"/>
    <w:rsid w:val="0074482F"/>
    <w:rsid w:val="0074491E"/>
    <w:rsid w:val="00745C85"/>
    <w:rsid w:val="00746E56"/>
    <w:rsid w:val="007511E4"/>
    <w:rsid w:val="0075578E"/>
    <w:rsid w:val="00757F99"/>
    <w:rsid w:val="007602F3"/>
    <w:rsid w:val="00761524"/>
    <w:rsid w:val="0076163F"/>
    <w:rsid w:val="0076247A"/>
    <w:rsid w:val="00762FB0"/>
    <w:rsid w:val="00763175"/>
    <w:rsid w:val="00763381"/>
    <w:rsid w:val="0076348A"/>
    <w:rsid w:val="007636AA"/>
    <w:rsid w:val="00763879"/>
    <w:rsid w:val="00763947"/>
    <w:rsid w:val="00766BC3"/>
    <w:rsid w:val="00767391"/>
    <w:rsid w:val="007705CD"/>
    <w:rsid w:val="0077137C"/>
    <w:rsid w:val="00774ABE"/>
    <w:rsid w:val="00775964"/>
    <w:rsid w:val="0077639F"/>
    <w:rsid w:val="007765FE"/>
    <w:rsid w:val="007766B3"/>
    <w:rsid w:val="00777163"/>
    <w:rsid w:val="00780266"/>
    <w:rsid w:val="00781E1A"/>
    <w:rsid w:val="007839CC"/>
    <w:rsid w:val="007842F3"/>
    <w:rsid w:val="00785664"/>
    <w:rsid w:val="00785678"/>
    <w:rsid w:val="007869C6"/>
    <w:rsid w:val="007874D6"/>
    <w:rsid w:val="00787E5A"/>
    <w:rsid w:val="00790375"/>
    <w:rsid w:val="0079088D"/>
    <w:rsid w:val="007910F2"/>
    <w:rsid w:val="007922E3"/>
    <w:rsid w:val="007928B7"/>
    <w:rsid w:val="00793C5D"/>
    <w:rsid w:val="00794369"/>
    <w:rsid w:val="00794E2E"/>
    <w:rsid w:val="00795373"/>
    <w:rsid w:val="00795BFB"/>
    <w:rsid w:val="007965BF"/>
    <w:rsid w:val="007969E5"/>
    <w:rsid w:val="007A060C"/>
    <w:rsid w:val="007A17A9"/>
    <w:rsid w:val="007A18CB"/>
    <w:rsid w:val="007A2B27"/>
    <w:rsid w:val="007A2D28"/>
    <w:rsid w:val="007A4E74"/>
    <w:rsid w:val="007A58B1"/>
    <w:rsid w:val="007A5E57"/>
    <w:rsid w:val="007A65F2"/>
    <w:rsid w:val="007B0FAC"/>
    <w:rsid w:val="007B100F"/>
    <w:rsid w:val="007B1627"/>
    <w:rsid w:val="007B1CF5"/>
    <w:rsid w:val="007B2760"/>
    <w:rsid w:val="007B2C80"/>
    <w:rsid w:val="007B3851"/>
    <w:rsid w:val="007B46D1"/>
    <w:rsid w:val="007B4DCB"/>
    <w:rsid w:val="007B51F8"/>
    <w:rsid w:val="007B53E9"/>
    <w:rsid w:val="007B5483"/>
    <w:rsid w:val="007B54C4"/>
    <w:rsid w:val="007B5641"/>
    <w:rsid w:val="007B564B"/>
    <w:rsid w:val="007B5CF2"/>
    <w:rsid w:val="007B71EE"/>
    <w:rsid w:val="007B77CE"/>
    <w:rsid w:val="007C127E"/>
    <w:rsid w:val="007C1B10"/>
    <w:rsid w:val="007C2407"/>
    <w:rsid w:val="007C2E5B"/>
    <w:rsid w:val="007C583D"/>
    <w:rsid w:val="007C585E"/>
    <w:rsid w:val="007C5B24"/>
    <w:rsid w:val="007C64F2"/>
    <w:rsid w:val="007C674D"/>
    <w:rsid w:val="007C784E"/>
    <w:rsid w:val="007C79E3"/>
    <w:rsid w:val="007D21CD"/>
    <w:rsid w:val="007D49D7"/>
    <w:rsid w:val="007D5836"/>
    <w:rsid w:val="007D58F9"/>
    <w:rsid w:val="007D69D2"/>
    <w:rsid w:val="007D6B92"/>
    <w:rsid w:val="007D71C6"/>
    <w:rsid w:val="007E09A4"/>
    <w:rsid w:val="007E1112"/>
    <w:rsid w:val="007E154E"/>
    <w:rsid w:val="007E1965"/>
    <w:rsid w:val="007E321D"/>
    <w:rsid w:val="007E3D47"/>
    <w:rsid w:val="007E3EE3"/>
    <w:rsid w:val="007E41AB"/>
    <w:rsid w:val="007E4A8E"/>
    <w:rsid w:val="007E5792"/>
    <w:rsid w:val="007E5B81"/>
    <w:rsid w:val="007E66B1"/>
    <w:rsid w:val="007E6C4A"/>
    <w:rsid w:val="007E71A4"/>
    <w:rsid w:val="007E7A97"/>
    <w:rsid w:val="007F1280"/>
    <w:rsid w:val="007F5101"/>
    <w:rsid w:val="007F6527"/>
    <w:rsid w:val="007F6C99"/>
    <w:rsid w:val="007F759C"/>
    <w:rsid w:val="007F7C1B"/>
    <w:rsid w:val="00800CB3"/>
    <w:rsid w:val="00800D21"/>
    <w:rsid w:val="00801F33"/>
    <w:rsid w:val="008029FD"/>
    <w:rsid w:val="00802E44"/>
    <w:rsid w:val="00803071"/>
    <w:rsid w:val="008030D2"/>
    <w:rsid w:val="00803BF6"/>
    <w:rsid w:val="0080401E"/>
    <w:rsid w:val="008043BB"/>
    <w:rsid w:val="00804D2E"/>
    <w:rsid w:val="008068F6"/>
    <w:rsid w:val="00806C01"/>
    <w:rsid w:val="008108A1"/>
    <w:rsid w:val="00810A93"/>
    <w:rsid w:val="00811D3E"/>
    <w:rsid w:val="00811F7A"/>
    <w:rsid w:val="00812BAE"/>
    <w:rsid w:val="008148CC"/>
    <w:rsid w:val="008167FC"/>
    <w:rsid w:val="00817731"/>
    <w:rsid w:val="00820057"/>
    <w:rsid w:val="008211A4"/>
    <w:rsid w:val="00821986"/>
    <w:rsid w:val="008222BD"/>
    <w:rsid w:val="00822961"/>
    <w:rsid w:val="008230F1"/>
    <w:rsid w:val="0082311D"/>
    <w:rsid w:val="008237CA"/>
    <w:rsid w:val="008251BC"/>
    <w:rsid w:val="008254E3"/>
    <w:rsid w:val="00826D25"/>
    <w:rsid w:val="00826E96"/>
    <w:rsid w:val="008276D9"/>
    <w:rsid w:val="008279A4"/>
    <w:rsid w:val="00827E20"/>
    <w:rsid w:val="00830FF0"/>
    <w:rsid w:val="0083140E"/>
    <w:rsid w:val="008318F6"/>
    <w:rsid w:val="00831A7D"/>
    <w:rsid w:val="008322E5"/>
    <w:rsid w:val="008332A8"/>
    <w:rsid w:val="00834EFB"/>
    <w:rsid w:val="00837AD4"/>
    <w:rsid w:val="00841D80"/>
    <w:rsid w:val="00842049"/>
    <w:rsid w:val="00842644"/>
    <w:rsid w:val="00843DAD"/>
    <w:rsid w:val="008444C9"/>
    <w:rsid w:val="00845BAD"/>
    <w:rsid w:val="0084693A"/>
    <w:rsid w:val="0085035D"/>
    <w:rsid w:val="00850595"/>
    <w:rsid w:val="008511DC"/>
    <w:rsid w:val="00851CD1"/>
    <w:rsid w:val="00854203"/>
    <w:rsid w:val="008548FA"/>
    <w:rsid w:val="0085640E"/>
    <w:rsid w:val="008567D4"/>
    <w:rsid w:val="00860CC0"/>
    <w:rsid w:val="00861829"/>
    <w:rsid w:val="00861BF6"/>
    <w:rsid w:val="008625B3"/>
    <w:rsid w:val="00862E48"/>
    <w:rsid w:val="00863637"/>
    <w:rsid w:val="00863A37"/>
    <w:rsid w:val="00863AB8"/>
    <w:rsid w:val="00864C35"/>
    <w:rsid w:val="00864F48"/>
    <w:rsid w:val="008667C8"/>
    <w:rsid w:val="00866E63"/>
    <w:rsid w:val="008670CB"/>
    <w:rsid w:val="00867909"/>
    <w:rsid w:val="00867F61"/>
    <w:rsid w:val="00870417"/>
    <w:rsid w:val="0087143B"/>
    <w:rsid w:val="00872AD7"/>
    <w:rsid w:val="00873150"/>
    <w:rsid w:val="0087346C"/>
    <w:rsid w:val="00873FF9"/>
    <w:rsid w:val="00874329"/>
    <w:rsid w:val="00874613"/>
    <w:rsid w:val="00875B5E"/>
    <w:rsid w:val="00876557"/>
    <w:rsid w:val="0087657D"/>
    <w:rsid w:val="008807D5"/>
    <w:rsid w:val="00880832"/>
    <w:rsid w:val="00881A25"/>
    <w:rsid w:val="00882E76"/>
    <w:rsid w:val="008831C5"/>
    <w:rsid w:val="00883637"/>
    <w:rsid w:val="0088369F"/>
    <w:rsid w:val="008836A4"/>
    <w:rsid w:val="0088389F"/>
    <w:rsid w:val="0088430E"/>
    <w:rsid w:val="00884D80"/>
    <w:rsid w:val="00886D19"/>
    <w:rsid w:val="00886EE1"/>
    <w:rsid w:val="0088727D"/>
    <w:rsid w:val="00887F31"/>
    <w:rsid w:val="008902C7"/>
    <w:rsid w:val="00891104"/>
    <w:rsid w:val="00892F2C"/>
    <w:rsid w:val="0089340F"/>
    <w:rsid w:val="008944D2"/>
    <w:rsid w:val="00894B89"/>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A7E98"/>
    <w:rsid w:val="008B1490"/>
    <w:rsid w:val="008B1816"/>
    <w:rsid w:val="008B1869"/>
    <w:rsid w:val="008B21A6"/>
    <w:rsid w:val="008B2500"/>
    <w:rsid w:val="008B2CEF"/>
    <w:rsid w:val="008B2EAF"/>
    <w:rsid w:val="008B3AEF"/>
    <w:rsid w:val="008B3E5D"/>
    <w:rsid w:val="008B3F88"/>
    <w:rsid w:val="008B502D"/>
    <w:rsid w:val="008B61E5"/>
    <w:rsid w:val="008B6760"/>
    <w:rsid w:val="008B6CFD"/>
    <w:rsid w:val="008B73D4"/>
    <w:rsid w:val="008C1097"/>
    <w:rsid w:val="008C1130"/>
    <w:rsid w:val="008C1914"/>
    <w:rsid w:val="008C24D7"/>
    <w:rsid w:val="008C3370"/>
    <w:rsid w:val="008C3591"/>
    <w:rsid w:val="008C3941"/>
    <w:rsid w:val="008C54CC"/>
    <w:rsid w:val="008C6406"/>
    <w:rsid w:val="008C6D97"/>
    <w:rsid w:val="008C7A64"/>
    <w:rsid w:val="008D0302"/>
    <w:rsid w:val="008D0647"/>
    <w:rsid w:val="008D13D1"/>
    <w:rsid w:val="008D170A"/>
    <w:rsid w:val="008D18E6"/>
    <w:rsid w:val="008D1DC5"/>
    <w:rsid w:val="008D2C6D"/>
    <w:rsid w:val="008D3144"/>
    <w:rsid w:val="008D5B52"/>
    <w:rsid w:val="008D6D03"/>
    <w:rsid w:val="008D7A9B"/>
    <w:rsid w:val="008E0060"/>
    <w:rsid w:val="008E03C8"/>
    <w:rsid w:val="008E0F2A"/>
    <w:rsid w:val="008E121C"/>
    <w:rsid w:val="008E1E53"/>
    <w:rsid w:val="008E1EA9"/>
    <w:rsid w:val="008E3B6C"/>
    <w:rsid w:val="008E40FE"/>
    <w:rsid w:val="008E4655"/>
    <w:rsid w:val="008E4F4C"/>
    <w:rsid w:val="008E57B9"/>
    <w:rsid w:val="008E6687"/>
    <w:rsid w:val="008E6D31"/>
    <w:rsid w:val="008E6E45"/>
    <w:rsid w:val="008E7091"/>
    <w:rsid w:val="008E76AC"/>
    <w:rsid w:val="008E76D4"/>
    <w:rsid w:val="008F03AC"/>
    <w:rsid w:val="008F1EB1"/>
    <w:rsid w:val="008F1FDC"/>
    <w:rsid w:val="008F21F6"/>
    <w:rsid w:val="008F2EB0"/>
    <w:rsid w:val="008F383E"/>
    <w:rsid w:val="008F44D5"/>
    <w:rsid w:val="008F6C6C"/>
    <w:rsid w:val="008F6FA2"/>
    <w:rsid w:val="008F72E0"/>
    <w:rsid w:val="008F77A3"/>
    <w:rsid w:val="009003BE"/>
    <w:rsid w:val="00900D5E"/>
    <w:rsid w:val="00900E75"/>
    <w:rsid w:val="00901457"/>
    <w:rsid w:val="00901DFC"/>
    <w:rsid w:val="00902F64"/>
    <w:rsid w:val="00903386"/>
    <w:rsid w:val="009043F0"/>
    <w:rsid w:val="009049C5"/>
    <w:rsid w:val="00904A12"/>
    <w:rsid w:val="00904DFC"/>
    <w:rsid w:val="00906A2D"/>
    <w:rsid w:val="0091105A"/>
    <w:rsid w:val="009113F1"/>
    <w:rsid w:val="0091163D"/>
    <w:rsid w:val="00911F4D"/>
    <w:rsid w:val="00911F9D"/>
    <w:rsid w:val="00912E2B"/>
    <w:rsid w:val="0091359D"/>
    <w:rsid w:val="00914F06"/>
    <w:rsid w:val="00915E63"/>
    <w:rsid w:val="00916ADF"/>
    <w:rsid w:val="00916E94"/>
    <w:rsid w:val="00917201"/>
    <w:rsid w:val="00917367"/>
    <w:rsid w:val="00920663"/>
    <w:rsid w:val="00922533"/>
    <w:rsid w:val="00923B14"/>
    <w:rsid w:val="00925993"/>
    <w:rsid w:val="00926475"/>
    <w:rsid w:val="00927A9E"/>
    <w:rsid w:val="0093016A"/>
    <w:rsid w:val="00930543"/>
    <w:rsid w:val="00931ADD"/>
    <w:rsid w:val="00931E01"/>
    <w:rsid w:val="0093297A"/>
    <w:rsid w:val="00932B77"/>
    <w:rsid w:val="0093388B"/>
    <w:rsid w:val="00935218"/>
    <w:rsid w:val="00936488"/>
    <w:rsid w:val="009364F2"/>
    <w:rsid w:val="0094147E"/>
    <w:rsid w:val="00941567"/>
    <w:rsid w:val="00942327"/>
    <w:rsid w:val="009427D5"/>
    <w:rsid w:val="0094299F"/>
    <w:rsid w:val="00943CA7"/>
    <w:rsid w:val="00944E53"/>
    <w:rsid w:val="0094513B"/>
    <w:rsid w:val="009504A9"/>
    <w:rsid w:val="00950BFC"/>
    <w:rsid w:val="009514E9"/>
    <w:rsid w:val="0095183F"/>
    <w:rsid w:val="00951925"/>
    <w:rsid w:val="00951D9D"/>
    <w:rsid w:val="00951F79"/>
    <w:rsid w:val="009529A6"/>
    <w:rsid w:val="009535BF"/>
    <w:rsid w:val="00953F95"/>
    <w:rsid w:val="00954404"/>
    <w:rsid w:val="00954C36"/>
    <w:rsid w:val="00954EB1"/>
    <w:rsid w:val="00955299"/>
    <w:rsid w:val="00955F64"/>
    <w:rsid w:val="00956377"/>
    <w:rsid w:val="00957503"/>
    <w:rsid w:val="009576E8"/>
    <w:rsid w:val="00960324"/>
    <w:rsid w:val="00960816"/>
    <w:rsid w:val="00961EAC"/>
    <w:rsid w:val="0096279C"/>
    <w:rsid w:val="0096342A"/>
    <w:rsid w:val="00964BE8"/>
    <w:rsid w:val="009654EE"/>
    <w:rsid w:val="00967498"/>
    <w:rsid w:val="009703FA"/>
    <w:rsid w:val="00971803"/>
    <w:rsid w:val="00971CC1"/>
    <w:rsid w:val="0097270C"/>
    <w:rsid w:val="00972F88"/>
    <w:rsid w:val="009733BB"/>
    <w:rsid w:val="00974136"/>
    <w:rsid w:val="0097499D"/>
    <w:rsid w:val="00974AB5"/>
    <w:rsid w:val="009752B2"/>
    <w:rsid w:val="00975624"/>
    <w:rsid w:val="009756AE"/>
    <w:rsid w:val="00976EC7"/>
    <w:rsid w:val="00976FD7"/>
    <w:rsid w:val="0097747F"/>
    <w:rsid w:val="00977E76"/>
    <w:rsid w:val="00980294"/>
    <w:rsid w:val="009820D7"/>
    <w:rsid w:val="00982701"/>
    <w:rsid w:val="0098286E"/>
    <w:rsid w:val="00982A7B"/>
    <w:rsid w:val="00982FE1"/>
    <w:rsid w:val="009843A8"/>
    <w:rsid w:val="009844C9"/>
    <w:rsid w:val="00984B33"/>
    <w:rsid w:val="009851BF"/>
    <w:rsid w:val="009851CD"/>
    <w:rsid w:val="00986A5E"/>
    <w:rsid w:val="0098706D"/>
    <w:rsid w:val="0098764A"/>
    <w:rsid w:val="00987E5E"/>
    <w:rsid w:val="00991B54"/>
    <w:rsid w:val="0099270C"/>
    <w:rsid w:val="009935FB"/>
    <w:rsid w:val="00993EF1"/>
    <w:rsid w:val="00994A5B"/>
    <w:rsid w:val="00994BF6"/>
    <w:rsid w:val="00995A57"/>
    <w:rsid w:val="00996E66"/>
    <w:rsid w:val="009971F5"/>
    <w:rsid w:val="00997985"/>
    <w:rsid w:val="00997E3E"/>
    <w:rsid w:val="00997E69"/>
    <w:rsid w:val="009A0187"/>
    <w:rsid w:val="009A0748"/>
    <w:rsid w:val="009A235E"/>
    <w:rsid w:val="009A2F0C"/>
    <w:rsid w:val="009A2F7F"/>
    <w:rsid w:val="009A3DAA"/>
    <w:rsid w:val="009A4D1C"/>
    <w:rsid w:val="009A4F41"/>
    <w:rsid w:val="009A5E51"/>
    <w:rsid w:val="009A7277"/>
    <w:rsid w:val="009B06AA"/>
    <w:rsid w:val="009B0793"/>
    <w:rsid w:val="009B079A"/>
    <w:rsid w:val="009B0D31"/>
    <w:rsid w:val="009B115A"/>
    <w:rsid w:val="009B1328"/>
    <w:rsid w:val="009B1C54"/>
    <w:rsid w:val="009B303D"/>
    <w:rsid w:val="009B45B2"/>
    <w:rsid w:val="009B4F8D"/>
    <w:rsid w:val="009B5752"/>
    <w:rsid w:val="009B57F5"/>
    <w:rsid w:val="009C0DAE"/>
    <w:rsid w:val="009C1583"/>
    <w:rsid w:val="009C15AD"/>
    <w:rsid w:val="009C167B"/>
    <w:rsid w:val="009C17D3"/>
    <w:rsid w:val="009C1933"/>
    <w:rsid w:val="009C2AF0"/>
    <w:rsid w:val="009C3DB8"/>
    <w:rsid w:val="009C422B"/>
    <w:rsid w:val="009C4701"/>
    <w:rsid w:val="009C5BC8"/>
    <w:rsid w:val="009C6FF8"/>
    <w:rsid w:val="009C71DA"/>
    <w:rsid w:val="009C7500"/>
    <w:rsid w:val="009C7987"/>
    <w:rsid w:val="009C7EAD"/>
    <w:rsid w:val="009C7F29"/>
    <w:rsid w:val="009D053E"/>
    <w:rsid w:val="009D191F"/>
    <w:rsid w:val="009D2A09"/>
    <w:rsid w:val="009D4626"/>
    <w:rsid w:val="009D5565"/>
    <w:rsid w:val="009D75F9"/>
    <w:rsid w:val="009E06C2"/>
    <w:rsid w:val="009E1320"/>
    <w:rsid w:val="009E1EB8"/>
    <w:rsid w:val="009E2364"/>
    <w:rsid w:val="009E3023"/>
    <w:rsid w:val="009E3D1C"/>
    <w:rsid w:val="009E5113"/>
    <w:rsid w:val="009E5521"/>
    <w:rsid w:val="009E5968"/>
    <w:rsid w:val="009E5BC5"/>
    <w:rsid w:val="009E7068"/>
    <w:rsid w:val="009E7384"/>
    <w:rsid w:val="009E7922"/>
    <w:rsid w:val="009F0393"/>
    <w:rsid w:val="009F0489"/>
    <w:rsid w:val="009F15BD"/>
    <w:rsid w:val="009F252B"/>
    <w:rsid w:val="009F457C"/>
    <w:rsid w:val="009F4749"/>
    <w:rsid w:val="009F47F4"/>
    <w:rsid w:val="009F4A54"/>
    <w:rsid w:val="009F4BEC"/>
    <w:rsid w:val="009F4F37"/>
    <w:rsid w:val="009F553B"/>
    <w:rsid w:val="009F5874"/>
    <w:rsid w:val="009F59FE"/>
    <w:rsid w:val="00A01605"/>
    <w:rsid w:val="00A01FD5"/>
    <w:rsid w:val="00A020FD"/>
    <w:rsid w:val="00A045AB"/>
    <w:rsid w:val="00A04D18"/>
    <w:rsid w:val="00A0515F"/>
    <w:rsid w:val="00A05E3A"/>
    <w:rsid w:val="00A061FC"/>
    <w:rsid w:val="00A06C25"/>
    <w:rsid w:val="00A0708C"/>
    <w:rsid w:val="00A07643"/>
    <w:rsid w:val="00A101E6"/>
    <w:rsid w:val="00A10393"/>
    <w:rsid w:val="00A10857"/>
    <w:rsid w:val="00A11576"/>
    <w:rsid w:val="00A11B9B"/>
    <w:rsid w:val="00A12211"/>
    <w:rsid w:val="00A122C5"/>
    <w:rsid w:val="00A124FB"/>
    <w:rsid w:val="00A144D4"/>
    <w:rsid w:val="00A1772B"/>
    <w:rsid w:val="00A21012"/>
    <w:rsid w:val="00A2261B"/>
    <w:rsid w:val="00A23DA6"/>
    <w:rsid w:val="00A240CB"/>
    <w:rsid w:val="00A242DE"/>
    <w:rsid w:val="00A24CB4"/>
    <w:rsid w:val="00A25FD7"/>
    <w:rsid w:val="00A26DEA"/>
    <w:rsid w:val="00A307F8"/>
    <w:rsid w:val="00A366F9"/>
    <w:rsid w:val="00A3773C"/>
    <w:rsid w:val="00A40669"/>
    <w:rsid w:val="00A40880"/>
    <w:rsid w:val="00A40E5B"/>
    <w:rsid w:val="00A43041"/>
    <w:rsid w:val="00A438CD"/>
    <w:rsid w:val="00A43AFF"/>
    <w:rsid w:val="00A43E2B"/>
    <w:rsid w:val="00A454E3"/>
    <w:rsid w:val="00A46303"/>
    <w:rsid w:val="00A47CED"/>
    <w:rsid w:val="00A509FD"/>
    <w:rsid w:val="00A50F78"/>
    <w:rsid w:val="00A51DA4"/>
    <w:rsid w:val="00A529E4"/>
    <w:rsid w:val="00A52D39"/>
    <w:rsid w:val="00A532D3"/>
    <w:rsid w:val="00A537A1"/>
    <w:rsid w:val="00A541F5"/>
    <w:rsid w:val="00A543F5"/>
    <w:rsid w:val="00A54F9C"/>
    <w:rsid w:val="00A60C76"/>
    <w:rsid w:val="00A60F91"/>
    <w:rsid w:val="00A614A5"/>
    <w:rsid w:val="00A619C0"/>
    <w:rsid w:val="00A62CBC"/>
    <w:rsid w:val="00A62CF6"/>
    <w:rsid w:val="00A6411B"/>
    <w:rsid w:val="00A645DF"/>
    <w:rsid w:val="00A6492A"/>
    <w:rsid w:val="00A64D58"/>
    <w:rsid w:val="00A66313"/>
    <w:rsid w:val="00A66680"/>
    <w:rsid w:val="00A713A0"/>
    <w:rsid w:val="00A7285F"/>
    <w:rsid w:val="00A731C3"/>
    <w:rsid w:val="00A74AD1"/>
    <w:rsid w:val="00A74D32"/>
    <w:rsid w:val="00A7710E"/>
    <w:rsid w:val="00A7793A"/>
    <w:rsid w:val="00A80C05"/>
    <w:rsid w:val="00A80C7B"/>
    <w:rsid w:val="00A82091"/>
    <w:rsid w:val="00A827B5"/>
    <w:rsid w:val="00A83B99"/>
    <w:rsid w:val="00A83EE1"/>
    <w:rsid w:val="00A8497A"/>
    <w:rsid w:val="00A84FB9"/>
    <w:rsid w:val="00A85C52"/>
    <w:rsid w:val="00A90132"/>
    <w:rsid w:val="00A90387"/>
    <w:rsid w:val="00A90A5A"/>
    <w:rsid w:val="00A90CAA"/>
    <w:rsid w:val="00A924C2"/>
    <w:rsid w:val="00A95099"/>
    <w:rsid w:val="00A956C0"/>
    <w:rsid w:val="00AA0145"/>
    <w:rsid w:val="00AA0734"/>
    <w:rsid w:val="00AA0FA8"/>
    <w:rsid w:val="00AA124D"/>
    <w:rsid w:val="00AA2290"/>
    <w:rsid w:val="00AA2722"/>
    <w:rsid w:val="00AA4957"/>
    <w:rsid w:val="00AA4CC7"/>
    <w:rsid w:val="00AA535A"/>
    <w:rsid w:val="00AA583A"/>
    <w:rsid w:val="00AA5DEF"/>
    <w:rsid w:val="00AA5E8E"/>
    <w:rsid w:val="00AA61B9"/>
    <w:rsid w:val="00AA646B"/>
    <w:rsid w:val="00AA7048"/>
    <w:rsid w:val="00AB0281"/>
    <w:rsid w:val="00AB0EB1"/>
    <w:rsid w:val="00AB163A"/>
    <w:rsid w:val="00AB1AF2"/>
    <w:rsid w:val="00AB1F14"/>
    <w:rsid w:val="00AB225B"/>
    <w:rsid w:val="00AB2BAD"/>
    <w:rsid w:val="00AB38B1"/>
    <w:rsid w:val="00AB390D"/>
    <w:rsid w:val="00AB46ED"/>
    <w:rsid w:val="00AB566F"/>
    <w:rsid w:val="00AB604C"/>
    <w:rsid w:val="00AB6CA7"/>
    <w:rsid w:val="00AB6D57"/>
    <w:rsid w:val="00AB6DD5"/>
    <w:rsid w:val="00AB7838"/>
    <w:rsid w:val="00AC0BD4"/>
    <w:rsid w:val="00AC3B82"/>
    <w:rsid w:val="00AC3EF0"/>
    <w:rsid w:val="00AC422F"/>
    <w:rsid w:val="00AC455B"/>
    <w:rsid w:val="00AC45AE"/>
    <w:rsid w:val="00AC4B38"/>
    <w:rsid w:val="00AC5175"/>
    <w:rsid w:val="00AC5418"/>
    <w:rsid w:val="00AD0005"/>
    <w:rsid w:val="00AD01E4"/>
    <w:rsid w:val="00AD0858"/>
    <w:rsid w:val="00AD17E6"/>
    <w:rsid w:val="00AD4D6E"/>
    <w:rsid w:val="00AD611A"/>
    <w:rsid w:val="00AD6A8B"/>
    <w:rsid w:val="00AD7B3E"/>
    <w:rsid w:val="00AD7D7C"/>
    <w:rsid w:val="00AE02E3"/>
    <w:rsid w:val="00AE1231"/>
    <w:rsid w:val="00AE168C"/>
    <w:rsid w:val="00AE191E"/>
    <w:rsid w:val="00AE2B11"/>
    <w:rsid w:val="00AE3D91"/>
    <w:rsid w:val="00AE5145"/>
    <w:rsid w:val="00AE659D"/>
    <w:rsid w:val="00AE7340"/>
    <w:rsid w:val="00AF0837"/>
    <w:rsid w:val="00AF0BB5"/>
    <w:rsid w:val="00AF0C52"/>
    <w:rsid w:val="00AF113B"/>
    <w:rsid w:val="00AF1AD0"/>
    <w:rsid w:val="00AF1BBD"/>
    <w:rsid w:val="00AF1D8A"/>
    <w:rsid w:val="00AF246E"/>
    <w:rsid w:val="00AF2715"/>
    <w:rsid w:val="00AF2832"/>
    <w:rsid w:val="00AF29D5"/>
    <w:rsid w:val="00AF3012"/>
    <w:rsid w:val="00AF3386"/>
    <w:rsid w:val="00AF53F4"/>
    <w:rsid w:val="00AF680D"/>
    <w:rsid w:val="00AF794B"/>
    <w:rsid w:val="00B00853"/>
    <w:rsid w:val="00B03620"/>
    <w:rsid w:val="00B04948"/>
    <w:rsid w:val="00B052C2"/>
    <w:rsid w:val="00B054B2"/>
    <w:rsid w:val="00B05E12"/>
    <w:rsid w:val="00B06FFE"/>
    <w:rsid w:val="00B077B9"/>
    <w:rsid w:val="00B077F9"/>
    <w:rsid w:val="00B10207"/>
    <w:rsid w:val="00B108CF"/>
    <w:rsid w:val="00B11729"/>
    <w:rsid w:val="00B1196A"/>
    <w:rsid w:val="00B11CB1"/>
    <w:rsid w:val="00B11EAF"/>
    <w:rsid w:val="00B141E7"/>
    <w:rsid w:val="00B14AAF"/>
    <w:rsid w:val="00B15349"/>
    <w:rsid w:val="00B16417"/>
    <w:rsid w:val="00B16B69"/>
    <w:rsid w:val="00B222E7"/>
    <w:rsid w:val="00B2435A"/>
    <w:rsid w:val="00B25B86"/>
    <w:rsid w:val="00B26197"/>
    <w:rsid w:val="00B26280"/>
    <w:rsid w:val="00B262F4"/>
    <w:rsid w:val="00B2646F"/>
    <w:rsid w:val="00B265A1"/>
    <w:rsid w:val="00B317C4"/>
    <w:rsid w:val="00B3194B"/>
    <w:rsid w:val="00B31D3C"/>
    <w:rsid w:val="00B3344F"/>
    <w:rsid w:val="00B3466A"/>
    <w:rsid w:val="00B351B4"/>
    <w:rsid w:val="00B351FA"/>
    <w:rsid w:val="00B35960"/>
    <w:rsid w:val="00B35B84"/>
    <w:rsid w:val="00B361C7"/>
    <w:rsid w:val="00B37920"/>
    <w:rsid w:val="00B40D0D"/>
    <w:rsid w:val="00B41B69"/>
    <w:rsid w:val="00B41DF4"/>
    <w:rsid w:val="00B4232B"/>
    <w:rsid w:val="00B42917"/>
    <w:rsid w:val="00B42993"/>
    <w:rsid w:val="00B42A05"/>
    <w:rsid w:val="00B43325"/>
    <w:rsid w:val="00B43898"/>
    <w:rsid w:val="00B46093"/>
    <w:rsid w:val="00B46BCA"/>
    <w:rsid w:val="00B47528"/>
    <w:rsid w:val="00B478AA"/>
    <w:rsid w:val="00B50415"/>
    <w:rsid w:val="00B50932"/>
    <w:rsid w:val="00B52415"/>
    <w:rsid w:val="00B52565"/>
    <w:rsid w:val="00B554FE"/>
    <w:rsid w:val="00B55692"/>
    <w:rsid w:val="00B56028"/>
    <w:rsid w:val="00B565C7"/>
    <w:rsid w:val="00B56B97"/>
    <w:rsid w:val="00B5711A"/>
    <w:rsid w:val="00B57D8C"/>
    <w:rsid w:val="00B600A4"/>
    <w:rsid w:val="00B600FD"/>
    <w:rsid w:val="00B61D64"/>
    <w:rsid w:val="00B61E17"/>
    <w:rsid w:val="00B63CB8"/>
    <w:rsid w:val="00B64F3D"/>
    <w:rsid w:val="00B656A6"/>
    <w:rsid w:val="00B65F61"/>
    <w:rsid w:val="00B665CD"/>
    <w:rsid w:val="00B6748D"/>
    <w:rsid w:val="00B710D7"/>
    <w:rsid w:val="00B72BFF"/>
    <w:rsid w:val="00B72E5C"/>
    <w:rsid w:val="00B744B8"/>
    <w:rsid w:val="00B75663"/>
    <w:rsid w:val="00B76A1F"/>
    <w:rsid w:val="00B76D83"/>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6196"/>
    <w:rsid w:val="00B87565"/>
    <w:rsid w:val="00B87806"/>
    <w:rsid w:val="00B87EC9"/>
    <w:rsid w:val="00B905DB"/>
    <w:rsid w:val="00B91509"/>
    <w:rsid w:val="00B91F5D"/>
    <w:rsid w:val="00B93640"/>
    <w:rsid w:val="00B93FF5"/>
    <w:rsid w:val="00B94C9E"/>
    <w:rsid w:val="00B94D33"/>
    <w:rsid w:val="00B95B1A"/>
    <w:rsid w:val="00BA070B"/>
    <w:rsid w:val="00BA13ED"/>
    <w:rsid w:val="00BA147C"/>
    <w:rsid w:val="00BA2E21"/>
    <w:rsid w:val="00BA3864"/>
    <w:rsid w:val="00BA4149"/>
    <w:rsid w:val="00BA4427"/>
    <w:rsid w:val="00BA4896"/>
    <w:rsid w:val="00BA5137"/>
    <w:rsid w:val="00BA6D2C"/>
    <w:rsid w:val="00BA77DF"/>
    <w:rsid w:val="00BB087A"/>
    <w:rsid w:val="00BB515E"/>
    <w:rsid w:val="00BB6133"/>
    <w:rsid w:val="00BB6691"/>
    <w:rsid w:val="00BB751A"/>
    <w:rsid w:val="00BC204E"/>
    <w:rsid w:val="00BC24A1"/>
    <w:rsid w:val="00BC38FD"/>
    <w:rsid w:val="00BC3C53"/>
    <w:rsid w:val="00BC4077"/>
    <w:rsid w:val="00BC4C9E"/>
    <w:rsid w:val="00BC5BEC"/>
    <w:rsid w:val="00BC5C45"/>
    <w:rsid w:val="00BC6954"/>
    <w:rsid w:val="00BC7AD9"/>
    <w:rsid w:val="00BD05C4"/>
    <w:rsid w:val="00BD25FC"/>
    <w:rsid w:val="00BD28F0"/>
    <w:rsid w:val="00BD30D2"/>
    <w:rsid w:val="00BD3EB5"/>
    <w:rsid w:val="00BD47EB"/>
    <w:rsid w:val="00BD51E8"/>
    <w:rsid w:val="00BD6191"/>
    <w:rsid w:val="00BD7269"/>
    <w:rsid w:val="00BD72C1"/>
    <w:rsid w:val="00BE064B"/>
    <w:rsid w:val="00BE2586"/>
    <w:rsid w:val="00BE2CB7"/>
    <w:rsid w:val="00BE479B"/>
    <w:rsid w:val="00BE4A70"/>
    <w:rsid w:val="00BE511F"/>
    <w:rsid w:val="00BE52B5"/>
    <w:rsid w:val="00BE5E22"/>
    <w:rsid w:val="00BE6240"/>
    <w:rsid w:val="00BE6451"/>
    <w:rsid w:val="00BE68C7"/>
    <w:rsid w:val="00BE6D1B"/>
    <w:rsid w:val="00BE6FCB"/>
    <w:rsid w:val="00BF019A"/>
    <w:rsid w:val="00BF1672"/>
    <w:rsid w:val="00BF4A8F"/>
    <w:rsid w:val="00BF5A0E"/>
    <w:rsid w:val="00BF6310"/>
    <w:rsid w:val="00BF69C9"/>
    <w:rsid w:val="00BF7120"/>
    <w:rsid w:val="00BF737C"/>
    <w:rsid w:val="00BF73B5"/>
    <w:rsid w:val="00BF7F5D"/>
    <w:rsid w:val="00C01DF8"/>
    <w:rsid w:val="00C01E5A"/>
    <w:rsid w:val="00C02231"/>
    <w:rsid w:val="00C02BA1"/>
    <w:rsid w:val="00C02D7C"/>
    <w:rsid w:val="00C030AB"/>
    <w:rsid w:val="00C034CB"/>
    <w:rsid w:val="00C03D13"/>
    <w:rsid w:val="00C0509B"/>
    <w:rsid w:val="00C051A8"/>
    <w:rsid w:val="00C054BC"/>
    <w:rsid w:val="00C059D0"/>
    <w:rsid w:val="00C06851"/>
    <w:rsid w:val="00C07859"/>
    <w:rsid w:val="00C07D28"/>
    <w:rsid w:val="00C10110"/>
    <w:rsid w:val="00C10433"/>
    <w:rsid w:val="00C1142D"/>
    <w:rsid w:val="00C11B7D"/>
    <w:rsid w:val="00C11F53"/>
    <w:rsid w:val="00C12F3B"/>
    <w:rsid w:val="00C14033"/>
    <w:rsid w:val="00C158D4"/>
    <w:rsid w:val="00C170C2"/>
    <w:rsid w:val="00C17547"/>
    <w:rsid w:val="00C17897"/>
    <w:rsid w:val="00C17CD5"/>
    <w:rsid w:val="00C202E9"/>
    <w:rsid w:val="00C2199B"/>
    <w:rsid w:val="00C21A7C"/>
    <w:rsid w:val="00C22ACF"/>
    <w:rsid w:val="00C23D5E"/>
    <w:rsid w:val="00C24D55"/>
    <w:rsid w:val="00C255FD"/>
    <w:rsid w:val="00C26339"/>
    <w:rsid w:val="00C26D7A"/>
    <w:rsid w:val="00C273C7"/>
    <w:rsid w:val="00C309BF"/>
    <w:rsid w:val="00C30D4F"/>
    <w:rsid w:val="00C30D93"/>
    <w:rsid w:val="00C312D2"/>
    <w:rsid w:val="00C3136D"/>
    <w:rsid w:val="00C32B95"/>
    <w:rsid w:val="00C32CD4"/>
    <w:rsid w:val="00C3322E"/>
    <w:rsid w:val="00C3397A"/>
    <w:rsid w:val="00C357DB"/>
    <w:rsid w:val="00C362A6"/>
    <w:rsid w:val="00C367C9"/>
    <w:rsid w:val="00C36AE6"/>
    <w:rsid w:val="00C37243"/>
    <w:rsid w:val="00C3734F"/>
    <w:rsid w:val="00C40052"/>
    <w:rsid w:val="00C40747"/>
    <w:rsid w:val="00C409D5"/>
    <w:rsid w:val="00C41806"/>
    <w:rsid w:val="00C435C3"/>
    <w:rsid w:val="00C43AC4"/>
    <w:rsid w:val="00C43FAE"/>
    <w:rsid w:val="00C44133"/>
    <w:rsid w:val="00C4460E"/>
    <w:rsid w:val="00C448C5"/>
    <w:rsid w:val="00C44B9B"/>
    <w:rsid w:val="00C44CC9"/>
    <w:rsid w:val="00C44E5F"/>
    <w:rsid w:val="00C46B05"/>
    <w:rsid w:val="00C470FD"/>
    <w:rsid w:val="00C4722C"/>
    <w:rsid w:val="00C47D34"/>
    <w:rsid w:val="00C50334"/>
    <w:rsid w:val="00C510E1"/>
    <w:rsid w:val="00C51595"/>
    <w:rsid w:val="00C51B7C"/>
    <w:rsid w:val="00C5217D"/>
    <w:rsid w:val="00C52727"/>
    <w:rsid w:val="00C53EA8"/>
    <w:rsid w:val="00C5606E"/>
    <w:rsid w:val="00C60976"/>
    <w:rsid w:val="00C60C51"/>
    <w:rsid w:val="00C612E9"/>
    <w:rsid w:val="00C61B63"/>
    <w:rsid w:val="00C61DE4"/>
    <w:rsid w:val="00C6234B"/>
    <w:rsid w:val="00C639EB"/>
    <w:rsid w:val="00C63EAE"/>
    <w:rsid w:val="00C656EE"/>
    <w:rsid w:val="00C676CE"/>
    <w:rsid w:val="00C7061B"/>
    <w:rsid w:val="00C70E01"/>
    <w:rsid w:val="00C73260"/>
    <w:rsid w:val="00C73638"/>
    <w:rsid w:val="00C738CE"/>
    <w:rsid w:val="00C742A1"/>
    <w:rsid w:val="00C7479B"/>
    <w:rsid w:val="00C74B5F"/>
    <w:rsid w:val="00C7540C"/>
    <w:rsid w:val="00C7629F"/>
    <w:rsid w:val="00C771BE"/>
    <w:rsid w:val="00C81FDD"/>
    <w:rsid w:val="00C823AC"/>
    <w:rsid w:val="00C83796"/>
    <w:rsid w:val="00C851C0"/>
    <w:rsid w:val="00C856E8"/>
    <w:rsid w:val="00C85990"/>
    <w:rsid w:val="00C8661B"/>
    <w:rsid w:val="00C8727F"/>
    <w:rsid w:val="00C87440"/>
    <w:rsid w:val="00C87F56"/>
    <w:rsid w:val="00C93959"/>
    <w:rsid w:val="00C939C5"/>
    <w:rsid w:val="00C93C63"/>
    <w:rsid w:val="00C9409D"/>
    <w:rsid w:val="00C941F0"/>
    <w:rsid w:val="00C95040"/>
    <w:rsid w:val="00C9528B"/>
    <w:rsid w:val="00C95408"/>
    <w:rsid w:val="00C95C54"/>
    <w:rsid w:val="00C96974"/>
    <w:rsid w:val="00C97581"/>
    <w:rsid w:val="00C979BF"/>
    <w:rsid w:val="00CA03C8"/>
    <w:rsid w:val="00CA0630"/>
    <w:rsid w:val="00CA0757"/>
    <w:rsid w:val="00CA0DFD"/>
    <w:rsid w:val="00CA139A"/>
    <w:rsid w:val="00CA19FA"/>
    <w:rsid w:val="00CA2899"/>
    <w:rsid w:val="00CA3A3D"/>
    <w:rsid w:val="00CA3AA6"/>
    <w:rsid w:val="00CA3EF3"/>
    <w:rsid w:val="00CA4880"/>
    <w:rsid w:val="00CA48D6"/>
    <w:rsid w:val="00CA51FC"/>
    <w:rsid w:val="00CA555C"/>
    <w:rsid w:val="00CA77FB"/>
    <w:rsid w:val="00CA793D"/>
    <w:rsid w:val="00CA7942"/>
    <w:rsid w:val="00CB026C"/>
    <w:rsid w:val="00CB0C67"/>
    <w:rsid w:val="00CB2886"/>
    <w:rsid w:val="00CB3293"/>
    <w:rsid w:val="00CB379B"/>
    <w:rsid w:val="00CB38F8"/>
    <w:rsid w:val="00CB3BF4"/>
    <w:rsid w:val="00CB4074"/>
    <w:rsid w:val="00CB454A"/>
    <w:rsid w:val="00CB4F88"/>
    <w:rsid w:val="00CB5DD0"/>
    <w:rsid w:val="00CB6847"/>
    <w:rsid w:val="00CB7A2C"/>
    <w:rsid w:val="00CB7BB0"/>
    <w:rsid w:val="00CC06BA"/>
    <w:rsid w:val="00CC07D2"/>
    <w:rsid w:val="00CC1AC5"/>
    <w:rsid w:val="00CC269A"/>
    <w:rsid w:val="00CC4AD9"/>
    <w:rsid w:val="00CC51D4"/>
    <w:rsid w:val="00CC65DA"/>
    <w:rsid w:val="00CC6C62"/>
    <w:rsid w:val="00CC794C"/>
    <w:rsid w:val="00CC79D4"/>
    <w:rsid w:val="00CD0102"/>
    <w:rsid w:val="00CD0247"/>
    <w:rsid w:val="00CD0A83"/>
    <w:rsid w:val="00CD0CAC"/>
    <w:rsid w:val="00CD1043"/>
    <w:rsid w:val="00CD13F3"/>
    <w:rsid w:val="00CD14B9"/>
    <w:rsid w:val="00CD1962"/>
    <w:rsid w:val="00CD1AAD"/>
    <w:rsid w:val="00CD46B3"/>
    <w:rsid w:val="00CD4CAB"/>
    <w:rsid w:val="00CD6789"/>
    <w:rsid w:val="00CD692C"/>
    <w:rsid w:val="00CD6C8C"/>
    <w:rsid w:val="00CD7F19"/>
    <w:rsid w:val="00CE11CC"/>
    <w:rsid w:val="00CE18A4"/>
    <w:rsid w:val="00CE2AA7"/>
    <w:rsid w:val="00CE2DD9"/>
    <w:rsid w:val="00CE31D4"/>
    <w:rsid w:val="00CE4916"/>
    <w:rsid w:val="00CE5694"/>
    <w:rsid w:val="00CE5AA0"/>
    <w:rsid w:val="00CE7EA3"/>
    <w:rsid w:val="00CF0103"/>
    <w:rsid w:val="00CF01E4"/>
    <w:rsid w:val="00CF174F"/>
    <w:rsid w:val="00CF18FA"/>
    <w:rsid w:val="00CF209E"/>
    <w:rsid w:val="00CF21B9"/>
    <w:rsid w:val="00CF2A2D"/>
    <w:rsid w:val="00CF6BF9"/>
    <w:rsid w:val="00D00132"/>
    <w:rsid w:val="00D00748"/>
    <w:rsid w:val="00D0201D"/>
    <w:rsid w:val="00D02A5C"/>
    <w:rsid w:val="00D032CC"/>
    <w:rsid w:val="00D03800"/>
    <w:rsid w:val="00D03981"/>
    <w:rsid w:val="00D065D3"/>
    <w:rsid w:val="00D0720A"/>
    <w:rsid w:val="00D10DD2"/>
    <w:rsid w:val="00D11C4B"/>
    <w:rsid w:val="00D11D6C"/>
    <w:rsid w:val="00D12AEC"/>
    <w:rsid w:val="00D13799"/>
    <w:rsid w:val="00D14142"/>
    <w:rsid w:val="00D14C94"/>
    <w:rsid w:val="00D1678B"/>
    <w:rsid w:val="00D20C48"/>
    <w:rsid w:val="00D215E1"/>
    <w:rsid w:val="00D21DF3"/>
    <w:rsid w:val="00D22466"/>
    <w:rsid w:val="00D2302E"/>
    <w:rsid w:val="00D231C8"/>
    <w:rsid w:val="00D2568E"/>
    <w:rsid w:val="00D256FA"/>
    <w:rsid w:val="00D259E4"/>
    <w:rsid w:val="00D26D63"/>
    <w:rsid w:val="00D27672"/>
    <w:rsid w:val="00D27D5B"/>
    <w:rsid w:val="00D27F49"/>
    <w:rsid w:val="00D31C4A"/>
    <w:rsid w:val="00D32F33"/>
    <w:rsid w:val="00D32F94"/>
    <w:rsid w:val="00D3421B"/>
    <w:rsid w:val="00D342A6"/>
    <w:rsid w:val="00D343C4"/>
    <w:rsid w:val="00D34440"/>
    <w:rsid w:val="00D3458A"/>
    <w:rsid w:val="00D345D6"/>
    <w:rsid w:val="00D35A33"/>
    <w:rsid w:val="00D3636B"/>
    <w:rsid w:val="00D36A6A"/>
    <w:rsid w:val="00D37634"/>
    <w:rsid w:val="00D400F9"/>
    <w:rsid w:val="00D41024"/>
    <w:rsid w:val="00D428AA"/>
    <w:rsid w:val="00D443BE"/>
    <w:rsid w:val="00D45CA6"/>
    <w:rsid w:val="00D464BF"/>
    <w:rsid w:val="00D46635"/>
    <w:rsid w:val="00D467D9"/>
    <w:rsid w:val="00D52BDB"/>
    <w:rsid w:val="00D5356B"/>
    <w:rsid w:val="00D53E26"/>
    <w:rsid w:val="00D553D3"/>
    <w:rsid w:val="00D557EE"/>
    <w:rsid w:val="00D57074"/>
    <w:rsid w:val="00D578F4"/>
    <w:rsid w:val="00D60EE3"/>
    <w:rsid w:val="00D60EE7"/>
    <w:rsid w:val="00D6147E"/>
    <w:rsid w:val="00D62009"/>
    <w:rsid w:val="00D62F75"/>
    <w:rsid w:val="00D630BE"/>
    <w:rsid w:val="00D6322D"/>
    <w:rsid w:val="00D65EBE"/>
    <w:rsid w:val="00D70E31"/>
    <w:rsid w:val="00D711B2"/>
    <w:rsid w:val="00D72076"/>
    <w:rsid w:val="00D72DA3"/>
    <w:rsid w:val="00D74CB1"/>
    <w:rsid w:val="00D755F8"/>
    <w:rsid w:val="00D76752"/>
    <w:rsid w:val="00D77330"/>
    <w:rsid w:val="00D77688"/>
    <w:rsid w:val="00D812DA"/>
    <w:rsid w:val="00D813CA"/>
    <w:rsid w:val="00D8153F"/>
    <w:rsid w:val="00D829B1"/>
    <w:rsid w:val="00D8377A"/>
    <w:rsid w:val="00D83E62"/>
    <w:rsid w:val="00D84D15"/>
    <w:rsid w:val="00D85297"/>
    <w:rsid w:val="00D85B77"/>
    <w:rsid w:val="00D85DAF"/>
    <w:rsid w:val="00D864AF"/>
    <w:rsid w:val="00D86A76"/>
    <w:rsid w:val="00D87054"/>
    <w:rsid w:val="00D87308"/>
    <w:rsid w:val="00D9080F"/>
    <w:rsid w:val="00D94CCE"/>
    <w:rsid w:val="00D95055"/>
    <w:rsid w:val="00D95AA4"/>
    <w:rsid w:val="00D979E4"/>
    <w:rsid w:val="00DA0339"/>
    <w:rsid w:val="00DA4E6F"/>
    <w:rsid w:val="00DA54B3"/>
    <w:rsid w:val="00DA61BD"/>
    <w:rsid w:val="00DA653F"/>
    <w:rsid w:val="00DA6EF0"/>
    <w:rsid w:val="00DA78EC"/>
    <w:rsid w:val="00DB020A"/>
    <w:rsid w:val="00DB0644"/>
    <w:rsid w:val="00DB0DD1"/>
    <w:rsid w:val="00DB182C"/>
    <w:rsid w:val="00DB22BD"/>
    <w:rsid w:val="00DB2582"/>
    <w:rsid w:val="00DB390F"/>
    <w:rsid w:val="00DB5402"/>
    <w:rsid w:val="00DB5DAA"/>
    <w:rsid w:val="00DB62A2"/>
    <w:rsid w:val="00DC02C0"/>
    <w:rsid w:val="00DC0F46"/>
    <w:rsid w:val="00DC1AB9"/>
    <w:rsid w:val="00DC22D8"/>
    <w:rsid w:val="00DC2DB9"/>
    <w:rsid w:val="00DC2FC3"/>
    <w:rsid w:val="00DC30E6"/>
    <w:rsid w:val="00DC32A9"/>
    <w:rsid w:val="00DC3445"/>
    <w:rsid w:val="00DC3BD1"/>
    <w:rsid w:val="00DC4047"/>
    <w:rsid w:val="00DC4BB6"/>
    <w:rsid w:val="00DC61DA"/>
    <w:rsid w:val="00DC6A78"/>
    <w:rsid w:val="00DC756E"/>
    <w:rsid w:val="00DC7B09"/>
    <w:rsid w:val="00DD096C"/>
    <w:rsid w:val="00DD236B"/>
    <w:rsid w:val="00DD3302"/>
    <w:rsid w:val="00DD3943"/>
    <w:rsid w:val="00DD4F0E"/>
    <w:rsid w:val="00DD54ED"/>
    <w:rsid w:val="00DD5A5F"/>
    <w:rsid w:val="00DD5F22"/>
    <w:rsid w:val="00DD74B2"/>
    <w:rsid w:val="00DD763B"/>
    <w:rsid w:val="00DE0C49"/>
    <w:rsid w:val="00DE1451"/>
    <w:rsid w:val="00DE1D45"/>
    <w:rsid w:val="00DE202F"/>
    <w:rsid w:val="00DE3274"/>
    <w:rsid w:val="00DE3578"/>
    <w:rsid w:val="00DE4ACD"/>
    <w:rsid w:val="00DE74ED"/>
    <w:rsid w:val="00DE7B7E"/>
    <w:rsid w:val="00DF0BF0"/>
    <w:rsid w:val="00DF0BFC"/>
    <w:rsid w:val="00DF1B5F"/>
    <w:rsid w:val="00DF1CB4"/>
    <w:rsid w:val="00DF3A51"/>
    <w:rsid w:val="00DF3CA2"/>
    <w:rsid w:val="00DF5202"/>
    <w:rsid w:val="00DF54E4"/>
    <w:rsid w:val="00DF5747"/>
    <w:rsid w:val="00DF6A7B"/>
    <w:rsid w:val="00DF71DC"/>
    <w:rsid w:val="00DF753B"/>
    <w:rsid w:val="00DF7651"/>
    <w:rsid w:val="00DF78A4"/>
    <w:rsid w:val="00DF7E9D"/>
    <w:rsid w:val="00E002F6"/>
    <w:rsid w:val="00E01375"/>
    <w:rsid w:val="00E01463"/>
    <w:rsid w:val="00E01A6B"/>
    <w:rsid w:val="00E02991"/>
    <w:rsid w:val="00E02C5E"/>
    <w:rsid w:val="00E03B99"/>
    <w:rsid w:val="00E0481D"/>
    <w:rsid w:val="00E04D44"/>
    <w:rsid w:val="00E04F2F"/>
    <w:rsid w:val="00E052C8"/>
    <w:rsid w:val="00E05695"/>
    <w:rsid w:val="00E05E0A"/>
    <w:rsid w:val="00E060BE"/>
    <w:rsid w:val="00E062E2"/>
    <w:rsid w:val="00E10452"/>
    <w:rsid w:val="00E10E29"/>
    <w:rsid w:val="00E16AAC"/>
    <w:rsid w:val="00E170D8"/>
    <w:rsid w:val="00E23680"/>
    <w:rsid w:val="00E24857"/>
    <w:rsid w:val="00E25479"/>
    <w:rsid w:val="00E26F95"/>
    <w:rsid w:val="00E27608"/>
    <w:rsid w:val="00E30423"/>
    <w:rsid w:val="00E307CC"/>
    <w:rsid w:val="00E3092E"/>
    <w:rsid w:val="00E32EE3"/>
    <w:rsid w:val="00E3419F"/>
    <w:rsid w:val="00E348B6"/>
    <w:rsid w:val="00E36456"/>
    <w:rsid w:val="00E3651B"/>
    <w:rsid w:val="00E36C99"/>
    <w:rsid w:val="00E40551"/>
    <w:rsid w:val="00E40697"/>
    <w:rsid w:val="00E40B05"/>
    <w:rsid w:val="00E420E1"/>
    <w:rsid w:val="00E4302C"/>
    <w:rsid w:val="00E442C8"/>
    <w:rsid w:val="00E44594"/>
    <w:rsid w:val="00E44D6B"/>
    <w:rsid w:val="00E4505D"/>
    <w:rsid w:val="00E45320"/>
    <w:rsid w:val="00E474A8"/>
    <w:rsid w:val="00E47A98"/>
    <w:rsid w:val="00E512DA"/>
    <w:rsid w:val="00E514F0"/>
    <w:rsid w:val="00E521C9"/>
    <w:rsid w:val="00E534CF"/>
    <w:rsid w:val="00E538D3"/>
    <w:rsid w:val="00E54322"/>
    <w:rsid w:val="00E553F7"/>
    <w:rsid w:val="00E5561E"/>
    <w:rsid w:val="00E55B9F"/>
    <w:rsid w:val="00E566AA"/>
    <w:rsid w:val="00E56D4F"/>
    <w:rsid w:val="00E56D74"/>
    <w:rsid w:val="00E56FC9"/>
    <w:rsid w:val="00E57794"/>
    <w:rsid w:val="00E609EA"/>
    <w:rsid w:val="00E60D7A"/>
    <w:rsid w:val="00E61918"/>
    <w:rsid w:val="00E61CC6"/>
    <w:rsid w:val="00E6374E"/>
    <w:rsid w:val="00E6531C"/>
    <w:rsid w:val="00E65533"/>
    <w:rsid w:val="00E65A27"/>
    <w:rsid w:val="00E66A24"/>
    <w:rsid w:val="00E66EF8"/>
    <w:rsid w:val="00E672AB"/>
    <w:rsid w:val="00E6757C"/>
    <w:rsid w:val="00E6799E"/>
    <w:rsid w:val="00E70525"/>
    <w:rsid w:val="00E71517"/>
    <w:rsid w:val="00E72226"/>
    <w:rsid w:val="00E72D08"/>
    <w:rsid w:val="00E7322F"/>
    <w:rsid w:val="00E73CF4"/>
    <w:rsid w:val="00E759AB"/>
    <w:rsid w:val="00E76552"/>
    <w:rsid w:val="00E768BE"/>
    <w:rsid w:val="00E77C52"/>
    <w:rsid w:val="00E8056B"/>
    <w:rsid w:val="00E80AA0"/>
    <w:rsid w:val="00E81478"/>
    <w:rsid w:val="00E81AA5"/>
    <w:rsid w:val="00E81CB4"/>
    <w:rsid w:val="00E82A33"/>
    <w:rsid w:val="00E8393E"/>
    <w:rsid w:val="00E83DD8"/>
    <w:rsid w:val="00E83F58"/>
    <w:rsid w:val="00E855ED"/>
    <w:rsid w:val="00E8585B"/>
    <w:rsid w:val="00E86C55"/>
    <w:rsid w:val="00E87CCE"/>
    <w:rsid w:val="00E87F41"/>
    <w:rsid w:val="00E90E21"/>
    <w:rsid w:val="00E92880"/>
    <w:rsid w:val="00E9330F"/>
    <w:rsid w:val="00E93A5A"/>
    <w:rsid w:val="00E946DD"/>
    <w:rsid w:val="00E96AC3"/>
    <w:rsid w:val="00E97083"/>
    <w:rsid w:val="00E973B0"/>
    <w:rsid w:val="00E977F6"/>
    <w:rsid w:val="00E97BF6"/>
    <w:rsid w:val="00EA20BE"/>
    <w:rsid w:val="00EA284F"/>
    <w:rsid w:val="00EA396E"/>
    <w:rsid w:val="00EA3F15"/>
    <w:rsid w:val="00EA4683"/>
    <w:rsid w:val="00EA69C9"/>
    <w:rsid w:val="00EA7847"/>
    <w:rsid w:val="00EA7BB7"/>
    <w:rsid w:val="00EB16F4"/>
    <w:rsid w:val="00EB1876"/>
    <w:rsid w:val="00EB29E1"/>
    <w:rsid w:val="00EB2AD3"/>
    <w:rsid w:val="00EB2F92"/>
    <w:rsid w:val="00EB352A"/>
    <w:rsid w:val="00EB3D1E"/>
    <w:rsid w:val="00EB3F24"/>
    <w:rsid w:val="00EB3FC8"/>
    <w:rsid w:val="00EB432F"/>
    <w:rsid w:val="00EB4C2F"/>
    <w:rsid w:val="00EB5054"/>
    <w:rsid w:val="00EB7C9B"/>
    <w:rsid w:val="00EC0085"/>
    <w:rsid w:val="00EC24EC"/>
    <w:rsid w:val="00EC40A1"/>
    <w:rsid w:val="00EC46EC"/>
    <w:rsid w:val="00EC5748"/>
    <w:rsid w:val="00EC5A4B"/>
    <w:rsid w:val="00EC688C"/>
    <w:rsid w:val="00ED0150"/>
    <w:rsid w:val="00ED0D19"/>
    <w:rsid w:val="00ED130C"/>
    <w:rsid w:val="00ED1ED0"/>
    <w:rsid w:val="00ED2AFF"/>
    <w:rsid w:val="00ED3FE3"/>
    <w:rsid w:val="00ED5D82"/>
    <w:rsid w:val="00ED5FF2"/>
    <w:rsid w:val="00ED732C"/>
    <w:rsid w:val="00ED7DB3"/>
    <w:rsid w:val="00EE14D6"/>
    <w:rsid w:val="00EE1951"/>
    <w:rsid w:val="00EE22A2"/>
    <w:rsid w:val="00EE259D"/>
    <w:rsid w:val="00EE2E6E"/>
    <w:rsid w:val="00EE3360"/>
    <w:rsid w:val="00EE36B2"/>
    <w:rsid w:val="00EE3FCD"/>
    <w:rsid w:val="00EE4FE4"/>
    <w:rsid w:val="00EE5E86"/>
    <w:rsid w:val="00EE5FCC"/>
    <w:rsid w:val="00EE62C0"/>
    <w:rsid w:val="00EE64AA"/>
    <w:rsid w:val="00EE76C0"/>
    <w:rsid w:val="00EF1CAE"/>
    <w:rsid w:val="00EF2E7B"/>
    <w:rsid w:val="00EF3279"/>
    <w:rsid w:val="00F0030B"/>
    <w:rsid w:val="00F0035C"/>
    <w:rsid w:val="00F00B67"/>
    <w:rsid w:val="00F00C90"/>
    <w:rsid w:val="00F01EB4"/>
    <w:rsid w:val="00F02C0E"/>
    <w:rsid w:val="00F044B6"/>
    <w:rsid w:val="00F04810"/>
    <w:rsid w:val="00F04C88"/>
    <w:rsid w:val="00F04C90"/>
    <w:rsid w:val="00F04F0D"/>
    <w:rsid w:val="00F059B4"/>
    <w:rsid w:val="00F065F0"/>
    <w:rsid w:val="00F0759E"/>
    <w:rsid w:val="00F107D2"/>
    <w:rsid w:val="00F11188"/>
    <w:rsid w:val="00F11688"/>
    <w:rsid w:val="00F12A0C"/>
    <w:rsid w:val="00F12B57"/>
    <w:rsid w:val="00F13E43"/>
    <w:rsid w:val="00F14A84"/>
    <w:rsid w:val="00F15F07"/>
    <w:rsid w:val="00F16A43"/>
    <w:rsid w:val="00F178D8"/>
    <w:rsid w:val="00F17914"/>
    <w:rsid w:val="00F17B18"/>
    <w:rsid w:val="00F224BD"/>
    <w:rsid w:val="00F231C2"/>
    <w:rsid w:val="00F2375C"/>
    <w:rsid w:val="00F244F6"/>
    <w:rsid w:val="00F246AE"/>
    <w:rsid w:val="00F266EE"/>
    <w:rsid w:val="00F270E9"/>
    <w:rsid w:val="00F2718C"/>
    <w:rsid w:val="00F30494"/>
    <w:rsid w:val="00F304FE"/>
    <w:rsid w:val="00F30572"/>
    <w:rsid w:val="00F3147E"/>
    <w:rsid w:val="00F31532"/>
    <w:rsid w:val="00F3199B"/>
    <w:rsid w:val="00F31DAC"/>
    <w:rsid w:val="00F32DAC"/>
    <w:rsid w:val="00F34B73"/>
    <w:rsid w:val="00F35F07"/>
    <w:rsid w:val="00F37A1B"/>
    <w:rsid w:val="00F40882"/>
    <w:rsid w:val="00F416EE"/>
    <w:rsid w:val="00F428E7"/>
    <w:rsid w:val="00F46780"/>
    <w:rsid w:val="00F47CA1"/>
    <w:rsid w:val="00F50305"/>
    <w:rsid w:val="00F50AC4"/>
    <w:rsid w:val="00F51218"/>
    <w:rsid w:val="00F51A86"/>
    <w:rsid w:val="00F51C53"/>
    <w:rsid w:val="00F52198"/>
    <w:rsid w:val="00F524A6"/>
    <w:rsid w:val="00F52701"/>
    <w:rsid w:val="00F532BA"/>
    <w:rsid w:val="00F54343"/>
    <w:rsid w:val="00F54493"/>
    <w:rsid w:val="00F54939"/>
    <w:rsid w:val="00F5566F"/>
    <w:rsid w:val="00F559EF"/>
    <w:rsid w:val="00F55A19"/>
    <w:rsid w:val="00F56125"/>
    <w:rsid w:val="00F57709"/>
    <w:rsid w:val="00F57CCB"/>
    <w:rsid w:val="00F62021"/>
    <w:rsid w:val="00F6205E"/>
    <w:rsid w:val="00F62A1B"/>
    <w:rsid w:val="00F64373"/>
    <w:rsid w:val="00F678DC"/>
    <w:rsid w:val="00F67A33"/>
    <w:rsid w:val="00F70043"/>
    <w:rsid w:val="00F70607"/>
    <w:rsid w:val="00F72B25"/>
    <w:rsid w:val="00F72B61"/>
    <w:rsid w:val="00F72F5E"/>
    <w:rsid w:val="00F73E95"/>
    <w:rsid w:val="00F74C38"/>
    <w:rsid w:val="00F75FF9"/>
    <w:rsid w:val="00F7693A"/>
    <w:rsid w:val="00F76BB6"/>
    <w:rsid w:val="00F76C1D"/>
    <w:rsid w:val="00F7760D"/>
    <w:rsid w:val="00F77B04"/>
    <w:rsid w:val="00F77D2D"/>
    <w:rsid w:val="00F800C1"/>
    <w:rsid w:val="00F8021E"/>
    <w:rsid w:val="00F80317"/>
    <w:rsid w:val="00F80402"/>
    <w:rsid w:val="00F821A3"/>
    <w:rsid w:val="00F84552"/>
    <w:rsid w:val="00F86162"/>
    <w:rsid w:val="00F8748F"/>
    <w:rsid w:val="00F91043"/>
    <w:rsid w:val="00F918DC"/>
    <w:rsid w:val="00F91C11"/>
    <w:rsid w:val="00F9246F"/>
    <w:rsid w:val="00F9309A"/>
    <w:rsid w:val="00F9314A"/>
    <w:rsid w:val="00F940B2"/>
    <w:rsid w:val="00F94E61"/>
    <w:rsid w:val="00F95AF6"/>
    <w:rsid w:val="00F95D08"/>
    <w:rsid w:val="00F9742E"/>
    <w:rsid w:val="00FA1462"/>
    <w:rsid w:val="00FA38BE"/>
    <w:rsid w:val="00FA4247"/>
    <w:rsid w:val="00FA5BD7"/>
    <w:rsid w:val="00FA75EC"/>
    <w:rsid w:val="00FB0680"/>
    <w:rsid w:val="00FB14AC"/>
    <w:rsid w:val="00FB1643"/>
    <w:rsid w:val="00FB166D"/>
    <w:rsid w:val="00FB1798"/>
    <w:rsid w:val="00FB19E8"/>
    <w:rsid w:val="00FB1DA9"/>
    <w:rsid w:val="00FB24A5"/>
    <w:rsid w:val="00FB26AA"/>
    <w:rsid w:val="00FB2A38"/>
    <w:rsid w:val="00FB34B6"/>
    <w:rsid w:val="00FB397E"/>
    <w:rsid w:val="00FB41DE"/>
    <w:rsid w:val="00FB5CA9"/>
    <w:rsid w:val="00FB5EC8"/>
    <w:rsid w:val="00FB61D1"/>
    <w:rsid w:val="00FB6C27"/>
    <w:rsid w:val="00FB7A02"/>
    <w:rsid w:val="00FC05AD"/>
    <w:rsid w:val="00FC2925"/>
    <w:rsid w:val="00FC481B"/>
    <w:rsid w:val="00FC4B39"/>
    <w:rsid w:val="00FC4BFD"/>
    <w:rsid w:val="00FC524D"/>
    <w:rsid w:val="00FC5798"/>
    <w:rsid w:val="00FC58EF"/>
    <w:rsid w:val="00FC5ADC"/>
    <w:rsid w:val="00FC64D4"/>
    <w:rsid w:val="00FC783B"/>
    <w:rsid w:val="00FC7FA8"/>
    <w:rsid w:val="00FD1049"/>
    <w:rsid w:val="00FD1785"/>
    <w:rsid w:val="00FD1D14"/>
    <w:rsid w:val="00FD30C0"/>
    <w:rsid w:val="00FD33DF"/>
    <w:rsid w:val="00FD3502"/>
    <w:rsid w:val="00FD3CBE"/>
    <w:rsid w:val="00FD6F00"/>
    <w:rsid w:val="00FD71D5"/>
    <w:rsid w:val="00FE09C1"/>
    <w:rsid w:val="00FE0BD0"/>
    <w:rsid w:val="00FE304A"/>
    <w:rsid w:val="00FE38A0"/>
    <w:rsid w:val="00FE39D7"/>
    <w:rsid w:val="00FE3A4E"/>
    <w:rsid w:val="00FE460F"/>
    <w:rsid w:val="00FE4ECD"/>
    <w:rsid w:val="00FE6205"/>
    <w:rsid w:val="00FE771C"/>
    <w:rsid w:val="00FE7EAA"/>
    <w:rsid w:val="00FF0A41"/>
    <w:rsid w:val="00FF1AE5"/>
    <w:rsid w:val="00FF2D46"/>
    <w:rsid w:val="00FF2F2F"/>
    <w:rsid w:val="00FF3353"/>
    <w:rsid w:val="00FF3586"/>
    <w:rsid w:val="00FF43E8"/>
    <w:rsid w:val="00FF4689"/>
    <w:rsid w:val="00FF487B"/>
    <w:rsid w:val="00FF5B98"/>
    <w:rsid w:val="00FF75C5"/>
    <w:rsid w:val="00FF7A97"/>
    <w:rsid w:val="079CE9BE"/>
    <w:rsid w:val="08D3C657"/>
    <w:rsid w:val="09B946F3"/>
    <w:rsid w:val="100B1DB5"/>
    <w:rsid w:val="11348F68"/>
    <w:rsid w:val="16261B19"/>
    <w:rsid w:val="16F1D7BD"/>
    <w:rsid w:val="18ECD9B4"/>
    <w:rsid w:val="1B904328"/>
    <w:rsid w:val="1D58B894"/>
    <w:rsid w:val="23D02E37"/>
    <w:rsid w:val="261406BE"/>
    <w:rsid w:val="2767AE7C"/>
    <w:rsid w:val="293DC6A8"/>
    <w:rsid w:val="2B43929B"/>
    <w:rsid w:val="2F350903"/>
    <w:rsid w:val="3572E341"/>
    <w:rsid w:val="35F6E91E"/>
    <w:rsid w:val="377E6761"/>
    <w:rsid w:val="38494532"/>
    <w:rsid w:val="3AE959B1"/>
    <w:rsid w:val="3BD026EE"/>
    <w:rsid w:val="3BE6FE49"/>
    <w:rsid w:val="3C88D16D"/>
    <w:rsid w:val="3E5AE22A"/>
    <w:rsid w:val="424F746D"/>
    <w:rsid w:val="43ED04D4"/>
    <w:rsid w:val="4481F691"/>
    <w:rsid w:val="44958486"/>
    <w:rsid w:val="45AE2974"/>
    <w:rsid w:val="46C66F2E"/>
    <w:rsid w:val="4705802C"/>
    <w:rsid w:val="481C0618"/>
    <w:rsid w:val="49B41289"/>
    <w:rsid w:val="4D4D5883"/>
    <w:rsid w:val="4FA46D4D"/>
    <w:rsid w:val="52740165"/>
    <w:rsid w:val="54784115"/>
    <w:rsid w:val="556613C0"/>
    <w:rsid w:val="55863BAB"/>
    <w:rsid w:val="560D8BEF"/>
    <w:rsid w:val="5AB7C3B6"/>
    <w:rsid w:val="5B351194"/>
    <w:rsid w:val="5E286E23"/>
    <w:rsid w:val="5E47F052"/>
    <w:rsid w:val="5ED93FB6"/>
    <w:rsid w:val="6332983F"/>
    <w:rsid w:val="66282BD7"/>
    <w:rsid w:val="688570D3"/>
    <w:rsid w:val="68F08E21"/>
    <w:rsid w:val="6A312D36"/>
    <w:rsid w:val="6B75DBDC"/>
    <w:rsid w:val="6BC7059F"/>
    <w:rsid w:val="6ED7009F"/>
    <w:rsid w:val="7373166E"/>
    <w:rsid w:val="75C6176C"/>
    <w:rsid w:val="7907CFCC"/>
    <w:rsid w:val="7D486B2D"/>
    <w:rsid w:val="7E0B21CD"/>
    <w:rsid w:val="7E4C0330"/>
    <w:rsid w:val="7E59F30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2679A32-EB9C-4772-96A9-593E14B7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Mencinsinresolver1">
    <w:name w:val="Mención sin resolver1"/>
    <w:basedOn w:val="Fuentedeprrafopredeter"/>
    <w:uiPriority w:val="99"/>
    <w:semiHidden/>
    <w:unhideWhenUsed/>
    <w:rsid w:val="0002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30212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5533717">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3413436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97814720">
      <w:bodyDiv w:val="1"/>
      <w:marLeft w:val="0"/>
      <w:marRight w:val="0"/>
      <w:marTop w:val="0"/>
      <w:marBottom w:val="0"/>
      <w:divBdr>
        <w:top w:val="none" w:sz="0" w:space="0" w:color="auto"/>
        <w:left w:val="none" w:sz="0" w:space="0" w:color="auto"/>
        <w:bottom w:val="none" w:sz="0" w:space="0" w:color="auto"/>
        <w:right w:val="none" w:sz="0" w:space="0" w:color="auto"/>
      </w:divBdr>
    </w:div>
    <w:div w:id="566695237">
      <w:bodyDiv w:val="1"/>
      <w:marLeft w:val="0"/>
      <w:marRight w:val="0"/>
      <w:marTop w:val="0"/>
      <w:marBottom w:val="0"/>
      <w:divBdr>
        <w:top w:val="none" w:sz="0" w:space="0" w:color="auto"/>
        <w:left w:val="none" w:sz="0" w:space="0" w:color="auto"/>
        <w:bottom w:val="none" w:sz="0" w:space="0" w:color="auto"/>
        <w:right w:val="none" w:sz="0" w:space="0" w:color="auto"/>
      </w:divBdr>
    </w:div>
    <w:div w:id="619412003">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12999532">
      <w:bodyDiv w:val="1"/>
      <w:marLeft w:val="0"/>
      <w:marRight w:val="0"/>
      <w:marTop w:val="0"/>
      <w:marBottom w:val="0"/>
      <w:divBdr>
        <w:top w:val="none" w:sz="0" w:space="0" w:color="auto"/>
        <w:left w:val="none" w:sz="0" w:space="0" w:color="auto"/>
        <w:bottom w:val="none" w:sz="0" w:space="0" w:color="auto"/>
        <w:right w:val="none" w:sz="0" w:space="0" w:color="auto"/>
      </w:divBdr>
    </w:div>
    <w:div w:id="1023557039">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61626230">
      <w:bodyDiv w:val="1"/>
      <w:marLeft w:val="0"/>
      <w:marRight w:val="0"/>
      <w:marTop w:val="0"/>
      <w:marBottom w:val="0"/>
      <w:divBdr>
        <w:top w:val="none" w:sz="0" w:space="0" w:color="auto"/>
        <w:left w:val="none" w:sz="0" w:space="0" w:color="auto"/>
        <w:bottom w:val="none" w:sz="0" w:space="0" w:color="auto"/>
        <w:right w:val="none" w:sz="0" w:space="0" w:color="auto"/>
      </w:divBdr>
    </w:div>
    <w:div w:id="1237476272">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4810886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42889775">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4465202">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5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751286-a4e8-4d8a-ac9c-f8504c42fcfb" xsi:nil="true"/>
    <lcf76f155ced4ddcb4097134ff3c332f xmlns="ea559356-b7d8-492d-9298-14d0ebe6e6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5C9467655B364DB1409EA5590C6EC3" ma:contentTypeVersion="14" ma:contentTypeDescription="Create a new document." ma:contentTypeScope="" ma:versionID="8f29b7f4e167dd91fc232eed2ccba6a7">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4ebade436d0dbd549037c3b4d11a7ad6"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cbfe68-259a-44b1-ad9e-2c1f59d7cbd9}"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9860B-E573-46C2-A390-85BAA329EA72}">
  <ds:schemaRefs>
    <ds:schemaRef ds:uri="http://schemas.microsoft.com/sharepoint/v3/contenttype/forms"/>
  </ds:schemaRefs>
</ds:datastoreItem>
</file>

<file path=customXml/itemProps2.xml><?xml version="1.0" encoding="utf-8"?>
<ds:datastoreItem xmlns:ds="http://schemas.openxmlformats.org/officeDocument/2006/customXml" ds:itemID="{30EA6357-0EA4-4DA4-839F-46050AD00E76}">
  <ds:schemaRefs>
    <ds:schemaRef ds:uri="http://schemas.openxmlformats.org/officeDocument/2006/bibliography"/>
  </ds:schemaRefs>
</ds:datastoreItem>
</file>

<file path=customXml/itemProps3.xml><?xml version="1.0" encoding="utf-8"?>
<ds:datastoreItem xmlns:ds="http://schemas.openxmlformats.org/officeDocument/2006/customXml" ds:itemID="{15BFD398-F23E-445D-A030-FE6693451973}">
  <ds:schemaRefs>
    <ds:schemaRef ds:uri="http://schemas.microsoft.com/office/2006/metadata/properties"/>
    <ds:schemaRef ds:uri="http://schemas.microsoft.com/office/infopath/2007/PartnerControls"/>
    <ds:schemaRef ds:uri="70751286-a4e8-4d8a-ac9c-f8504c42fcfb"/>
    <ds:schemaRef ds:uri="ea559356-b7d8-492d-9298-14d0ebe6e63f"/>
  </ds:schemaRefs>
</ds:datastoreItem>
</file>

<file path=customXml/itemProps4.xml><?xml version="1.0" encoding="utf-8"?>
<ds:datastoreItem xmlns:ds="http://schemas.openxmlformats.org/officeDocument/2006/customXml" ds:itemID="{6EE24F79-8890-464F-90AF-7DADCD2D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5001</Words>
  <Characters>27509</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2022-05-10T17:26:00Z</cp:lastPrinted>
  <dcterms:created xsi:type="dcterms:W3CDTF">2022-05-18T17:36:00Z</dcterms:created>
  <dcterms:modified xsi:type="dcterms:W3CDTF">2022-05-18T17:36:00Z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0x010100B75C9467655B364DB1409EA5590C6EC3</vt:lpwstr>
  </property>
</Properties>
</file>