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BD2" w:rsidRDefault="005A0D9D" w:rsidP="00CD665F">
      <w:pPr>
        <w:pStyle w:val="Encabezado"/>
        <w:tabs>
          <w:tab w:val="clear" w:pos="8504"/>
          <w:tab w:val="left" w:pos="0"/>
          <w:tab w:val="right" w:pos="9356"/>
        </w:tabs>
        <w:spacing w:before="120" w:after="120"/>
        <w:rPr>
          <w:rFonts w:ascii="Bookman Old Style" w:hAnsi="Bookman Old Style"/>
          <w:szCs w:val="24"/>
        </w:rP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1.95pt;margin-top:-55.15pt;width:52.5pt;height:48.75pt;z-index:251662848" fillcolor="#0c9">
            <v:imagedata r:id="rId9" o:title=""/>
          </v:shape>
          <o:OLEObject Type="Embed" ProgID="PBrush" ShapeID="_x0000_s1027" DrawAspect="Content" ObjectID="_1498654547" r:id="rId10"/>
        </w:pict>
      </w:r>
    </w:p>
    <w:p w:rsidR="00E03BD2" w:rsidRDefault="00E03BD2" w:rsidP="00E03BD2">
      <w:pPr>
        <w:pStyle w:val="Ttulo4"/>
        <w:tabs>
          <w:tab w:val="left" w:pos="0"/>
          <w:tab w:val="right" w:pos="9356"/>
        </w:tabs>
        <w:rPr>
          <w:rFonts w:ascii="Bookman Old Style" w:hAnsi="Bookman Old Style"/>
          <w:b w:val="0"/>
          <w:bCs/>
          <w:sz w:val="24"/>
          <w:szCs w:val="24"/>
        </w:rPr>
      </w:pPr>
      <w:r>
        <w:rPr>
          <w:rFonts w:ascii="Bookman Old Style" w:hAnsi="Bookman Old Style"/>
          <w:b w:val="0"/>
          <w:bCs/>
          <w:sz w:val="24"/>
          <w:szCs w:val="24"/>
        </w:rPr>
        <w:t>Ministerio de Minas y Energía</w:t>
      </w:r>
    </w:p>
    <w:p w:rsidR="00E03BD2" w:rsidRDefault="00E03BD2" w:rsidP="00E03BD2">
      <w:pPr>
        <w:pStyle w:val="Ttulo3"/>
        <w:tabs>
          <w:tab w:val="left" w:pos="0"/>
          <w:tab w:val="right" w:pos="9356"/>
        </w:tabs>
        <w:rPr>
          <w:rFonts w:ascii="Bookman Old Style" w:hAnsi="Bookman Old Style" w:cs="Arial"/>
          <w:spacing w:val="20"/>
          <w:szCs w:val="24"/>
        </w:rPr>
      </w:pPr>
      <w:r>
        <w:rPr>
          <w:rFonts w:ascii="Bookman Old Style" w:hAnsi="Bookman Old Style" w:cs="Arial"/>
          <w:spacing w:val="20"/>
          <w:szCs w:val="24"/>
        </w:rPr>
        <w:t>COMISIÓN DE REGULACIÓN DE ENERGÍA Y GAS</w:t>
      </w:r>
    </w:p>
    <w:p w:rsidR="009E1157" w:rsidRPr="009E1157" w:rsidRDefault="009E1157" w:rsidP="009E1157">
      <w:pPr>
        <w:rPr>
          <w:lang w:val="es-ES_tradnl"/>
        </w:rPr>
      </w:pPr>
    </w:p>
    <w:p w:rsidR="00E03BD2" w:rsidRDefault="00E03BD2" w:rsidP="00E03BD2">
      <w:pPr>
        <w:pStyle w:val="Ttulo5"/>
        <w:tabs>
          <w:tab w:val="left" w:pos="0"/>
          <w:tab w:val="right" w:pos="9356"/>
        </w:tabs>
        <w:rPr>
          <w:rFonts w:ascii="Bookman Old Style" w:hAnsi="Bookman Old Style"/>
          <w:sz w:val="24"/>
          <w:szCs w:val="24"/>
        </w:rPr>
      </w:pPr>
      <w:r>
        <w:rPr>
          <w:rFonts w:ascii="Bookman Old Style" w:hAnsi="Bookman Old Style"/>
          <w:sz w:val="24"/>
          <w:szCs w:val="24"/>
        </w:rPr>
        <w:t>RESOLUCIÓN No.                   DE 201</w:t>
      </w:r>
      <w:r w:rsidR="00FA3338">
        <w:rPr>
          <w:rFonts w:ascii="Bookman Old Style" w:hAnsi="Bookman Old Style"/>
          <w:sz w:val="24"/>
          <w:szCs w:val="24"/>
        </w:rPr>
        <w:t>5</w:t>
      </w:r>
    </w:p>
    <w:p w:rsidR="00E03BD2" w:rsidRDefault="00E03BD2" w:rsidP="00E03BD2">
      <w:pPr>
        <w:pStyle w:val="Ttulo3"/>
        <w:tabs>
          <w:tab w:val="left" w:pos="0"/>
          <w:tab w:val="right" w:pos="9356"/>
        </w:tabs>
        <w:rPr>
          <w:rFonts w:ascii="Bookman Old Style" w:hAnsi="Bookman Old Style"/>
          <w:b w:val="0"/>
          <w:szCs w:val="24"/>
        </w:rPr>
      </w:pPr>
      <w:r>
        <w:rPr>
          <w:rFonts w:ascii="Bookman Old Style" w:hAnsi="Bookman Old Style"/>
          <w:b w:val="0"/>
          <w:szCs w:val="24"/>
        </w:rPr>
        <w:t>(                                  )</w:t>
      </w:r>
    </w:p>
    <w:p w:rsidR="00CE51FF" w:rsidRPr="00CE51FF" w:rsidRDefault="00CE51FF" w:rsidP="00CE51FF">
      <w:pPr>
        <w:rPr>
          <w:lang w:val="es-ES_tradnl"/>
        </w:rPr>
      </w:pPr>
    </w:p>
    <w:p w:rsidR="00E03BD2" w:rsidRDefault="00CF0B66" w:rsidP="00CF0B66">
      <w:pPr>
        <w:pStyle w:val="Textonotapie"/>
        <w:jc w:val="center"/>
        <w:rPr>
          <w:rFonts w:ascii="Bookman Old Style" w:hAnsi="Bookman Old Style" w:cs="Arial"/>
        </w:rPr>
      </w:pPr>
      <w:r w:rsidRPr="00ED56A2">
        <w:rPr>
          <w:rFonts w:ascii="Bookman Old Style" w:hAnsi="Bookman Old Style" w:cs="Arial"/>
          <w:sz w:val="24"/>
          <w:szCs w:val="24"/>
        </w:rPr>
        <w:t xml:space="preserve">Por la cual se actualiza </w:t>
      </w:r>
      <w:r>
        <w:rPr>
          <w:rFonts w:ascii="Bookman Old Style" w:hAnsi="Bookman Old Style" w:cs="Arial"/>
          <w:sz w:val="24"/>
          <w:szCs w:val="24"/>
        </w:rPr>
        <w:t xml:space="preserve">el </w:t>
      </w:r>
      <w:r w:rsidRPr="00DF08CA">
        <w:rPr>
          <w:rFonts w:ascii="Bookman Old Style" w:hAnsi="Bookman Old Style" w:cs="Arial"/>
          <w:sz w:val="24"/>
          <w:szCs w:val="24"/>
        </w:rPr>
        <w:t xml:space="preserve">Costo Anual por el uso de los Activos del Nivel de </w:t>
      </w:r>
      <w:r w:rsidRPr="00196076">
        <w:rPr>
          <w:rFonts w:ascii="Bookman Old Style" w:hAnsi="Bookman Old Style" w:cs="Arial"/>
          <w:sz w:val="24"/>
          <w:szCs w:val="24"/>
        </w:rPr>
        <w:t xml:space="preserve">Tensión 4 </w:t>
      </w:r>
      <w:r w:rsidRPr="00DF08CA">
        <w:rPr>
          <w:rFonts w:ascii="Bookman Old Style" w:hAnsi="Bookman Old Style" w:cs="Arial"/>
          <w:sz w:val="24"/>
          <w:szCs w:val="24"/>
        </w:rPr>
        <w:t xml:space="preserve">operados por </w:t>
      </w:r>
      <w:r>
        <w:rPr>
          <w:rFonts w:ascii="Bookman Old Style" w:hAnsi="Bookman Old Style" w:cs="Arial"/>
          <w:sz w:val="24"/>
          <w:szCs w:val="24"/>
        </w:rPr>
        <w:t xml:space="preserve">Empresas Públicas de Medellín </w:t>
      </w:r>
      <w:r w:rsidRPr="00DF08CA">
        <w:rPr>
          <w:rFonts w:ascii="Bookman Old Style" w:hAnsi="Bookman Old Style" w:cs="Arial"/>
          <w:sz w:val="24"/>
          <w:szCs w:val="24"/>
        </w:rPr>
        <w:t>E.S.P. en el Sistema de Transmisión Regional</w:t>
      </w:r>
      <w:r w:rsidR="00FF3C2F">
        <w:rPr>
          <w:rFonts w:ascii="Bookman Old Style" w:hAnsi="Bookman Old Style" w:cs="Arial"/>
          <w:sz w:val="24"/>
          <w:szCs w:val="24"/>
        </w:rPr>
        <w:t>,</w:t>
      </w:r>
      <w:r w:rsidRPr="00DF08CA">
        <w:rPr>
          <w:rFonts w:ascii="Bookman Old Style" w:hAnsi="Bookman Old Style" w:cs="Arial"/>
          <w:sz w:val="24"/>
          <w:szCs w:val="24"/>
        </w:rPr>
        <w:t xml:space="preserve"> STR.</w:t>
      </w:r>
    </w:p>
    <w:p w:rsidR="00DB043F" w:rsidRDefault="00DB043F" w:rsidP="00E03BD2">
      <w:pPr>
        <w:jc w:val="center"/>
        <w:rPr>
          <w:b/>
        </w:rPr>
      </w:pPr>
    </w:p>
    <w:p w:rsidR="00E03BD2" w:rsidRDefault="00E03BD2" w:rsidP="00E03BD2">
      <w:pPr>
        <w:jc w:val="center"/>
        <w:rPr>
          <w:b/>
        </w:rPr>
      </w:pPr>
      <w:r>
        <w:rPr>
          <w:b/>
        </w:rPr>
        <w:t>LA COMISIÓN DE REGULACIÓN DE ENERGÍA Y GAS</w:t>
      </w:r>
    </w:p>
    <w:p w:rsidR="00E03BD2" w:rsidRDefault="00E03BD2" w:rsidP="00E03BD2">
      <w:pPr>
        <w:rPr>
          <w:rFonts w:cs="Arial"/>
        </w:rPr>
      </w:pPr>
    </w:p>
    <w:p w:rsidR="00E03BD2" w:rsidRDefault="003F5923" w:rsidP="003F5923">
      <w:pPr>
        <w:spacing w:before="0" w:after="0"/>
        <w:rPr>
          <w:rFonts w:cs="Arial"/>
        </w:rPr>
      </w:pPr>
      <w:r>
        <w:rPr>
          <w:rFonts w:cs="Arial"/>
        </w:rPr>
        <w:t>e</w:t>
      </w:r>
      <w:r w:rsidR="00E03BD2">
        <w:rPr>
          <w:rFonts w:cs="Arial"/>
        </w:rPr>
        <w:t xml:space="preserve">n ejercicio de las atribuciones legales, en especial las conferidas por las </w:t>
      </w:r>
      <w:r>
        <w:rPr>
          <w:rFonts w:cs="Arial"/>
        </w:rPr>
        <w:t>l</w:t>
      </w:r>
      <w:r w:rsidR="00E03BD2">
        <w:rPr>
          <w:rFonts w:cs="Arial"/>
        </w:rPr>
        <w:t>eyes 142 y 143 de 1994, y los decretos 1524 y 2253 de 1994</w:t>
      </w:r>
      <w:r w:rsidR="00FA3338">
        <w:rPr>
          <w:rFonts w:cs="Arial"/>
        </w:rPr>
        <w:t xml:space="preserve"> y 1260 de 2013, y</w:t>
      </w:r>
    </w:p>
    <w:p w:rsidR="003F5923" w:rsidRDefault="003F5923" w:rsidP="003F5923">
      <w:pPr>
        <w:spacing w:before="0" w:after="0"/>
        <w:jc w:val="center"/>
        <w:rPr>
          <w:b/>
        </w:rPr>
      </w:pPr>
    </w:p>
    <w:p w:rsidR="00E03BD2" w:rsidRDefault="00E03BD2" w:rsidP="00DB043F">
      <w:pPr>
        <w:spacing w:before="360" w:after="360"/>
        <w:jc w:val="center"/>
        <w:rPr>
          <w:rFonts w:cs="Arial"/>
          <w:b/>
        </w:rPr>
      </w:pPr>
      <w:r>
        <w:rPr>
          <w:b/>
        </w:rPr>
        <w:t>CONSIDERANDO</w:t>
      </w:r>
      <w:r w:rsidR="003F5923">
        <w:rPr>
          <w:b/>
        </w:rPr>
        <w:t xml:space="preserve"> </w:t>
      </w:r>
      <w:r w:rsidR="006B5E80">
        <w:rPr>
          <w:b/>
        </w:rPr>
        <w:t xml:space="preserve"> QUE</w:t>
      </w:r>
      <w:r>
        <w:rPr>
          <w:rFonts w:cs="Arial"/>
          <w:b/>
        </w:rPr>
        <w:t>:</w:t>
      </w:r>
    </w:p>
    <w:p w:rsidR="00CF0B66" w:rsidRPr="00CF0B66" w:rsidRDefault="006B5E80" w:rsidP="00DB043F">
      <w:r>
        <w:t>D</w:t>
      </w:r>
      <w:r w:rsidR="00CF0B66" w:rsidRPr="00CF0B66">
        <w:t xml:space="preserve">e acuerdo con lo previsto en el </w:t>
      </w:r>
      <w:r w:rsidR="00FA3338">
        <w:t xml:space="preserve">literal d) del </w:t>
      </w:r>
      <w:r w:rsidR="00CF0B66" w:rsidRPr="00CF0B66">
        <w:t>Artículo 23 y 41 de la Ley 143 de 1994, es función de la Comisión de Regulación de Energía y Gas fijar las tarifas por el acceso y uso de las redes eléctricas</w:t>
      </w:r>
      <w:r w:rsidR="00DA0D4A">
        <w:t>.</w:t>
      </w:r>
    </w:p>
    <w:p w:rsidR="00CF0B66" w:rsidRPr="00CF0B66" w:rsidRDefault="006B5E80" w:rsidP="00DB043F">
      <w:r>
        <w:t>M</w:t>
      </w:r>
      <w:r w:rsidR="00CF0B66" w:rsidRPr="00CF0B66">
        <w:t>ediante la Resolución CREG 097 de 2008 modificada por las Resoluciones CREG 133, 135 y 166 de 2008, la Comisión aprobó los principios generales y la metodología para el establecimiento de los Cargos por Uso de los Sistemas de Transmisión Regional</w:t>
      </w:r>
      <w:r w:rsidR="00FF3C2F">
        <w:t>,</w:t>
      </w:r>
      <w:r w:rsidR="00CF0B66" w:rsidRPr="00CF0B66">
        <w:t xml:space="preserve"> STR</w:t>
      </w:r>
      <w:r w:rsidR="00FF3C2F">
        <w:t>,</w:t>
      </w:r>
      <w:r w:rsidR="00CF0B66" w:rsidRPr="00CF0B66">
        <w:t xml:space="preserve"> y de Distribución Local</w:t>
      </w:r>
      <w:r w:rsidR="00FF3C2F">
        <w:t xml:space="preserve">, </w:t>
      </w:r>
      <w:r w:rsidR="00CF0B66" w:rsidRPr="00CF0B66">
        <w:t>SDL</w:t>
      </w:r>
      <w:r w:rsidR="00DA0D4A">
        <w:t>.</w:t>
      </w:r>
    </w:p>
    <w:p w:rsidR="00CF0B66" w:rsidRPr="00CF0B66" w:rsidRDefault="006B5E80" w:rsidP="00DB043F">
      <w:r>
        <w:t>L</w:t>
      </w:r>
      <w:r w:rsidR="00CF0B66" w:rsidRPr="00CF0B66">
        <w:t xml:space="preserve">a Comisión de Regulación de Energía y Gas, expidió la Resolución CREG 105 de 2009, </w:t>
      </w:r>
      <w:r w:rsidR="00FF3C2F">
        <w:t>p</w:t>
      </w:r>
      <w:r w:rsidR="00CF0B66" w:rsidRPr="00CF0B66">
        <w:t xml:space="preserve">or la cual se fijan y aprueban el Costo Anual por el uso de los Activos del Nivel de Tensión 4, los cargos unificados de distribución y comercialización, aplicables a los usuarios del nuevo Sistema de Transmisión Regional y/o Distribución Local, resultante de la integración de los mercados de comercialización y distribución de energía eléctrica operados por Empresas Públicas de Medellín E.S.P. y el Municipio de Campamento y de la aplicación de la metodología tarifaria adoptada </w:t>
      </w:r>
      <w:r w:rsidR="009E1157">
        <w:t xml:space="preserve">en </w:t>
      </w:r>
      <w:r w:rsidR="00CF0B66" w:rsidRPr="00CF0B66">
        <w:t>la Resolución CREG 097 de 2008</w:t>
      </w:r>
      <w:r w:rsidR="00DA0D4A">
        <w:t>.</w:t>
      </w:r>
    </w:p>
    <w:p w:rsidR="009E1157" w:rsidRDefault="006B5E80" w:rsidP="00DB043F">
      <w:r>
        <w:t>L</w:t>
      </w:r>
      <w:r w:rsidR="00397B9A">
        <w:t xml:space="preserve">a </w:t>
      </w:r>
      <w:r w:rsidR="00683629">
        <w:t>Comisión de Regulación de Energía y Gas</w:t>
      </w:r>
      <w:r w:rsidR="007D5750">
        <w:t>,</w:t>
      </w:r>
      <w:r w:rsidR="00683629">
        <w:t xml:space="preserve"> </w:t>
      </w:r>
      <w:r w:rsidR="007D5750">
        <w:t>m</w:t>
      </w:r>
      <w:r w:rsidR="00683629">
        <w:t>e</w:t>
      </w:r>
      <w:r w:rsidR="007D5750">
        <w:t xml:space="preserve">diante las resoluciones </w:t>
      </w:r>
      <w:r w:rsidR="00397B9A">
        <w:t xml:space="preserve">CREG </w:t>
      </w:r>
      <w:r w:rsidR="007D5750">
        <w:t xml:space="preserve">026 de 2010, </w:t>
      </w:r>
      <w:r w:rsidR="00397B9A">
        <w:t>180 de 2011</w:t>
      </w:r>
      <w:r w:rsidR="00E43925">
        <w:t>,</w:t>
      </w:r>
      <w:r w:rsidR="00397B9A">
        <w:t xml:space="preserve"> </w:t>
      </w:r>
      <w:r w:rsidR="007D5750">
        <w:t>014 de 2012, 069 de 2012, 051 de 2013</w:t>
      </w:r>
      <w:r w:rsidR="00104859">
        <w:t>,</w:t>
      </w:r>
      <w:r w:rsidR="007D5750">
        <w:t xml:space="preserve"> 003</w:t>
      </w:r>
      <w:r w:rsidR="00104859">
        <w:t>, 131 y 190</w:t>
      </w:r>
      <w:r w:rsidR="007D5750">
        <w:t xml:space="preserve"> de 2014, </w:t>
      </w:r>
      <w:r w:rsidR="00397B9A" w:rsidRPr="00397B9A">
        <w:t>actualiz</w:t>
      </w:r>
      <w:r w:rsidR="00397B9A">
        <w:t>ó</w:t>
      </w:r>
      <w:r w:rsidR="00397B9A" w:rsidRPr="00397B9A">
        <w:t xml:space="preserve"> el Costo Anual por el uso de los Activos del Nivel de Tensión 4 operados por Empresas Públicas de Medellín E.S.P. en el Sistema de Transmisión Regional</w:t>
      </w:r>
      <w:r w:rsidR="00DA0D4A">
        <w:t>.</w:t>
      </w:r>
    </w:p>
    <w:p w:rsidR="00392A0B" w:rsidRDefault="00B0723B" w:rsidP="00DB043F">
      <w:r>
        <w:lastRenderedPageBreak/>
        <w:t>A</w:t>
      </w:r>
      <w:r w:rsidR="00392A0B" w:rsidRPr="00392A0B">
        <w:t xml:space="preserve"> través de la comunicación </w:t>
      </w:r>
      <w:r w:rsidR="00A53C7F">
        <w:t xml:space="preserve">con </w:t>
      </w:r>
      <w:r w:rsidR="00392A0B" w:rsidRPr="00392A0B">
        <w:t>radicad</w:t>
      </w:r>
      <w:r w:rsidR="00A53C7F">
        <w:t xml:space="preserve">o </w:t>
      </w:r>
      <w:r w:rsidR="007D5750">
        <w:t xml:space="preserve">CREG </w:t>
      </w:r>
      <w:r w:rsidR="007D5750" w:rsidRPr="007D5750">
        <w:t>E</w:t>
      </w:r>
      <w:r>
        <w:noBreakHyphen/>
      </w:r>
      <w:r w:rsidR="007D5750" w:rsidRPr="007D5750">
        <w:t>2014-0</w:t>
      </w:r>
      <w:r w:rsidR="00104859">
        <w:t>1</w:t>
      </w:r>
      <w:r w:rsidR="007D5750" w:rsidRPr="007D5750">
        <w:t>0</w:t>
      </w:r>
      <w:r w:rsidR="00104859">
        <w:t>303</w:t>
      </w:r>
      <w:r w:rsidR="00392A0B" w:rsidRPr="00392A0B">
        <w:t xml:space="preserve">, </w:t>
      </w:r>
      <w:r w:rsidRPr="00392A0B">
        <w:t>Empresas Públicas de Medellín E.S.P.</w:t>
      </w:r>
      <w:r w:rsidR="00392A0B" w:rsidRPr="00392A0B">
        <w:t xml:space="preserve"> solicit</w:t>
      </w:r>
      <w:r w:rsidR="00392A0B">
        <w:t>ó</w:t>
      </w:r>
      <w:r w:rsidR="00392A0B" w:rsidRPr="00392A0B">
        <w:t xml:space="preserve"> la </w:t>
      </w:r>
      <w:r w:rsidR="00392A0B">
        <w:t>a</w:t>
      </w:r>
      <w:r w:rsidR="00392A0B" w:rsidRPr="00392A0B">
        <w:t xml:space="preserve">ctualización del Costo Anual por uso de los Activos de Nivel de Tensión 4 por </w:t>
      </w:r>
      <w:r w:rsidR="000F038B">
        <w:t xml:space="preserve">la </w:t>
      </w:r>
      <w:r w:rsidR="00CD665F">
        <w:t xml:space="preserve">entrada en operación de </w:t>
      </w:r>
      <w:r w:rsidR="00104859">
        <w:t xml:space="preserve">nuevos activos en las </w:t>
      </w:r>
      <w:r w:rsidR="000F038B">
        <w:t>subestaci</w:t>
      </w:r>
      <w:r w:rsidR="00104859">
        <w:t>ones Malena y Cerromatoso</w:t>
      </w:r>
      <w:r>
        <w:t xml:space="preserve">, </w:t>
      </w:r>
      <w:r w:rsidRPr="00392A0B">
        <w:t>con base en lo establecido en el artículo 9 de la Resolución CREG 097 de 2008</w:t>
      </w:r>
      <w:r w:rsidR="00DA0D4A">
        <w:t>.</w:t>
      </w:r>
    </w:p>
    <w:p w:rsidR="00104859" w:rsidRDefault="00104859" w:rsidP="00DB043F">
      <w:r w:rsidRPr="00392A0B">
        <w:t>Empresas Públicas de Medellín E.S.P.</w:t>
      </w:r>
      <w:r>
        <w:t xml:space="preserve">, mediante la </w:t>
      </w:r>
      <w:r w:rsidRPr="00392A0B">
        <w:t xml:space="preserve">comunicación </w:t>
      </w:r>
      <w:r>
        <w:t xml:space="preserve">con </w:t>
      </w:r>
      <w:r w:rsidRPr="00392A0B">
        <w:t>radicad</w:t>
      </w:r>
      <w:r>
        <w:t xml:space="preserve">o CREG </w:t>
      </w:r>
      <w:r w:rsidRPr="007D5750">
        <w:t>E</w:t>
      </w:r>
      <w:r>
        <w:noBreakHyphen/>
      </w:r>
      <w:r w:rsidRPr="007D5750">
        <w:t>2014-0</w:t>
      </w:r>
      <w:r>
        <w:t>11782,</w:t>
      </w:r>
      <w:r w:rsidRPr="00392A0B">
        <w:t xml:space="preserve"> solicit</w:t>
      </w:r>
      <w:r>
        <w:t>ó</w:t>
      </w:r>
      <w:r w:rsidRPr="00392A0B">
        <w:t xml:space="preserve"> la </w:t>
      </w:r>
      <w:r>
        <w:t>a</w:t>
      </w:r>
      <w:r w:rsidRPr="00392A0B">
        <w:t xml:space="preserve">ctualización del Costo Anual por uso de los Activos de Nivel de Tensión 4 por </w:t>
      </w:r>
      <w:r>
        <w:t xml:space="preserve">la entrada en operación de nuevos activos en la subestación Caucheras, </w:t>
      </w:r>
      <w:r w:rsidRPr="00392A0B">
        <w:t>con base en lo establecido en el artículo 9 de la Resolución CREG 097 de 2008</w:t>
      </w:r>
      <w:r>
        <w:t>.</w:t>
      </w:r>
    </w:p>
    <w:p w:rsidR="00CF0B66" w:rsidRPr="00104859" w:rsidRDefault="00A40710" w:rsidP="00DB043F">
      <w:r>
        <w:t>M</w:t>
      </w:r>
      <w:r w:rsidR="00CF0B66" w:rsidRPr="004222A7">
        <w:t>ediante Auto</w:t>
      </w:r>
      <w:r w:rsidR="00250C72" w:rsidRPr="004222A7">
        <w:t xml:space="preserve"> co</w:t>
      </w:r>
      <w:r w:rsidR="00250C72" w:rsidRPr="00104859">
        <w:t>n radicado CREG I-201</w:t>
      </w:r>
      <w:r w:rsidR="004222A7" w:rsidRPr="00104859">
        <w:t>4</w:t>
      </w:r>
      <w:r w:rsidR="00250C72" w:rsidRPr="00104859">
        <w:t>-</w:t>
      </w:r>
      <w:r w:rsidR="00104859" w:rsidRPr="00355270">
        <w:t>00</w:t>
      </w:r>
      <w:r w:rsidR="00104859" w:rsidRPr="00104859">
        <w:t>5522</w:t>
      </w:r>
      <w:r w:rsidR="00A53C7F" w:rsidRPr="00104859">
        <w:t>,</w:t>
      </w:r>
      <w:r w:rsidR="007D5750" w:rsidRPr="00104859">
        <w:t xml:space="preserve"> </w:t>
      </w:r>
      <w:r w:rsidR="00CF0B66" w:rsidRPr="00104859">
        <w:t xml:space="preserve">la CREG inició la </w:t>
      </w:r>
      <w:r w:rsidR="00B0723B" w:rsidRPr="00104859">
        <w:t>a</w:t>
      </w:r>
      <w:r w:rsidR="00CF0B66" w:rsidRPr="00104859">
        <w:t xml:space="preserve">ctuación </w:t>
      </w:r>
      <w:r w:rsidR="00B0723B" w:rsidRPr="00104859">
        <w:t>a</w:t>
      </w:r>
      <w:r w:rsidR="00CF0B66" w:rsidRPr="00104859">
        <w:t xml:space="preserve">dministrativa con el objeto de decidir la solicitud de modificación del Costo Anual por Uso de los Activos de Nivel de Tensión 4 </w:t>
      </w:r>
      <w:r w:rsidR="00CD665F" w:rsidRPr="00104859">
        <w:t>por la entrada en operación de activos en la</w:t>
      </w:r>
      <w:r w:rsidR="00104859" w:rsidRPr="00104859">
        <w:t>s</w:t>
      </w:r>
      <w:r w:rsidR="00CD665F" w:rsidRPr="00104859">
        <w:t xml:space="preserve"> subestaci</w:t>
      </w:r>
      <w:r w:rsidR="00104859" w:rsidRPr="00104859">
        <w:t>ones</w:t>
      </w:r>
      <w:r w:rsidR="00CD665F" w:rsidRPr="00104859">
        <w:t xml:space="preserve"> </w:t>
      </w:r>
      <w:r w:rsidR="00104859" w:rsidRPr="00104859">
        <w:t>Malena, Cerromatoso y Caucheras</w:t>
      </w:r>
      <w:r w:rsidR="00DA0D4A" w:rsidRPr="00104859">
        <w:t>.</w:t>
      </w:r>
    </w:p>
    <w:p w:rsidR="00CF0B66" w:rsidRPr="00CF0B66" w:rsidRDefault="00B0723B" w:rsidP="00DB043F">
      <w:r w:rsidRPr="00104859">
        <w:t xml:space="preserve">La Comisión publicó en su página web y en el </w:t>
      </w:r>
      <w:r w:rsidRPr="00104859">
        <w:rPr>
          <w:i/>
        </w:rPr>
        <w:t>Diario Oficial</w:t>
      </w:r>
      <w:r w:rsidRPr="00104859">
        <w:t xml:space="preserve"> No.49.</w:t>
      </w:r>
      <w:r w:rsidR="00104859" w:rsidRPr="004B303D">
        <w:t>376</w:t>
      </w:r>
      <w:r w:rsidRPr="00104859">
        <w:t xml:space="preserve"> del </w:t>
      </w:r>
      <w:r w:rsidR="00104859" w:rsidRPr="004B303D">
        <w:t>2</w:t>
      </w:r>
      <w:r w:rsidRPr="00104859">
        <w:t xml:space="preserve">6 de </w:t>
      </w:r>
      <w:r w:rsidR="00104859" w:rsidRPr="004B303D">
        <w:t xml:space="preserve">diciembre </w:t>
      </w:r>
      <w:r w:rsidRPr="00104859">
        <w:t>de 2014 un extracto informativo sobre la actuación administrativa</w:t>
      </w:r>
      <w:r w:rsidR="00DA0D4A" w:rsidRPr="00104859">
        <w:t>.</w:t>
      </w:r>
    </w:p>
    <w:p w:rsidR="00CD6DDF" w:rsidRDefault="00B0723B" w:rsidP="00DB043F">
      <w:r>
        <w:t>M</w:t>
      </w:r>
      <w:r w:rsidRPr="00CF0B66">
        <w:t xml:space="preserve">ediante la comunicación </w:t>
      </w:r>
      <w:r w:rsidRPr="004B303D">
        <w:t>CREG S-2014-0</w:t>
      </w:r>
      <w:r w:rsidR="00130E6E" w:rsidRPr="004B303D">
        <w:t>05532</w:t>
      </w:r>
      <w:r w:rsidRPr="00CF0B66">
        <w:t xml:space="preserve"> se </w:t>
      </w:r>
      <w:r>
        <w:t xml:space="preserve">informó </w:t>
      </w:r>
      <w:r w:rsidRPr="00CF0B66">
        <w:t xml:space="preserve">a Empresas Públicas de Medellín E.S.P. </w:t>
      </w:r>
      <w:r>
        <w:t>sobre la formación del expediente administrativo</w:t>
      </w:r>
      <w:r w:rsidR="00DA0D4A">
        <w:t>.</w:t>
      </w:r>
    </w:p>
    <w:p w:rsidR="006E657F" w:rsidRDefault="006E657F" w:rsidP="00DB043F">
      <w:r>
        <w:t>Que c</w:t>
      </w:r>
      <w:r w:rsidRPr="006E657F">
        <w:t xml:space="preserve">on base en los análisis efectuados </w:t>
      </w:r>
      <w:r w:rsidR="00B0723B" w:rsidRPr="006E657F">
        <w:t xml:space="preserve">se </w:t>
      </w:r>
      <w:r w:rsidR="00B0723B">
        <w:t xml:space="preserve">considera pertinente </w:t>
      </w:r>
      <w:r w:rsidR="00B0723B" w:rsidRPr="006E657F">
        <w:t>inclu</w:t>
      </w:r>
      <w:r w:rsidR="00B0723B">
        <w:t xml:space="preserve">ir </w:t>
      </w:r>
      <w:r w:rsidR="00B0723B" w:rsidRPr="006E657F">
        <w:t xml:space="preserve">las siguientes Unidades </w:t>
      </w:r>
      <w:r w:rsidR="00B0723B">
        <w:t>C</w:t>
      </w:r>
      <w:r w:rsidR="00B0723B" w:rsidRPr="006E657F">
        <w:t>onstructivas</w:t>
      </w:r>
      <w:r w:rsidR="00B0723B">
        <w:t xml:space="preserve"> de la</w:t>
      </w:r>
      <w:r w:rsidR="00104859">
        <w:t>s</w:t>
      </w:r>
      <w:r w:rsidR="00B0723B">
        <w:t xml:space="preserve"> subestaci</w:t>
      </w:r>
      <w:r w:rsidR="00104859">
        <w:t>ones</w:t>
      </w:r>
      <w:r w:rsidR="00B0723B">
        <w:t xml:space="preserve"> </w:t>
      </w:r>
      <w:r w:rsidR="00104859">
        <w:t>Malena, Cerromatoso y Caucheras</w:t>
      </w:r>
      <w:r w:rsidR="00104859" w:rsidDel="00104859">
        <w:t xml:space="preserve"> </w:t>
      </w:r>
      <w:r w:rsidR="00B0723B" w:rsidRPr="006E657F">
        <w:t>en el inventario de activos de Nivel de Tensión 4 de Empresas Públicas de Medellín E.S.P.</w:t>
      </w:r>
      <w:r w:rsidR="00B0723B">
        <w:t>:</w:t>
      </w:r>
    </w:p>
    <w:tbl>
      <w:tblPr>
        <w:tblW w:w="0" w:type="auto"/>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5"/>
        <w:gridCol w:w="1559"/>
        <w:gridCol w:w="4427"/>
        <w:gridCol w:w="1868"/>
      </w:tblGrid>
      <w:tr w:rsidR="00B0723B" w:rsidRPr="000F038B" w:rsidTr="009D4F8E">
        <w:trPr>
          <w:trHeight w:val="600"/>
          <w:tblHeader/>
          <w:jc w:val="center"/>
        </w:trPr>
        <w:tc>
          <w:tcPr>
            <w:tcW w:w="1565" w:type="dxa"/>
            <w:shd w:val="clear" w:color="auto" w:fill="D9D9D9" w:themeFill="background1" w:themeFillShade="D9"/>
            <w:vAlign w:val="center"/>
            <w:hideMark/>
          </w:tcPr>
          <w:p w:rsidR="00B0723B" w:rsidRPr="000F038B" w:rsidRDefault="00B0723B" w:rsidP="00DD3D0E">
            <w:pPr>
              <w:spacing w:before="0" w:after="0"/>
              <w:jc w:val="center"/>
              <w:rPr>
                <w:b/>
                <w:bCs/>
                <w:i/>
                <w:iCs/>
                <w:color w:val="000000"/>
                <w:sz w:val="20"/>
                <w:szCs w:val="22"/>
                <w:lang w:val="es-CO" w:eastAsia="es-CO"/>
              </w:rPr>
            </w:pPr>
            <w:r w:rsidRPr="000F038B">
              <w:rPr>
                <w:b/>
                <w:bCs/>
                <w:i/>
                <w:iCs/>
                <w:color w:val="000000"/>
                <w:sz w:val="20"/>
                <w:szCs w:val="22"/>
                <w:lang w:val="es-CO" w:eastAsia="es-CO"/>
              </w:rPr>
              <w:t>Unidad Constructiva</w:t>
            </w:r>
          </w:p>
        </w:tc>
        <w:tc>
          <w:tcPr>
            <w:tcW w:w="1559" w:type="dxa"/>
            <w:shd w:val="clear" w:color="auto" w:fill="D9D9D9" w:themeFill="background1" w:themeFillShade="D9"/>
            <w:vAlign w:val="center"/>
            <w:hideMark/>
          </w:tcPr>
          <w:p w:rsidR="00B0723B" w:rsidRPr="000F038B" w:rsidRDefault="00B0723B" w:rsidP="00DD3D0E">
            <w:pPr>
              <w:spacing w:before="0" w:after="0"/>
              <w:jc w:val="center"/>
              <w:rPr>
                <w:b/>
                <w:bCs/>
                <w:i/>
                <w:iCs/>
                <w:color w:val="000000"/>
                <w:sz w:val="20"/>
                <w:szCs w:val="22"/>
                <w:lang w:val="es-CO" w:eastAsia="es-CO"/>
              </w:rPr>
            </w:pPr>
            <w:r w:rsidRPr="000F038B">
              <w:rPr>
                <w:b/>
                <w:bCs/>
                <w:i/>
                <w:iCs/>
                <w:color w:val="000000"/>
                <w:sz w:val="20"/>
                <w:szCs w:val="22"/>
                <w:lang w:val="es-CO" w:eastAsia="es-CO"/>
              </w:rPr>
              <w:t>Código Subestación</w:t>
            </w:r>
            <w:r>
              <w:rPr>
                <w:b/>
                <w:bCs/>
                <w:i/>
                <w:iCs/>
                <w:color w:val="000000"/>
                <w:sz w:val="20"/>
                <w:szCs w:val="22"/>
                <w:lang w:val="es-CO" w:eastAsia="es-CO"/>
              </w:rPr>
              <w:t xml:space="preserve"> / Línea </w:t>
            </w:r>
          </w:p>
        </w:tc>
        <w:tc>
          <w:tcPr>
            <w:tcW w:w="4427" w:type="dxa"/>
            <w:shd w:val="clear" w:color="auto" w:fill="D9D9D9" w:themeFill="background1" w:themeFillShade="D9"/>
            <w:noWrap/>
            <w:vAlign w:val="center"/>
            <w:hideMark/>
          </w:tcPr>
          <w:p w:rsidR="00B0723B" w:rsidRPr="000F038B" w:rsidRDefault="00B0723B" w:rsidP="00DD3D0E">
            <w:pPr>
              <w:spacing w:before="0" w:after="0"/>
              <w:jc w:val="center"/>
              <w:rPr>
                <w:b/>
                <w:bCs/>
                <w:i/>
                <w:iCs/>
                <w:color w:val="000000"/>
                <w:sz w:val="20"/>
                <w:szCs w:val="22"/>
                <w:lang w:val="es-CO" w:eastAsia="es-CO"/>
              </w:rPr>
            </w:pPr>
            <w:r w:rsidRPr="000F038B">
              <w:rPr>
                <w:b/>
                <w:bCs/>
                <w:i/>
                <w:iCs/>
                <w:color w:val="000000"/>
                <w:sz w:val="20"/>
                <w:szCs w:val="22"/>
                <w:lang w:val="es-CO" w:eastAsia="es-CO"/>
              </w:rPr>
              <w:t>Descripción de la unidad constructiva</w:t>
            </w:r>
          </w:p>
        </w:tc>
        <w:tc>
          <w:tcPr>
            <w:tcW w:w="1868" w:type="dxa"/>
            <w:shd w:val="clear" w:color="auto" w:fill="D9D9D9" w:themeFill="background1" w:themeFillShade="D9"/>
            <w:vAlign w:val="center"/>
            <w:hideMark/>
          </w:tcPr>
          <w:p w:rsidR="00B0723B" w:rsidRPr="000F038B" w:rsidRDefault="00B0723B" w:rsidP="00DD3D0E">
            <w:pPr>
              <w:spacing w:before="0" w:after="0"/>
              <w:jc w:val="center"/>
              <w:rPr>
                <w:b/>
                <w:bCs/>
                <w:i/>
                <w:iCs/>
                <w:color w:val="000000"/>
                <w:sz w:val="20"/>
                <w:szCs w:val="22"/>
                <w:lang w:val="es-CO" w:eastAsia="es-CO"/>
              </w:rPr>
            </w:pPr>
            <w:r w:rsidRPr="000F038B">
              <w:rPr>
                <w:b/>
                <w:bCs/>
                <w:i/>
                <w:iCs/>
                <w:color w:val="000000"/>
                <w:sz w:val="20"/>
                <w:szCs w:val="22"/>
                <w:lang w:val="es-CO" w:eastAsia="es-CO"/>
              </w:rPr>
              <w:t>Cantidad</w:t>
            </w:r>
          </w:p>
        </w:tc>
      </w:tr>
      <w:tr w:rsidR="00626C8A" w:rsidRPr="00355270" w:rsidTr="009D4F8E">
        <w:trPr>
          <w:trHeight w:val="448"/>
          <w:jc w:val="center"/>
        </w:trPr>
        <w:tc>
          <w:tcPr>
            <w:tcW w:w="1565" w:type="dxa"/>
            <w:shd w:val="clear" w:color="auto" w:fill="auto"/>
            <w:noWrap/>
            <w:vAlign w:val="center"/>
          </w:tcPr>
          <w:p w:rsidR="00626C8A" w:rsidRPr="00355270" w:rsidRDefault="00626C8A" w:rsidP="00626C8A">
            <w:pPr>
              <w:spacing w:before="0" w:after="0"/>
              <w:jc w:val="center"/>
              <w:rPr>
                <w:i/>
                <w:sz w:val="20"/>
                <w:szCs w:val="20"/>
              </w:rPr>
            </w:pPr>
            <w:r w:rsidRPr="00355270">
              <w:rPr>
                <w:i/>
                <w:sz w:val="20"/>
                <w:szCs w:val="20"/>
              </w:rPr>
              <w:t>N4S42</w:t>
            </w:r>
          </w:p>
        </w:tc>
        <w:tc>
          <w:tcPr>
            <w:tcW w:w="1559" w:type="dxa"/>
            <w:shd w:val="clear" w:color="auto" w:fill="auto"/>
            <w:noWrap/>
            <w:vAlign w:val="center"/>
          </w:tcPr>
          <w:p w:rsidR="00626C8A" w:rsidRPr="00355270" w:rsidRDefault="00626C8A" w:rsidP="00626C8A">
            <w:pPr>
              <w:spacing w:before="0" w:after="0"/>
              <w:ind w:right="-70"/>
              <w:jc w:val="center"/>
              <w:rPr>
                <w:i/>
                <w:color w:val="000000"/>
                <w:sz w:val="20"/>
                <w:szCs w:val="20"/>
                <w:lang w:val="es-CO" w:eastAsia="es-CO"/>
              </w:rPr>
            </w:pPr>
            <w:r w:rsidRPr="00355270">
              <w:rPr>
                <w:i/>
                <w:sz w:val="20"/>
                <w:szCs w:val="20"/>
              </w:rPr>
              <w:t>404</w:t>
            </w:r>
          </w:p>
        </w:tc>
        <w:tc>
          <w:tcPr>
            <w:tcW w:w="4427" w:type="dxa"/>
            <w:shd w:val="clear" w:color="auto" w:fill="auto"/>
            <w:vAlign w:val="center"/>
          </w:tcPr>
          <w:p w:rsidR="00626C8A" w:rsidRPr="00355270" w:rsidRDefault="00626C8A" w:rsidP="00355270">
            <w:pPr>
              <w:spacing w:before="0" w:after="0"/>
              <w:jc w:val="left"/>
              <w:rPr>
                <w:i/>
                <w:sz w:val="20"/>
                <w:szCs w:val="20"/>
              </w:rPr>
            </w:pPr>
            <w:r w:rsidRPr="00355270">
              <w:rPr>
                <w:i/>
                <w:sz w:val="20"/>
                <w:szCs w:val="20"/>
              </w:rPr>
              <w:t>Módulo común tipo 2 (4 a 6 bahías) - tipo convencional o encapsulada- cualquier configuración</w:t>
            </w:r>
          </w:p>
        </w:tc>
        <w:tc>
          <w:tcPr>
            <w:tcW w:w="1868" w:type="dxa"/>
            <w:shd w:val="clear" w:color="auto" w:fill="auto"/>
            <w:noWrap/>
            <w:vAlign w:val="center"/>
          </w:tcPr>
          <w:p w:rsidR="00626C8A" w:rsidRPr="00355270" w:rsidRDefault="00626C8A" w:rsidP="00626C8A">
            <w:pPr>
              <w:spacing w:before="0" w:after="0"/>
              <w:jc w:val="center"/>
              <w:rPr>
                <w:i/>
                <w:sz w:val="20"/>
                <w:szCs w:val="20"/>
              </w:rPr>
            </w:pPr>
            <w:r w:rsidRPr="00355270">
              <w:rPr>
                <w:i/>
                <w:sz w:val="20"/>
                <w:szCs w:val="20"/>
              </w:rPr>
              <w:t>1</w:t>
            </w:r>
          </w:p>
        </w:tc>
      </w:tr>
      <w:tr w:rsidR="00626C8A" w:rsidRPr="00355270" w:rsidTr="009D4F8E">
        <w:trPr>
          <w:trHeight w:val="448"/>
          <w:jc w:val="center"/>
        </w:trPr>
        <w:tc>
          <w:tcPr>
            <w:tcW w:w="1565" w:type="dxa"/>
            <w:shd w:val="clear" w:color="auto" w:fill="auto"/>
            <w:noWrap/>
            <w:vAlign w:val="center"/>
          </w:tcPr>
          <w:p w:rsidR="00626C8A" w:rsidRPr="00355270" w:rsidRDefault="00626C8A" w:rsidP="00626C8A">
            <w:pPr>
              <w:spacing w:before="0" w:after="0"/>
              <w:jc w:val="center"/>
              <w:rPr>
                <w:i/>
                <w:sz w:val="20"/>
                <w:szCs w:val="20"/>
              </w:rPr>
            </w:pPr>
            <w:r w:rsidRPr="00355270">
              <w:rPr>
                <w:i/>
                <w:sz w:val="20"/>
                <w:szCs w:val="20"/>
              </w:rPr>
              <w:t>N4S48</w:t>
            </w:r>
          </w:p>
        </w:tc>
        <w:tc>
          <w:tcPr>
            <w:tcW w:w="1559" w:type="dxa"/>
            <w:shd w:val="clear" w:color="auto" w:fill="auto"/>
            <w:noWrap/>
            <w:vAlign w:val="center"/>
          </w:tcPr>
          <w:p w:rsidR="00626C8A" w:rsidRPr="00355270" w:rsidRDefault="00626C8A" w:rsidP="00626C8A">
            <w:pPr>
              <w:spacing w:before="0" w:after="0"/>
              <w:jc w:val="center"/>
              <w:rPr>
                <w:i/>
                <w:sz w:val="20"/>
                <w:szCs w:val="20"/>
              </w:rPr>
            </w:pPr>
            <w:r w:rsidRPr="00355270">
              <w:rPr>
                <w:i/>
                <w:sz w:val="20"/>
                <w:szCs w:val="20"/>
              </w:rPr>
              <w:t>404</w:t>
            </w:r>
          </w:p>
        </w:tc>
        <w:tc>
          <w:tcPr>
            <w:tcW w:w="4427" w:type="dxa"/>
            <w:shd w:val="clear" w:color="auto" w:fill="auto"/>
            <w:vAlign w:val="center"/>
          </w:tcPr>
          <w:p w:rsidR="00626C8A" w:rsidRPr="00355270" w:rsidRDefault="00626C8A" w:rsidP="00355270">
            <w:pPr>
              <w:spacing w:before="0" w:after="0"/>
              <w:jc w:val="left"/>
              <w:rPr>
                <w:i/>
                <w:sz w:val="20"/>
                <w:szCs w:val="20"/>
              </w:rPr>
            </w:pPr>
            <w:r w:rsidRPr="00355270">
              <w:rPr>
                <w:i/>
                <w:sz w:val="20"/>
                <w:szCs w:val="20"/>
              </w:rPr>
              <w:t>Casa de control nivel de tensión 4 ($/m2)</w:t>
            </w:r>
          </w:p>
        </w:tc>
        <w:tc>
          <w:tcPr>
            <w:tcW w:w="1868" w:type="dxa"/>
            <w:shd w:val="clear" w:color="auto" w:fill="auto"/>
            <w:noWrap/>
            <w:vAlign w:val="center"/>
          </w:tcPr>
          <w:p w:rsidR="00626C8A" w:rsidRPr="00355270" w:rsidRDefault="001237BE" w:rsidP="00626C8A">
            <w:pPr>
              <w:spacing w:before="0" w:after="0"/>
              <w:jc w:val="center"/>
              <w:rPr>
                <w:i/>
                <w:sz w:val="20"/>
                <w:szCs w:val="20"/>
              </w:rPr>
            </w:pPr>
            <w:r>
              <w:rPr>
                <w:i/>
                <w:sz w:val="20"/>
                <w:szCs w:val="20"/>
              </w:rPr>
              <w:t>1 (</w:t>
            </w:r>
            <w:r w:rsidR="00626C8A" w:rsidRPr="00355270">
              <w:rPr>
                <w:i/>
                <w:sz w:val="20"/>
                <w:szCs w:val="20"/>
              </w:rPr>
              <w:t>153.75</w:t>
            </w:r>
            <w:r>
              <w:rPr>
                <w:i/>
                <w:sz w:val="20"/>
                <w:szCs w:val="20"/>
              </w:rPr>
              <w:t xml:space="preserve"> m</w:t>
            </w:r>
            <w:r w:rsidRPr="001237BE">
              <w:rPr>
                <w:i/>
                <w:sz w:val="20"/>
                <w:szCs w:val="20"/>
                <w:vertAlign w:val="superscript"/>
              </w:rPr>
              <w:t>2</w:t>
            </w:r>
            <w:r>
              <w:rPr>
                <w:i/>
                <w:sz w:val="20"/>
                <w:szCs w:val="20"/>
              </w:rPr>
              <w:t>)</w:t>
            </w:r>
          </w:p>
        </w:tc>
      </w:tr>
      <w:tr w:rsidR="00626C8A" w:rsidRPr="00355270" w:rsidTr="009D4F8E">
        <w:trPr>
          <w:trHeight w:val="448"/>
          <w:jc w:val="center"/>
        </w:trPr>
        <w:tc>
          <w:tcPr>
            <w:tcW w:w="1565" w:type="dxa"/>
            <w:shd w:val="clear" w:color="auto" w:fill="auto"/>
            <w:noWrap/>
            <w:vAlign w:val="center"/>
          </w:tcPr>
          <w:p w:rsidR="00626C8A" w:rsidRPr="00355270" w:rsidRDefault="00626C8A" w:rsidP="00626C8A">
            <w:pPr>
              <w:spacing w:before="0" w:after="0"/>
              <w:jc w:val="center"/>
              <w:rPr>
                <w:i/>
                <w:sz w:val="20"/>
                <w:szCs w:val="20"/>
              </w:rPr>
            </w:pPr>
            <w:r w:rsidRPr="00355270">
              <w:rPr>
                <w:i/>
                <w:sz w:val="20"/>
                <w:szCs w:val="20"/>
              </w:rPr>
              <w:t>N4EQ2</w:t>
            </w:r>
          </w:p>
        </w:tc>
        <w:tc>
          <w:tcPr>
            <w:tcW w:w="1559" w:type="dxa"/>
            <w:shd w:val="clear" w:color="auto" w:fill="auto"/>
            <w:noWrap/>
            <w:vAlign w:val="center"/>
          </w:tcPr>
          <w:p w:rsidR="00626C8A" w:rsidRPr="00355270" w:rsidRDefault="00626C8A" w:rsidP="00626C8A">
            <w:pPr>
              <w:spacing w:before="0" w:after="0"/>
              <w:jc w:val="center"/>
              <w:rPr>
                <w:i/>
                <w:sz w:val="20"/>
                <w:szCs w:val="20"/>
              </w:rPr>
            </w:pPr>
            <w:r w:rsidRPr="00355270">
              <w:rPr>
                <w:i/>
                <w:sz w:val="20"/>
                <w:szCs w:val="20"/>
              </w:rPr>
              <w:t>404</w:t>
            </w:r>
          </w:p>
        </w:tc>
        <w:tc>
          <w:tcPr>
            <w:tcW w:w="4427" w:type="dxa"/>
            <w:shd w:val="clear" w:color="auto" w:fill="auto"/>
            <w:vAlign w:val="center"/>
          </w:tcPr>
          <w:p w:rsidR="00626C8A" w:rsidRPr="00355270" w:rsidRDefault="00626C8A" w:rsidP="00355270">
            <w:pPr>
              <w:spacing w:before="0" w:after="0"/>
              <w:jc w:val="left"/>
              <w:rPr>
                <w:i/>
                <w:sz w:val="20"/>
                <w:szCs w:val="20"/>
              </w:rPr>
            </w:pPr>
            <w:r w:rsidRPr="00355270">
              <w:rPr>
                <w:i/>
                <w:sz w:val="20"/>
                <w:szCs w:val="20"/>
              </w:rPr>
              <w:t>Transformador de tensión nivel 4</w:t>
            </w:r>
          </w:p>
        </w:tc>
        <w:tc>
          <w:tcPr>
            <w:tcW w:w="1868" w:type="dxa"/>
            <w:shd w:val="clear" w:color="auto" w:fill="auto"/>
            <w:noWrap/>
            <w:vAlign w:val="center"/>
          </w:tcPr>
          <w:p w:rsidR="00626C8A" w:rsidRPr="00355270" w:rsidRDefault="00626C8A" w:rsidP="00626C8A">
            <w:pPr>
              <w:spacing w:before="0" w:after="0"/>
              <w:jc w:val="center"/>
              <w:rPr>
                <w:i/>
                <w:sz w:val="20"/>
                <w:szCs w:val="20"/>
              </w:rPr>
            </w:pPr>
            <w:r w:rsidRPr="00355270">
              <w:rPr>
                <w:i/>
                <w:sz w:val="20"/>
                <w:szCs w:val="20"/>
              </w:rPr>
              <w:t>6</w:t>
            </w:r>
          </w:p>
        </w:tc>
      </w:tr>
      <w:tr w:rsidR="00626C8A" w:rsidRPr="00355270" w:rsidTr="009D4F8E">
        <w:trPr>
          <w:trHeight w:val="448"/>
          <w:jc w:val="center"/>
        </w:trPr>
        <w:tc>
          <w:tcPr>
            <w:tcW w:w="1565" w:type="dxa"/>
            <w:shd w:val="clear" w:color="auto" w:fill="auto"/>
            <w:noWrap/>
            <w:vAlign w:val="center"/>
          </w:tcPr>
          <w:p w:rsidR="00626C8A" w:rsidRPr="00355270" w:rsidRDefault="00626C8A" w:rsidP="00626C8A">
            <w:pPr>
              <w:spacing w:before="0" w:after="0"/>
              <w:jc w:val="center"/>
              <w:rPr>
                <w:i/>
                <w:sz w:val="20"/>
                <w:szCs w:val="20"/>
              </w:rPr>
            </w:pPr>
            <w:r w:rsidRPr="00355270">
              <w:rPr>
                <w:i/>
                <w:sz w:val="20"/>
                <w:szCs w:val="20"/>
              </w:rPr>
              <w:t>N5S3</w:t>
            </w:r>
          </w:p>
        </w:tc>
        <w:tc>
          <w:tcPr>
            <w:tcW w:w="1559" w:type="dxa"/>
            <w:shd w:val="clear" w:color="auto" w:fill="auto"/>
            <w:noWrap/>
            <w:vAlign w:val="center"/>
          </w:tcPr>
          <w:p w:rsidR="00626C8A" w:rsidRPr="00355270" w:rsidRDefault="00626C8A" w:rsidP="00626C8A">
            <w:pPr>
              <w:spacing w:before="0" w:after="0"/>
              <w:jc w:val="center"/>
              <w:rPr>
                <w:i/>
                <w:sz w:val="20"/>
                <w:szCs w:val="20"/>
              </w:rPr>
            </w:pPr>
            <w:r w:rsidRPr="00355270">
              <w:rPr>
                <w:i/>
                <w:sz w:val="20"/>
                <w:szCs w:val="20"/>
              </w:rPr>
              <w:t>R23</w:t>
            </w:r>
          </w:p>
        </w:tc>
        <w:tc>
          <w:tcPr>
            <w:tcW w:w="4427" w:type="dxa"/>
            <w:shd w:val="clear" w:color="auto" w:fill="auto"/>
            <w:vAlign w:val="center"/>
          </w:tcPr>
          <w:p w:rsidR="00626C8A" w:rsidRPr="00355270" w:rsidRDefault="00626C8A" w:rsidP="00355270">
            <w:pPr>
              <w:spacing w:before="0" w:after="0"/>
              <w:jc w:val="left"/>
              <w:rPr>
                <w:i/>
                <w:sz w:val="20"/>
                <w:szCs w:val="20"/>
              </w:rPr>
            </w:pPr>
            <w:r w:rsidRPr="00355270">
              <w:rPr>
                <w:i/>
                <w:sz w:val="20"/>
                <w:szCs w:val="20"/>
              </w:rPr>
              <w:t>Bahía de transformador, barra principal y transferencia, 230 k</w:t>
            </w:r>
            <w:r w:rsidR="00355270">
              <w:rPr>
                <w:i/>
                <w:sz w:val="20"/>
                <w:szCs w:val="20"/>
              </w:rPr>
              <w:t>V</w:t>
            </w:r>
          </w:p>
        </w:tc>
        <w:tc>
          <w:tcPr>
            <w:tcW w:w="1868" w:type="dxa"/>
            <w:shd w:val="clear" w:color="auto" w:fill="auto"/>
            <w:noWrap/>
            <w:vAlign w:val="center"/>
          </w:tcPr>
          <w:p w:rsidR="00626C8A" w:rsidRPr="00355270" w:rsidRDefault="00626C8A" w:rsidP="00626C8A">
            <w:pPr>
              <w:spacing w:before="0" w:after="0"/>
              <w:jc w:val="center"/>
              <w:rPr>
                <w:i/>
                <w:sz w:val="20"/>
                <w:szCs w:val="20"/>
              </w:rPr>
            </w:pPr>
            <w:r w:rsidRPr="00355270">
              <w:rPr>
                <w:i/>
                <w:sz w:val="20"/>
                <w:szCs w:val="20"/>
              </w:rPr>
              <w:t>1</w:t>
            </w:r>
          </w:p>
        </w:tc>
      </w:tr>
      <w:tr w:rsidR="00626C8A" w:rsidRPr="00355270" w:rsidTr="009D4F8E">
        <w:trPr>
          <w:trHeight w:val="448"/>
          <w:jc w:val="center"/>
        </w:trPr>
        <w:tc>
          <w:tcPr>
            <w:tcW w:w="1565" w:type="dxa"/>
            <w:shd w:val="clear" w:color="auto" w:fill="auto"/>
            <w:noWrap/>
            <w:vAlign w:val="center"/>
          </w:tcPr>
          <w:p w:rsidR="00626C8A" w:rsidRPr="00355270" w:rsidRDefault="00626C8A" w:rsidP="00626C8A">
            <w:pPr>
              <w:spacing w:before="0" w:after="0"/>
              <w:jc w:val="center"/>
              <w:rPr>
                <w:i/>
                <w:sz w:val="20"/>
                <w:szCs w:val="20"/>
              </w:rPr>
            </w:pPr>
            <w:r w:rsidRPr="00355270">
              <w:rPr>
                <w:i/>
                <w:sz w:val="20"/>
                <w:szCs w:val="20"/>
              </w:rPr>
              <w:t>N5T4</w:t>
            </w:r>
          </w:p>
        </w:tc>
        <w:tc>
          <w:tcPr>
            <w:tcW w:w="1559" w:type="dxa"/>
            <w:shd w:val="clear" w:color="auto" w:fill="auto"/>
            <w:noWrap/>
            <w:vAlign w:val="center"/>
          </w:tcPr>
          <w:p w:rsidR="00626C8A" w:rsidRPr="00355270" w:rsidRDefault="00626C8A" w:rsidP="00626C8A">
            <w:pPr>
              <w:spacing w:before="0" w:after="0"/>
              <w:jc w:val="center"/>
              <w:rPr>
                <w:i/>
                <w:sz w:val="20"/>
                <w:szCs w:val="20"/>
              </w:rPr>
            </w:pPr>
            <w:r w:rsidRPr="00355270">
              <w:rPr>
                <w:i/>
                <w:sz w:val="20"/>
                <w:szCs w:val="20"/>
              </w:rPr>
              <w:t>R23</w:t>
            </w:r>
          </w:p>
        </w:tc>
        <w:tc>
          <w:tcPr>
            <w:tcW w:w="4427" w:type="dxa"/>
            <w:shd w:val="clear" w:color="auto" w:fill="auto"/>
            <w:vAlign w:val="center"/>
          </w:tcPr>
          <w:p w:rsidR="00626C8A" w:rsidRPr="00355270" w:rsidRDefault="00626C8A" w:rsidP="004B303D">
            <w:pPr>
              <w:spacing w:before="0" w:after="0"/>
              <w:jc w:val="left"/>
              <w:rPr>
                <w:i/>
                <w:sz w:val="20"/>
                <w:szCs w:val="20"/>
              </w:rPr>
            </w:pPr>
            <w:r w:rsidRPr="00355270">
              <w:rPr>
                <w:i/>
                <w:sz w:val="20"/>
                <w:szCs w:val="20"/>
              </w:rPr>
              <w:t>Transformador trifásico (</w:t>
            </w:r>
            <w:r w:rsidR="004B303D">
              <w:rPr>
                <w:i/>
                <w:sz w:val="20"/>
                <w:szCs w:val="20"/>
              </w:rPr>
              <w:t>OLTC</w:t>
            </w:r>
            <w:r w:rsidRPr="00355270">
              <w:rPr>
                <w:i/>
                <w:sz w:val="20"/>
                <w:szCs w:val="20"/>
              </w:rPr>
              <w:t xml:space="preserve">) - conexión al STN - capacidad final de 41 a 50 </w:t>
            </w:r>
            <w:r w:rsidR="00355270">
              <w:rPr>
                <w:i/>
                <w:sz w:val="20"/>
                <w:szCs w:val="20"/>
              </w:rPr>
              <w:t>MVA</w:t>
            </w:r>
          </w:p>
        </w:tc>
        <w:tc>
          <w:tcPr>
            <w:tcW w:w="1868" w:type="dxa"/>
            <w:shd w:val="clear" w:color="auto" w:fill="auto"/>
            <w:noWrap/>
            <w:vAlign w:val="center"/>
          </w:tcPr>
          <w:p w:rsidR="00626C8A" w:rsidRPr="00355270" w:rsidRDefault="00626C8A" w:rsidP="00626C8A">
            <w:pPr>
              <w:spacing w:before="0" w:after="0"/>
              <w:jc w:val="center"/>
              <w:rPr>
                <w:i/>
                <w:sz w:val="20"/>
                <w:szCs w:val="20"/>
              </w:rPr>
            </w:pPr>
            <w:r w:rsidRPr="00355270">
              <w:rPr>
                <w:i/>
                <w:sz w:val="20"/>
                <w:szCs w:val="20"/>
              </w:rPr>
              <w:t>50</w:t>
            </w:r>
          </w:p>
        </w:tc>
      </w:tr>
      <w:tr w:rsidR="00626C8A" w:rsidRPr="00355270" w:rsidTr="009D4F8E">
        <w:trPr>
          <w:trHeight w:val="448"/>
          <w:jc w:val="center"/>
        </w:trPr>
        <w:tc>
          <w:tcPr>
            <w:tcW w:w="1565" w:type="dxa"/>
            <w:shd w:val="clear" w:color="auto" w:fill="auto"/>
            <w:noWrap/>
            <w:vAlign w:val="center"/>
          </w:tcPr>
          <w:p w:rsidR="00626C8A" w:rsidRPr="00355270" w:rsidRDefault="00626C8A" w:rsidP="00626C8A">
            <w:pPr>
              <w:spacing w:before="0" w:after="0"/>
              <w:jc w:val="center"/>
              <w:rPr>
                <w:i/>
                <w:sz w:val="20"/>
                <w:szCs w:val="20"/>
              </w:rPr>
            </w:pPr>
            <w:r w:rsidRPr="00355270">
              <w:rPr>
                <w:i/>
                <w:sz w:val="20"/>
                <w:szCs w:val="20"/>
              </w:rPr>
              <w:t>N5T4</w:t>
            </w:r>
          </w:p>
        </w:tc>
        <w:tc>
          <w:tcPr>
            <w:tcW w:w="1559" w:type="dxa"/>
            <w:shd w:val="clear" w:color="auto" w:fill="auto"/>
            <w:noWrap/>
            <w:vAlign w:val="center"/>
          </w:tcPr>
          <w:p w:rsidR="00626C8A" w:rsidRPr="00355270" w:rsidRDefault="00626C8A" w:rsidP="00626C8A">
            <w:pPr>
              <w:spacing w:before="0" w:after="0"/>
              <w:jc w:val="center"/>
              <w:rPr>
                <w:i/>
                <w:sz w:val="20"/>
                <w:szCs w:val="20"/>
              </w:rPr>
            </w:pPr>
            <w:r w:rsidRPr="00355270">
              <w:rPr>
                <w:i/>
                <w:sz w:val="20"/>
                <w:szCs w:val="20"/>
              </w:rPr>
              <w:t>R23</w:t>
            </w:r>
          </w:p>
        </w:tc>
        <w:tc>
          <w:tcPr>
            <w:tcW w:w="4427" w:type="dxa"/>
            <w:shd w:val="clear" w:color="auto" w:fill="auto"/>
            <w:vAlign w:val="center"/>
          </w:tcPr>
          <w:p w:rsidR="00626C8A" w:rsidRPr="00355270" w:rsidRDefault="00626C8A" w:rsidP="00355270">
            <w:pPr>
              <w:spacing w:before="0" w:after="0"/>
              <w:jc w:val="left"/>
              <w:rPr>
                <w:i/>
                <w:sz w:val="20"/>
                <w:szCs w:val="20"/>
              </w:rPr>
            </w:pPr>
            <w:r w:rsidRPr="00355270">
              <w:rPr>
                <w:i/>
                <w:sz w:val="20"/>
                <w:szCs w:val="20"/>
              </w:rPr>
              <w:t>Transformador trifásico (</w:t>
            </w:r>
            <w:r w:rsidR="004B303D">
              <w:rPr>
                <w:i/>
                <w:sz w:val="20"/>
                <w:szCs w:val="20"/>
              </w:rPr>
              <w:t>OLTC</w:t>
            </w:r>
            <w:r w:rsidRPr="00355270">
              <w:rPr>
                <w:i/>
                <w:sz w:val="20"/>
                <w:szCs w:val="20"/>
              </w:rPr>
              <w:t xml:space="preserve">) - conexión al STN - capacidad final de 41 a 50 </w:t>
            </w:r>
            <w:r w:rsidR="00355270">
              <w:rPr>
                <w:i/>
                <w:sz w:val="20"/>
                <w:szCs w:val="20"/>
              </w:rPr>
              <w:t>MVA</w:t>
            </w:r>
          </w:p>
        </w:tc>
        <w:tc>
          <w:tcPr>
            <w:tcW w:w="1868" w:type="dxa"/>
            <w:shd w:val="clear" w:color="auto" w:fill="auto"/>
            <w:noWrap/>
            <w:vAlign w:val="center"/>
          </w:tcPr>
          <w:p w:rsidR="00626C8A" w:rsidRPr="00355270" w:rsidRDefault="00626C8A" w:rsidP="00626C8A">
            <w:pPr>
              <w:spacing w:before="0" w:after="0"/>
              <w:jc w:val="center"/>
              <w:rPr>
                <w:i/>
                <w:sz w:val="20"/>
                <w:szCs w:val="20"/>
              </w:rPr>
            </w:pPr>
            <w:r w:rsidRPr="00355270">
              <w:rPr>
                <w:i/>
                <w:sz w:val="20"/>
                <w:szCs w:val="20"/>
              </w:rPr>
              <w:t>50</w:t>
            </w:r>
          </w:p>
        </w:tc>
      </w:tr>
      <w:tr w:rsidR="00626C8A" w:rsidRPr="00355270" w:rsidTr="009D4F8E">
        <w:trPr>
          <w:trHeight w:val="448"/>
          <w:jc w:val="center"/>
        </w:trPr>
        <w:tc>
          <w:tcPr>
            <w:tcW w:w="1565" w:type="dxa"/>
            <w:shd w:val="clear" w:color="auto" w:fill="auto"/>
            <w:noWrap/>
            <w:vAlign w:val="center"/>
          </w:tcPr>
          <w:p w:rsidR="00626C8A" w:rsidRPr="00355270" w:rsidRDefault="00626C8A" w:rsidP="00626C8A">
            <w:pPr>
              <w:spacing w:before="0" w:after="0"/>
              <w:jc w:val="center"/>
              <w:rPr>
                <w:i/>
                <w:sz w:val="20"/>
                <w:szCs w:val="20"/>
              </w:rPr>
            </w:pPr>
            <w:r w:rsidRPr="00355270">
              <w:rPr>
                <w:i/>
                <w:sz w:val="20"/>
                <w:szCs w:val="20"/>
              </w:rPr>
              <w:t>N4S6</w:t>
            </w:r>
          </w:p>
        </w:tc>
        <w:tc>
          <w:tcPr>
            <w:tcW w:w="1559" w:type="dxa"/>
            <w:shd w:val="clear" w:color="auto" w:fill="auto"/>
            <w:noWrap/>
            <w:vAlign w:val="center"/>
          </w:tcPr>
          <w:p w:rsidR="00626C8A" w:rsidRPr="00355270" w:rsidRDefault="00626C8A" w:rsidP="00626C8A">
            <w:pPr>
              <w:spacing w:before="0" w:after="0"/>
              <w:jc w:val="center"/>
              <w:rPr>
                <w:i/>
                <w:sz w:val="20"/>
                <w:szCs w:val="20"/>
              </w:rPr>
            </w:pPr>
            <w:r w:rsidRPr="00355270">
              <w:rPr>
                <w:i/>
                <w:sz w:val="20"/>
                <w:szCs w:val="20"/>
              </w:rPr>
              <w:t>CM</w:t>
            </w:r>
          </w:p>
        </w:tc>
        <w:tc>
          <w:tcPr>
            <w:tcW w:w="4427" w:type="dxa"/>
            <w:shd w:val="clear" w:color="auto" w:fill="auto"/>
            <w:vAlign w:val="center"/>
          </w:tcPr>
          <w:p w:rsidR="00626C8A" w:rsidRPr="00355270" w:rsidRDefault="00626C8A" w:rsidP="00355270">
            <w:pPr>
              <w:spacing w:before="0" w:after="0"/>
              <w:jc w:val="left"/>
              <w:rPr>
                <w:i/>
                <w:sz w:val="20"/>
                <w:szCs w:val="20"/>
              </w:rPr>
            </w:pPr>
            <w:r w:rsidRPr="00355270">
              <w:rPr>
                <w:i/>
                <w:sz w:val="20"/>
                <w:szCs w:val="20"/>
              </w:rPr>
              <w:t>Bahía de transformador - configuración barra doble con by pass - tipo convencional</w:t>
            </w:r>
          </w:p>
        </w:tc>
        <w:tc>
          <w:tcPr>
            <w:tcW w:w="1868" w:type="dxa"/>
            <w:shd w:val="clear" w:color="auto" w:fill="auto"/>
            <w:noWrap/>
            <w:vAlign w:val="center"/>
          </w:tcPr>
          <w:p w:rsidR="00626C8A" w:rsidRPr="00355270" w:rsidRDefault="00626C8A" w:rsidP="00626C8A">
            <w:pPr>
              <w:spacing w:before="0" w:after="0"/>
              <w:jc w:val="center"/>
              <w:rPr>
                <w:i/>
                <w:sz w:val="20"/>
                <w:szCs w:val="20"/>
              </w:rPr>
            </w:pPr>
            <w:r w:rsidRPr="00355270">
              <w:rPr>
                <w:i/>
                <w:sz w:val="20"/>
                <w:szCs w:val="20"/>
              </w:rPr>
              <w:t>1</w:t>
            </w:r>
          </w:p>
        </w:tc>
      </w:tr>
      <w:tr w:rsidR="00626C8A" w:rsidRPr="00355270" w:rsidTr="009D4F8E">
        <w:trPr>
          <w:trHeight w:val="448"/>
          <w:jc w:val="center"/>
        </w:trPr>
        <w:tc>
          <w:tcPr>
            <w:tcW w:w="1565" w:type="dxa"/>
            <w:shd w:val="clear" w:color="auto" w:fill="auto"/>
            <w:noWrap/>
            <w:vAlign w:val="center"/>
          </w:tcPr>
          <w:p w:rsidR="00626C8A" w:rsidRPr="00355270" w:rsidRDefault="00626C8A" w:rsidP="00626C8A">
            <w:pPr>
              <w:spacing w:before="0" w:after="0"/>
              <w:jc w:val="center"/>
              <w:rPr>
                <w:i/>
                <w:sz w:val="20"/>
                <w:szCs w:val="20"/>
              </w:rPr>
            </w:pPr>
            <w:r w:rsidRPr="00355270">
              <w:rPr>
                <w:i/>
                <w:sz w:val="20"/>
                <w:szCs w:val="20"/>
              </w:rPr>
              <w:t>N4EQ2</w:t>
            </w:r>
          </w:p>
        </w:tc>
        <w:tc>
          <w:tcPr>
            <w:tcW w:w="1559" w:type="dxa"/>
            <w:shd w:val="clear" w:color="auto" w:fill="auto"/>
            <w:noWrap/>
            <w:vAlign w:val="center"/>
          </w:tcPr>
          <w:p w:rsidR="00626C8A" w:rsidRPr="00355270" w:rsidRDefault="00626C8A" w:rsidP="00626C8A">
            <w:pPr>
              <w:spacing w:before="0" w:after="0"/>
              <w:jc w:val="center"/>
              <w:rPr>
                <w:i/>
                <w:sz w:val="20"/>
                <w:szCs w:val="20"/>
              </w:rPr>
            </w:pPr>
            <w:r w:rsidRPr="00355270">
              <w:rPr>
                <w:i/>
                <w:sz w:val="20"/>
                <w:szCs w:val="20"/>
              </w:rPr>
              <w:t>CM</w:t>
            </w:r>
          </w:p>
        </w:tc>
        <w:tc>
          <w:tcPr>
            <w:tcW w:w="4427" w:type="dxa"/>
            <w:shd w:val="clear" w:color="auto" w:fill="auto"/>
            <w:vAlign w:val="center"/>
          </w:tcPr>
          <w:p w:rsidR="00626C8A" w:rsidRPr="00355270" w:rsidRDefault="00626C8A" w:rsidP="00355270">
            <w:pPr>
              <w:spacing w:before="0" w:after="0"/>
              <w:jc w:val="left"/>
              <w:rPr>
                <w:i/>
                <w:sz w:val="20"/>
                <w:szCs w:val="20"/>
              </w:rPr>
            </w:pPr>
            <w:r w:rsidRPr="00355270">
              <w:rPr>
                <w:i/>
                <w:sz w:val="20"/>
                <w:szCs w:val="20"/>
              </w:rPr>
              <w:t>Transformador de tensión nivel 4</w:t>
            </w:r>
          </w:p>
        </w:tc>
        <w:tc>
          <w:tcPr>
            <w:tcW w:w="1868" w:type="dxa"/>
            <w:shd w:val="clear" w:color="auto" w:fill="auto"/>
            <w:noWrap/>
            <w:vAlign w:val="center"/>
          </w:tcPr>
          <w:p w:rsidR="00626C8A" w:rsidRPr="00355270" w:rsidRDefault="00626C8A" w:rsidP="00626C8A">
            <w:pPr>
              <w:spacing w:before="0" w:after="0"/>
              <w:jc w:val="center"/>
              <w:rPr>
                <w:i/>
                <w:sz w:val="20"/>
                <w:szCs w:val="20"/>
              </w:rPr>
            </w:pPr>
            <w:r w:rsidRPr="00355270">
              <w:rPr>
                <w:i/>
                <w:sz w:val="20"/>
                <w:szCs w:val="20"/>
              </w:rPr>
              <w:t>3</w:t>
            </w:r>
          </w:p>
        </w:tc>
      </w:tr>
      <w:tr w:rsidR="00626C8A" w:rsidRPr="00355270" w:rsidTr="009D4F8E">
        <w:trPr>
          <w:trHeight w:val="448"/>
          <w:jc w:val="center"/>
        </w:trPr>
        <w:tc>
          <w:tcPr>
            <w:tcW w:w="1565" w:type="dxa"/>
            <w:shd w:val="clear" w:color="auto" w:fill="auto"/>
            <w:noWrap/>
            <w:vAlign w:val="center"/>
          </w:tcPr>
          <w:p w:rsidR="00626C8A" w:rsidRPr="00355270" w:rsidRDefault="00626C8A" w:rsidP="00626C8A">
            <w:pPr>
              <w:spacing w:before="0" w:after="0"/>
              <w:jc w:val="center"/>
              <w:rPr>
                <w:i/>
                <w:sz w:val="20"/>
                <w:szCs w:val="20"/>
              </w:rPr>
            </w:pPr>
            <w:r w:rsidRPr="00355270">
              <w:rPr>
                <w:i/>
                <w:sz w:val="20"/>
                <w:szCs w:val="20"/>
              </w:rPr>
              <w:t>N4EQ3</w:t>
            </w:r>
          </w:p>
        </w:tc>
        <w:tc>
          <w:tcPr>
            <w:tcW w:w="1559" w:type="dxa"/>
            <w:shd w:val="clear" w:color="auto" w:fill="auto"/>
            <w:noWrap/>
            <w:vAlign w:val="center"/>
          </w:tcPr>
          <w:p w:rsidR="00626C8A" w:rsidRPr="00355270" w:rsidRDefault="00626C8A" w:rsidP="00626C8A">
            <w:pPr>
              <w:spacing w:before="0" w:after="0"/>
              <w:jc w:val="center"/>
              <w:rPr>
                <w:i/>
                <w:sz w:val="20"/>
                <w:szCs w:val="20"/>
              </w:rPr>
            </w:pPr>
            <w:r w:rsidRPr="00355270">
              <w:rPr>
                <w:i/>
                <w:sz w:val="20"/>
                <w:szCs w:val="20"/>
              </w:rPr>
              <w:t>CM</w:t>
            </w:r>
          </w:p>
        </w:tc>
        <w:tc>
          <w:tcPr>
            <w:tcW w:w="4427" w:type="dxa"/>
            <w:shd w:val="clear" w:color="auto" w:fill="auto"/>
            <w:vAlign w:val="center"/>
          </w:tcPr>
          <w:p w:rsidR="00626C8A" w:rsidRPr="00355270" w:rsidRDefault="00626C8A" w:rsidP="00355270">
            <w:pPr>
              <w:spacing w:before="0" w:after="0"/>
              <w:jc w:val="left"/>
              <w:rPr>
                <w:i/>
                <w:sz w:val="20"/>
                <w:szCs w:val="20"/>
              </w:rPr>
            </w:pPr>
            <w:r w:rsidRPr="00355270">
              <w:rPr>
                <w:i/>
                <w:sz w:val="20"/>
                <w:szCs w:val="20"/>
              </w:rPr>
              <w:t>Armario concentrador (marshall in kiosk)</w:t>
            </w:r>
          </w:p>
        </w:tc>
        <w:tc>
          <w:tcPr>
            <w:tcW w:w="1868" w:type="dxa"/>
            <w:shd w:val="clear" w:color="auto" w:fill="auto"/>
            <w:noWrap/>
            <w:vAlign w:val="center"/>
          </w:tcPr>
          <w:p w:rsidR="00626C8A" w:rsidRPr="00355270" w:rsidRDefault="00626C8A" w:rsidP="00626C8A">
            <w:pPr>
              <w:spacing w:before="0" w:after="0"/>
              <w:jc w:val="center"/>
              <w:rPr>
                <w:i/>
                <w:sz w:val="20"/>
                <w:szCs w:val="20"/>
              </w:rPr>
            </w:pPr>
            <w:r w:rsidRPr="00355270">
              <w:rPr>
                <w:i/>
                <w:sz w:val="20"/>
                <w:szCs w:val="20"/>
              </w:rPr>
              <w:t>1</w:t>
            </w:r>
          </w:p>
        </w:tc>
      </w:tr>
      <w:tr w:rsidR="00626C8A" w:rsidRPr="00355270" w:rsidTr="009D4F8E">
        <w:trPr>
          <w:trHeight w:val="448"/>
          <w:jc w:val="center"/>
        </w:trPr>
        <w:tc>
          <w:tcPr>
            <w:tcW w:w="1565" w:type="dxa"/>
            <w:shd w:val="clear" w:color="auto" w:fill="auto"/>
            <w:noWrap/>
            <w:vAlign w:val="center"/>
          </w:tcPr>
          <w:p w:rsidR="00626C8A" w:rsidRPr="00355270" w:rsidRDefault="00626C8A" w:rsidP="00626C8A">
            <w:pPr>
              <w:spacing w:before="0" w:after="0"/>
              <w:jc w:val="center"/>
              <w:rPr>
                <w:i/>
                <w:sz w:val="20"/>
                <w:szCs w:val="20"/>
              </w:rPr>
            </w:pPr>
            <w:r w:rsidRPr="00355270">
              <w:rPr>
                <w:i/>
                <w:sz w:val="20"/>
                <w:szCs w:val="20"/>
              </w:rPr>
              <w:t>N5T13</w:t>
            </w:r>
          </w:p>
        </w:tc>
        <w:tc>
          <w:tcPr>
            <w:tcW w:w="1559" w:type="dxa"/>
            <w:shd w:val="clear" w:color="auto" w:fill="auto"/>
            <w:noWrap/>
            <w:vAlign w:val="center"/>
          </w:tcPr>
          <w:p w:rsidR="00626C8A" w:rsidRPr="00355270" w:rsidRDefault="00626C8A" w:rsidP="00626C8A">
            <w:pPr>
              <w:spacing w:before="0" w:after="0"/>
              <w:jc w:val="center"/>
              <w:rPr>
                <w:i/>
                <w:sz w:val="20"/>
                <w:szCs w:val="20"/>
              </w:rPr>
            </w:pPr>
            <w:r w:rsidRPr="00355270">
              <w:rPr>
                <w:i/>
                <w:sz w:val="20"/>
                <w:szCs w:val="20"/>
              </w:rPr>
              <w:t>CM</w:t>
            </w:r>
          </w:p>
        </w:tc>
        <w:tc>
          <w:tcPr>
            <w:tcW w:w="4427" w:type="dxa"/>
            <w:shd w:val="clear" w:color="auto" w:fill="auto"/>
            <w:vAlign w:val="center"/>
          </w:tcPr>
          <w:p w:rsidR="00626C8A" w:rsidRPr="00355270" w:rsidRDefault="00626C8A" w:rsidP="004B303D">
            <w:pPr>
              <w:spacing w:before="0" w:after="0"/>
              <w:jc w:val="left"/>
              <w:rPr>
                <w:i/>
                <w:sz w:val="20"/>
                <w:szCs w:val="20"/>
              </w:rPr>
            </w:pPr>
            <w:r w:rsidRPr="00355270">
              <w:rPr>
                <w:i/>
                <w:sz w:val="20"/>
                <w:szCs w:val="20"/>
              </w:rPr>
              <w:t>Autotransformador monofásico (</w:t>
            </w:r>
            <w:r w:rsidR="004B303D">
              <w:rPr>
                <w:i/>
                <w:sz w:val="20"/>
                <w:szCs w:val="20"/>
              </w:rPr>
              <w:t>OLTC</w:t>
            </w:r>
            <w:r w:rsidRPr="00355270">
              <w:rPr>
                <w:i/>
                <w:sz w:val="20"/>
                <w:szCs w:val="20"/>
              </w:rPr>
              <w:t xml:space="preserve">) - conexión al </w:t>
            </w:r>
            <w:r w:rsidR="00355270">
              <w:rPr>
                <w:i/>
                <w:sz w:val="20"/>
                <w:szCs w:val="20"/>
              </w:rPr>
              <w:t>STN</w:t>
            </w:r>
            <w:r w:rsidRPr="00355270">
              <w:rPr>
                <w:i/>
                <w:sz w:val="20"/>
                <w:szCs w:val="20"/>
              </w:rPr>
              <w:t xml:space="preserve"> - capacidad final de 41 a 50 </w:t>
            </w:r>
            <w:r w:rsidR="00355270">
              <w:rPr>
                <w:i/>
                <w:sz w:val="20"/>
                <w:szCs w:val="20"/>
              </w:rPr>
              <w:t>MVA</w:t>
            </w:r>
          </w:p>
        </w:tc>
        <w:tc>
          <w:tcPr>
            <w:tcW w:w="1868" w:type="dxa"/>
            <w:shd w:val="clear" w:color="auto" w:fill="auto"/>
            <w:noWrap/>
            <w:vAlign w:val="center"/>
          </w:tcPr>
          <w:p w:rsidR="00626C8A" w:rsidRPr="00355270" w:rsidRDefault="001237BE" w:rsidP="001237BE">
            <w:pPr>
              <w:spacing w:before="0" w:after="0"/>
              <w:jc w:val="center"/>
              <w:rPr>
                <w:i/>
                <w:sz w:val="20"/>
                <w:szCs w:val="20"/>
              </w:rPr>
            </w:pPr>
            <w:r>
              <w:rPr>
                <w:i/>
                <w:sz w:val="20"/>
                <w:szCs w:val="20"/>
              </w:rPr>
              <w:t>3 (</w:t>
            </w:r>
            <w:r w:rsidR="00626C8A" w:rsidRPr="00355270">
              <w:rPr>
                <w:i/>
                <w:sz w:val="20"/>
                <w:szCs w:val="20"/>
              </w:rPr>
              <w:t>50</w:t>
            </w:r>
            <w:r>
              <w:rPr>
                <w:i/>
                <w:sz w:val="20"/>
                <w:szCs w:val="20"/>
              </w:rPr>
              <w:t xml:space="preserve"> MVA C/U)</w:t>
            </w:r>
          </w:p>
        </w:tc>
      </w:tr>
    </w:tbl>
    <w:p w:rsidR="00B0723B" w:rsidRDefault="00B0723B" w:rsidP="00B0723B">
      <w:pPr>
        <w:spacing w:before="0" w:after="0"/>
      </w:pPr>
      <w:r>
        <w:lastRenderedPageBreak/>
        <w:t>Por la entrada en operación de l</w:t>
      </w:r>
      <w:r w:rsidR="00FB69E5">
        <w:t xml:space="preserve">os nuevos activos en las </w:t>
      </w:r>
      <w:r>
        <w:t>subestaci</w:t>
      </w:r>
      <w:r w:rsidR="00FB69E5">
        <w:t>ones</w:t>
      </w:r>
      <w:r>
        <w:t xml:space="preserve"> </w:t>
      </w:r>
      <w:r w:rsidR="00FB69E5">
        <w:t xml:space="preserve">Caucheras y Malena </w:t>
      </w:r>
      <w:r>
        <w:t xml:space="preserve">es necesario retirar del inventario </w:t>
      </w:r>
      <w:r w:rsidRPr="00E07C66">
        <w:t>de activos de Nivel de Tensión 4 de Empre</w:t>
      </w:r>
      <w:r>
        <w:t>sas Públicas de Medellín E.S.P. las siguientes Unidades Constructivas:</w:t>
      </w:r>
    </w:p>
    <w:p w:rsidR="00B0723B" w:rsidRPr="001F587C" w:rsidRDefault="00B0723B" w:rsidP="00B0723B">
      <w:pPr>
        <w:spacing w:before="0" w:after="0"/>
        <w:rPr>
          <w:sz w:val="22"/>
        </w:rPr>
      </w:pPr>
    </w:p>
    <w:tbl>
      <w:tblPr>
        <w:tblW w:w="0" w:type="auto"/>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5"/>
        <w:gridCol w:w="1701"/>
        <w:gridCol w:w="4569"/>
        <w:gridCol w:w="1488"/>
      </w:tblGrid>
      <w:tr w:rsidR="00B0723B" w:rsidRPr="000F038B" w:rsidTr="00DC6E7D">
        <w:trPr>
          <w:trHeight w:val="600"/>
          <w:tblHeader/>
          <w:jc w:val="center"/>
        </w:trPr>
        <w:tc>
          <w:tcPr>
            <w:tcW w:w="1565" w:type="dxa"/>
            <w:shd w:val="clear" w:color="auto" w:fill="D9D9D9" w:themeFill="background1" w:themeFillShade="D9"/>
            <w:vAlign w:val="center"/>
            <w:hideMark/>
          </w:tcPr>
          <w:p w:rsidR="00B0723B" w:rsidRPr="000F038B" w:rsidRDefault="00B0723B" w:rsidP="00DD3D0E">
            <w:pPr>
              <w:spacing w:before="0" w:after="0"/>
              <w:jc w:val="center"/>
              <w:rPr>
                <w:b/>
                <w:bCs/>
                <w:i/>
                <w:iCs/>
                <w:color w:val="000000"/>
                <w:sz w:val="20"/>
                <w:szCs w:val="22"/>
                <w:lang w:val="es-CO" w:eastAsia="es-CO"/>
              </w:rPr>
            </w:pPr>
            <w:r w:rsidRPr="000F038B">
              <w:rPr>
                <w:b/>
                <w:bCs/>
                <w:i/>
                <w:iCs/>
                <w:color w:val="000000"/>
                <w:sz w:val="20"/>
                <w:szCs w:val="22"/>
                <w:lang w:val="es-CO" w:eastAsia="es-CO"/>
              </w:rPr>
              <w:t>Unidad Constructiva</w:t>
            </w:r>
          </w:p>
        </w:tc>
        <w:tc>
          <w:tcPr>
            <w:tcW w:w="1701" w:type="dxa"/>
            <w:shd w:val="clear" w:color="auto" w:fill="D9D9D9" w:themeFill="background1" w:themeFillShade="D9"/>
            <w:vAlign w:val="center"/>
            <w:hideMark/>
          </w:tcPr>
          <w:p w:rsidR="00B0723B" w:rsidRPr="000F038B" w:rsidRDefault="00B0723B" w:rsidP="00DD3D0E">
            <w:pPr>
              <w:spacing w:before="0" w:after="0"/>
              <w:jc w:val="center"/>
              <w:rPr>
                <w:b/>
                <w:bCs/>
                <w:i/>
                <w:iCs/>
                <w:color w:val="000000"/>
                <w:sz w:val="20"/>
                <w:szCs w:val="22"/>
                <w:lang w:val="es-CO" w:eastAsia="es-CO"/>
              </w:rPr>
            </w:pPr>
            <w:r w:rsidRPr="000F038B">
              <w:rPr>
                <w:b/>
                <w:bCs/>
                <w:i/>
                <w:iCs/>
                <w:color w:val="000000"/>
                <w:sz w:val="20"/>
                <w:szCs w:val="22"/>
                <w:lang w:val="es-CO" w:eastAsia="es-CO"/>
              </w:rPr>
              <w:t xml:space="preserve">Código </w:t>
            </w:r>
            <w:r>
              <w:rPr>
                <w:b/>
                <w:bCs/>
                <w:i/>
                <w:iCs/>
                <w:color w:val="000000"/>
                <w:sz w:val="20"/>
                <w:szCs w:val="22"/>
                <w:lang w:val="es-CO" w:eastAsia="es-CO"/>
              </w:rPr>
              <w:t xml:space="preserve">Línea </w:t>
            </w:r>
          </w:p>
        </w:tc>
        <w:tc>
          <w:tcPr>
            <w:tcW w:w="4569" w:type="dxa"/>
            <w:shd w:val="clear" w:color="auto" w:fill="D9D9D9" w:themeFill="background1" w:themeFillShade="D9"/>
            <w:noWrap/>
            <w:vAlign w:val="center"/>
            <w:hideMark/>
          </w:tcPr>
          <w:p w:rsidR="00B0723B" w:rsidRPr="000F038B" w:rsidRDefault="00B0723B" w:rsidP="00DD3D0E">
            <w:pPr>
              <w:spacing w:before="0" w:after="0"/>
              <w:jc w:val="center"/>
              <w:rPr>
                <w:b/>
                <w:bCs/>
                <w:i/>
                <w:iCs/>
                <w:color w:val="000000"/>
                <w:sz w:val="20"/>
                <w:szCs w:val="22"/>
                <w:lang w:val="es-CO" w:eastAsia="es-CO"/>
              </w:rPr>
            </w:pPr>
            <w:r w:rsidRPr="000F038B">
              <w:rPr>
                <w:b/>
                <w:bCs/>
                <w:i/>
                <w:iCs/>
                <w:color w:val="000000"/>
                <w:sz w:val="20"/>
                <w:szCs w:val="22"/>
                <w:lang w:val="es-CO" w:eastAsia="es-CO"/>
              </w:rPr>
              <w:t>Descripción de la unidad constructiva</w:t>
            </w:r>
          </w:p>
        </w:tc>
        <w:tc>
          <w:tcPr>
            <w:tcW w:w="1488" w:type="dxa"/>
            <w:shd w:val="clear" w:color="auto" w:fill="D9D9D9" w:themeFill="background1" w:themeFillShade="D9"/>
            <w:vAlign w:val="center"/>
            <w:hideMark/>
          </w:tcPr>
          <w:p w:rsidR="00B0723B" w:rsidRPr="000F038B" w:rsidRDefault="00B0723B" w:rsidP="00DD3D0E">
            <w:pPr>
              <w:spacing w:before="0" w:after="0"/>
              <w:jc w:val="center"/>
              <w:rPr>
                <w:b/>
                <w:bCs/>
                <w:i/>
                <w:iCs/>
                <w:color w:val="000000"/>
                <w:sz w:val="20"/>
                <w:szCs w:val="22"/>
                <w:lang w:val="es-CO" w:eastAsia="es-CO"/>
              </w:rPr>
            </w:pPr>
            <w:r w:rsidRPr="000F038B">
              <w:rPr>
                <w:b/>
                <w:bCs/>
                <w:i/>
                <w:iCs/>
                <w:color w:val="000000"/>
                <w:sz w:val="20"/>
                <w:szCs w:val="22"/>
                <w:lang w:val="es-CO" w:eastAsia="es-CO"/>
              </w:rPr>
              <w:t>Cantidad</w:t>
            </w:r>
          </w:p>
        </w:tc>
      </w:tr>
      <w:tr w:rsidR="00FB69E5" w:rsidRPr="000F038B" w:rsidTr="00FB69E5">
        <w:trPr>
          <w:trHeight w:val="448"/>
          <w:jc w:val="center"/>
        </w:trPr>
        <w:tc>
          <w:tcPr>
            <w:tcW w:w="1565" w:type="dxa"/>
            <w:shd w:val="clear" w:color="auto" w:fill="auto"/>
            <w:noWrap/>
            <w:vAlign w:val="center"/>
          </w:tcPr>
          <w:p w:rsidR="00FB69E5" w:rsidRPr="00FB69E5" w:rsidRDefault="00FB69E5" w:rsidP="00FB69E5">
            <w:pPr>
              <w:spacing w:before="0" w:after="0"/>
              <w:jc w:val="center"/>
              <w:rPr>
                <w:i/>
                <w:color w:val="000000"/>
                <w:sz w:val="20"/>
                <w:szCs w:val="20"/>
                <w:lang w:val="es-CO" w:eastAsia="es-CO"/>
              </w:rPr>
            </w:pPr>
            <w:r w:rsidRPr="00FB69E5">
              <w:rPr>
                <w:i/>
                <w:sz w:val="20"/>
                <w:szCs w:val="20"/>
              </w:rPr>
              <w:t>N4S48</w:t>
            </w:r>
          </w:p>
        </w:tc>
        <w:tc>
          <w:tcPr>
            <w:tcW w:w="1701" w:type="dxa"/>
            <w:shd w:val="clear" w:color="auto" w:fill="auto"/>
            <w:noWrap/>
            <w:vAlign w:val="center"/>
          </w:tcPr>
          <w:p w:rsidR="00FB69E5" w:rsidRPr="00FB69E5" w:rsidRDefault="00FB69E5" w:rsidP="00FB69E5">
            <w:pPr>
              <w:spacing w:before="0" w:after="0"/>
              <w:jc w:val="center"/>
              <w:rPr>
                <w:i/>
                <w:color w:val="000000"/>
                <w:sz w:val="20"/>
                <w:szCs w:val="20"/>
                <w:lang w:val="es-CO" w:eastAsia="es-CO"/>
              </w:rPr>
            </w:pPr>
            <w:r w:rsidRPr="00FB69E5">
              <w:rPr>
                <w:i/>
                <w:sz w:val="20"/>
                <w:szCs w:val="20"/>
              </w:rPr>
              <w:t>404</w:t>
            </w:r>
          </w:p>
        </w:tc>
        <w:tc>
          <w:tcPr>
            <w:tcW w:w="4569" w:type="dxa"/>
            <w:shd w:val="clear" w:color="auto" w:fill="auto"/>
            <w:vAlign w:val="center"/>
          </w:tcPr>
          <w:p w:rsidR="00FB69E5" w:rsidRPr="00FB69E5" w:rsidRDefault="00FB69E5" w:rsidP="00FB69E5">
            <w:pPr>
              <w:spacing w:before="0" w:after="0"/>
              <w:ind w:right="-16"/>
              <w:jc w:val="left"/>
              <w:rPr>
                <w:i/>
                <w:color w:val="000000"/>
                <w:sz w:val="20"/>
                <w:szCs w:val="20"/>
                <w:lang w:val="es-CO" w:eastAsia="es-CO"/>
              </w:rPr>
            </w:pPr>
            <w:r>
              <w:rPr>
                <w:i/>
                <w:sz w:val="20"/>
                <w:szCs w:val="20"/>
              </w:rPr>
              <w:t>C</w:t>
            </w:r>
            <w:r w:rsidRPr="00FB69E5">
              <w:rPr>
                <w:i/>
                <w:sz w:val="20"/>
                <w:szCs w:val="20"/>
              </w:rPr>
              <w:t>asa de control nivel de tensión 4 ($/m2)</w:t>
            </w:r>
          </w:p>
        </w:tc>
        <w:tc>
          <w:tcPr>
            <w:tcW w:w="1488" w:type="dxa"/>
            <w:shd w:val="clear" w:color="auto" w:fill="auto"/>
            <w:noWrap/>
            <w:vAlign w:val="center"/>
          </w:tcPr>
          <w:p w:rsidR="00FB69E5" w:rsidRPr="00FB69E5" w:rsidRDefault="009D4F8E" w:rsidP="009D4F8E">
            <w:pPr>
              <w:spacing w:before="0" w:after="0"/>
              <w:jc w:val="center"/>
              <w:rPr>
                <w:i/>
                <w:color w:val="000000"/>
                <w:sz w:val="20"/>
                <w:szCs w:val="20"/>
                <w:lang w:val="es-CO" w:eastAsia="es-CO"/>
              </w:rPr>
            </w:pPr>
            <w:r>
              <w:rPr>
                <w:i/>
                <w:sz w:val="20"/>
                <w:szCs w:val="20"/>
              </w:rPr>
              <w:t>1 (</w:t>
            </w:r>
            <w:r w:rsidR="00FB69E5" w:rsidRPr="00FB69E5">
              <w:rPr>
                <w:i/>
                <w:sz w:val="20"/>
                <w:szCs w:val="20"/>
              </w:rPr>
              <w:t>135</w:t>
            </w:r>
            <w:r>
              <w:rPr>
                <w:i/>
                <w:sz w:val="20"/>
                <w:szCs w:val="20"/>
              </w:rPr>
              <w:t xml:space="preserve"> m</w:t>
            </w:r>
            <w:r w:rsidRPr="009D4F8E">
              <w:rPr>
                <w:i/>
                <w:sz w:val="20"/>
                <w:szCs w:val="20"/>
                <w:vertAlign w:val="superscript"/>
              </w:rPr>
              <w:t>2</w:t>
            </w:r>
            <w:r>
              <w:rPr>
                <w:i/>
                <w:color w:val="000000"/>
                <w:sz w:val="20"/>
                <w:szCs w:val="20"/>
                <w:lang w:val="es-CO" w:eastAsia="es-CO"/>
              </w:rPr>
              <w:t>)</w:t>
            </w:r>
          </w:p>
        </w:tc>
      </w:tr>
      <w:tr w:rsidR="00FB69E5" w:rsidRPr="000F038B" w:rsidTr="00FB69E5">
        <w:trPr>
          <w:trHeight w:val="448"/>
          <w:jc w:val="center"/>
        </w:trPr>
        <w:tc>
          <w:tcPr>
            <w:tcW w:w="1565" w:type="dxa"/>
            <w:shd w:val="clear" w:color="auto" w:fill="auto"/>
            <w:noWrap/>
            <w:vAlign w:val="center"/>
          </w:tcPr>
          <w:p w:rsidR="00FB69E5" w:rsidRPr="00FB69E5" w:rsidRDefault="00FB69E5" w:rsidP="00FB69E5">
            <w:pPr>
              <w:spacing w:before="0" w:after="0"/>
              <w:jc w:val="center"/>
              <w:rPr>
                <w:i/>
                <w:color w:val="000000"/>
                <w:sz w:val="20"/>
                <w:szCs w:val="20"/>
                <w:lang w:val="es-CO" w:eastAsia="es-CO"/>
              </w:rPr>
            </w:pPr>
            <w:r w:rsidRPr="00FB69E5">
              <w:rPr>
                <w:i/>
                <w:sz w:val="20"/>
                <w:szCs w:val="20"/>
              </w:rPr>
              <w:t>N4S41</w:t>
            </w:r>
          </w:p>
        </w:tc>
        <w:tc>
          <w:tcPr>
            <w:tcW w:w="1701" w:type="dxa"/>
            <w:shd w:val="clear" w:color="auto" w:fill="auto"/>
            <w:noWrap/>
            <w:vAlign w:val="center"/>
          </w:tcPr>
          <w:p w:rsidR="00FB69E5" w:rsidRPr="00FB69E5" w:rsidRDefault="00FB69E5" w:rsidP="00FB69E5">
            <w:pPr>
              <w:spacing w:before="0" w:after="0"/>
              <w:jc w:val="center"/>
              <w:rPr>
                <w:i/>
                <w:color w:val="000000"/>
                <w:sz w:val="20"/>
                <w:szCs w:val="20"/>
                <w:lang w:val="es-CO" w:eastAsia="es-CO"/>
              </w:rPr>
            </w:pPr>
            <w:r w:rsidRPr="00FB69E5">
              <w:rPr>
                <w:i/>
                <w:sz w:val="20"/>
                <w:szCs w:val="20"/>
              </w:rPr>
              <w:t>404</w:t>
            </w:r>
          </w:p>
        </w:tc>
        <w:tc>
          <w:tcPr>
            <w:tcW w:w="4569" w:type="dxa"/>
            <w:shd w:val="clear" w:color="auto" w:fill="auto"/>
            <w:vAlign w:val="center"/>
          </w:tcPr>
          <w:p w:rsidR="00FB69E5" w:rsidRPr="00FB69E5" w:rsidRDefault="00FB69E5" w:rsidP="00FB69E5">
            <w:pPr>
              <w:spacing w:before="0" w:after="0"/>
              <w:ind w:right="-16"/>
              <w:jc w:val="left"/>
              <w:rPr>
                <w:i/>
                <w:color w:val="000000"/>
                <w:sz w:val="20"/>
                <w:szCs w:val="20"/>
                <w:lang w:val="es-CO" w:eastAsia="es-CO"/>
              </w:rPr>
            </w:pPr>
            <w:r>
              <w:rPr>
                <w:i/>
                <w:sz w:val="20"/>
                <w:szCs w:val="20"/>
              </w:rPr>
              <w:t>M</w:t>
            </w:r>
            <w:r w:rsidRPr="00FB69E5">
              <w:rPr>
                <w:i/>
                <w:sz w:val="20"/>
                <w:szCs w:val="20"/>
              </w:rPr>
              <w:t>ódulo común tipo 1 (1 a 3 bahías) - tipo convencional o encapsulada - cualquier configuración</w:t>
            </w:r>
          </w:p>
        </w:tc>
        <w:tc>
          <w:tcPr>
            <w:tcW w:w="1488" w:type="dxa"/>
            <w:shd w:val="clear" w:color="auto" w:fill="auto"/>
            <w:noWrap/>
            <w:vAlign w:val="center"/>
          </w:tcPr>
          <w:p w:rsidR="00FB69E5" w:rsidRPr="00FB69E5" w:rsidRDefault="00FB69E5" w:rsidP="00FB69E5">
            <w:pPr>
              <w:spacing w:before="0" w:after="0"/>
              <w:jc w:val="center"/>
              <w:rPr>
                <w:i/>
                <w:color w:val="000000"/>
                <w:sz w:val="20"/>
                <w:szCs w:val="20"/>
                <w:lang w:val="es-CO" w:eastAsia="es-CO"/>
              </w:rPr>
            </w:pPr>
            <w:r w:rsidRPr="00FB69E5">
              <w:rPr>
                <w:i/>
                <w:sz w:val="20"/>
                <w:szCs w:val="20"/>
              </w:rPr>
              <w:t>1</w:t>
            </w:r>
          </w:p>
        </w:tc>
      </w:tr>
      <w:tr w:rsidR="00FB69E5" w:rsidRPr="000F038B" w:rsidTr="00FB69E5">
        <w:trPr>
          <w:trHeight w:val="448"/>
          <w:jc w:val="center"/>
        </w:trPr>
        <w:tc>
          <w:tcPr>
            <w:tcW w:w="1565" w:type="dxa"/>
            <w:shd w:val="clear" w:color="auto" w:fill="auto"/>
            <w:noWrap/>
            <w:vAlign w:val="center"/>
          </w:tcPr>
          <w:p w:rsidR="00FB69E5" w:rsidRPr="00FB69E5" w:rsidRDefault="00FB69E5" w:rsidP="00FB69E5">
            <w:pPr>
              <w:spacing w:before="0" w:after="0"/>
              <w:jc w:val="center"/>
              <w:rPr>
                <w:i/>
                <w:color w:val="000000"/>
                <w:sz w:val="20"/>
                <w:szCs w:val="20"/>
                <w:lang w:val="es-CO" w:eastAsia="es-CO"/>
              </w:rPr>
            </w:pPr>
            <w:r w:rsidRPr="00FB69E5">
              <w:rPr>
                <w:i/>
                <w:sz w:val="20"/>
                <w:szCs w:val="20"/>
              </w:rPr>
              <w:t>N5T3</w:t>
            </w:r>
          </w:p>
        </w:tc>
        <w:tc>
          <w:tcPr>
            <w:tcW w:w="1701" w:type="dxa"/>
            <w:shd w:val="clear" w:color="auto" w:fill="auto"/>
            <w:noWrap/>
            <w:vAlign w:val="center"/>
          </w:tcPr>
          <w:p w:rsidR="00FB69E5" w:rsidRPr="00FB69E5" w:rsidRDefault="00FB69E5" w:rsidP="00FB69E5">
            <w:pPr>
              <w:spacing w:before="0" w:after="0"/>
              <w:jc w:val="center"/>
              <w:rPr>
                <w:i/>
                <w:color w:val="000000"/>
                <w:sz w:val="20"/>
                <w:szCs w:val="20"/>
                <w:lang w:val="es-CO" w:eastAsia="es-CO"/>
              </w:rPr>
            </w:pPr>
            <w:r w:rsidRPr="00FB69E5">
              <w:rPr>
                <w:i/>
                <w:sz w:val="20"/>
                <w:szCs w:val="20"/>
              </w:rPr>
              <w:t>R23</w:t>
            </w:r>
          </w:p>
        </w:tc>
        <w:tc>
          <w:tcPr>
            <w:tcW w:w="4569" w:type="dxa"/>
            <w:shd w:val="clear" w:color="auto" w:fill="auto"/>
            <w:vAlign w:val="center"/>
          </w:tcPr>
          <w:p w:rsidR="00FB69E5" w:rsidRPr="00FB69E5" w:rsidRDefault="00FB69E5" w:rsidP="009D4F8E">
            <w:pPr>
              <w:spacing w:before="0" w:after="0"/>
              <w:ind w:right="-16"/>
              <w:jc w:val="left"/>
              <w:rPr>
                <w:i/>
                <w:color w:val="000000"/>
                <w:sz w:val="20"/>
                <w:szCs w:val="20"/>
                <w:lang w:val="es-CO" w:eastAsia="es-CO"/>
              </w:rPr>
            </w:pPr>
            <w:r>
              <w:rPr>
                <w:i/>
                <w:sz w:val="20"/>
                <w:szCs w:val="20"/>
              </w:rPr>
              <w:t>T</w:t>
            </w:r>
            <w:r w:rsidRPr="00FB69E5">
              <w:rPr>
                <w:i/>
                <w:sz w:val="20"/>
                <w:szCs w:val="20"/>
              </w:rPr>
              <w:t>ransformador trifásico (</w:t>
            </w:r>
            <w:r w:rsidR="004B303D">
              <w:rPr>
                <w:i/>
                <w:sz w:val="20"/>
                <w:szCs w:val="20"/>
              </w:rPr>
              <w:t>OLTC</w:t>
            </w:r>
            <w:r w:rsidRPr="00FB69E5">
              <w:rPr>
                <w:i/>
                <w:sz w:val="20"/>
                <w:szCs w:val="20"/>
              </w:rPr>
              <w:t xml:space="preserve">) - conexión al </w:t>
            </w:r>
            <w:r>
              <w:rPr>
                <w:i/>
                <w:sz w:val="20"/>
                <w:szCs w:val="20"/>
              </w:rPr>
              <w:t>STN</w:t>
            </w:r>
            <w:r w:rsidR="009D4F8E">
              <w:rPr>
                <w:i/>
                <w:sz w:val="20"/>
                <w:szCs w:val="20"/>
              </w:rPr>
              <w:t xml:space="preserve"> </w:t>
            </w:r>
          </w:p>
        </w:tc>
        <w:tc>
          <w:tcPr>
            <w:tcW w:w="1488" w:type="dxa"/>
            <w:shd w:val="clear" w:color="auto" w:fill="auto"/>
            <w:noWrap/>
            <w:vAlign w:val="center"/>
          </w:tcPr>
          <w:p w:rsidR="00FB69E5" w:rsidRPr="00FB69E5" w:rsidRDefault="00FB69E5" w:rsidP="00FB69E5">
            <w:pPr>
              <w:spacing w:before="0" w:after="0"/>
              <w:jc w:val="center"/>
              <w:rPr>
                <w:i/>
                <w:color w:val="000000"/>
                <w:sz w:val="20"/>
                <w:szCs w:val="20"/>
                <w:lang w:val="es-CO" w:eastAsia="es-CO"/>
              </w:rPr>
            </w:pPr>
            <w:r w:rsidRPr="00FB69E5">
              <w:rPr>
                <w:i/>
                <w:sz w:val="20"/>
                <w:szCs w:val="20"/>
              </w:rPr>
              <w:t>20</w:t>
            </w:r>
          </w:p>
        </w:tc>
      </w:tr>
      <w:tr w:rsidR="00FB69E5" w:rsidRPr="000F038B" w:rsidTr="00FB69E5">
        <w:trPr>
          <w:trHeight w:val="448"/>
          <w:jc w:val="center"/>
        </w:trPr>
        <w:tc>
          <w:tcPr>
            <w:tcW w:w="1565" w:type="dxa"/>
            <w:shd w:val="clear" w:color="auto" w:fill="auto"/>
            <w:noWrap/>
            <w:vAlign w:val="center"/>
          </w:tcPr>
          <w:p w:rsidR="00FB69E5" w:rsidRPr="00FB69E5" w:rsidRDefault="00FB69E5" w:rsidP="00FB69E5">
            <w:pPr>
              <w:spacing w:before="0" w:after="0"/>
              <w:jc w:val="center"/>
              <w:rPr>
                <w:i/>
                <w:color w:val="000000"/>
                <w:sz w:val="20"/>
                <w:szCs w:val="20"/>
                <w:lang w:val="es-CO" w:eastAsia="es-CO"/>
              </w:rPr>
            </w:pPr>
            <w:r w:rsidRPr="00FB69E5">
              <w:rPr>
                <w:i/>
                <w:sz w:val="20"/>
                <w:szCs w:val="20"/>
              </w:rPr>
              <w:t>N5T3</w:t>
            </w:r>
          </w:p>
        </w:tc>
        <w:tc>
          <w:tcPr>
            <w:tcW w:w="1701" w:type="dxa"/>
            <w:shd w:val="clear" w:color="auto" w:fill="auto"/>
            <w:noWrap/>
            <w:vAlign w:val="center"/>
          </w:tcPr>
          <w:p w:rsidR="00FB69E5" w:rsidRPr="00FB69E5" w:rsidRDefault="00FB69E5" w:rsidP="00FB69E5">
            <w:pPr>
              <w:spacing w:before="0" w:after="0"/>
              <w:jc w:val="center"/>
              <w:rPr>
                <w:i/>
                <w:color w:val="000000"/>
                <w:sz w:val="20"/>
                <w:szCs w:val="20"/>
                <w:lang w:val="es-CO" w:eastAsia="es-CO"/>
              </w:rPr>
            </w:pPr>
            <w:r w:rsidRPr="00FB69E5">
              <w:rPr>
                <w:i/>
                <w:sz w:val="20"/>
                <w:szCs w:val="20"/>
              </w:rPr>
              <w:t>R23</w:t>
            </w:r>
          </w:p>
        </w:tc>
        <w:tc>
          <w:tcPr>
            <w:tcW w:w="4569" w:type="dxa"/>
            <w:shd w:val="clear" w:color="auto" w:fill="auto"/>
            <w:vAlign w:val="center"/>
          </w:tcPr>
          <w:p w:rsidR="00FB69E5" w:rsidRPr="00FB69E5" w:rsidRDefault="00FB69E5" w:rsidP="009D4F8E">
            <w:pPr>
              <w:spacing w:before="0" w:after="0"/>
              <w:ind w:right="-16"/>
              <w:jc w:val="left"/>
              <w:rPr>
                <w:i/>
                <w:color w:val="000000"/>
                <w:sz w:val="20"/>
                <w:szCs w:val="20"/>
                <w:lang w:val="es-CO" w:eastAsia="es-CO"/>
              </w:rPr>
            </w:pPr>
            <w:r>
              <w:rPr>
                <w:i/>
                <w:sz w:val="20"/>
                <w:szCs w:val="20"/>
              </w:rPr>
              <w:t>T</w:t>
            </w:r>
            <w:r w:rsidRPr="00FB69E5">
              <w:rPr>
                <w:i/>
                <w:sz w:val="20"/>
                <w:szCs w:val="20"/>
              </w:rPr>
              <w:t>ransformador trifásico (</w:t>
            </w:r>
            <w:r w:rsidR="004B303D">
              <w:rPr>
                <w:i/>
                <w:sz w:val="20"/>
                <w:szCs w:val="20"/>
              </w:rPr>
              <w:t>OLTC</w:t>
            </w:r>
            <w:r w:rsidRPr="00FB69E5">
              <w:rPr>
                <w:i/>
                <w:sz w:val="20"/>
                <w:szCs w:val="20"/>
              </w:rPr>
              <w:t xml:space="preserve">) - conexión al </w:t>
            </w:r>
            <w:r>
              <w:rPr>
                <w:i/>
                <w:sz w:val="20"/>
                <w:szCs w:val="20"/>
              </w:rPr>
              <w:t>STN</w:t>
            </w:r>
            <w:r w:rsidRPr="00FB69E5">
              <w:rPr>
                <w:i/>
                <w:sz w:val="20"/>
                <w:szCs w:val="20"/>
              </w:rPr>
              <w:t xml:space="preserve"> </w:t>
            </w:r>
          </w:p>
        </w:tc>
        <w:tc>
          <w:tcPr>
            <w:tcW w:w="1488" w:type="dxa"/>
            <w:shd w:val="clear" w:color="auto" w:fill="auto"/>
            <w:noWrap/>
            <w:vAlign w:val="center"/>
          </w:tcPr>
          <w:p w:rsidR="00FB69E5" w:rsidRPr="00FB69E5" w:rsidRDefault="00FB69E5" w:rsidP="00FB69E5">
            <w:pPr>
              <w:spacing w:before="0" w:after="0"/>
              <w:jc w:val="center"/>
              <w:rPr>
                <w:i/>
                <w:color w:val="000000"/>
                <w:sz w:val="20"/>
                <w:szCs w:val="20"/>
                <w:lang w:val="es-CO" w:eastAsia="es-CO"/>
              </w:rPr>
            </w:pPr>
            <w:r w:rsidRPr="00FB69E5">
              <w:rPr>
                <w:i/>
                <w:sz w:val="20"/>
                <w:szCs w:val="20"/>
              </w:rPr>
              <w:t>20</w:t>
            </w:r>
          </w:p>
        </w:tc>
      </w:tr>
      <w:tr w:rsidR="00FB69E5" w:rsidRPr="000F038B" w:rsidTr="00FB69E5">
        <w:trPr>
          <w:trHeight w:val="448"/>
          <w:jc w:val="center"/>
        </w:trPr>
        <w:tc>
          <w:tcPr>
            <w:tcW w:w="1565" w:type="dxa"/>
            <w:shd w:val="clear" w:color="auto" w:fill="auto"/>
            <w:noWrap/>
            <w:vAlign w:val="center"/>
          </w:tcPr>
          <w:p w:rsidR="00FB69E5" w:rsidRPr="00FB69E5" w:rsidRDefault="00FB69E5" w:rsidP="00FB69E5">
            <w:pPr>
              <w:spacing w:before="0" w:after="0"/>
              <w:jc w:val="center"/>
              <w:rPr>
                <w:i/>
                <w:color w:val="000000"/>
                <w:sz w:val="20"/>
                <w:szCs w:val="20"/>
                <w:lang w:val="es-CO" w:eastAsia="es-CO"/>
              </w:rPr>
            </w:pPr>
            <w:r w:rsidRPr="00FB69E5">
              <w:rPr>
                <w:i/>
                <w:sz w:val="20"/>
                <w:szCs w:val="20"/>
              </w:rPr>
              <w:t>N5S2</w:t>
            </w:r>
          </w:p>
        </w:tc>
        <w:tc>
          <w:tcPr>
            <w:tcW w:w="1701" w:type="dxa"/>
            <w:shd w:val="clear" w:color="auto" w:fill="auto"/>
            <w:noWrap/>
            <w:vAlign w:val="center"/>
          </w:tcPr>
          <w:p w:rsidR="00FB69E5" w:rsidRPr="00FB69E5" w:rsidRDefault="00FB69E5" w:rsidP="00FB69E5">
            <w:pPr>
              <w:spacing w:before="0" w:after="0"/>
              <w:jc w:val="center"/>
              <w:rPr>
                <w:i/>
                <w:color w:val="000000"/>
                <w:sz w:val="20"/>
                <w:szCs w:val="20"/>
                <w:lang w:val="es-CO" w:eastAsia="es-CO"/>
              </w:rPr>
            </w:pPr>
            <w:r w:rsidRPr="00FB69E5">
              <w:rPr>
                <w:i/>
                <w:sz w:val="20"/>
                <w:szCs w:val="20"/>
              </w:rPr>
              <w:t>R23</w:t>
            </w:r>
          </w:p>
        </w:tc>
        <w:tc>
          <w:tcPr>
            <w:tcW w:w="4569" w:type="dxa"/>
            <w:shd w:val="clear" w:color="auto" w:fill="auto"/>
            <w:vAlign w:val="center"/>
          </w:tcPr>
          <w:p w:rsidR="00FB69E5" w:rsidRPr="00FB69E5" w:rsidRDefault="00FB69E5" w:rsidP="00FB69E5">
            <w:pPr>
              <w:spacing w:before="0" w:after="0"/>
              <w:ind w:right="-16"/>
              <w:jc w:val="left"/>
              <w:rPr>
                <w:i/>
                <w:color w:val="000000"/>
                <w:sz w:val="20"/>
                <w:szCs w:val="20"/>
                <w:lang w:val="es-CO" w:eastAsia="es-CO"/>
              </w:rPr>
            </w:pPr>
            <w:r>
              <w:rPr>
                <w:i/>
                <w:sz w:val="20"/>
                <w:szCs w:val="20"/>
              </w:rPr>
              <w:t>B</w:t>
            </w:r>
            <w:r w:rsidRPr="00FB69E5">
              <w:rPr>
                <w:i/>
                <w:sz w:val="20"/>
                <w:szCs w:val="20"/>
              </w:rPr>
              <w:t>ahía de trans</w:t>
            </w:r>
            <w:r>
              <w:rPr>
                <w:i/>
                <w:sz w:val="20"/>
                <w:szCs w:val="20"/>
              </w:rPr>
              <w:t>formador, barra sencilla, 230 kV</w:t>
            </w:r>
          </w:p>
        </w:tc>
        <w:tc>
          <w:tcPr>
            <w:tcW w:w="1488" w:type="dxa"/>
            <w:shd w:val="clear" w:color="auto" w:fill="auto"/>
            <w:noWrap/>
            <w:vAlign w:val="center"/>
          </w:tcPr>
          <w:p w:rsidR="00FB69E5" w:rsidRPr="00FB69E5" w:rsidRDefault="00FB69E5" w:rsidP="00FB69E5">
            <w:pPr>
              <w:spacing w:before="0" w:after="0"/>
              <w:jc w:val="center"/>
              <w:rPr>
                <w:i/>
                <w:color w:val="000000"/>
                <w:sz w:val="20"/>
                <w:szCs w:val="20"/>
                <w:lang w:val="es-CO" w:eastAsia="es-CO"/>
              </w:rPr>
            </w:pPr>
            <w:r w:rsidRPr="00FB69E5">
              <w:rPr>
                <w:i/>
                <w:sz w:val="20"/>
                <w:szCs w:val="20"/>
              </w:rPr>
              <w:t>1</w:t>
            </w:r>
          </w:p>
        </w:tc>
      </w:tr>
    </w:tbl>
    <w:p w:rsidR="00B0723B" w:rsidRDefault="00B0723B" w:rsidP="00B0723B">
      <w:pPr>
        <w:spacing w:before="0" w:after="0"/>
      </w:pPr>
    </w:p>
    <w:p w:rsidR="00B0723B" w:rsidRDefault="00B0723B" w:rsidP="00B0723B">
      <w:pPr>
        <w:spacing w:before="0" w:after="0"/>
      </w:pPr>
      <w:r>
        <w:t>A</w:t>
      </w:r>
      <w:r w:rsidRPr="00CF0B66">
        <w:t xml:space="preserve">l modificarse la base de activos reconocidos en </w:t>
      </w:r>
      <w:r>
        <w:t>este n</w:t>
      </w:r>
      <w:r w:rsidRPr="00CF0B66">
        <w:t xml:space="preserve">ivel de </w:t>
      </w:r>
      <w:r>
        <w:t>t</w:t>
      </w:r>
      <w:r w:rsidRPr="00CF0B66">
        <w:t>ensión</w:t>
      </w:r>
      <w:r>
        <w:t>,</w:t>
      </w:r>
      <w:r w:rsidRPr="00CF0B66">
        <w:t xml:space="preserve"> se modifica el </w:t>
      </w:r>
      <w:r>
        <w:t>C</w:t>
      </w:r>
      <w:r w:rsidRPr="00CF0B66">
        <w:t xml:space="preserve">osto </w:t>
      </w:r>
      <w:r>
        <w:t>A</w:t>
      </w:r>
      <w:r w:rsidRPr="00CF0B66">
        <w:t xml:space="preserve">nual por </w:t>
      </w:r>
      <w:r>
        <w:t>U</w:t>
      </w:r>
      <w:r w:rsidRPr="00CF0B66">
        <w:t xml:space="preserve">so de los </w:t>
      </w:r>
      <w:r>
        <w:t>A</w:t>
      </w:r>
      <w:r w:rsidRPr="00CF0B66">
        <w:t>ctivos de Nivel de Tensión 4</w:t>
      </w:r>
      <w:r>
        <w:t xml:space="preserve"> </w:t>
      </w:r>
      <w:r w:rsidRPr="00CF0B66">
        <w:t>y el Costo de Reposición de la Inversión de Nivel de Tensión 4</w:t>
      </w:r>
      <w:r>
        <w:t>.</w:t>
      </w:r>
    </w:p>
    <w:p w:rsidR="00E03BD2" w:rsidRDefault="00E03BD2" w:rsidP="00DB043F">
      <w:r>
        <w:t xml:space="preserve">Que la Comisión de Regulación de Energía y Gas, en su sesión </w:t>
      </w:r>
      <w:r w:rsidR="00C850D9">
        <w:t>No.</w:t>
      </w:r>
      <w:r w:rsidR="005A200A">
        <w:t xml:space="preserve"> </w:t>
      </w:r>
      <w:r w:rsidR="0072538D">
        <w:t>665</w:t>
      </w:r>
      <w:r w:rsidR="00FB69E5">
        <w:t xml:space="preserve"> </w:t>
      </w:r>
      <w:r>
        <w:t>de</w:t>
      </w:r>
      <w:r w:rsidR="00C850D9">
        <w:t xml:space="preserve">l </w:t>
      </w:r>
      <w:r w:rsidR="0072538D">
        <w:t>3</w:t>
      </w:r>
      <w:r w:rsidR="00C850D9">
        <w:t xml:space="preserve"> de </w:t>
      </w:r>
      <w:r w:rsidR="0072538D">
        <w:t>julio</w:t>
      </w:r>
      <w:r w:rsidR="006238DF">
        <w:t xml:space="preserve"> </w:t>
      </w:r>
      <w:r>
        <w:t>de 201</w:t>
      </w:r>
      <w:r w:rsidR="00FB69E5">
        <w:t>5</w:t>
      </w:r>
      <w:r>
        <w:t>, acordó expedir la presente resolución</w:t>
      </w:r>
      <w:r w:rsidR="003F5923">
        <w:t>.</w:t>
      </w:r>
    </w:p>
    <w:p w:rsidR="00E03BD2" w:rsidRDefault="00E03BD2" w:rsidP="009E1157">
      <w:pPr>
        <w:keepNext/>
        <w:spacing w:before="360" w:after="360"/>
        <w:jc w:val="center"/>
        <w:rPr>
          <w:b/>
          <w:spacing w:val="40"/>
        </w:rPr>
      </w:pPr>
      <w:r>
        <w:rPr>
          <w:b/>
        </w:rPr>
        <w:t>RESUELV</w:t>
      </w:r>
      <w:r>
        <w:rPr>
          <w:b/>
          <w:spacing w:val="40"/>
        </w:rPr>
        <w:t>E:</w:t>
      </w:r>
    </w:p>
    <w:p w:rsidR="008E6072" w:rsidRPr="00CF0B66" w:rsidRDefault="00DB043F" w:rsidP="003023AC">
      <w:pPr>
        <w:pStyle w:val="Artculo"/>
      </w:pPr>
      <w:bookmarkStart w:id="1" w:name="_Toc259626851"/>
      <w:r w:rsidRPr="00DB043F">
        <w:rPr>
          <w:b/>
        </w:rPr>
        <w:t>Artículo 1</w:t>
      </w:r>
      <w:r>
        <w:t xml:space="preserve">. </w:t>
      </w:r>
      <w:r w:rsidR="00CF0B66" w:rsidRPr="004549AD">
        <w:t>Modificar el Artículo 1 de la Resolución CREG 10</w:t>
      </w:r>
      <w:r w:rsidR="00CF0B66">
        <w:t>5</w:t>
      </w:r>
      <w:r w:rsidR="00CF0B66" w:rsidRPr="004549AD">
        <w:t xml:space="preserve"> de 2009, el cual queda así:</w:t>
      </w:r>
    </w:p>
    <w:p w:rsidR="00CF0B66" w:rsidRPr="003F5923" w:rsidRDefault="00CF0B66" w:rsidP="006140E4">
      <w:pPr>
        <w:ind w:left="284" w:right="193"/>
      </w:pPr>
      <w:r w:rsidRPr="003F5923">
        <w:rPr>
          <w:b/>
          <w:spacing w:val="-3"/>
        </w:rPr>
        <w:t>Artículo 1.</w:t>
      </w:r>
      <w:r w:rsidRPr="003F5923">
        <w:rPr>
          <w:b/>
          <w:spacing w:val="-3"/>
        </w:rPr>
        <w:tab/>
      </w:r>
      <w:r w:rsidRPr="003F5923">
        <w:rPr>
          <w:b/>
        </w:rPr>
        <w:t>Costo Anual por el uso de los activos del Nivel de Tensión 4.</w:t>
      </w:r>
      <w:r w:rsidRPr="003F5923">
        <w:t xml:space="preserve"> El Costo Anual por el Uso de los Activos del Nivel de Tensión 4 operados por Empresas Públicas de Medellín E.S.P., del sistema resultante de la integración de los Sistemas de Transmisión Regional y/o Sistemas de Distribución Local anteriormente operados por EEPPM y la alcaldía de Campamento, calculado en la forma establecida en la Resolución CREG 097 de 2008, es el siguiente:</w:t>
      </w:r>
    </w:p>
    <w:tbl>
      <w:tblPr>
        <w:tblW w:w="7015" w:type="dxa"/>
        <w:jc w:val="center"/>
        <w:tblInd w:w="-295" w:type="dxa"/>
        <w:tblCellMar>
          <w:left w:w="70" w:type="dxa"/>
          <w:right w:w="70" w:type="dxa"/>
        </w:tblCellMar>
        <w:tblLook w:val="04A0" w:firstRow="1" w:lastRow="0" w:firstColumn="1" w:lastColumn="0" w:noHBand="0" w:noVBand="1"/>
      </w:tblPr>
      <w:tblGrid>
        <w:gridCol w:w="3007"/>
        <w:gridCol w:w="4008"/>
      </w:tblGrid>
      <w:tr w:rsidR="00CF0B66" w:rsidRPr="007D04E4" w:rsidTr="004B303D">
        <w:trPr>
          <w:trHeight w:val="615"/>
          <w:jc w:val="center"/>
        </w:trPr>
        <w:tc>
          <w:tcPr>
            <w:tcW w:w="300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rsidR="00CF0B66" w:rsidRPr="007D04E4" w:rsidRDefault="00CF0B66" w:rsidP="00DB043F">
            <w:pPr>
              <w:spacing w:before="0" w:after="0"/>
              <w:jc w:val="center"/>
              <w:rPr>
                <w:rFonts w:cs="Calibri"/>
                <w:b/>
                <w:bCs/>
                <w:i/>
                <w:color w:val="000000"/>
                <w:sz w:val="22"/>
                <w:szCs w:val="22"/>
                <w:lang w:val="es-CO" w:eastAsia="es-CO"/>
              </w:rPr>
            </w:pPr>
            <w:r w:rsidRPr="007D04E4">
              <w:rPr>
                <w:rFonts w:cs="Calibri"/>
                <w:b/>
                <w:bCs/>
                <w:i/>
                <w:color w:val="000000"/>
                <w:sz w:val="22"/>
                <w:szCs w:val="22"/>
                <w:lang w:val="es-CO" w:eastAsia="es-CO"/>
              </w:rPr>
              <w:t xml:space="preserve">Costo Anual por el Uso de los Activos </w:t>
            </w:r>
          </w:p>
        </w:tc>
        <w:tc>
          <w:tcPr>
            <w:tcW w:w="4008" w:type="dxa"/>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rsidR="00CF0B66" w:rsidRPr="007D04E4" w:rsidRDefault="00CF0B66" w:rsidP="00DB043F">
            <w:pPr>
              <w:spacing w:before="0" w:after="0"/>
              <w:jc w:val="center"/>
              <w:rPr>
                <w:rFonts w:cs="Calibri"/>
                <w:b/>
                <w:bCs/>
                <w:i/>
                <w:color w:val="000000"/>
                <w:sz w:val="22"/>
                <w:szCs w:val="22"/>
                <w:lang w:val="es-CO" w:eastAsia="es-CO"/>
              </w:rPr>
            </w:pPr>
            <w:r w:rsidRPr="007D04E4">
              <w:rPr>
                <w:rFonts w:cs="Calibri"/>
                <w:b/>
                <w:bCs/>
                <w:i/>
                <w:color w:val="000000"/>
                <w:sz w:val="22"/>
                <w:szCs w:val="22"/>
                <w:lang w:val="es-CO" w:eastAsia="es-CO"/>
              </w:rPr>
              <w:t>Pesos de diciembre de 2007</w:t>
            </w:r>
          </w:p>
        </w:tc>
      </w:tr>
      <w:tr w:rsidR="00CF0B66" w:rsidRPr="007D04E4" w:rsidTr="004B303D">
        <w:trPr>
          <w:trHeight w:val="379"/>
          <w:jc w:val="center"/>
        </w:trPr>
        <w:tc>
          <w:tcPr>
            <w:tcW w:w="3007" w:type="dxa"/>
            <w:tcBorders>
              <w:top w:val="nil"/>
              <w:left w:val="single" w:sz="8" w:space="0" w:color="000000"/>
              <w:bottom w:val="single" w:sz="8" w:space="0" w:color="000000"/>
              <w:right w:val="single" w:sz="8" w:space="0" w:color="000000"/>
            </w:tcBorders>
            <w:shd w:val="clear" w:color="auto" w:fill="auto"/>
            <w:vAlign w:val="center"/>
            <w:hideMark/>
          </w:tcPr>
          <w:p w:rsidR="00CF0B66" w:rsidRPr="007D04E4" w:rsidRDefault="00CF0B66" w:rsidP="00DB043F">
            <w:pPr>
              <w:spacing w:before="0" w:after="0"/>
              <w:rPr>
                <w:rFonts w:cs="Calibri"/>
                <w:i/>
                <w:color w:val="000000"/>
                <w:sz w:val="22"/>
                <w:szCs w:val="22"/>
                <w:lang w:val="es-CO" w:eastAsia="es-CO"/>
              </w:rPr>
            </w:pPr>
            <w:r w:rsidRPr="007D04E4">
              <w:rPr>
                <w:rFonts w:cs="Calibri"/>
                <w:i/>
                <w:color w:val="000000"/>
                <w:sz w:val="22"/>
                <w:szCs w:val="22"/>
                <w:lang w:val="es-CO" w:eastAsia="es-CO"/>
              </w:rPr>
              <w:t>Nivel de Tensión 4</w:t>
            </w:r>
            <w:r w:rsidRPr="007D04E4">
              <w:rPr>
                <w:rFonts w:cs="Calibri"/>
                <w:b/>
                <w:bCs/>
                <w:i/>
                <w:iCs/>
                <w:color w:val="000000"/>
                <w:sz w:val="22"/>
                <w:szCs w:val="22"/>
                <w:lang w:val="es-CO" w:eastAsia="es-CO"/>
              </w:rPr>
              <w:t xml:space="preserve"> (CA</w:t>
            </w:r>
            <w:r w:rsidRPr="007D04E4">
              <w:rPr>
                <w:rFonts w:cs="Calibri"/>
                <w:b/>
                <w:bCs/>
                <w:i/>
                <w:iCs/>
                <w:color w:val="000000"/>
                <w:sz w:val="22"/>
                <w:szCs w:val="22"/>
                <w:vertAlign w:val="subscript"/>
                <w:lang w:val="es-CO" w:eastAsia="es-CO"/>
              </w:rPr>
              <w:t>j,4</w:t>
            </w:r>
            <w:r w:rsidRPr="007D04E4">
              <w:rPr>
                <w:rFonts w:cs="Calibri"/>
                <w:b/>
                <w:bCs/>
                <w:i/>
                <w:iCs/>
                <w:color w:val="000000"/>
                <w:sz w:val="22"/>
                <w:szCs w:val="22"/>
                <w:lang w:val="es-CO" w:eastAsia="es-CO"/>
              </w:rPr>
              <w:t>)</w:t>
            </w:r>
          </w:p>
        </w:tc>
        <w:tc>
          <w:tcPr>
            <w:tcW w:w="4008" w:type="dxa"/>
            <w:tcBorders>
              <w:top w:val="nil"/>
              <w:left w:val="nil"/>
              <w:bottom w:val="single" w:sz="8" w:space="0" w:color="000000"/>
              <w:right w:val="single" w:sz="8" w:space="0" w:color="000000"/>
            </w:tcBorders>
            <w:shd w:val="clear" w:color="auto" w:fill="auto"/>
            <w:vAlign w:val="center"/>
            <w:hideMark/>
          </w:tcPr>
          <w:p w:rsidR="00CF0B66" w:rsidRPr="007D04E4" w:rsidRDefault="00FB69E5" w:rsidP="00FB69E5">
            <w:pPr>
              <w:keepNext/>
              <w:spacing w:before="0" w:after="0"/>
              <w:jc w:val="right"/>
              <w:rPr>
                <w:rFonts w:cs="Calibri"/>
                <w:i/>
                <w:color w:val="000000"/>
                <w:sz w:val="22"/>
                <w:szCs w:val="22"/>
                <w:lang w:val="es-CO" w:eastAsia="es-CO"/>
              </w:rPr>
            </w:pPr>
            <w:r w:rsidRPr="00FB69E5">
              <w:rPr>
                <w:rFonts w:cs="Calibri"/>
                <w:i/>
                <w:color w:val="000000"/>
                <w:sz w:val="22"/>
                <w:szCs w:val="22"/>
                <w:lang w:val="es-CO" w:eastAsia="es-CO"/>
              </w:rPr>
              <w:t>133</w:t>
            </w:r>
            <w:r>
              <w:rPr>
                <w:rFonts w:cs="Calibri"/>
                <w:i/>
                <w:color w:val="000000"/>
                <w:sz w:val="22"/>
                <w:szCs w:val="22"/>
                <w:lang w:val="es-CO" w:eastAsia="es-CO"/>
              </w:rPr>
              <w:t>.</w:t>
            </w:r>
            <w:r w:rsidRPr="00FB69E5">
              <w:rPr>
                <w:rFonts w:cs="Calibri"/>
                <w:i/>
                <w:color w:val="000000"/>
                <w:sz w:val="22"/>
                <w:szCs w:val="22"/>
                <w:lang w:val="es-CO" w:eastAsia="es-CO"/>
              </w:rPr>
              <w:t>294</w:t>
            </w:r>
            <w:r>
              <w:rPr>
                <w:rFonts w:cs="Calibri"/>
                <w:i/>
                <w:color w:val="000000"/>
                <w:sz w:val="22"/>
                <w:szCs w:val="22"/>
                <w:lang w:val="es-CO" w:eastAsia="es-CO"/>
              </w:rPr>
              <w:t>.</w:t>
            </w:r>
            <w:r w:rsidRPr="00FB69E5">
              <w:rPr>
                <w:rFonts w:cs="Calibri"/>
                <w:i/>
                <w:color w:val="000000"/>
                <w:sz w:val="22"/>
                <w:szCs w:val="22"/>
                <w:lang w:val="es-CO" w:eastAsia="es-CO"/>
              </w:rPr>
              <w:t>162</w:t>
            </w:r>
            <w:r>
              <w:rPr>
                <w:rFonts w:cs="Calibri"/>
                <w:i/>
                <w:color w:val="000000"/>
                <w:sz w:val="22"/>
                <w:szCs w:val="22"/>
                <w:lang w:val="es-CO" w:eastAsia="es-CO"/>
              </w:rPr>
              <w:t>.</w:t>
            </w:r>
            <w:r w:rsidRPr="00FB69E5">
              <w:rPr>
                <w:rFonts w:cs="Calibri"/>
                <w:i/>
                <w:color w:val="000000"/>
                <w:sz w:val="22"/>
                <w:szCs w:val="22"/>
                <w:lang w:val="es-CO" w:eastAsia="es-CO"/>
              </w:rPr>
              <w:t>874</w:t>
            </w:r>
          </w:p>
        </w:tc>
      </w:tr>
    </w:tbl>
    <w:bookmarkEnd w:id="1"/>
    <w:p w:rsidR="00743283" w:rsidRDefault="00DB043F" w:rsidP="003023AC">
      <w:pPr>
        <w:pStyle w:val="Artculo"/>
      </w:pPr>
      <w:r w:rsidRPr="00DB043F">
        <w:rPr>
          <w:b/>
        </w:rPr>
        <w:t>Artículo 2.</w:t>
      </w:r>
      <w:r>
        <w:t xml:space="preserve"> </w:t>
      </w:r>
      <w:r w:rsidR="00CF0B66" w:rsidRPr="00CF0B66">
        <w:t>Modificar el Artículo 5 de la Resolución CREG 105 de 2009, el cual queda así:</w:t>
      </w:r>
    </w:p>
    <w:p w:rsidR="00CF0B66" w:rsidRPr="003F5923" w:rsidRDefault="00CF0B66" w:rsidP="006140E4">
      <w:pPr>
        <w:ind w:left="284" w:right="193"/>
      </w:pPr>
      <w:r w:rsidRPr="003F5923">
        <w:rPr>
          <w:b/>
        </w:rPr>
        <w:t xml:space="preserve">Artículo 5. Costos de reposición de la inversión. </w:t>
      </w:r>
      <w:r w:rsidRPr="003F5923">
        <w:t>Los costos de reposición de la inversión del OR Empresas Públicas de Medellín E.S.P. para cada nivel de tensión, calculados en la forma establecida en la Resolución CREG 097 de 2008, son los siguientes:</w:t>
      </w:r>
    </w:p>
    <w:tbl>
      <w:tblPr>
        <w:tblW w:w="7467" w:type="dxa"/>
        <w:jc w:val="center"/>
        <w:shd w:val="clear" w:color="auto" w:fill="FFFFFF" w:themeFill="background1"/>
        <w:tblCellMar>
          <w:left w:w="70" w:type="dxa"/>
          <w:right w:w="70" w:type="dxa"/>
        </w:tblCellMar>
        <w:tblLook w:val="04A0" w:firstRow="1" w:lastRow="0" w:firstColumn="1" w:lastColumn="0" w:noHBand="0" w:noVBand="1"/>
      </w:tblPr>
      <w:tblGrid>
        <w:gridCol w:w="4460"/>
        <w:gridCol w:w="3007"/>
      </w:tblGrid>
      <w:tr w:rsidR="00CF0B66" w:rsidRPr="009A2F9C" w:rsidTr="00DC6E7D">
        <w:trPr>
          <w:cantSplit/>
          <w:trHeight w:val="548"/>
          <w:jc w:val="center"/>
        </w:trPr>
        <w:tc>
          <w:tcPr>
            <w:tcW w:w="4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F0B66" w:rsidRPr="009A2F9C" w:rsidRDefault="00CF0B66" w:rsidP="00DB043F">
            <w:pPr>
              <w:keepNext/>
              <w:spacing w:before="0" w:after="0"/>
              <w:jc w:val="center"/>
              <w:rPr>
                <w:rFonts w:cs="Calibri"/>
                <w:b/>
                <w:bCs/>
                <w:i/>
                <w:color w:val="000000"/>
                <w:sz w:val="22"/>
                <w:szCs w:val="22"/>
                <w:lang w:val="es-CO" w:eastAsia="es-CO"/>
              </w:rPr>
            </w:pPr>
            <w:r w:rsidRPr="009A2F9C">
              <w:rPr>
                <w:rFonts w:cs="Calibri"/>
                <w:b/>
                <w:bCs/>
                <w:i/>
                <w:color w:val="000000"/>
                <w:sz w:val="22"/>
                <w:szCs w:val="22"/>
                <w:lang w:val="es-CO" w:eastAsia="es-CO"/>
              </w:rPr>
              <w:lastRenderedPageBreak/>
              <w:t>Costo de Reposición de Inversión</w:t>
            </w:r>
          </w:p>
        </w:tc>
        <w:tc>
          <w:tcPr>
            <w:tcW w:w="30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F0B66" w:rsidRPr="009A2F9C" w:rsidRDefault="00CF0B66" w:rsidP="00DB043F">
            <w:pPr>
              <w:keepNext/>
              <w:spacing w:before="0" w:after="0"/>
              <w:jc w:val="center"/>
              <w:rPr>
                <w:rFonts w:cs="Calibri"/>
                <w:b/>
                <w:bCs/>
                <w:i/>
                <w:color w:val="000000"/>
                <w:sz w:val="22"/>
                <w:szCs w:val="22"/>
                <w:lang w:val="es-CO" w:eastAsia="es-CO"/>
              </w:rPr>
            </w:pPr>
            <w:r w:rsidRPr="009A2F9C">
              <w:rPr>
                <w:rFonts w:cs="Calibri"/>
                <w:b/>
                <w:bCs/>
                <w:i/>
                <w:color w:val="000000"/>
                <w:sz w:val="22"/>
                <w:szCs w:val="22"/>
                <w:lang w:val="es-CO" w:eastAsia="es-CO"/>
              </w:rPr>
              <w:t>Pesos de diciembre de 2007</w:t>
            </w:r>
          </w:p>
        </w:tc>
      </w:tr>
      <w:tr w:rsidR="009A2F9C" w:rsidRPr="009A2F9C" w:rsidTr="006456F9">
        <w:trPr>
          <w:cantSplit/>
          <w:trHeight w:val="379"/>
          <w:jc w:val="center"/>
        </w:trPr>
        <w:tc>
          <w:tcPr>
            <w:tcW w:w="4460" w:type="dxa"/>
            <w:tcBorders>
              <w:top w:val="single" w:sz="4" w:space="0" w:color="auto"/>
              <w:left w:val="single" w:sz="8" w:space="0" w:color="auto"/>
              <w:bottom w:val="single" w:sz="4" w:space="0" w:color="000000"/>
              <w:right w:val="nil"/>
            </w:tcBorders>
            <w:shd w:val="clear" w:color="auto" w:fill="FFFFFF" w:themeFill="background1"/>
            <w:vAlign w:val="center"/>
            <w:hideMark/>
          </w:tcPr>
          <w:p w:rsidR="009A2F9C" w:rsidRPr="009A2F9C" w:rsidRDefault="009A2F9C" w:rsidP="00DB043F">
            <w:pPr>
              <w:keepNext/>
              <w:spacing w:before="0" w:after="0"/>
              <w:rPr>
                <w:rFonts w:cs="Calibri"/>
                <w:i/>
                <w:color w:val="000000"/>
                <w:sz w:val="22"/>
                <w:szCs w:val="22"/>
                <w:lang w:val="es-CO" w:eastAsia="es-CO"/>
              </w:rPr>
            </w:pPr>
            <w:r w:rsidRPr="009A2F9C">
              <w:rPr>
                <w:rFonts w:cs="Calibri"/>
                <w:i/>
                <w:color w:val="000000"/>
                <w:sz w:val="22"/>
                <w:szCs w:val="22"/>
                <w:lang w:val="es-CO" w:eastAsia="es-CO"/>
              </w:rPr>
              <w:t xml:space="preserve">Para el Nivel de Tensión 4 </w:t>
            </w:r>
            <w:r w:rsidRPr="009A2F9C">
              <w:rPr>
                <w:rFonts w:cs="Calibri"/>
                <w:b/>
                <w:bCs/>
                <w:i/>
                <w:iCs/>
                <w:color w:val="000000"/>
                <w:sz w:val="22"/>
                <w:szCs w:val="22"/>
                <w:lang w:val="es-CO" w:eastAsia="es-CO"/>
              </w:rPr>
              <w:t>(CRI</w:t>
            </w:r>
            <w:r w:rsidRPr="009A2F9C">
              <w:rPr>
                <w:rFonts w:cs="Calibri"/>
                <w:b/>
                <w:bCs/>
                <w:i/>
                <w:iCs/>
                <w:color w:val="000000"/>
                <w:sz w:val="22"/>
                <w:szCs w:val="22"/>
                <w:vertAlign w:val="subscript"/>
                <w:lang w:val="es-CO" w:eastAsia="es-CO"/>
              </w:rPr>
              <w:t>j,4</w:t>
            </w:r>
            <w:r w:rsidRPr="009A2F9C">
              <w:rPr>
                <w:rFonts w:cs="Calibri"/>
                <w:b/>
                <w:bCs/>
                <w:i/>
                <w:iCs/>
                <w:color w:val="000000"/>
                <w:sz w:val="22"/>
                <w:szCs w:val="22"/>
                <w:lang w:val="es-CO" w:eastAsia="es-CO"/>
              </w:rPr>
              <w:t>)</w:t>
            </w:r>
          </w:p>
        </w:tc>
        <w:tc>
          <w:tcPr>
            <w:tcW w:w="3007"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91012" w:rsidRPr="00B0723B" w:rsidRDefault="00FB69E5" w:rsidP="00FB69E5">
            <w:pPr>
              <w:keepNext/>
              <w:spacing w:before="0" w:after="0"/>
              <w:jc w:val="right"/>
              <w:rPr>
                <w:rFonts w:cs="Calibri"/>
                <w:i/>
                <w:color w:val="000000"/>
                <w:sz w:val="22"/>
                <w:szCs w:val="22"/>
                <w:lang w:val="es-CO" w:eastAsia="es-CO"/>
              </w:rPr>
            </w:pPr>
            <w:r>
              <w:t xml:space="preserve"> </w:t>
            </w:r>
            <w:r w:rsidRPr="00FB69E5">
              <w:rPr>
                <w:rFonts w:cs="Calibri"/>
                <w:i/>
                <w:color w:val="000000"/>
                <w:sz w:val="22"/>
                <w:szCs w:val="22"/>
                <w:lang w:val="es-CO" w:eastAsia="es-CO"/>
              </w:rPr>
              <w:t>699</w:t>
            </w:r>
            <w:r>
              <w:rPr>
                <w:rFonts w:cs="Calibri"/>
                <w:i/>
                <w:color w:val="000000"/>
                <w:sz w:val="22"/>
                <w:szCs w:val="22"/>
                <w:lang w:val="es-CO" w:eastAsia="es-CO"/>
              </w:rPr>
              <w:t>.</w:t>
            </w:r>
            <w:r w:rsidRPr="00FB69E5">
              <w:rPr>
                <w:rFonts w:cs="Calibri"/>
                <w:i/>
                <w:color w:val="000000"/>
                <w:sz w:val="22"/>
                <w:szCs w:val="22"/>
                <w:lang w:val="es-CO" w:eastAsia="es-CO"/>
              </w:rPr>
              <w:t>038</w:t>
            </w:r>
            <w:r>
              <w:rPr>
                <w:rFonts w:cs="Calibri"/>
                <w:i/>
                <w:color w:val="000000"/>
                <w:sz w:val="22"/>
                <w:szCs w:val="22"/>
                <w:lang w:val="es-CO" w:eastAsia="es-CO"/>
              </w:rPr>
              <w:t>.</w:t>
            </w:r>
            <w:r w:rsidRPr="00FB69E5">
              <w:rPr>
                <w:rFonts w:cs="Calibri"/>
                <w:i/>
                <w:color w:val="000000"/>
                <w:sz w:val="22"/>
                <w:szCs w:val="22"/>
                <w:lang w:val="es-CO" w:eastAsia="es-CO"/>
              </w:rPr>
              <w:t>309</w:t>
            </w:r>
            <w:r>
              <w:rPr>
                <w:rFonts w:cs="Calibri"/>
                <w:i/>
                <w:color w:val="000000"/>
                <w:sz w:val="22"/>
                <w:szCs w:val="22"/>
                <w:lang w:val="es-CO" w:eastAsia="es-CO"/>
              </w:rPr>
              <w:t>.</w:t>
            </w:r>
            <w:r w:rsidRPr="00FB69E5">
              <w:rPr>
                <w:rFonts w:cs="Calibri"/>
                <w:i/>
                <w:color w:val="000000"/>
                <w:sz w:val="22"/>
                <w:szCs w:val="22"/>
                <w:lang w:val="es-CO" w:eastAsia="es-CO"/>
              </w:rPr>
              <w:t>317</w:t>
            </w:r>
          </w:p>
        </w:tc>
      </w:tr>
      <w:tr w:rsidR="00CF0B66" w:rsidRPr="009A2F9C" w:rsidTr="00DB043F">
        <w:trPr>
          <w:cantSplit/>
          <w:trHeight w:val="379"/>
          <w:jc w:val="center"/>
        </w:trPr>
        <w:tc>
          <w:tcPr>
            <w:tcW w:w="4460" w:type="dxa"/>
            <w:tcBorders>
              <w:top w:val="nil"/>
              <w:left w:val="single" w:sz="8" w:space="0" w:color="auto"/>
              <w:bottom w:val="single" w:sz="4" w:space="0" w:color="000000"/>
              <w:right w:val="nil"/>
            </w:tcBorders>
            <w:shd w:val="clear" w:color="auto" w:fill="FFFFFF" w:themeFill="background1"/>
            <w:vAlign w:val="center"/>
            <w:hideMark/>
          </w:tcPr>
          <w:p w:rsidR="00CF0B66" w:rsidRPr="009A2F9C" w:rsidRDefault="00CF0B66" w:rsidP="00DB043F">
            <w:pPr>
              <w:keepNext/>
              <w:spacing w:before="0" w:after="0"/>
              <w:rPr>
                <w:rFonts w:cs="Calibri"/>
                <w:i/>
                <w:color w:val="000000"/>
                <w:sz w:val="22"/>
                <w:szCs w:val="22"/>
                <w:lang w:val="es-CO" w:eastAsia="es-CO"/>
              </w:rPr>
            </w:pPr>
            <w:r w:rsidRPr="009A2F9C">
              <w:rPr>
                <w:rFonts w:cs="Calibri"/>
                <w:i/>
                <w:color w:val="000000"/>
                <w:sz w:val="22"/>
                <w:szCs w:val="22"/>
                <w:lang w:val="es-CO" w:eastAsia="es-CO"/>
              </w:rPr>
              <w:t xml:space="preserve">Para el Nivel de Tensión 3 </w:t>
            </w:r>
            <w:r w:rsidRPr="009A2F9C">
              <w:rPr>
                <w:rFonts w:cs="Calibri"/>
                <w:b/>
                <w:bCs/>
                <w:i/>
                <w:iCs/>
                <w:color w:val="000000"/>
                <w:sz w:val="22"/>
                <w:szCs w:val="22"/>
                <w:lang w:val="es-CO" w:eastAsia="es-CO"/>
              </w:rPr>
              <w:t>(CRI</w:t>
            </w:r>
            <w:r w:rsidRPr="009A2F9C">
              <w:rPr>
                <w:rFonts w:cs="Calibri"/>
                <w:b/>
                <w:bCs/>
                <w:i/>
                <w:iCs/>
                <w:color w:val="000000"/>
                <w:sz w:val="22"/>
                <w:szCs w:val="22"/>
                <w:vertAlign w:val="subscript"/>
                <w:lang w:val="es-CO" w:eastAsia="es-CO"/>
              </w:rPr>
              <w:t>j,3</w:t>
            </w:r>
            <w:r w:rsidRPr="009A2F9C">
              <w:rPr>
                <w:rFonts w:cs="Calibri"/>
                <w:b/>
                <w:bCs/>
                <w:i/>
                <w:iCs/>
                <w:color w:val="000000"/>
                <w:sz w:val="22"/>
                <w:szCs w:val="22"/>
                <w:lang w:val="es-CO" w:eastAsia="es-CO"/>
              </w:rPr>
              <w:t>)</w:t>
            </w:r>
          </w:p>
        </w:tc>
        <w:tc>
          <w:tcPr>
            <w:tcW w:w="3007" w:type="dxa"/>
            <w:tcBorders>
              <w:top w:val="nil"/>
              <w:left w:val="single" w:sz="8" w:space="0" w:color="auto"/>
              <w:bottom w:val="single" w:sz="4" w:space="0" w:color="auto"/>
              <w:right w:val="single" w:sz="8" w:space="0" w:color="auto"/>
            </w:tcBorders>
            <w:shd w:val="clear" w:color="auto" w:fill="FFFFFF" w:themeFill="background1"/>
            <w:vAlign w:val="center"/>
            <w:hideMark/>
          </w:tcPr>
          <w:p w:rsidR="00CF0B66" w:rsidRPr="009A2F9C" w:rsidRDefault="00CF0B66" w:rsidP="00DB043F">
            <w:pPr>
              <w:keepNext/>
              <w:spacing w:before="0" w:after="0"/>
              <w:jc w:val="right"/>
              <w:rPr>
                <w:rFonts w:cs="Calibri"/>
                <w:i/>
                <w:color w:val="000000"/>
                <w:sz w:val="22"/>
                <w:szCs w:val="22"/>
                <w:lang w:val="es-CO" w:eastAsia="es-CO"/>
              </w:rPr>
            </w:pPr>
            <w:r w:rsidRPr="009A2F9C">
              <w:rPr>
                <w:rFonts w:cs="Calibri"/>
                <w:i/>
                <w:color w:val="000000"/>
                <w:sz w:val="22"/>
                <w:szCs w:val="22"/>
                <w:lang w:val="es-CO" w:eastAsia="es-CO"/>
              </w:rPr>
              <w:t>305.242.148.497</w:t>
            </w:r>
          </w:p>
        </w:tc>
      </w:tr>
      <w:tr w:rsidR="00CF0B66" w:rsidRPr="009A2F9C" w:rsidTr="00DB043F">
        <w:trPr>
          <w:cantSplit/>
          <w:trHeight w:val="379"/>
          <w:jc w:val="center"/>
        </w:trPr>
        <w:tc>
          <w:tcPr>
            <w:tcW w:w="4460" w:type="dxa"/>
            <w:tcBorders>
              <w:top w:val="nil"/>
              <w:left w:val="single" w:sz="8" w:space="0" w:color="auto"/>
              <w:bottom w:val="single" w:sz="4" w:space="0" w:color="000000"/>
              <w:right w:val="nil"/>
            </w:tcBorders>
            <w:shd w:val="clear" w:color="auto" w:fill="FFFFFF" w:themeFill="background1"/>
            <w:vAlign w:val="center"/>
            <w:hideMark/>
          </w:tcPr>
          <w:p w:rsidR="00CF0B66" w:rsidRPr="009A2F9C" w:rsidRDefault="00CF0B66" w:rsidP="00DB043F">
            <w:pPr>
              <w:keepNext/>
              <w:spacing w:before="0" w:after="0"/>
              <w:rPr>
                <w:rFonts w:cs="Calibri"/>
                <w:i/>
                <w:color w:val="000000"/>
                <w:sz w:val="22"/>
                <w:szCs w:val="22"/>
                <w:lang w:val="es-CO" w:eastAsia="es-CO"/>
              </w:rPr>
            </w:pPr>
            <w:r w:rsidRPr="009A2F9C">
              <w:rPr>
                <w:rFonts w:cs="Calibri"/>
                <w:i/>
                <w:color w:val="000000"/>
                <w:sz w:val="22"/>
                <w:szCs w:val="22"/>
                <w:lang w:val="es-CO" w:eastAsia="es-CO"/>
              </w:rPr>
              <w:t xml:space="preserve">Para el Nivel de Tensión 2 </w:t>
            </w:r>
            <w:r w:rsidRPr="009A2F9C">
              <w:rPr>
                <w:rFonts w:cs="Calibri"/>
                <w:b/>
                <w:bCs/>
                <w:i/>
                <w:iCs/>
                <w:color w:val="000000"/>
                <w:sz w:val="22"/>
                <w:szCs w:val="22"/>
                <w:lang w:val="es-CO" w:eastAsia="es-CO"/>
              </w:rPr>
              <w:t>(CRI</w:t>
            </w:r>
            <w:r w:rsidRPr="009A2F9C">
              <w:rPr>
                <w:rFonts w:cs="Calibri"/>
                <w:b/>
                <w:bCs/>
                <w:i/>
                <w:iCs/>
                <w:color w:val="000000"/>
                <w:sz w:val="22"/>
                <w:szCs w:val="22"/>
                <w:vertAlign w:val="subscript"/>
                <w:lang w:val="es-CO" w:eastAsia="es-CO"/>
              </w:rPr>
              <w:t>j,2</w:t>
            </w:r>
            <w:r w:rsidRPr="009A2F9C">
              <w:rPr>
                <w:rFonts w:cs="Calibri"/>
                <w:b/>
                <w:bCs/>
                <w:i/>
                <w:iCs/>
                <w:color w:val="000000"/>
                <w:sz w:val="22"/>
                <w:szCs w:val="22"/>
                <w:lang w:val="es-CO" w:eastAsia="es-CO"/>
              </w:rPr>
              <w:t>)</w:t>
            </w:r>
          </w:p>
        </w:tc>
        <w:tc>
          <w:tcPr>
            <w:tcW w:w="3007" w:type="dxa"/>
            <w:tcBorders>
              <w:top w:val="nil"/>
              <w:left w:val="single" w:sz="8" w:space="0" w:color="auto"/>
              <w:bottom w:val="single" w:sz="4" w:space="0" w:color="auto"/>
              <w:right w:val="single" w:sz="8" w:space="0" w:color="auto"/>
            </w:tcBorders>
            <w:shd w:val="clear" w:color="auto" w:fill="FFFFFF" w:themeFill="background1"/>
            <w:vAlign w:val="center"/>
            <w:hideMark/>
          </w:tcPr>
          <w:p w:rsidR="00CF0B66" w:rsidRPr="009A2F9C" w:rsidRDefault="00CF0B66" w:rsidP="00DB043F">
            <w:pPr>
              <w:keepNext/>
              <w:spacing w:before="0" w:after="0"/>
              <w:jc w:val="right"/>
              <w:rPr>
                <w:rFonts w:cs="Calibri"/>
                <w:i/>
                <w:color w:val="000000"/>
                <w:sz w:val="22"/>
                <w:szCs w:val="22"/>
                <w:lang w:val="es-CO" w:eastAsia="es-CO"/>
              </w:rPr>
            </w:pPr>
            <w:r w:rsidRPr="009A2F9C">
              <w:rPr>
                <w:rFonts w:cs="Calibri"/>
                <w:i/>
                <w:color w:val="000000"/>
                <w:sz w:val="22"/>
                <w:szCs w:val="22"/>
                <w:lang w:val="es-CO" w:eastAsia="es-CO"/>
              </w:rPr>
              <w:t>1.619.953.549.605</w:t>
            </w:r>
          </w:p>
        </w:tc>
      </w:tr>
      <w:tr w:rsidR="00CF0B66" w:rsidRPr="00C40B42" w:rsidTr="00DB043F">
        <w:trPr>
          <w:cantSplit/>
          <w:trHeight w:val="379"/>
          <w:jc w:val="center"/>
        </w:trPr>
        <w:tc>
          <w:tcPr>
            <w:tcW w:w="4460" w:type="dxa"/>
            <w:tcBorders>
              <w:top w:val="nil"/>
              <w:left w:val="single" w:sz="8" w:space="0" w:color="auto"/>
              <w:bottom w:val="single" w:sz="8" w:space="0" w:color="auto"/>
              <w:right w:val="nil"/>
            </w:tcBorders>
            <w:shd w:val="clear" w:color="auto" w:fill="FFFFFF" w:themeFill="background1"/>
            <w:vAlign w:val="center"/>
            <w:hideMark/>
          </w:tcPr>
          <w:p w:rsidR="00CF0B66" w:rsidRPr="009A2F9C" w:rsidRDefault="00CF0B66" w:rsidP="00DB043F">
            <w:pPr>
              <w:spacing w:before="0" w:after="0"/>
              <w:rPr>
                <w:rFonts w:cs="Calibri"/>
                <w:i/>
                <w:color w:val="000000"/>
                <w:sz w:val="22"/>
                <w:szCs w:val="22"/>
                <w:lang w:val="es-CO" w:eastAsia="es-CO"/>
              </w:rPr>
            </w:pPr>
            <w:r w:rsidRPr="009A2F9C">
              <w:rPr>
                <w:rFonts w:cs="Calibri"/>
                <w:i/>
                <w:color w:val="000000"/>
                <w:sz w:val="22"/>
                <w:szCs w:val="22"/>
                <w:lang w:val="es-CO" w:eastAsia="es-CO"/>
              </w:rPr>
              <w:t xml:space="preserve">Para el Nivel de Tensión 1 </w:t>
            </w:r>
            <w:r w:rsidRPr="009A2F9C">
              <w:rPr>
                <w:rFonts w:cs="Calibri"/>
                <w:b/>
                <w:bCs/>
                <w:i/>
                <w:iCs/>
                <w:color w:val="000000"/>
                <w:sz w:val="22"/>
                <w:szCs w:val="22"/>
                <w:lang w:val="es-CO" w:eastAsia="es-CO"/>
              </w:rPr>
              <w:t>(CRI</w:t>
            </w:r>
            <w:r w:rsidRPr="009A2F9C">
              <w:rPr>
                <w:rFonts w:cs="Calibri"/>
                <w:b/>
                <w:bCs/>
                <w:i/>
                <w:iCs/>
                <w:color w:val="000000"/>
                <w:sz w:val="22"/>
                <w:szCs w:val="22"/>
                <w:vertAlign w:val="subscript"/>
                <w:lang w:val="es-CO" w:eastAsia="es-CO"/>
              </w:rPr>
              <w:t>j,1</w:t>
            </w:r>
            <w:r w:rsidRPr="009A2F9C">
              <w:rPr>
                <w:rFonts w:cs="Calibri"/>
                <w:b/>
                <w:bCs/>
                <w:i/>
                <w:iCs/>
                <w:color w:val="000000"/>
                <w:sz w:val="22"/>
                <w:szCs w:val="22"/>
                <w:lang w:val="es-CO" w:eastAsia="es-CO"/>
              </w:rPr>
              <w:t>)</w:t>
            </w:r>
          </w:p>
        </w:tc>
        <w:tc>
          <w:tcPr>
            <w:tcW w:w="3007" w:type="dxa"/>
            <w:tcBorders>
              <w:top w:val="nil"/>
              <w:left w:val="single" w:sz="8" w:space="0" w:color="auto"/>
              <w:bottom w:val="single" w:sz="8" w:space="0" w:color="auto"/>
              <w:right w:val="single" w:sz="8" w:space="0" w:color="auto"/>
            </w:tcBorders>
            <w:shd w:val="clear" w:color="auto" w:fill="FFFFFF" w:themeFill="background1"/>
            <w:vAlign w:val="center"/>
            <w:hideMark/>
          </w:tcPr>
          <w:p w:rsidR="00CF0B66" w:rsidRPr="009A2F9C" w:rsidRDefault="00CF0B66" w:rsidP="00DB043F">
            <w:pPr>
              <w:spacing w:before="0" w:after="0"/>
              <w:jc w:val="right"/>
              <w:rPr>
                <w:rFonts w:cs="Calibri"/>
                <w:i/>
                <w:color w:val="000000"/>
                <w:sz w:val="22"/>
                <w:szCs w:val="22"/>
                <w:lang w:val="es-CO" w:eastAsia="es-CO"/>
              </w:rPr>
            </w:pPr>
            <w:r w:rsidRPr="009A2F9C">
              <w:rPr>
                <w:rFonts w:cs="Calibri"/>
                <w:i/>
                <w:color w:val="000000"/>
                <w:sz w:val="22"/>
                <w:szCs w:val="22"/>
                <w:lang w:val="es-CO" w:eastAsia="es-CO"/>
              </w:rPr>
              <w:t>1.206.839.477.175</w:t>
            </w:r>
          </w:p>
        </w:tc>
      </w:tr>
    </w:tbl>
    <w:p w:rsidR="0072538D" w:rsidRPr="0072538D" w:rsidRDefault="0072538D" w:rsidP="0072538D">
      <w:pPr>
        <w:pStyle w:val="Artculo"/>
        <w:spacing w:before="0" w:after="0"/>
        <w:rPr>
          <w:b/>
          <w:sz w:val="36"/>
        </w:rPr>
      </w:pPr>
    </w:p>
    <w:p w:rsidR="00F373C5" w:rsidRPr="00CF0B66" w:rsidRDefault="00DA0D4A" w:rsidP="0072538D">
      <w:pPr>
        <w:pStyle w:val="Artculo"/>
        <w:spacing w:before="0" w:after="0"/>
        <w:rPr>
          <w:sz w:val="22"/>
        </w:rPr>
      </w:pPr>
      <w:r>
        <w:rPr>
          <w:b/>
        </w:rPr>
        <w:t>Artículo 3</w:t>
      </w:r>
      <w:r w:rsidR="00CF0B66" w:rsidRPr="00140AA7">
        <w:rPr>
          <w:b/>
        </w:rPr>
        <w:t>.</w:t>
      </w:r>
      <w:r w:rsidR="00CF0B66" w:rsidRPr="00140AA7">
        <w:t xml:space="preserve"> </w:t>
      </w:r>
      <w:r w:rsidR="00CF0B66" w:rsidRPr="000D33E7">
        <w:t xml:space="preserve">La presente Resolución deberá notificarse a </w:t>
      </w:r>
      <w:r w:rsidR="00CF0B66">
        <w:t xml:space="preserve">Empresas Públicas de Medellín </w:t>
      </w:r>
      <w:r w:rsidR="00CF0B66" w:rsidRPr="004549AD">
        <w:t>E.S.P.</w:t>
      </w:r>
      <w:r w:rsidR="00CF0B66" w:rsidRPr="000D33E7">
        <w:t xml:space="preserve"> Contra lo dispuesto en este acto procede el recurso de reposición, el cual se podrá interponer ante la Dirección Ejecutiva de la CREG dentro de los cinco (5) días hábiles siguientes a la fecha de su notificación.</w:t>
      </w:r>
    </w:p>
    <w:p w:rsidR="0072538D" w:rsidRDefault="0072538D" w:rsidP="0072538D">
      <w:pPr>
        <w:spacing w:before="0" w:after="0"/>
        <w:jc w:val="center"/>
        <w:rPr>
          <w:b/>
        </w:rPr>
      </w:pPr>
    </w:p>
    <w:p w:rsidR="00EF6D78" w:rsidRPr="005F46C2" w:rsidRDefault="00FA3338" w:rsidP="00EF6D78">
      <w:pPr>
        <w:jc w:val="center"/>
        <w:rPr>
          <w:b/>
        </w:rPr>
      </w:pPr>
      <w:r>
        <w:rPr>
          <w:b/>
        </w:rPr>
        <w:t xml:space="preserve">NOTIFÍQUESE, </w:t>
      </w:r>
      <w:r w:rsidR="00EF6D78" w:rsidRPr="005F46C2">
        <w:rPr>
          <w:b/>
        </w:rPr>
        <w:t>PUBLÍQUESE Y CÚMPLASE</w:t>
      </w:r>
    </w:p>
    <w:p w:rsidR="0072538D" w:rsidRDefault="0072538D" w:rsidP="0072538D">
      <w:pPr>
        <w:spacing w:before="0" w:after="0"/>
      </w:pPr>
    </w:p>
    <w:p w:rsidR="00EF6D78" w:rsidRPr="005F46C2" w:rsidRDefault="00EF6D78" w:rsidP="0072538D">
      <w:pPr>
        <w:spacing w:before="0" w:after="0"/>
      </w:pPr>
      <w:r w:rsidRPr="005F46C2">
        <w:t>Dado en Bogotá, D. C.</w:t>
      </w:r>
    </w:p>
    <w:p w:rsidR="00EF6D78" w:rsidRDefault="00EF6D78" w:rsidP="00EF6D78"/>
    <w:p w:rsidR="003F5923" w:rsidRDefault="003F5923" w:rsidP="00EF6D78"/>
    <w:tbl>
      <w:tblPr>
        <w:tblW w:w="9782" w:type="dxa"/>
        <w:tblInd w:w="-142" w:type="dxa"/>
        <w:tblLayout w:type="fixed"/>
        <w:tblCellMar>
          <w:left w:w="0" w:type="dxa"/>
          <w:right w:w="0" w:type="dxa"/>
        </w:tblCellMar>
        <w:tblLook w:val="04A0" w:firstRow="1" w:lastRow="0" w:firstColumn="1" w:lastColumn="0" w:noHBand="0" w:noVBand="1"/>
      </w:tblPr>
      <w:tblGrid>
        <w:gridCol w:w="5104"/>
        <w:gridCol w:w="4678"/>
      </w:tblGrid>
      <w:tr w:rsidR="003F5923" w:rsidRPr="00554289" w:rsidTr="0072538D">
        <w:tc>
          <w:tcPr>
            <w:tcW w:w="5104" w:type="dxa"/>
            <w:hideMark/>
          </w:tcPr>
          <w:p w:rsidR="003F5923" w:rsidRPr="00554289" w:rsidRDefault="00FB69E5" w:rsidP="00FB69E5">
            <w:pPr>
              <w:snapToGrid w:val="0"/>
              <w:spacing w:before="0" w:after="0"/>
              <w:jc w:val="center"/>
              <w:rPr>
                <w:rFonts w:cs="Arial"/>
                <w:b/>
                <w:bCs/>
              </w:rPr>
            </w:pPr>
            <w:r>
              <w:rPr>
                <w:rFonts w:cs="Arial"/>
                <w:b/>
                <w:bCs/>
              </w:rPr>
              <w:t>CARLOS FERNANDO ERA</w:t>
            </w:r>
            <w:r w:rsidR="00581E18">
              <w:rPr>
                <w:rFonts w:cs="Arial"/>
                <w:b/>
                <w:bCs/>
              </w:rPr>
              <w:t>SO CALERO</w:t>
            </w:r>
          </w:p>
        </w:tc>
        <w:tc>
          <w:tcPr>
            <w:tcW w:w="4678" w:type="dxa"/>
            <w:hideMark/>
          </w:tcPr>
          <w:p w:rsidR="003F5923" w:rsidRPr="00554289" w:rsidRDefault="00581E18" w:rsidP="003F5923">
            <w:pPr>
              <w:snapToGrid w:val="0"/>
              <w:spacing w:before="0" w:after="0"/>
              <w:jc w:val="center"/>
              <w:rPr>
                <w:rFonts w:cs="Arial"/>
                <w:b/>
                <w:bCs/>
              </w:rPr>
            </w:pPr>
            <w:r>
              <w:rPr>
                <w:rFonts w:cs="Arial"/>
                <w:b/>
                <w:bCs/>
              </w:rPr>
              <w:t>JORGE PINTO NOLLA</w:t>
            </w:r>
          </w:p>
        </w:tc>
      </w:tr>
      <w:tr w:rsidR="003F5923" w:rsidRPr="00554289" w:rsidTr="0072538D">
        <w:tc>
          <w:tcPr>
            <w:tcW w:w="5104" w:type="dxa"/>
            <w:hideMark/>
          </w:tcPr>
          <w:p w:rsidR="003F5923" w:rsidRPr="00554289" w:rsidRDefault="003F5923" w:rsidP="003F5923">
            <w:pPr>
              <w:snapToGrid w:val="0"/>
              <w:spacing w:before="0" w:after="0"/>
              <w:jc w:val="center"/>
              <w:rPr>
                <w:rFonts w:cs="Arial"/>
              </w:rPr>
            </w:pPr>
            <w:r w:rsidRPr="00554289">
              <w:rPr>
                <w:rFonts w:cs="Arial"/>
              </w:rPr>
              <w:t>Viceministro de Energía</w:t>
            </w:r>
          </w:p>
          <w:p w:rsidR="003F5923" w:rsidRPr="00554289" w:rsidRDefault="003F5923" w:rsidP="003F5923">
            <w:pPr>
              <w:snapToGrid w:val="0"/>
              <w:spacing w:before="0" w:after="0"/>
              <w:jc w:val="center"/>
              <w:rPr>
                <w:rFonts w:cs="Arial"/>
              </w:rPr>
            </w:pPr>
            <w:r w:rsidRPr="00554289">
              <w:rPr>
                <w:rFonts w:cs="Arial"/>
              </w:rPr>
              <w:t>Delegado del Ministro de Minas y Energía</w:t>
            </w:r>
          </w:p>
        </w:tc>
        <w:tc>
          <w:tcPr>
            <w:tcW w:w="4678" w:type="dxa"/>
            <w:hideMark/>
          </w:tcPr>
          <w:p w:rsidR="003F5923" w:rsidRPr="00554289" w:rsidRDefault="003F5923" w:rsidP="003F5923">
            <w:pPr>
              <w:snapToGrid w:val="0"/>
              <w:spacing w:before="0" w:after="0"/>
              <w:jc w:val="center"/>
              <w:rPr>
                <w:rFonts w:cs="Arial"/>
              </w:rPr>
            </w:pPr>
            <w:r w:rsidRPr="00554289">
              <w:rPr>
                <w:rFonts w:cs="Arial"/>
              </w:rPr>
              <w:t>Director Ejecutivo</w:t>
            </w:r>
          </w:p>
        </w:tc>
      </w:tr>
      <w:tr w:rsidR="003F5923" w:rsidRPr="00554289" w:rsidTr="0072538D">
        <w:tc>
          <w:tcPr>
            <w:tcW w:w="5104" w:type="dxa"/>
            <w:hideMark/>
          </w:tcPr>
          <w:p w:rsidR="003F5923" w:rsidRPr="00554289" w:rsidRDefault="003F5923" w:rsidP="003F5923">
            <w:pPr>
              <w:snapToGrid w:val="0"/>
              <w:spacing w:before="0" w:after="0"/>
              <w:jc w:val="center"/>
              <w:rPr>
                <w:rFonts w:cs="Arial"/>
              </w:rPr>
            </w:pPr>
            <w:r w:rsidRPr="00554289">
              <w:rPr>
                <w:rFonts w:cs="Arial"/>
              </w:rPr>
              <w:t>Presidente</w:t>
            </w:r>
          </w:p>
        </w:tc>
        <w:tc>
          <w:tcPr>
            <w:tcW w:w="4678" w:type="dxa"/>
          </w:tcPr>
          <w:p w:rsidR="003F5923" w:rsidRPr="00554289" w:rsidRDefault="003F5923" w:rsidP="003F5923">
            <w:pPr>
              <w:snapToGrid w:val="0"/>
              <w:spacing w:before="0" w:after="0"/>
              <w:rPr>
                <w:rFonts w:cs="Arial"/>
              </w:rPr>
            </w:pPr>
          </w:p>
        </w:tc>
      </w:tr>
    </w:tbl>
    <w:p w:rsidR="00350D9E" w:rsidRDefault="00350D9E" w:rsidP="009E1157"/>
    <w:sectPr w:rsidR="00350D9E" w:rsidSect="00CD665F">
      <w:headerReference w:type="default" r:id="rId11"/>
      <w:headerReference w:type="first" r:id="rId12"/>
      <w:type w:val="continuous"/>
      <w:pgSz w:w="12242" w:h="18722" w:code="123"/>
      <w:pgMar w:top="2364" w:right="1185" w:bottom="1276" w:left="1701" w:header="42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A74" w:rsidRDefault="00A17A74">
      <w:r>
        <w:separator/>
      </w:r>
    </w:p>
  </w:endnote>
  <w:endnote w:type="continuationSeparator" w:id="0">
    <w:p w:rsidR="00A17A74" w:rsidRDefault="00A1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A74" w:rsidRDefault="00A17A74">
      <w:r>
        <w:separator/>
      </w:r>
    </w:p>
  </w:footnote>
  <w:footnote w:type="continuationSeparator" w:id="0">
    <w:p w:rsidR="00A17A74" w:rsidRDefault="00A17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0E" w:rsidRDefault="00DD3D0E" w:rsidP="00951F79">
    <w:pPr>
      <w:pStyle w:val="Ttulo1"/>
      <w:ind w:right="6"/>
      <w:jc w:val="left"/>
      <w:rPr>
        <w:rFonts w:ascii="Bookman Old Style" w:hAnsi="Bookman Old Style" w:cs="Arial"/>
        <w:b w:val="0"/>
        <w:sz w:val="22"/>
        <w:szCs w:val="22"/>
      </w:rPr>
    </w:pPr>
  </w:p>
  <w:p w:rsidR="00DD3D0E" w:rsidRPr="00951F79" w:rsidRDefault="00DD3D0E" w:rsidP="009F4BEC">
    <w:pPr>
      <w:pStyle w:val="Ttulo1"/>
      <w:ind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5A0D9D">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5A0D9D" w:rsidRPr="005A0D9D">
        <w:rPr>
          <w:rFonts w:ascii="Bookman Old Style" w:hAnsi="Bookman Old Style" w:cs="Arial"/>
          <w:b w:val="0"/>
          <w:noProof/>
          <w:sz w:val="22"/>
          <w:szCs w:val="22"/>
        </w:rPr>
        <w:t>4</w:t>
      </w:r>
    </w:fldSimple>
  </w:p>
  <w:p w:rsidR="00DD3D0E" w:rsidRDefault="00DD3D0E" w:rsidP="00CD665F">
    <w:pPr>
      <w:ind w:left="142" w:right="148"/>
      <w:rPr>
        <w:rFonts w:cs="Arial"/>
        <w:sz w:val="22"/>
        <w:szCs w:val="22"/>
      </w:rPr>
    </w:pPr>
    <w:r>
      <w:rPr>
        <w:noProof/>
        <w:lang w:val="es-CO" w:eastAsia="es-CO"/>
      </w:rPr>
      <mc:AlternateContent>
        <mc:Choice Requires="wps">
          <w:drawing>
            <wp:anchor distT="0" distB="0" distL="114300" distR="114300" simplePos="0" relativeHeight="251657216" behindDoc="0" locked="0" layoutInCell="1" allowOverlap="1" wp14:anchorId="7B8B141B" wp14:editId="218F4440">
              <wp:simplePos x="0" y="0"/>
              <wp:positionH relativeFrom="column">
                <wp:posOffset>-175260</wp:posOffset>
              </wp:positionH>
              <wp:positionV relativeFrom="paragraph">
                <wp:posOffset>109220</wp:posOffset>
              </wp:positionV>
              <wp:extent cx="6267450" cy="99771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771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8.6pt;width:493.5pt;height:78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" filled="f" strokeweight="1.5pt"/>
          </w:pict>
        </mc:Fallback>
      </mc:AlternateContent>
    </w:r>
  </w:p>
  <w:p w:rsidR="00DD3D0E" w:rsidRDefault="00DA0D4A" w:rsidP="00DA0D4A">
    <w:pPr>
      <w:pStyle w:val="Textonotapie"/>
      <w:rPr>
        <w:rFonts w:ascii="Bookman Old Style" w:hAnsi="Bookman Old Style" w:cs="Arial"/>
        <w:szCs w:val="22"/>
      </w:rPr>
    </w:pPr>
    <w:r w:rsidRPr="00DA0D4A">
      <w:rPr>
        <w:rFonts w:ascii="Bookman Old Style" w:hAnsi="Bookman Old Style" w:cs="Arial"/>
        <w:szCs w:val="22"/>
      </w:rPr>
      <w:t>Por la cual se actualiza el Costo Anual por el uso de los Activos del Nivel de Tensión 4 operados por Empresas Públicas de Medellín E.S.P. en el Sistema de Transmisión Regional, STR.</w:t>
    </w:r>
  </w:p>
  <w:p w:rsidR="00DA0D4A" w:rsidRPr="00DA0D4A" w:rsidRDefault="00DA0D4A" w:rsidP="00DA0D4A">
    <w:pPr>
      <w:pStyle w:val="Textonotapie"/>
      <w:rPr>
        <w:rFonts w:cs="Arial"/>
        <w:sz w:val="20"/>
        <w:szCs w:val="22"/>
      </w:rPr>
    </w:pPr>
    <w:r>
      <w:rPr>
        <w:rFonts w:ascii="Bookman Old Style" w:hAnsi="Bookman Old Style" w:cs="Arial"/>
        <w:szCs w:val="22"/>
      </w:rPr>
      <w:t>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0E" w:rsidRDefault="00DD3D0E" w:rsidP="00025383">
    <w:pPr>
      <w:pStyle w:val="Encabezado"/>
      <w:rPr>
        <w:rFonts w:ascii="Arial" w:hAnsi="Arial" w:cs="Arial"/>
        <w:spacing w:val="20"/>
        <w:sz w:val="20"/>
      </w:rPr>
    </w:pPr>
    <w:r>
      <w:rPr>
        <w:rFonts w:ascii="Arial" w:hAnsi="Arial" w:cs="Arial"/>
        <w:spacing w:val="20"/>
        <w:sz w:val="20"/>
      </w:rPr>
      <w:t xml:space="preserve">                                           República de Colombia</w:t>
    </w:r>
  </w:p>
  <w:p w:rsidR="00DD3D0E" w:rsidRDefault="00DD3D0E">
    <w:pPr>
      <w:pStyle w:val="Encabezado"/>
      <w:jc w:val="center"/>
      <w:rPr>
        <w:rFonts w:ascii="Arial" w:hAnsi="Arial" w:cs="Arial"/>
        <w:spacing w:val="20"/>
        <w:sz w:val="20"/>
      </w:rPr>
    </w:pPr>
  </w:p>
  <w:p w:rsidR="00DD3D0E" w:rsidRDefault="00DD3D0E"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1FCB60D9" wp14:editId="584F19F4">
              <wp:simplePos x="0" y="0"/>
              <wp:positionH relativeFrom="column">
                <wp:posOffset>-213360</wp:posOffset>
              </wp:positionH>
              <wp:positionV relativeFrom="paragraph">
                <wp:posOffset>85090</wp:posOffset>
              </wp:positionV>
              <wp:extent cx="6343650" cy="1004887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0048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6.7pt;width:499.5pt;height:79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156B4BA6"/>
    <w:multiLevelType w:val="hybridMultilevel"/>
    <w:tmpl w:val="7ABACD60"/>
    <w:name w:val="WW8Num64232"/>
    <w:lvl w:ilvl="0" w:tplc="0C0A0001">
      <w:start w:val="1"/>
      <w:numFmt w:val="lowerLetter"/>
      <w:lvlText w:val="%1)"/>
      <w:lvlJc w:val="left"/>
      <w:pPr>
        <w:ind w:left="720" w:hanging="360"/>
      </w:pPr>
      <w:rPr>
        <w:rFonts w:cs="Arial" w:hint="default"/>
        <w:b/>
        <w:color w:val="auto"/>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
    <w:nsid w:val="17526398"/>
    <w:multiLevelType w:val="multilevel"/>
    <w:tmpl w:val="9C6205C8"/>
    <w:lvl w:ilvl="0">
      <w:start w:val="1"/>
      <w:numFmt w:val="decimal"/>
      <w:lvlText w:val="ANEXO %1"/>
      <w:lvlJc w:val="left"/>
      <w:pPr>
        <w:ind w:left="360" w:hanging="360"/>
      </w:pPr>
      <w:rPr>
        <w:rFonts w:hint="default"/>
        <w:b/>
        <w:i w:val="0"/>
      </w:rPr>
    </w:lvl>
    <w:lvl w:ilvl="1">
      <w:start w:val="1"/>
      <w:numFmt w:val="decimal"/>
      <w:pStyle w:val="Ttulo2"/>
      <w:lvlText w:val="%1.%2"/>
      <w:lvlJc w:val="left"/>
      <w:pPr>
        <w:ind w:left="576" w:hanging="576"/>
      </w:pPr>
      <w:rPr>
        <w:vertAlign w:val="baseline"/>
      </w:r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2F366216"/>
    <w:multiLevelType w:val="hybridMultilevel"/>
    <w:tmpl w:val="5C405D4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nsid w:val="38E02349"/>
    <w:multiLevelType w:val="multilevel"/>
    <w:tmpl w:val="BDD63202"/>
    <w:lvl w:ilvl="0">
      <w:start w:val="2"/>
      <w:numFmt w:val="decimal"/>
      <w:lvlText w:val="%1"/>
      <w:lvlJc w:val="left"/>
      <w:pPr>
        <w:ind w:left="645" w:hanging="645"/>
      </w:pPr>
      <w:rPr>
        <w:rFonts w:hint="default"/>
      </w:rPr>
    </w:lvl>
    <w:lvl w:ilvl="1">
      <w:start w:val="3"/>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6">
    <w:nsid w:val="46BE2F0F"/>
    <w:multiLevelType w:val="hybridMultilevel"/>
    <w:tmpl w:val="11AA2ECA"/>
    <w:name w:val="Lista4322222"/>
    <w:lvl w:ilvl="0" w:tplc="07E05BCA">
      <w:start w:val="1"/>
      <w:numFmt w:val="decimal"/>
      <w:lvlText w:val="%1."/>
      <w:lvlJc w:val="left"/>
      <w:pPr>
        <w:ind w:left="720" w:hanging="360"/>
      </w:pPr>
      <w:rPr>
        <w:rFonts w:hint="default"/>
      </w:rPr>
    </w:lvl>
    <w:lvl w:ilvl="1" w:tplc="CD9430A6" w:tentative="1">
      <w:start w:val="1"/>
      <w:numFmt w:val="lowerLetter"/>
      <w:lvlText w:val="%2."/>
      <w:lvlJc w:val="left"/>
      <w:pPr>
        <w:ind w:left="1440" w:hanging="360"/>
      </w:pPr>
    </w:lvl>
    <w:lvl w:ilvl="2" w:tplc="A3940E8A" w:tentative="1">
      <w:start w:val="1"/>
      <w:numFmt w:val="lowerRoman"/>
      <w:lvlText w:val="%3."/>
      <w:lvlJc w:val="right"/>
      <w:pPr>
        <w:ind w:left="2160" w:hanging="180"/>
      </w:pPr>
    </w:lvl>
    <w:lvl w:ilvl="3" w:tplc="187A6DB8" w:tentative="1">
      <w:start w:val="1"/>
      <w:numFmt w:val="decimal"/>
      <w:lvlText w:val="%4."/>
      <w:lvlJc w:val="left"/>
      <w:pPr>
        <w:ind w:left="2880" w:hanging="360"/>
      </w:pPr>
    </w:lvl>
    <w:lvl w:ilvl="4" w:tplc="B1CEA2E0" w:tentative="1">
      <w:start w:val="1"/>
      <w:numFmt w:val="lowerLetter"/>
      <w:lvlText w:val="%5."/>
      <w:lvlJc w:val="left"/>
      <w:pPr>
        <w:ind w:left="3600" w:hanging="360"/>
      </w:pPr>
    </w:lvl>
    <w:lvl w:ilvl="5" w:tplc="DD268AD8" w:tentative="1">
      <w:start w:val="1"/>
      <w:numFmt w:val="lowerRoman"/>
      <w:lvlText w:val="%6."/>
      <w:lvlJc w:val="right"/>
      <w:pPr>
        <w:ind w:left="4320" w:hanging="180"/>
      </w:pPr>
    </w:lvl>
    <w:lvl w:ilvl="6" w:tplc="FE7A34A2" w:tentative="1">
      <w:start w:val="1"/>
      <w:numFmt w:val="decimal"/>
      <w:lvlText w:val="%7."/>
      <w:lvlJc w:val="left"/>
      <w:pPr>
        <w:ind w:left="5040" w:hanging="360"/>
      </w:pPr>
    </w:lvl>
    <w:lvl w:ilvl="7" w:tplc="AFCA5AC2" w:tentative="1">
      <w:start w:val="1"/>
      <w:numFmt w:val="lowerLetter"/>
      <w:lvlText w:val="%8."/>
      <w:lvlJc w:val="left"/>
      <w:pPr>
        <w:ind w:left="5760" w:hanging="360"/>
      </w:pPr>
    </w:lvl>
    <w:lvl w:ilvl="8" w:tplc="179AB3D2" w:tentative="1">
      <w:start w:val="1"/>
      <w:numFmt w:val="lowerRoman"/>
      <w:lvlText w:val="%9."/>
      <w:lvlJc w:val="right"/>
      <w:pPr>
        <w:ind w:left="6480" w:hanging="180"/>
      </w:pPr>
    </w:lvl>
  </w:abstractNum>
  <w:abstractNum w:abstractNumId="7">
    <w:nsid w:val="51C77DD7"/>
    <w:multiLevelType w:val="multilevel"/>
    <w:tmpl w:val="89CA7306"/>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2EF74C9"/>
    <w:multiLevelType w:val="hybridMultilevel"/>
    <w:tmpl w:val="DE6C62E8"/>
    <w:lvl w:ilvl="0" w:tplc="DD2A2DA8">
      <w:start w:val="1"/>
      <w:numFmt w:val="decimal"/>
      <w:lvlText w:val="Artículo %1."/>
      <w:lvlJc w:val="left"/>
      <w:pPr>
        <w:ind w:left="2204"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5FC00230"/>
    <w:multiLevelType w:val="hybridMultilevel"/>
    <w:tmpl w:val="116E1F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9"/>
  </w:num>
  <w:num w:numId="5">
    <w:abstractNumId w:val="4"/>
  </w:num>
  <w:num w:numId="6">
    <w:abstractNumId w:val="5"/>
  </w:num>
  <w:num w:numId="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6AE2"/>
    <w:rsid w:val="000075B9"/>
    <w:rsid w:val="000076A1"/>
    <w:rsid w:val="00010373"/>
    <w:rsid w:val="00011A72"/>
    <w:rsid w:val="00012259"/>
    <w:rsid w:val="00025383"/>
    <w:rsid w:val="00025F3B"/>
    <w:rsid w:val="00036985"/>
    <w:rsid w:val="000418D1"/>
    <w:rsid w:val="00041B54"/>
    <w:rsid w:val="000424BE"/>
    <w:rsid w:val="00045D3D"/>
    <w:rsid w:val="000525F6"/>
    <w:rsid w:val="00055691"/>
    <w:rsid w:val="000577E1"/>
    <w:rsid w:val="0006350C"/>
    <w:rsid w:val="00063657"/>
    <w:rsid w:val="0006600D"/>
    <w:rsid w:val="00066500"/>
    <w:rsid w:val="00066E71"/>
    <w:rsid w:val="00074C28"/>
    <w:rsid w:val="00076680"/>
    <w:rsid w:val="00076A1D"/>
    <w:rsid w:val="00077527"/>
    <w:rsid w:val="0008073E"/>
    <w:rsid w:val="00081416"/>
    <w:rsid w:val="00086BC3"/>
    <w:rsid w:val="00091012"/>
    <w:rsid w:val="00091CDB"/>
    <w:rsid w:val="00092426"/>
    <w:rsid w:val="00094219"/>
    <w:rsid w:val="00094FC1"/>
    <w:rsid w:val="000A1503"/>
    <w:rsid w:val="000A19AC"/>
    <w:rsid w:val="000A2414"/>
    <w:rsid w:val="000A4B57"/>
    <w:rsid w:val="000B1944"/>
    <w:rsid w:val="000B2EC9"/>
    <w:rsid w:val="000B4E51"/>
    <w:rsid w:val="000B6433"/>
    <w:rsid w:val="000C1B79"/>
    <w:rsid w:val="000C7B41"/>
    <w:rsid w:val="000D17BD"/>
    <w:rsid w:val="000D2239"/>
    <w:rsid w:val="000D26F8"/>
    <w:rsid w:val="000D39CF"/>
    <w:rsid w:val="000D588B"/>
    <w:rsid w:val="000E26E9"/>
    <w:rsid w:val="000F038B"/>
    <w:rsid w:val="000F39A1"/>
    <w:rsid w:val="001006BB"/>
    <w:rsid w:val="00100739"/>
    <w:rsid w:val="0010293A"/>
    <w:rsid w:val="00104859"/>
    <w:rsid w:val="0010689B"/>
    <w:rsid w:val="00114D4A"/>
    <w:rsid w:val="001159F3"/>
    <w:rsid w:val="001237BE"/>
    <w:rsid w:val="00126A60"/>
    <w:rsid w:val="00127CE6"/>
    <w:rsid w:val="00130E6E"/>
    <w:rsid w:val="0013442B"/>
    <w:rsid w:val="0013526C"/>
    <w:rsid w:val="00136FDF"/>
    <w:rsid w:val="001405C6"/>
    <w:rsid w:val="00141013"/>
    <w:rsid w:val="00142A34"/>
    <w:rsid w:val="00150339"/>
    <w:rsid w:val="00156DB2"/>
    <w:rsid w:val="00157FD9"/>
    <w:rsid w:val="0017291B"/>
    <w:rsid w:val="00183ECF"/>
    <w:rsid w:val="001921CF"/>
    <w:rsid w:val="00192CBF"/>
    <w:rsid w:val="00192FF1"/>
    <w:rsid w:val="001A5F1B"/>
    <w:rsid w:val="001B1C22"/>
    <w:rsid w:val="001B34C6"/>
    <w:rsid w:val="001D7832"/>
    <w:rsid w:val="001D7EFA"/>
    <w:rsid w:val="001E392A"/>
    <w:rsid w:val="001E5E65"/>
    <w:rsid w:val="001F587C"/>
    <w:rsid w:val="001F6E1B"/>
    <w:rsid w:val="0020105F"/>
    <w:rsid w:val="00204D40"/>
    <w:rsid w:val="002066BA"/>
    <w:rsid w:val="002067EF"/>
    <w:rsid w:val="00210DC1"/>
    <w:rsid w:val="00211D34"/>
    <w:rsid w:val="00214F04"/>
    <w:rsid w:val="00222F95"/>
    <w:rsid w:val="00250C72"/>
    <w:rsid w:val="0026111F"/>
    <w:rsid w:val="0026368E"/>
    <w:rsid w:val="002646F1"/>
    <w:rsid w:val="00266CD6"/>
    <w:rsid w:val="00275DAB"/>
    <w:rsid w:val="00292249"/>
    <w:rsid w:val="0029253B"/>
    <w:rsid w:val="002A782A"/>
    <w:rsid w:val="002B0C17"/>
    <w:rsid w:val="002B11E2"/>
    <w:rsid w:val="002B24B8"/>
    <w:rsid w:val="002B3288"/>
    <w:rsid w:val="002D3AE9"/>
    <w:rsid w:val="002D4510"/>
    <w:rsid w:val="002F0734"/>
    <w:rsid w:val="002F1F62"/>
    <w:rsid w:val="002F2BDE"/>
    <w:rsid w:val="002F46E7"/>
    <w:rsid w:val="00301B84"/>
    <w:rsid w:val="003023AC"/>
    <w:rsid w:val="00305842"/>
    <w:rsid w:val="003101DA"/>
    <w:rsid w:val="003111CA"/>
    <w:rsid w:val="00313EDE"/>
    <w:rsid w:val="00314715"/>
    <w:rsid w:val="00314757"/>
    <w:rsid w:val="003163BC"/>
    <w:rsid w:val="003211CE"/>
    <w:rsid w:val="003248F9"/>
    <w:rsid w:val="00325E06"/>
    <w:rsid w:val="003271B2"/>
    <w:rsid w:val="00333A36"/>
    <w:rsid w:val="00334221"/>
    <w:rsid w:val="00350D9E"/>
    <w:rsid w:val="0035403A"/>
    <w:rsid w:val="00355270"/>
    <w:rsid w:val="0035627D"/>
    <w:rsid w:val="00360FA9"/>
    <w:rsid w:val="003635CB"/>
    <w:rsid w:val="0036394B"/>
    <w:rsid w:val="00366DB6"/>
    <w:rsid w:val="003709B5"/>
    <w:rsid w:val="003759C2"/>
    <w:rsid w:val="003764CC"/>
    <w:rsid w:val="00380888"/>
    <w:rsid w:val="00380962"/>
    <w:rsid w:val="003857DE"/>
    <w:rsid w:val="003867C2"/>
    <w:rsid w:val="00392A0B"/>
    <w:rsid w:val="00397365"/>
    <w:rsid w:val="00397B9A"/>
    <w:rsid w:val="003A31F6"/>
    <w:rsid w:val="003A3455"/>
    <w:rsid w:val="003A40A8"/>
    <w:rsid w:val="003A496E"/>
    <w:rsid w:val="003B54EA"/>
    <w:rsid w:val="003C0750"/>
    <w:rsid w:val="003C2B93"/>
    <w:rsid w:val="003C3447"/>
    <w:rsid w:val="003C69CE"/>
    <w:rsid w:val="003D076C"/>
    <w:rsid w:val="003E2CE0"/>
    <w:rsid w:val="003E78B5"/>
    <w:rsid w:val="003F0DF9"/>
    <w:rsid w:val="003F24DF"/>
    <w:rsid w:val="003F2829"/>
    <w:rsid w:val="003F5923"/>
    <w:rsid w:val="003F5A6C"/>
    <w:rsid w:val="00414C52"/>
    <w:rsid w:val="0041585A"/>
    <w:rsid w:val="00415BAB"/>
    <w:rsid w:val="00415ED2"/>
    <w:rsid w:val="004165DF"/>
    <w:rsid w:val="0042068C"/>
    <w:rsid w:val="004219A9"/>
    <w:rsid w:val="004222A7"/>
    <w:rsid w:val="004228CD"/>
    <w:rsid w:val="00422D86"/>
    <w:rsid w:val="004232E6"/>
    <w:rsid w:val="00436F01"/>
    <w:rsid w:val="0044318E"/>
    <w:rsid w:val="00443B35"/>
    <w:rsid w:val="0045414E"/>
    <w:rsid w:val="00455259"/>
    <w:rsid w:val="00462AB7"/>
    <w:rsid w:val="00466740"/>
    <w:rsid w:val="004706E5"/>
    <w:rsid w:val="0047122B"/>
    <w:rsid w:val="0047244E"/>
    <w:rsid w:val="00472E1D"/>
    <w:rsid w:val="00473B7A"/>
    <w:rsid w:val="004762CE"/>
    <w:rsid w:val="00482E08"/>
    <w:rsid w:val="004861AB"/>
    <w:rsid w:val="00491BAF"/>
    <w:rsid w:val="004960E9"/>
    <w:rsid w:val="00496F84"/>
    <w:rsid w:val="004A2E88"/>
    <w:rsid w:val="004A2F7E"/>
    <w:rsid w:val="004A372F"/>
    <w:rsid w:val="004A3D15"/>
    <w:rsid w:val="004A40CF"/>
    <w:rsid w:val="004A4FF1"/>
    <w:rsid w:val="004A5305"/>
    <w:rsid w:val="004B303D"/>
    <w:rsid w:val="004B7AB9"/>
    <w:rsid w:val="004C0F9C"/>
    <w:rsid w:val="004D0991"/>
    <w:rsid w:val="004D5EAB"/>
    <w:rsid w:val="004D6A05"/>
    <w:rsid w:val="004D7634"/>
    <w:rsid w:val="004E3F58"/>
    <w:rsid w:val="004E611A"/>
    <w:rsid w:val="005003EF"/>
    <w:rsid w:val="00501843"/>
    <w:rsid w:val="00503FE2"/>
    <w:rsid w:val="00504C02"/>
    <w:rsid w:val="0052323C"/>
    <w:rsid w:val="00525E8D"/>
    <w:rsid w:val="0052779D"/>
    <w:rsid w:val="005300D3"/>
    <w:rsid w:val="00530D22"/>
    <w:rsid w:val="005331DF"/>
    <w:rsid w:val="00541E5B"/>
    <w:rsid w:val="00542821"/>
    <w:rsid w:val="00544F82"/>
    <w:rsid w:val="00545E52"/>
    <w:rsid w:val="00546F21"/>
    <w:rsid w:val="00547E7A"/>
    <w:rsid w:val="005509D2"/>
    <w:rsid w:val="005519A7"/>
    <w:rsid w:val="005562EC"/>
    <w:rsid w:val="0056519A"/>
    <w:rsid w:val="0057076D"/>
    <w:rsid w:val="005734BF"/>
    <w:rsid w:val="0057636B"/>
    <w:rsid w:val="00581E18"/>
    <w:rsid w:val="005908FE"/>
    <w:rsid w:val="00593076"/>
    <w:rsid w:val="00593C4F"/>
    <w:rsid w:val="005946A8"/>
    <w:rsid w:val="00594DF0"/>
    <w:rsid w:val="005A0D9D"/>
    <w:rsid w:val="005A200A"/>
    <w:rsid w:val="005A4407"/>
    <w:rsid w:val="005A59EF"/>
    <w:rsid w:val="005A5BFB"/>
    <w:rsid w:val="005B1231"/>
    <w:rsid w:val="005B1C7E"/>
    <w:rsid w:val="005B4088"/>
    <w:rsid w:val="005C284B"/>
    <w:rsid w:val="005C6976"/>
    <w:rsid w:val="005E2F54"/>
    <w:rsid w:val="005F3414"/>
    <w:rsid w:val="005F46C2"/>
    <w:rsid w:val="005F60BD"/>
    <w:rsid w:val="005F6F41"/>
    <w:rsid w:val="00604C10"/>
    <w:rsid w:val="00613841"/>
    <w:rsid w:val="006140E4"/>
    <w:rsid w:val="0062037A"/>
    <w:rsid w:val="00621968"/>
    <w:rsid w:val="0062370D"/>
    <w:rsid w:val="006238DF"/>
    <w:rsid w:val="00625DC6"/>
    <w:rsid w:val="00626C8A"/>
    <w:rsid w:val="006325C5"/>
    <w:rsid w:val="0063658B"/>
    <w:rsid w:val="00640DA9"/>
    <w:rsid w:val="0064391D"/>
    <w:rsid w:val="006456F9"/>
    <w:rsid w:val="00651821"/>
    <w:rsid w:val="00652988"/>
    <w:rsid w:val="006535AD"/>
    <w:rsid w:val="00654384"/>
    <w:rsid w:val="0065562B"/>
    <w:rsid w:val="00660FC6"/>
    <w:rsid w:val="006651B4"/>
    <w:rsid w:val="00666233"/>
    <w:rsid w:val="006675CD"/>
    <w:rsid w:val="006708E8"/>
    <w:rsid w:val="00670B37"/>
    <w:rsid w:val="006712CA"/>
    <w:rsid w:val="00676C0B"/>
    <w:rsid w:val="00683629"/>
    <w:rsid w:val="00684D9B"/>
    <w:rsid w:val="00697556"/>
    <w:rsid w:val="006A597A"/>
    <w:rsid w:val="006B0313"/>
    <w:rsid w:val="006B4647"/>
    <w:rsid w:val="006B4C2B"/>
    <w:rsid w:val="006B5E80"/>
    <w:rsid w:val="006B6194"/>
    <w:rsid w:val="006B6D47"/>
    <w:rsid w:val="006C5473"/>
    <w:rsid w:val="006C5AFE"/>
    <w:rsid w:val="006D0604"/>
    <w:rsid w:val="006D067E"/>
    <w:rsid w:val="006D0EB2"/>
    <w:rsid w:val="006D1138"/>
    <w:rsid w:val="006D3CA0"/>
    <w:rsid w:val="006E3A5B"/>
    <w:rsid w:val="006E403F"/>
    <w:rsid w:val="006E50BB"/>
    <w:rsid w:val="006E657F"/>
    <w:rsid w:val="006E792E"/>
    <w:rsid w:val="006F6D95"/>
    <w:rsid w:val="006F7DCF"/>
    <w:rsid w:val="00706F13"/>
    <w:rsid w:val="007072E8"/>
    <w:rsid w:val="00710A3E"/>
    <w:rsid w:val="00714C78"/>
    <w:rsid w:val="00715994"/>
    <w:rsid w:val="0071618D"/>
    <w:rsid w:val="0072538D"/>
    <w:rsid w:val="00725FA4"/>
    <w:rsid w:val="00732476"/>
    <w:rsid w:val="00733627"/>
    <w:rsid w:val="00740446"/>
    <w:rsid w:val="00743283"/>
    <w:rsid w:val="007438A9"/>
    <w:rsid w:val="0074491E"/>
    <w:rsid w:val="00761E79"/>
    <w:rsid w:val="0076247A"/>
    <w:rsid w:val="00775964"/>
    <w:rsid w:val="007765FE"/>
    <w:rsid w:val="00777738"/>
    <w:rsid w:val="007843AE"/>
    <w:rsid w:val="00785932"/>
    <w:rsid w:val="00785998"/>
    <w:rsid w:val="00794E2E"/>
    <w:rsid w:val="00795BFB"/>
    <w:rsid w:val="00795E23"/>
    <w:rsid w:val="0079743F"/>
    <w:rsid w:val="007B00CA"/>
    <w:rsid w:val="007B2760"/>
    <w:rsid w:val="007C6236"/>
    <w:rsid w:val="007D04E4"/>
    <w:rsid w:val="007D230E"/>
    <w:rsid w:val="007D5750"/>
    <w:rsid w:val="007E412B"/>
    <w:rsid w:val="007E5FAC"/>
    <w:rsid w:val="007E6A60"/>
    <w:rsid w:val="0080213C"/>
    <w:rsid w:val="00805A34"/>
    <w:rsid w:val="00806C01"/>
    <w:rsid w:val="008148CC"/>
    <w:rsid w:val="008170DF"/>
    <w:rsid w:val="008211A4"/>
    <w:rsid w:val="0082246B"/>
    <w:rsid w:val="00837924"/>
    <w:rsid w:val="00841FDE"/>
    <w:rsid w:val="00843E1F"/>
    <w:rsid w:val="0085623D"/>
    <w:rsid w:val="00857A4A"/>
    <w:rsid w:val="00864C08"/>
    <w:rsid w:val="00865FCA"/>
    <w:rsid w:val="00866F33"/>
    <w:rsid w:val="00873150"/>
    <w:rsid w:val="0087657D"/>
    <w:rsid w:val="008807D5"/>
    <w:rsid w:val="00880832"/>
    <w:rsid w:val="00883A44"/>
    <w:rsid w:val="00886EE1"/>
    <w:rsid w:val="0088727D"/>
    <w:rsid w:val="00887827"/>
    <w:rsid w:val="00892346"/>
    <w:rsid w:val="008942B5"/>
    <w:rsid w:val="0089470C"/>
    <w:rsid w:val="00895C5A"/>
    <w:rsid w:val="00897C75"/>
    <w:rsid w:val="008B2FC5"/>
    <w:rsid w:val="008B5C74"/>
    <w:rsid w:val="008B6CE9"/>
    <w:rsid w:val="008C00BA"/>
    <w:rsid w:val="008C1130"/>
    <w:rsid w:val="008C283D"/>
    <w:rsid w:val="008D18E6"/>
    <w:rsid w:val="008D1B73"/>
    <w:rsid w:val="008D7A9B"/>
    <w:rsid w:val="008E0060"/>
    <w:rsid w:val="008E2AC4"/>
    <w:rsid w:val="008E38FD"/>
    <w:rsid w:val="008E5B78"/>
    <w:rsid w:val="008E6072"/>
    <w:rsid w:val="008E76AC"/>
    <w:rsid w:val="008F1A26"/>
    <w:rsid w:val="008F1FB2"/>
    <w:rsid w:val="008F21F6"/>
    <w:rsid w:val="008F7B6F"/>
    <w:rsid w:val="009129A4"/>
    <w:rsid w:val="00914768"/>
    <w:rsid w:val="00914C5D"/>
    <w:rsid w:val="009227DC"/>
    <w:rsid w:val="00923E7A"/>
    <w:rsid w:val="009322B8"/>
    <w:rsid w:val="00932BB4"/>
    <w:rsid w:val="00943D96"/>
    <w:rsid w:val="00951F79"/>
    <w:rsid w:val="00955950"/>
    <w:rsid w:val="00961C3E"/>
    <w:rsid w:val="00962DD6"/>
    <w:rsid w:val="009642C6"/>
    <w:rsid w:val="00974AB5"/>
    <w:rsid w:val="00980634"/>
    <w:rsid w:val="00983822"/>
    <w:rsid w:val="0098574C"/>
    <w:rsid w:val="0098706D"/>
    <w:rsid w:val="009935FB"/>
    <w:rsid w:val="009A2F9C"/>
    <w:rsid w:val="009A46F7"/>
    <w:rsid w:val="009C1741"/>
    <w:rsid w:val="009C3EE0"/>
    <w:rsid w:val="009D31AA"/>
    <w:rsid w:val="009D4F8E"/>
    <w:rsid w:val="009D7190"/>
    <w:rsid w:val="009E1157"/>
    <w:rsid w:val="009E1566"/>
    <w:rsid w:val="009F4A54"/>
    <w:rsid w:val="009F4B93"/>
    <w:rsid w:val="009F4BEC"/>
    <w:rsid w:val="009F5874"/>
    <w:rsid w:val="00A001BA"/>
    <w:rsid w:val="00A04E7D"/>
    <w:rsid w:val="00A0559F"/>
    <w:rsid w:val="00A17A74"/>
    <w:rsid w:val="00A208B5"/>
    <w:rsid w:val="00A25FD7"/>
    <w:rsid w:val="00A37A12"/>
    <w:rsid w:val="00A40710"/>
    <w:rsid w:val="00A43AFF"/>
    <w:rsid w:val="00A43B35"/>
    <w:rsid w:val="00A458E7"/>
    <w:rsid w:val="00A53C7F"/>
    <w:rsid w:val="00A54BB3"/>
    <w:rsid w:val="00A61512"/>
    <w:rsid w:val="00A761B3"/>
    <w:rsid w:val="00A7793A"/>
    <w:rsid w:val="00A82C40"/>
    <w:rsid w:val="00A97286"/>
    <w:rsid w:val="00AA2DA0"/>
    <w:rsid w:val="00AA4CC7"/>
    <w:rsid w:val="00AA5E8E"/>
    <w:rsid w:val="00AB4706"/>
    <w:rsid w:val="00AB5E46"/>
    <w:rsid w:val="00AB6CA7"/>
    <w:rsid w:val="00AD01E4"/>
    <w:rsid w:val="00AD0858"/>
    <w:rsid w:val="00AD413B"/>
    <w:rsid w:val="00AE3E71"/>
    <w:rsid w:val="00AE7340"/>
    <w:rsid w:val="00AF181B"/>
    <w:rsid w:val="00AF1BBD"/>
    <w:rsid w:val="00AF6024"/>
    <w:rsid w:val="00B0723B"/>
    <w:rsid w:val="00B10207"/>
    <w:rsid w:val="00B11B0E"/>
    <w:rsid w:val="00B141E7"/>
    <w:rsid w:val="00B16E46"/>
    <w:rsid w:val="00B17290"/>
    <w:rsid w:val="00B216EB"/>
    <w:rsid w:val="00B27560"/>
    <w:rsid w:val="00B3027F"/>
    <w:rsid w:val="00B3289B"/>
    <w:rsid w:val="00B33E05"/>
    <w:rsid w:val="00B351B4"/>
    <w:rsid w:val="00B405DE"/>
    <w:rsid w:val="00B425EB"/>
    <w:rsid w:val="00B46BCA"/>
    <w:rsid w:val="00B478AA"/>
    <w:rsid w:val="00B55041"/>
    <w:rsid w:val="00B554C3"/>
    <w:rsid w:val="00B64BF4"/>
    <w:rsid w:val="00B76198"/>
    <w:rsid w:val="00B769CB"/>
    <w:rsid w:val="00B87806"/>
    <w:rsid w:val="00B87EC9"/>
    <w:rsid w:val="00B93259"/>
    <w:rsid w:val="00B95880"/>
    <w:rsid w:val="00BA39C6"/>
    <w:rsid w:val="00BB0386"/>
    <w:rsid w:val="00BB28E9"/>
    <w:rsid w:val="00BB4CC8"/>
    <w:rsid w:val="00BB7629"/>
    <w:rsid w:val="00BC0169"/>
    <w:rsid w:val="00BC21BE"/>
    <w:rsid w:val="00BC38FD"/>
    <w:rsid w:val="00BD0059"/>
    <w:rsid w:val="00BD1DBA"/>
    <w:rsid w:val="00BF0265"/>
    <w:rsid w:val="00BF0795"/>
    <w:rsid w:val="00BF2841"/>
    <w:rsid w:val="00BF52BE"/>
    <w:rsid w:val="00BF63E2"/>
    <w:rsid w:val="00BF7B83"/>
    <w:rsid w:val="00C034CB"/>
    <w:rsid w:val="00C051A8"/>
    <w:rsid w:val="00C054BC"/>
    <w:rsid w:val="00C10CD7"/>
    <w:rsid w:val="00C14D77"/>
    <w:rsid w:val="00C161DB"/>
    <w:rsid w:val="00C17897"/>
    <w:rsid w:val="00C27BE2"/>
    <w:rsid w:val="00C342E7"/>
    <w:rsid w:val="00C409D5"/>
    <w:rsid w:val="00C435C3"/>
    <w:rsid w:val="00C467B7"/>
    <w:rsid w:val="00C53260"/>
    <w:rsid w:val="00C532AD"/>
    <w:rsid w:val="00C56108"/>
    <w:rsid w:val="00C6234B"/>
    <w:rsid w:val="00C63637"/>
    <w:rsid w:val="00C63EAE"/>
    <w:rsid w:val="00C642D6"/>
    <w:rsid w:val="00C666F5"/>
    <w:rsid w:val="00C71CEF"/>
    <w:rsid w:val="00C74A6A"/>
    <w:rsid w:val="00C7629F"/>
    <w:rsid w:val="00C766A3"/>
    <w:rsid w:val="00C804B4"/>
    <w:rsid w:val="00C815FD"/>
    <w:rsid w:val="00C850D9"/>
    <w:rsid w:val="00C8661B"/>
    <w:rsid w:val="00C9033F"/>
    <w:rsid w:val="00CA139A"/>
    <w:rsid w:val="00CA2899"/>
    <w:rsid w:val="00CA3A3D"/>
    <w:rsid w:val="00CA72AC"/>
    <w:rsid w:val="00CA77FB"/>
    <w:rsid w:val="00CB379B"/>
    <w:rsid w:val="00CB5DD0"/>
    <w:rsid w:val="00CB6627"/>
    <w:rsid w:val="00CC14C1"/>
    <w:rsid w:val="00CC4242"/>
    <w:rsid w:val="00CC51D4"/>
    <w:rsid w:val="00CC65DA"/>
    <w:rsid w:val="00CD665F"/>
    <w:rsid w:val="00CD6DDF"/>
    <w:rsid w:val="00CE1039"/>
    <w:rsid w:val="00CE1EC2"/>
    <w:rsid w:val="00CE51FF"/>
    <w:rsid w:val="00CF0B66"/>
    <w:rsid w:val="00CF21B9"/>
    <w:rsid w:val="00CF4245"/>
    <w:rsid w:val="00CF6032"/>
    <w:rsid w:val="00CF6BF9"/>
    <w:rsid w:val="00D00F22"/>
    <w:rsid w:val="00D00F64"/>
    <w:rsid w:val="00D03800"/>
    <w:rsid w:val="00D065D3"/>
    <w:rsid w:val="00D0704A"/>
    <w:rsid w:val="00D10A3C"/>
    <w:rsid w:val="00D14C94"/>
    <w:rsid w:val="00D150D2"/>
    <w:rsid w:val="00D16D33"/>
    <w:rsid w:val="00D17140"/>
    <w:rsid w:val="00D31AC4"/>
    <w:rsid w:val="00D3307A"/>
    <w:rsid w:val="00D331AD"/>
    <w:rsid w:val="00D342A6"/>
    <w:rsid w:val="00D4084B"/>
    <w:rsid w:val="00D45CA6"/>
    <w:rsid w:val="00D4638F"/>
    <w:rsid w:val="00D464BF"/>
    <w:rsid w:val="00D51AC0"/>
    <w:rsid w:val="00D53E26"/>
    <w:rsid w:val="00D61DFB"/>
    <w:rsid w:val="00D649F8"/>
    <w:rsid w:val="00D700EB"/>
    <w:rsid w:val="00D71510"/>
    <w:rsid w:val="00D7289B"/>
    <w:rsid w:val="00D74A6F"/>
    <w:rsid w:val="00D76880"/>
    <w:rsid w:val="00D82636"/>
    <w:rsid w:val="00D83129"/>
    <w:rsid w:val="00D8316B"/>
    <w:rsid w:val="00D9413E"/>
    <w:rsid w:val="00D96BEF"/>
    <w:rsid w:val="00DA0D4A"/>
    <w:rsid w:val="00DA1B43"/>
    <w:rsid w:val="00DA2F0A"/>
    <w:rsid w:val="00DA69D9"/>
    <w:rsid w:val="00DB02CF"/>
    <w:rsid w:val="00DB043F"/>
    <w:rsid w:val="00DB12A1"/>
    <w:rsid w:val="00DC0BC0"/>
    <w:rsid w:val="00DC43C4"/>
    <w:rsid w:val="00DC5B01"/>
    <w:rsid w:val="00DC6E7D"/>
    <w:rsid w:val="00DD3D0E"/>
    <w:rsid w:val="00DD4730"/>
    <w:rsid w:val="00DD4F0E"/>
    <w:rsid w:val="00DE387F"/>
    <w:rsid w:val="00DF0364"/>
    <w:rsid w:val="00DF0BF0"/>
    <w:rsid w:val="00DF0F6F"/>
    <w:rsid w:val="00DF3CA2"/>
    <w:rsid w:val="00E01463"/>
    <w:rsid w:val="00E03BD2"/>
    <w:rsid w:val="00E05E0A"/>
    <w:rsid w:val="00E060BE"/>
    <w:rsid w:val="00E0722F"/>
    <w:rsid w:val="00E108FB"/>
    <w:rsid w:val="00E12B49"/>
    <w:rsid w:val="00E1369E"/>
    <w:rsid w:val="00E13D5D"/>
    <w:rsid w:val="00E14CC4"/>
    <w:rsid w:val="00E15920"/>
    <w:rsid w:val="00E219E5"/>
    <w:rsid w:val="00E30607"/>
    <w:rsid w:val="00E31CFC"/>
    <w:rsid w:val="00E40DAC"/>
    <w:rsid w:val="00E413EC"/>
    <w:rsid w:val="00E43925"/>
    <w:rsid w:val="00E534CF"/>
    <w:rsid w:val="00E55B4A"/>
    <w:rsid w:val="00E55F88"/>
    <w:rsid w:val="00E57869"/>
    <w:rsid w:val="00E60C09"/>
    <w:rsid w:val="00E673F6"/>
    <w:rsid w:val="00E72DCD"/>
    <w:rsid w:val="00E74DBA"/>
    <w:rsid w:val="00E74E77"/>
    <w:rsid w:val="00E75ECC"/>
    <w:rsid w:val="00E770DF"/>
    <w:rsid w:val="00E81CB4"/>
    <w:rsid w:val="00E8240B"/>
    <w:rsid w:val="00E83E4B"/>
    <w:rsid w:val="00E8585B"/>
    <w:rsid w:val="00E860E7"/>
    <w:rsid w:val="00E96EE1"/>
    <w:rsid w:val="00EA3F15"/>
    <w:rsid w:val="00EA7847"/>
    <w:rsid w:val="00EB263B"/>
    <w:rsid w:val="00EB2746"/>
    <w:rsid w:val="00EB4C2F"/>
    <w:rsid w:val="00EB4C3D"/>
    <w:rsid w:val="00EB6DF0"/>
    <w:rsid w:val="00EB74D3"/>
    <w:rsid w:val="00EC5024"/>
    <w:rsid w:val="00EC527D"/>
    <w:rsid w:val="00ED590E"/>
    <w:rsid w:val="00EE1F2B"/>
    <w:rsid w:val="00EE2E6E"/>
    <w:rsid w:val="00EF47F2"/>
    <w:rsid w:val="00EF6D78"/>
    <w:rsid w:val="00F004AF"/>
    <w:rsid w:val="00F0759E"/>
    <w:rsid w:val="00F1583A"/>
    <w:rsid w:val="00F16A43"/>
    <w:rsid w:val="00F32F56"/>
    <w:rsid w:val="00F373C5"/>
    <w:rsid w:val="00F44E5C"/>
    <w:rsid w:val="00F46780"/>
    <w:rsid w:val="00F50148"/>
    <w:rsid w:val="00F545EA"/>
    <w:rsid w:val="00F55370"/>
    <w:rsid w:val="00F62818"/>
    <w:rsid w:val="00F66D96"/>
    <w:rsid w:val="00F67C83"/>
    <w:rsid w:val="00F72990"/>
    <w:rsid w:val="00F72A24"/>
    <w:rsid w:val="00F76B34"/>
    <w:rsid w:val="00F821A3"/>
    <w:rsid w:val="00F9314A"/>
    <w:rsid w:val="00F940B2"/>
    <w:rsid w:val="00F94F14"/>
    <w:rsid w:val="00FA20C4"/>
    <w:rsid w:val="00FA21AF"/>
    <w:rsid w:val="00FA3338"/>
    <w:rsid w:val="00FB257C"/>
    <w:rsid w:val="00FB69E5"/>
    <w:rsid w:val="00FC58EF"/>
    <w:rsid w:val="00FD0A42"/>
    <w:rsid w:val="00FD33DF"/>
    <w:rsid w:val="00FD35D1"/>
    <w:rsid w:val="00FD4EE8"/>
    <w:rsid w:val="00FE39D7"/>
    <w:rsid w:val="00FE6AFD"/>
    <w:rsid w:val="00FF0997"/>
    <w:rsid w:val="00FF3C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43F"/>
    <w:pPr>
      <w:spacing w:before="240" w:after="240"/>
      <w:jc w:val="both"/>
    </w:pPr>
    <w:rPr>
      <w:rFonts w:ascii="Bookman Old Style" w:hAnsi="Bookman Old Style"/>
      <w:sz w:val="24"/>
      <w:szCs w:val="24"/>
      <w:lang w:val="es-ES" w:eastAsia="es-ES"/>
    </w:rPr>
  </w:style>
  <w:style w:type="paragraph" w:styleId="Ttulo1">
    <w:name w:val="heading 1"/>
    <w:aliases w:val="ANEX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Ttulo1"/>
    <w:next w:val="Normal"/>
    <w:link w:val="Ttulo2Car"/>
    <w:autoRedefine/>
    <w:qFormat/>
    <w:rsid w:val="009C3EE0"/>
    <w:pPr>
      <w:numPr>
        <w:ilvl w:val="1"/>
        <w:numId w:val="3"/>
      </w:numPr>
      <w:ind w:left="0" w:firstLine="0"/>
      <w:jc w:val="both"/>
      <w:outlineLvl w:val="1"/>
    </w:pPr>
    <w:rPr>
      <w:rFonts w:ascii="Bookman Old Style" w:hAnsi="Bookman Old Style"/>
      <w:spacing w:val="4"/>
      <w:szCs w:val="24"/>
      <w:lang w:val="es-ES"/>
    </w:rPr>
  </w:style>
  <w:style w:type="paragraph" w:styleId="Ttulo3">
    <w:name w:val="heading 3"/>
    <w:basedOn w:val="Normal"/>
    <w:next w:val="Normal"/>
    <w:link w:val="Ttulo3Car"/>
    <w:uiPriority w:val="9"/>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spacing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after="60"/>
      <w:outlineLvl w:val="6"/>
    </w:pPr>
    <w:rPr>
      <w:rFonts w:ascii="Calibri" w:hAnsi="Calibri"/>
    </w:rPr>
  </w:style>
  <w:style w:type="paragraph" w:styleId="Ttulo8">
    <w:name w:val="heading 8"/>
    <w:basedOn w:val="Normal"/>
    <w:next w:val="Normal"/>
    <w:link w:val="Ttulo8Car"/>
    <w:uiPriority w:val="9"/>
    <w:qFormat/>
    <w:rsid w:val="000B4E51"/>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0B4E51"/>
    <w:pPr>
      <w:keepNext/>
      <w:spacing w:before="160" w:after="160"/>
      <w:ind w:left="1584" w:hanging="1584"/>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uiPriority w:val="39"/>
    <w:qFormat/>
    <w:rsid w:val="00D3307A"/>
    <w:pPr>
      <w:tabs>
        <w:tab w:val="left" w:pos="1560"/>
        <w:tab w:val="right" w:leader="dot" w:pos="9214"/>
      </w:tabs>
      <w:spacing w:before="120"/>
      <w:ind w:left="1560" w:right="142" w:hanging="1560"/>
    </w:pPr>
    <w:rPr>
      <w:b/>
      <w:noProof/>
    </w:rPr>
  </w:style>
  <w:style w:type="paragraph" w:styleId="Textodebloque">
    <w:name w:val="Block Text"/>
    <w:basedOn w:val="Normal"/>
    <w:rsid w:val="00D03800"/>
    <w:pPr>
      <w:suppressAutoHyphens/>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character" w:customStyle="1" w:styleId="Ttulo2Car">
    <w:name w:val="Título 2 Car"/>
    <w:link w:val="Ttulo2"/>
    <w:rsid w:val="009C3EE0"/>
    <w:rPr>
      <w:rFonts w:ascii="Bookman Old Style" w:hAnsi="Bookman Old Style"/>
      <w:b/>
      <w:spacing w:val="4"/>
      <w:sz w:val="24"/>
      <w:szCs w:val="24"/>
      <w:lang w:val="es-ES" w:eastAsia="es-ES"/>
    </w:rPr>
  </w:style>
  <w:style w:type="character" w:customStyle="1" w:styleId="Ttulo8Car">
    <w:name w:val="Título 8 Car"/>
    <w:link w:val="Ttulo8"/>
    <w:uiPriority w:val="9"/>
    <w:rsid w:val="000B4E51"/>
    <w:rPr>
      <w:rFonts w:ascii="Arial" w:hAnsi="Arial" w:cs="Arial"/>
      <w:b/>
      <w:sz w:val="22"/>
      <w:lang w:eastAsia="es-ES"/>
    </w:rPr>
  </w:style>
  <w:style w:type="character" w:customStyle="1" w:styleId="Ttulo9Car">
    <w:name w:val="Título 9 Car"/>
    <w:link w:val="Ttulo9"/>
    <w:rsid w:val="000B4E51"/>
    <w:rPr>
      <w:rFonts w:ascii="Arial" w:hAnsi="Arial"/>
      <w:sz w:val="22"/>
      <w:lang w:eastAsia="es-ES"/>
    </w:rPr>
  </w:style>
  <w:style w:type="character" w:customStyle="1" w:styleId="Ttulo1Car">
    <w:name w:val="Título 1 Car"/>
    <w:aliases w:val="ANEXO Car"/>
    <w:link w:val="Ttulo1"/>
    <w:rsid w:val="000B4E51"/>
    <w:rPr>
      <w:rFonts w:ascii="CG Times" w:hAnsi="CG Times"/>
      <w:b/>
      <w:sz w:val="24"/>
      <w:lang w:eastAsia="es-ES"/>
    </w:rPr>
  </w:style>
  <w:style w:type="character" w:customStyle="1" w:styleId="PiedepginaCar">
    <w:name w:val="Pie de página Car"/>
    <w:link w:val="Piedepgina"/>
    <w:rsid w:val="000B4E51"/>
    <w:rPr>
      <w:sz w:val="24"/>
      <w:szCs w:val="24"/>
      <w:lang w:val="es-ES" w:eastAsia="es-ES"/>
    </w:rPr>
  </w:style>
  <w:style w:type="character" w:customStyle="1" w:styleId="EpgrafeCar">
    <w:name w:val="Epígrafe Car"/>
    <w:link w:val="Epgrafe"/>
    <w:rsid w:val="000B4E51"/>
    <w:rPr>
      <w:rFonts w:ascii="Arial" w:hAnsi="Arial"/>
      <w:lang w:val="es-ES" w:eastAsia="es-ES"/>
    </w:rPr>
  </w:style>
  <w:style w:type="paragraph" w:customStyle="1" w:styleId="Artculo">
    <w:name w:val="Artículo"/>
    <w:basedOn w:val="Normal"/>
    <w:link w:val="ArtculoCar"/>
    <w:autoRedefine/>
    <w:qFormat/>
    <w:rsid w:val="003023AC"/>
    <w:rPr>
      <w:rFonts w:cs="Arial"/>
    </w:rPr>
  </w:style>
  <w:style w:type="character" w:customStyle="1" w:styleId="ArtculoCar">
    <w:name w:val="Artículo Car"/>
    <w:link w:val="Artculo"/>
    <w:rsid w:val="003023AC"/>
    <w:rPr>
      <w:rFonts w:ascii="Bookman Old Style" w:hAnsi="Bookman Old Style" w:cs="Arial"/>
      <w:sz w:val="24"/>
      <w:szCs w:val="24"/>
      <w:lang w:val="es-ES" w:eastAsia="es-ES"/>
    </w:rPr>
  </w:style>
  <w:style w:type="character" w:styleId="Hipervnculo">
    <w:name w:val="Hyperlink"/>
    <w:uiPriority w:val="99"/>
    <w:rsid w:val="000B4E51"/>
    <w:rPr>
      <w:color w:val="0000FF"/>
      <w:u w:val="single"/>
    </w:rPr>
  </w:style>
  <w:style w:type="character" w:styleId="Hipervnculovisitado">
    <w:name w:val="FollowedHyperlink"/>
    <w:rsid w:val="000B4E51"/>
    <w:rPr>
      <w:color w:val="800080"/>
      <w:u w:val="single"/>
    </w:rPr>
  </w:style>
  <w:style w:type="paragraph" w:styleId="Textonotapie">
    <w:name w:val="footnote text"/>
    <w:basedOn w:val="Normal"/>
    <w:link w:val="TextonotapieCar"/>
    <w:semiHidden/>
    <w:rsid w:val="000B4E51"/>
    <w:pPr>
      <w:spacing w:before="160" w:after="160"/>
    </w:pPr>
    <w:rPr>
      <w:rFonts w:ascii="Arial" w:hAnsi="Arial"/>
      <w:sz w:val="22"/>
      <w:szCs w:val="20"/>
      <w:lang w:val="es-CO"/>
    </w:rPr>
  </w:style>
  <w:style w:type="character" w:customStyle="1" w:styleId="TextonotapieCar">
    <w:name w:val="Texto nota pie Car"/>
    <w:link w:val="Textonotapie"/>
    <w:uiPriority w:val="99"/>
    <w:semiHidden/>
    <w:rsid w:val="000B4E51"/>
    <w:rPr>
      <w:rFonts w:ascii="Arial" w:hAnsi="Arial"/>
      <w:sz w:val="22"/>
      <w:lang w:eastAsia="es-ES"/>
    </w:rPr>
  </w:style>
  <w:style w:type="character" w:styleId="Refdenotaalpie">
    <w:name w:val="footnote reference"/>
    <w:uiPriority w:val="99"/>
    <w:semiHidden/>
    <w:rsid w:val="000B4E51"/>
    <w:rPr>
      <w:vertAlign w:val="superscript"/>
    </w:rPr>
  </w:style>
  <w:style w:type="paragraph" w:styleId="Listaconvietas">
    <w:name w:val="List Bullet"/>
    <w:basedOn w:val="Normal"/>
    <w:autoRedefine/>
    <w:rsid w:val="000B4E51"/>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0B4E51"/>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0B4E51"/>
    <w:pPr>
      <w:tabs>
        <w:tab w:val="num" w:pos="1209"/>
      </w:tabs>
      <w:spacing w:before="160" w:after="160"/>
      <w:ind w:left="1209" w:hanging="360"/>
    </w:pPr>
    <w:rPr>
      <w:rFonts w:ascii="CG Times" w:hAnsi="CG Times"/>
      <w:sz w:val="22"/>
      <w:szCs w:val="20"/>
      <w:lang w:val="es-CO"/>
    </w:rPr>
  </w:style>
  <w:style w:type="paragraph" w:styleId="TDC2">
    <w:name w:val="toc 2"/>
    <w:basedOn w:val="Normal"/>
    <w:next w:val="Normal"/>
    <w:autoRedefine/>
    <w:uiPriority w:val="39"/>
    <w:qFormat/>
    <w:rsid w:val="00D3307A"/>
    <w:pPr>
      <w:tabs>
        <w:tab w:val="left" w:pos="1701"/>
        <w:tab w:val="right" w:leader="dot" w:pos="9214"/>
      </w:tabs>
      <w:spacing w:before="160"/>
      <w:ind w:left="1560" w:hanging="709"/>
    </w:pPr>
    <w:rPr>
      <w:bCs/>
      <w:noProof/>
      <w:szCs w:val="20"/>
      <w:lang w:val="es-CO"/>
    </w:rPr>
  </w:style>
  <w:style w:type="paragraph" w:styleId="TDC3">
    <w:name w:val="toc 3"/>
    <w:basedOn w:val="Normal"/>
    <w:next w:val="Normal"/>
    <w:autoRedefine/>
    <w:uiPriority w:val="39"/>
    <w:qFormat/>
    <w:rsid w:val="00E74DBA"/>
    <w:pPr>
      <w:tabs>
        <w:tab w:val="left" w:pos="2268"/>
        <w:tab w:val="right" w:leader="dot" w:pos="9214"/>
      </w:tabs>
      <w:spacing w:before="100"/>
      <w:ind w:left="2268" w:right="142" w:hanging="708"/>
    </w:pPr>
    <w:rPr>
      <w:noProof/>
      <w:szCs w:val="20"/>
      <w:lang w:val="es-CO"/>
    </w:rPr>
  </w:style>
  <w:style w:type="paragraph" w:styleId="TDC4">
    <w:name w:val="toc 4"/>
    <w:basedOn w:val="Normal"/>
    <w:next w:val="Normal"/>
    <w:autoRedefine/>
    <w:uiPriority w:val="39"/>
    <w:rsid w:val="000B4E51"/>
    <w:pPr>
      <w:ind w:left="480"/>
    </w:pPr>
    <w:rPr>
      <w:rFonts w:ascii="Calibri" w:hAnsi="Calibri"/>
      <w:sz w:val="20"/>
      <w:szCs w:val="20"/>
      <w:lang w:val="es-CO"/>
    </w:rPr>
  </w:style>
  <w:style w:type="paragraph" w:styleId="TDC5">
    <w:name w:val="toc 5"/>
    <w:basedOn w:val="Normal"/>
    <w:next w:val="Normal"/>
    <w:autoRedefine/>
    <w:uiPriority w:val="39"/>
    <w:rsid w:val="000B4E51"/>
    <w:pPr>
      <w:ind w:left="720"/>
    </w:pPr>
    <w:rPr>
      <w:rFonts w:ascii="Calibri" w:hAnsi="Calibri"/>
      <w:sz w:val="20"/>
      <w:szCs w:val="20"/>
      <w:lang w:val="es-CO"/>
    </w:rPr>
  </w:style>
  <w:style w:type="paragraph" w:styleId="TDC6">
    <w:name w:val="toc 6"/>
    <w:basedOn w:val="Normal"/>
    <w:next w:val="Normal"/>
    <w:autoRedefine/>
    <w:uiPriority w:val="39"/>
    <w:rsid w:val="000B4E51"/>
    <w:pPr>
      <w:ind w:left="960"/>
    </w:pPr>
    <w:rPr>
      <w:rFonts w:ascii="Calibri" w:hAnsi="Calibri"/>
      <w:sz w:val="20"/>
      <w:szCs w:val="20"/>
      <w:lang w:val="es-CO"/>
    </w:rPr>
  </w:style>
  <w:style w:type="paragraph" w:styleId="TDC7">
    <w:name w:val="toc 7"/>
    <w:basedOn w:val="Normal"/>
    <w:next w:val="Normal"/>
    <w:autoRedefine/>
    <w:uiPriority w:val="39"/>
    <w:rsid w:val="000B4E51"/>
    <w:pPr>
      <w:tabs>
        <w:tab w:val="right" w:pos="9111"/>
      </w:tabs>
    </w:pPr>
    <w:rPr>
      <w:rFonts w:ascii="Arial" w:hAnsi="Arial"/>
      <w:b/>
      <w:sz w:val="22"/>
      <w:szCs w:val="20"/>
      <w:lang w:val="es-CO"/>
    </w:rPr>
  </w:style>
  <w:style w:type="paragraph" w:styleId="TDC8">
    <w:name w:val="toc 8"/>
    <w:basedOn w:val="Normal"/>
    <w:next w:val="Normal"/>
    <w:autoRedefine/>
    <w:uiPriority w:val="39"/>
    <w:rsid w:val="000B4E51"/>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0B4E51"/>
    <w:pPr>
      <w:ind w:left="1680"/>
    </w:pPr>
    <w:rPr>
      <w:rFonts w:ascii="Calibri" w:hAnsi="Calibri"/>
      <w:sz w:val="20"/>
      <w:szCs w:val="20"/>
      <w:lang w:val="es-CO"/>
    </w:rPr>
  </w:style>
  <w:style w:type="paragraph" w:customStyle="1" w:styleId="Textodenotaalfinal">
    <w:name w:val="Texto de nota al final"/>
    <w:basedOn w:val="Normal"/>
    <w:rsid w:val="000B4E51"/>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0B4E51"/>
    <w:pPr>
      <w:spacing w:before="160" w:after="160"/>
      <w:ind w:left="2880" w:hanging="2880"/>
    </w:pPr>
    <w:rPr>
      <w:spacing w:val="-4"/>
      <w:sz w:val="22"/>
      <w:szCs w:val="20"/>
      <w:lang w:val="es-CO"/>
    </w:rPr>
  </w:style>
  <w:style w:type="character" w:customStyle="1" w:styleId="Sangra3detindependienteCar">
    <w:name w:val="Sangría 3 de t. independiente Car"/>
    <w:link w:val="Sangra3detindependiente"/>
    <w:rsid w:val="000B4E51"/>
    <w:rPr>
      <w:rFonts w:ascii="Bookman Old Style" w:hAnsi="Bookman Old Style"/>
      <w:spacing w:val="-4"/>
      <w:sz w:val="22"/>
      <w:lang w:eastAsia="es-ES"/>
    </w:rPr>
  </w:style>
  <w:style w:type="paragraph" w:styleId="Cita">
    <w:name w:val="Quote"/>
    <w:basedOn w:val="Normal"/>
    <w:next w:val="Normal"/>
    <w:link w:val="CitaCar"/>
    <w:uiPriority w:val="29"/>
    <w:qFormat/>
    <w:rsid w:val="000B4E51"/>
    <w:pPr>
      <w:spacing w:after="120"/>
      <w:ind w:right="616"/>
    </w:pPr>
    <w:rPr>
      <w:rFonts w:ascii="Arial" w:eastAsia="Calibri" w:hAnsi="Arial" w:cs="Arial"/>
      <w:i/>
      <w:iCs/>
      <w:color w:val="000000"/>
      <w:sz w:val="20"/>
      <w:szCs w:val="22"/>
      <w:lang w:val="es-CO" w:eastAsia="en-US"/>
    </w:rPr>
  </w:style>
  <w:style w:type="character" w:customStyle="1" w:styleId="CitaCar">
    <w:name w:val="Cita Car"/>
    <w:link w:val="Cita"/>
    <w:uiPriority w:val="29"/>
    <w:rsid w:val="000B4E51"/>
    <w:rPr>
      <w:rFonts w:ascii="Arial" w:eastAsia="Calibri" w:hAnsi="Arial" w:cs="Arial"/>
      <w:i/>
      <w:iCs/>
      <w:color w:val="000000"/>
      <w:szCs w:val="22"/>
      <w:lang w:eastAsia="en-US"/>
    </w:rPr>
  </w:style>
  <w:style w:type="character" w:styleId="Refdecomentario">
    <w:name w:val="annotation reference"/>
    <w:uiPriority w:val="99"/>
    <w:semiHidden/>
    <w:unhideWhenUsed/>
    <w:rsid w:val="000B4E51"/>
    <w:rPr>
      <w:sz w:val="16"/>
      <w:szCs w:val="16"/>
    </w:rPr>
  </w:style>
  <w:style w:type="paragraph" w:styleId="Textocomentario">
    <w:name w:val="annotation text"/>
    <w:basedOn w:val="Normal"/>
    <w:link w:val="TextocomentarioCar"/>
    <w:uiPriority w:val="99"/>
    <w:unhideWhenUsed/>
    <w:rsid w:val="000B4E51"/>
    <w:pPr>
      <w:spacing w:before="160" w:after="160"/>
    </w:pPr>
    <w:rPr>
      <w:rFonts w:ascii="Arial" w:hAnsi="Arial"/>
      <w:sz w:val="20"/>
      <w:szCs w:val="20"/>
      <w:lang w:val="es-CO"/>
    </w:rPr>
  </w:style>
  <w:style w:type="character" w:customStyle="1" w:styleId="TextocomentarioCar">
    <w:name w:val="Texto comentario Car"/>
    <w:link w:val="Textocomentario"/>
    <w:uiPriority w:val="99"/>
    <w:rsid w:val="000B4E51"/>
    <w:rPr>
      <w:rFonts w:ascii="Arial" w:hAnsi="Arial"/>
      <w:lang w:eastAsia="es-ES"/>
    </w:rPr>
  </w:style>
  <w:style w:type="paragraph" w:styleId="Asuntodelcomentario">
    <w:name w:val="annotation subject"/>
    <w:basedOn w:val="Textocomentario"/>
    <w:next w:val="Textocomentario"/>
    <w:link w:val="AsuntodelcomentarioCar"/>
    <w:semiHidden/>
    <w:unhideWhenUsed/>
    <w:rsid w:val="000B4E51"/>
    <w:rPr>
      <w:b/>
      <w:bCs/>
    </w:rPr>
  </w:style>
  <w:style w:type="character" w:customStyle="1" w:styleId="AsuntodelcomentarioCar">
    <w:name w:val="Asunto del comentario Car"/>
    <w:link w:val="Asuntodelcomentario"/>
    <w:semiHidden/>
    <w:rsid w:val="000B4E51"/>
    <w:rPr>
      <w:rFonts w:ascii="Arial" w:hAnsi="Arial"/>
      <w:b/>
      <w:bCs/>
      <w:lang w:eastAsia="es-ES"/>
    </w:rPr>
  </w:style>
  <w:style w:type="character" w:styleId="Textoennegrita">
    <w:name w:val="Strong"/>
    <w:uiPriority w:val="22"/>
    <w:qFormat/>
    <w:rsid w:val="000B4E51"/>
    <w:rPr>
      <w:b/>
      <w:bCs/>
    </w:rPr>
  </w:style>
  <w:style w:type="paragraph" w:styleId="TtulodeTDC">
    <w:name w:val="TOC Heading"/>
    <w:basedOn w:val="Ttulo1"/>
    <w:next w:val="Normal"/>
    <w:uiPriority w:val="39"/>
    <w:unhideWhenUsed/>
    <w:qFormat/>
    <w:rsid w:val="000B4E51"/>
    <w:pPr>
      <w:keepLines/>
      <w:spacing w:before="480" w:after="360" w:line="276" w:lineRule="auto"/>
      <w:ind w:hanging="357"/>
      <w:jc w:val="left"/>
      <w:outlineLvl w:val="9"/>
    </w:pPr>
    <w:rPr>
      <w:rFonts w:ascii="Cambria" w:hAnsi="Cambria"/>
      <w:bCs/>
      <w:caps/>
      <w:color w:val="365F91"/>
      <w:spacing w:val="4"/>
      <w:sz w:val="28"/>
      <w:szCs w:val="28"/>
      <w:lang w:val="es-ES" w:eastAsia="en-US"/>
    </w:rPr>
  </w:style>
  <w:style w:type="paragraph" w:styleId="Mapadeldocumento">
    <w:name w:val="Document Map"/>
    <w:basedOn w:val="Normal"/>
    <w:link w:val="MapadeldocumentoCar"/>
    <w:uiPriority w:val="99"/>
    <w:unhideWhenUsed/>
    <w:rsid w:val="000B4E51"/>
    <w:pPr>
      <w:spacing w:before="160" w:after="160"/>
    </w:pPr>
    <w:rPr>
      <w:rFonts w:ascii="Tahoma" w:hAnsi="Tahoma" w:cs="Tahoma"/>
      <w:sz w:val="16"/>
      <w:szCs w:val="16"/>
      <w:lang w:val="es-CO"/>
    </w:rPr>
  </w:style>
  <w:style w:type="character" w:customStyle="1" w:styleId="MapadeldocumentoCar">
    <w:name w:val="Mapa del documento Car"/>
    <w:link w:val="Mapadeldocumento"/>
    <w:uiPriority w:val="99"/>
    <w:rsid w:val="000B4E51"/>
    <w:rPr>
      <w:rFonts w:ascii="Tahoma" w:hAnsi="Tahoma" w:cs="Tahoma"/>
      <w:sz w:val="16"/>
      <w:szCs w:val="16"/>
      <w:lang w:eastAsia="es-ES"/>
    </w:rPr>
  </w:style>
  <w:style w:type="paragraph" w:customStyle="1" w:styleId="Anexo">
    <w:name w:val="Anexo"/>
    <w:basedOn w:val="Normal"/>
    <w:link w:val="AnexoCar"/>
    <w:qFormat/>
    <w:rsid w:val="000B4E51"/>
    <w:pPr>
      <w:suppressAutoHyphens/>
      <w:ind w:left="1429" w:hanging="360"/>
    </w:pPr>
    <w:rPr>
      <w:rFonts w:cs="Arial"/>
      <w:b/>
      <w:bCs/>
      <w:spacing w:val="-4"/>
    </w:rPr>
  </w:style>
  <w:style w:type="character" w:customStyle="1" w:styleId="AnexoCar">
    <w:name w:val="Anexo Car"/>
    <w:link w:val="Anexo"/>
    <w:rsid w:val="000B4E5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0B4E51"/>
    <w:pPr>
      <w:tabs>
        <w:tab w:val="num" w:pos="432"/>
      </w:tabs>
      <w:ind w:left="432" w:hanging="432"/>
      <w:jc w:val="center"/>
    </w:pPr>
    <w:rPr>
      <w:b/>
    </w:rPr>
  </w:style>
  <w:style w:type="paragraph" w:customStyle="1" w:styleId="Pliego-Normal">
    <w:name w:val="Pliego-Normal"/>
    <w:basedOn w:val="Normal"/>
    <w:rsid w:val="000B4E51"/>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0B4E51"/>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0B4E51"/>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0B4E51"/>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0B4E51"/>
    <w:rPr>
      <w:rFonts w:ascii="Arial" w:hAnsi="Arial" w:cs="Arial"/>
      <w:vanish/>
      <w:color w:val="000000"/>
      <w:sz w:val="16"/>
      <w:szCs w:val="16"/>
      <w:lang w:val="es-ES" w:eastAsia="es-ES"/>
    </w:rPr>
  </w:style>
  <w:style w:type="paragraph" w:customStyle="1" w:styleId="NormalTesis">
    <w:name w:val="Normal Tesis"/>
    <w:basedOn w:val="Textoindependiente"/>
    <w:rsid w:val="000B4E51"/>
    <w:pPr>
      <w:widowControl w:val="0"/>
      <w:adjustRightInd w:val="0"/>
      <w:spacing w:line="360" w:lineRule="auto"/>
      <w:jc w:val="both"/>
      <w:textAlignment w:val="baseline"/>
    </w:pPr>
    <w:rPr>
      <w:b w:val="0"/>
      <w:bCs w:val="0"/>
      <w:sz w:val="22"/>
    </w:rPr>
  </w:style>
  <w:style w:type="paragraph" w:customStyle="1" w:styleId="Citas">
    <w:name w:val="Citas"/>
    <w:basedOn w:val="Normal"/>
    <w:rsid w:val="000B4E51"/>
    <w:pPr>
      <w:ind w:left="708" w:right="618"/>
    </w:pPr>
    <w:rPr>
      <w:rFonts w:cs="Arial"/>
      <w:i/>
      <w:iCs/>
      <w:szCs w:val="20"/>
    </w:rPr>
  </w:style>
  <w:style w:type="paragraph" w:customStyle="1" w:styleId="articulo">
    <w:name w:val="articulo"/>
    <w:basedOn w:val="Normal"/>
    <w:next w:val="Normal"/>
    <w:autoRedefine/>
    <w:rsid w:val="000B4E51"/>
    <w:pPr>
      <w:tabs>
        <w:tab w:val="left" w:pos="-720"/>
        <w:tab w:val="left" w:pos="1560"/>
      </w:tabs>
      <w:suppressAutoHyphens/>
      <w:ind w:left="1560" w:hanging="1560"/>
    </w:pPr>
    <w:rPr>
      <w:rFonts w:cs="Arial"/>
      <w:bCs/>
      <w:spacing w:val="-4"/>
    </w:rPr>
  </w:style>
  <w:style w:type="character" w:styleId="Textodelmarcadordeposicin">
    <w:name w:val="Placeholder Text"/>
    <w:uiPriority w:val="99"/>
    <w:semiHidden/>
    <w:rsid w:val="000B4E51"/>
    <w:rPr>
      <w:color w:val="808080"/>
    </w:rPr>
  </w:style>
  <w:style w:type="paragraph" w:customStyle="1" w:styleId="EstiloPrrafodelistaJustificado">
    <w:name w:val="Estilo Párrafo de lista + Justificado"/>
    <w:basedOn w:val="Prrafodelista"/>
    <w:rsid w:val="000B4E51"/>
    <w:pPr>
      <w:spacing w:before="120"/>
      <w:ind w:left="720" w:hanging="360"/>
    </w:pPr>
    <w:rPr>
      <w:spacing w:val="4"/>
      <w:sz w:val="24"/>
      <w:lang w:val="es-ES"/>
    </w:rPr>
  </w:style>
  <w:style w:type="paragraph" w:customStyle="1" w:styleId="Vietas">
    <w:name w:val="Viñetas"/>
    <w:basedOn w:val="Prrafodelista"/>
    <w:rsid w:val="000B4E51"/>
    <w:pPr>
      <w:spacing w:before="120"/>
      <w:ind w:left="720" w:hanging="360"/>
    </w:pPr>
    <w:rPr>
      <w:spacing w:val="4"/>
      <w:sz w:val="24"/>
      <w:lang w:val="es-ES"/>
    </w:rPr>
  </w:style>
  <w:style w:type="paragraph" w:customStyle="1" w:styleId="Listaletras">
    <w:name w:val="Lista letras"/>
    <w:basedOn w:val="Sangra2detindependiente"/>
    <w:link w:val="ListaletrasCar"/>
    <w:qFormat/>
    <w:rsid w:val="000B4E51"/>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0B4E51"/>
    <w:rPr>
      <w:rFonts w:ascii="Bookman Old Style" w:hAnsi="Bookman Old Style"/>
      <w:b/>
      <w:sz w:val="22"/>
      <w:lang w:eastAsia="es-ES"/>
    </w:rPr>
  </w:style>
  <w:style w:type="paragraph" w:customStyle="1" w:styleId="Textoindependiente31">
    <w:name w:val="Texto independiente 31"/>
    <w:basedOn w:val="Normal"/>
    <w:rsid w:val="000B4E51"/>
    <w:pPr>
      <w:tabs>
        <w:tab w:val="left" w:pos="-720"/>
      </w:tabs>
      <w:suppressAutoHyphens/>
      <w:overflowPunct w:val="0"/>
      <w:autoSpaceDE w:val="0"/>
      <w:autoSpaceDN w:val="0"/>
      <w:adjustRightInd w:val="0"/>
      <w:ind w:right="45"/>
      <w:textAlignment w:val="baseline"/>
    </w:pPr>
    <w:rPr>
      <w:sz w:val="22"/>
      <w:szCs w:val="20"/>
    </w:rPr>
  </w:style>
  <w:style w:type="paragraph" w:customStyle="1" w:styleId="Estilo2">
    <w:name w:val="Estilo2"/>
    <w:basedOn w:val="Ttulo1"/>
    <w:rsid w:val="000B4E51"/>
    <w:pPr>
      <w:adjustRightInd w:val="0"/>
      <w:spacing w:after="360"/>
      <w:textAlignment w:val="baseline"/>
    </w:pPr>
    <w:rPr>
      <w:rFonts w:ascii="Bookman Old Style" w:hAnsi="Bookman Old Style"/>
      <w:bCs/>
      <w:caps/>
      <w:spacing w:val="4"/>
      <w:szCs w:val="24"/>
      <w:lang w:val="es-ES"/>
    </w:rPr>
  </w:style>
  <w:style w:type="paragraph" w:styleId="Continuarlista">
    <w:name w:val="List Continue"/>
    <w:basedOn w:val="Normal"/>
    <w:rsid w:val="000B4E51"/>
    <w:pPr>
      <w:widowControl w:val="0"/>
      <w:adjustRightInd w:val="0"/>
      <w:spacing w:after="120"/>
      <w:ind w:left="283"/>
      <w:contextualSpacing/>
      <w:textAlignment w:val="baseline"/>
    </w:pPr>
  </w:style>
  <w:style w:type="character" w:customStyle="1" w:styleId="Fuentedeprrafopredeter1">
    <w:name w:val="Fuente de párrafo predeter.1"/>
    <w:rsid w:val="000B4E51"/>
  </w:style>
  <w:style w:type="character" w:customStyle="1" w:styleId="FootnoteCharacters">
    <w:name w:val="Footnote Characters"/>
    <w:rsid w:val="000B4E51"/>
    <w:rPr>
      <w:vertAlign w:val="superscript"/>
    </w:rPr>
  </w:style>
  <w:style w:type="character" w:customStyle="1" w:styleId="Refdenotaalpie1">
    <w:name w:val="Ref. de nota al pie1"/>
    <w:rsid w:val="000B4E51"/>
    <w:rPr>
      <w:vertAlign w:val="superscript"/>
    </w:rPr>
  </w:style>
  <w:style w:type="character" w:customStyle="1" w:styleId="Refdecomentario1">
    <w:name w:val="Ref. de comentario1"/>
    <w:rsid w:val="000B4E51"/>
    <w:rPr>
      <w:sz w:val="16"/>
    </w:rPr>
  </w:style>
  <w:style w:type="paragraph" w:customStyle="1" w:styleId="Heading">
    <w:name w:val="Heading"/>
    <w:basedOn w:val="Normal"/>
    <w:next w:val="Textoindependiente"/>
    <w:rsid w:val="000B4E51"/>
    <w:pPr>
      <w:keepNext/>
      <w:suppressAutoHyphens/>
      <w:spacing w:after="120"/>
    </w:pPr>
    <w:rPr>
      <w:rFonts w:ascii="Arial" w:eastAsia="DejaVu Sans" w:hAnsi="Arial" w:cs="DejaVu Sans"/>
      <w:sz w:val="28"/>
      <w:szCs w:val="28"/>
      <w:lang w:val="es-CO" w:eastAsia="ar-SA"/>
    </w:rPr>
  </w:style>
  <w:style w:type="paragraph" w:styleId="Lista">
    <w:name w:val="List"/>
    <w:basedOn w:val="Normal"/>
    <w:rsid w:val="000B4E51"/>
    <w:pPr>
      <w:suppressAutoHyphens/>
      <w:ind w:left="283" w:hanging="283"/>
    </w:pPr>
    <w:rPr>
      <w:sz w:val="22"/>
      <w:szCs w:val="20"/>
      <w:lang w:val="es-CO" w:eastAsia="ar-SA"/>
    </w:rPr>
  </w:style>
  <w:style w:type="paragraph" w:customStyle="1" w:styleId="Index">
    <w:name w:val="Index"/>
    <w:basedOn w:val="Normal"/>
    <w:rsid w:val="000B4E51"/>
    <w:pPr>
      <w:suppressLineNumbers/>
      <w:suppressAutoHyphens/>
    </w:pPr>
    <w:rPr>
      <w:sz w:val="22"/>
      <w:szCs w:val="20"/>
      <w:lang w:val="es-CO" w:eastAsia="ar-SA"/>
    </w:rPr>
  </w:style>
  <w:style w:type="paragraph" w:styleId="Ttulodendice">
    <w:name w:val="index heading"/>
    <w:basedOn w:val="Normal"/>
    <w:next w:val="ndice1"/>
    <w:rsid w:val="000B4E51"/>
    <w:pPr>
      <w:suppressAutoHyphens/>
      <w:spacing w:before="120" w:after="120"/>
    </w:pPr>
    <w:rPr>
      <w:b/>
      <w:i/>
      <w:sz w:val="20"/>
      <w:szCs w:val="20"/>
      <w:lang w:val="es-CO" w:eastAsia="ar-SA"/>
    </w:rPr>
  </w:style>
  <w:style w:type="paragraph" w:styleId="ndice2">
    <w:name w:val="index 2"/>
    <w:basedOn w:val="Normal"/>
    <w:next w:val="Normal"/>
    <w:rsid w:val="000B4E51"/>
    <w:pPr>
      <w:suppressAutoHyphens/>
      <w:ind w:left="480" w:hanging="240"/>
    </w:pPr>
    <w:rPr>
      <w:sz w:val="20"/>
      <w:szCs w:val="20"/>
      <w:lang w:val="es-CO" w:eastAsia="ar-SA"/>
    </w:rPr>
  </w:style>
  <w:style w:type="paragraph" w:styleId="ndice3">
    <w:name w:val="index 3"/>
    <w:basedOn w:val="Normal"/>
    <w:next w:val="Normal"/>
    <w:rsid w:val="000B4E51"/>
    <w:pPr>
      <w:suppressAutoHyphens/>
      <w:ind w:left="720" w:hanging="240"/>
    </w:pPr>
    <w:rPr>
      <w:sz w:val="20"/>
      <w:szCs w:val="20"/>
      <w:lang w:val="es-CO" w:eastAsia="ar-SA"/>
    </w:rPr>
  </w:style>
  <w:style w:type="paragraph" w:customStyle="1" w:styleId="Figuras">
    <w:name w:val="Figuras"/>
    <w:basedOn w:val="Textoindependiente"/>
    <w:rsid w:val="000B4E51"/>
    <w:pPr>
      <w:suppressAutoHyphens/>
    </w:pPr>
    <w:rPr>
      <w:rFonts w:cs="Times New Roman"/>
      <w:b w:val="0"/>
      <w:bCs w:val="0"/>
      <w:i/>
      <w:iCs/>
      <w:sz w:val="22"/>
      <w:szCs w:val="20"/>
      <w:lang w:val="es-CO" w:eastAsia="ar-SA"/>
    </w:rPr>
  </w:style>
  <w:style w:type="paragraph" w:customStyle="1" w:styleId="Text">
    <w:name w:val="Text"/>
    <w:basedOn w:val="Normal"/>
    <w:rsid w:val="000B4E51"/>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0B4E51"/>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0B4E51"/>
    <w:rPr>
      <w:rFonts w:ascii="Arial" w:hAnsi="Arial" w:cs="Arial"/>
      <w:b/>
      <w:bCs w:val="0"/>
      <w:i/>
      <w:sz w:val="28"/>
      <w:szCs w:val="24"/>
      <w:lang w:eastAsia="ar-SA"/>
    </w:rPr>
  </w:style>
  <w:style w:type="paragraph" w:customStyle="1" w:styleId="Notes">
    <w:name w:val="Notes"/>
    <w:rsid w:val="000B4E5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Epgrafe"/>
    <w:link w:val="TablaCar"/>
    <w:qFormat/>
    <w:rsid w:val="000B4E51"/>
    <w:pPr>
      <w:keepNext/>
      <w:widowControl/>
      <w:suppressAutoHyphens/>
      <w:adjustRightInd/>
      <w:spacing w:after="200" w:line="240" w:lineRule="auto"/>
      <w:textAlignment w:val="auto"/>
    </w:pPr>
    <w:rPr>
      <w:b/>
      <w:bCs/>
      <w:iCs/>
    </w:rPr>
  </w:style>
  <w:style w:type="character" w:customStyle="1" w:styleId="TablaCar">
    <w:name w:val="Tabla Car"/>
    <w:link w:val="Tabla"/>
    <w:rsid w:val="000B4E51"/>
    <w:rPr>
      <w:rFonts w:ascii="Arial" w:hAnsi="Arial"/>
      <w:b/>
      <w:bCs/>
      <w:iCs/>
      <w:lang w:val="es-ES" w:eastAsia="es-ES"/>
    </w:rPr>
  </w:style>
  <w:style w:type="paragraph" w:customStyle="1" w:styleId="DatosDocumento">
    <w:name w:val="Datos Documento"/>
    <w:basedOn w:val="Normal"/>
    <w:rsid w:val="000B4E51"/>
    <w:pPr>
      <w:jc w:val="right"/>
    </w:pPr>
    <w:rPr>
      <w:rFonts w:ascii="Arial" w:hAnsi="Arial" w:cs="Arial"/>
      <w:szCs w:val="20"/>
    </w:rPr>
  </w:style>
  <w:style w:type="paragraph" w:customStyle="1" w:styleId="TituloDocumento">
    <w:name w:val="Titulo Documento"/>
    <w:basedOn w:val="Normal"/>
    <w:rsid w:val="000B4E51"/>
    <w:pPr>
      <w:jc w:val="right"/>
    </w:pPr>
    <w:rPr>
      <w:rFonts w:ascii="Arial Black" w:hAnsi="Arial Black" w:cs="Arial"/>
      <w:sz w:val="48"/>
      <w:szCs w:val="20"/>
    </w:rPr>
  </w:style>
  <w:style w:type="paragraph" w:customStyle="1" w:styleId="SubtituloDocumento">
    <w:name w:val="Subtitulo Documento"/>
    <w:basedOn w:val="Normal"/>
    <w:rsid w:val="000B4E51"/>
    <w:pPr>
      <w:jc w:val="right"/>
    </w:pPr>
    <w:rPr>
      <w:rFonts w:ascii="Arial Black" w:hAnsi="Arial Black" w:cs="Arial"/>
      <w:sz w:val="32"/>
      <w:szCs w:val="20"/>
    </w:rPr>
  </w:style>
  <w:style w:type="paragraph" w:customStyle="1" w:styleId="TtuloInforme">
    <w:name w:val="Título Informe"/>
    <w:basedOn w:val="Normal"/>
    <w:next w:val="Normal"/>
    <w:rsid w:val="000B4E51"/>
    <w:pPr>
      <w:spacing w:before="120" w:after="120"/>
      <w:jc w:val="center"/>
    </w:pPr>
    <w:rPr>
      <w:rFonts w:ascii="Arial" w:hAnsi="Arial" w:cs="Arial"/>
      <w:color w:val="FF6309"/>
      <w:sz w:val="28"/>
      <w:szCs w:val="28"/>
    </w:rPr>
  </w:style>
  <w:style w:type="character" w:customStyle="1" w:styleId="TtuloInformeChar">
    <w:name w:val="Título Informe Char"/>
    <w:rsid w:val="000B4E5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0B4E51"/>
    <w:pPr>
      <w:spacing w:before="120" w:after="120"/>
    </w:pPr>
    <w:rPr>
      <w:rFonts w:ascii="Arial" w:hAnsi="Arial" w:cs="Arial"/>
      <w:color w:val="808080"/>
    </w:rPr>
  </w:style>
  <w:style w:type="character" w:customStyle="1" w:styleId="SubtuloInformeChar">
    <w:name w:val="Subítulo Informe Char"/>
    <w:rsid w:val="000B4E51"/>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0B4E5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0B4E51"/>
    <w:pPr>
      <w:spacing w:before="120" w:after="120"/>
    </w:pPr>
    <w:rPr>
      <w:rFonts w:ascii="Arial" w:hAnsi="Arial" w:cs="Arial"/>
      <w:sz w:val="20"/>
      <w:szCs w:val="20"/>
    </w:rPr>
  </w:style>
  <w:style w:type="paragraph" w:customStyle="1" w:styleId="CUERPOTEXTO">
    <w:name w:val="CUERPO TEXTO"/>
    <w:rsid w:val="000B4E5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0B4E51"/>
    <w:rPr>
      <w:rFonts w:ascii="Bookman Old Style" w:hAnsi="Bookman Old Style"/>
      <w:sz w:val="24"/>
      <w:szCs w:val="24"/>
      <w:lang w:val="es-ES" w:eastAsia="es-ES"/>
    </w:rPr>
  </w:style>
  <w:style w:type="paragraph" w:styleId="Saludo">
    <w:name w:val="Salutation"/>
    <w:basedOn w:val="Normal"/>
    <w:next w:val="Normal"/>
    <w:link w:val="SaludoCar"/>
    <w:uiPriority w:val="99"/>
    <w:unhideWhenUsed/>
    <w:rsid w:val="000B4E51"/>
    <w:pPr>
      <w:widowControl w:val="0"/>
      <w:adjustRightInd w:val="0"/>
      <w:textAlignment w:val="baseline"/>
    </w:pPr>
    <w:rPr>
      <w:lang w:val="es-CO"/>
    </w:rPr>
  </w:style>
  <w:style w:type="character" w:customStyle="1" w:styleId="SaludoCar">
    <w:name w:val="Saludo Car"/>
    <w:link w:val="Saludo"/>
    <w:uiPriority w:val="99"/>
    <w:rsid w:val="000B4E51"/>
    <w:rPr>
      <w:rFonts w:ascii="Bookman Old Style" w:hAnsi="Bookman Old Style"/>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43F"/>
    <w:pPr>
      <w:spacing w:before="240" w:after="240"/>
      <w:jc w:val="both"/>
    </w:pPr>
    <w:rPr>
      <w:rFonts w:ascii="Bookman Old Style" w:hAnsi="Bookman Old Style"/>
      <w:sz w:val="24"/>
      <w:szCs w:val="24"/>
      <w:lang w:val="es-ES" w:eastAsia="es-ES"/>
    </w:rPr>
  </w:style>
  <w:style w:type="paragraph" w:styleId="Ttulo1">
    <w:name w:val="heading 1"/>
    <w:aliases w:val="ANEX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Ttulo1"/>
    <w:next w:val="Normal"/>
    <w:link w:val="Ttulo2Car"/>
    <w:autoRedefine/>
    <w:qFormat/>
    <w:rsid w:val="009C3EE0"/>
    <w:pPr>
      <w:numPr>
        <w:ilvl w:val="1"/>
        <w:numId w:val="3"/>
      </w:numPr>
      <w:ind w:left="0" w:firstLine="0"/>
      <w:jc w:val="both"/>
      <w:outlineLvl w:val="1"/>
    </w:pPr>
    <w:rPr>
      <w:rFonts w:ascii="Bookman Old Style" w:hAnsi="Bookman Old Style"/>
      <w:spacing w:val="4"/>
      <w:szCs w:val="24"/>
      <w:lang w:val="es-ES"/>
    </w:rPr>
  </w:style>
  <w:style w:type="paragraph" w:styleId="Ttulo3">
    <w:name w:val="heading 3"/>
    <w:basedOn w:val="Normal"/>
    <w:next w:val="Normal"/>
    <w:link w:val="Ttulo3Car"/>
    <w:uiPriority w:val="9"/>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spacing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after="60"/>
      <w:outlineLvl w:val="6"/>
    </w:pPr>
    <w:rPr>
      <w:rFonts w:ascii="Calibri" w:hAnsi="Calibri"/>
    </w:rPr>
  </w:style>
  <w:style w:type="paragraph" w:styleId="Ttulo8">
    <w:name w:val="heading 8"/>
    <w:basedOn w:val="Normal"/>
    <w:next w:val="Normal"/>
    <w:link w:val="Ttulo8Car"/>
    <w:uiPriority w:val="9"/>
    <w:qFormat/>
    <w:rsid w:val="000B4E51"/>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0B4E51"/>
    <w:pPr>
      <w:keepNext/>
      <w:spacing w:before="160" w:after="160"/>
      <w:ind w:left="1584" w:hanging="1584"/>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uiPriority w:val="39"/>
    <w:qFormat/>
    <w:rsid w:val="00D3307A"/>
    <w:pPr>
      <w:tabs>
        <w:tab w:val="left" w:pos="1560"/>
        <w:tab w:val="right" w:leader="dot" w:pos="9214"/>
      </w:tabs>
      <w:spacing w:before="120"/>
      <w:ind w:left="1560" w:right="142" w:hanging="1560"/>
    </w:pPr>
    <w:rPr>
      <w:b/>
      <w:noProof/>
    </w:rPr>
  </w:style>
  <w:style w:type="paragraph" w:styleId="Textodebloque">
    <w:name w:val="Block Text"/>
    <w:basedOn w:val="Normal"/>
    <w:rsid w:val="00D03800"/>
    <w:pPr>
      <w:suppressAutoHyphens/>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character" w:customStyle="1" w:styleId="Ttulo2Car">
    <w:name w:val="Título 2 Car"/>
    <w:link w:val="Ttulo2"/>
    <w:rsid w:val="009C3EE0"/>
    <w:rPr>
      <w:rFonts w:ascii="Bookman Old Style" w:hAnsi="Bookman Old Style"/>
      <w:b/>
      <w:spacing w:val="4"/>
      <w:sz w:val="24"/>
      <w:szCs w:val="24"/>
      <w:lang w:val="es-ES" w:eastAsia="es-ES"/>
    </w:rPr>
  </w:style>
  <w:style w:type="character" w:customStyle="1" w:styleId="Ttulo8Car">
    <w:name w:val="Título 8 Car"/>
    <w:link w:val="Ttulo8"/>
    <w:uiPriority w:val="9"/>
    <w:rsid w:val="000B4E51"/>
    <w:rPr>
      <w:rFonts w:ascii="Arial" w:hAnsi="Arial" w:cs="Arial"/>
      <w:b/>
      <w:sz w:val="22"/>
      <w:lang w:eastAsia="es-ES"/>
    </w:rPr>
  </w:style>
  <w:style w:type="character" w:customStyle="1" w:styleId="Ttulo9Car">
    <w:name w:val="Título 9 Car"/>
    <w:link w:val="Ttulo9"/>
    <w:rsid w:val="000B4E51"/>
    <w:rPr>
      <w:rFonts w:ascii="Arial" w:hAnsi="Arial"/>
      <w:sz w:val="22"/>
      <w:lang w:eastAsia="es-ES"/>
    </w:rPr>
  </w:style>
  <w:style w:type="character" w:customStyle="1" w:styleId="Ttulo1Car">
    <w:name w:val="Título 1 Car"/>
    <w:aliases w:val="ANEXO Car"/>
    <w:link w:val="Ttulo1"/>
    <w:rsid w:val="000B4E51"/>
    <w:rPr>
      <w:rFonts w:ascii="CG Times" w:hAnsi="CG Times"/>
      <w:b/>
      <w:sz w:val="24"/>
      <w:lang w:eastAsia="es-ES"/>
    </w:rPr>
  </w:style>
  <w:style w:type="character" w:customStyle="1" w:styleId="PiedepginaCar">
    <w:name w:val="Pie de página Car"/>
    <w:link w:val="Piedepgina"/>
    <w:rsid w:val="000B4E51"/>
    <w:rPr>
      <w:sz w:val="24"/>
      <w:szCs w:val="24"/>
      <w:lang w:val="es-ES" w:eastAsia="es-ES"/>
    </w:rPr>
  </w:style>
  <w:style w:type="character" w:customStyle="1" w:styleId="EpgrafeCar">
    <w:name w:val="Epígrafe Car"/>
    <w:link w:val="Epgrafe"/>
    <w:rsid w:val="000B4E51"/>
    <w:rPr>
      <w:rFonts w:ascii="Arial" w:hAnsi="Arial"/>
      <w:lang w:val="es-ES" w:eastAsia="es-ES"/>
    </w:rPr>
  </w:style>
  <w:style w:type="paragraph" w:customStyle="1" w:styleId="Artculo">
    <w:name w:val="Artículo"/>
    <w:basedOn w:val="Normal"/>
    <w:link w:val="ArtculoCar"/>
    <w:autoRedefine/>
    <w:qFormat/>
    <w:rsid w:val="003023AC"/>
    <w:rPr>
      <w:rFonts w:cs="Arial"/>
    </w:rPr>
  </w:style>
  <w:style w:type="character" w:customStyle="1" w:styleId="ArtculoCar">
    <w:name w:val="Artículo Car"/>
    <w:link w:val="Artculo"/>
    <w:rsid w:val="003023AC"/>
    <w:rPr>
      <w:rFonts w:ascii="Bookman Old Style" w:hAnsi="Bookman Old Style" w:cs="Arial"/>
      <w:sz w:val="24"/>
      <w:szCs w:val="24"/>
      <w:lang w:val="es-ES" w:eastAsia="es-ES"/>
    </w:rPr>
  </w:style>
  <w:style w:type="character" w:styleId="Hipervnculo">
    <w:name w:val="Hyperlink"/>
    <w:uiPriority w:val="99"/>
    <w:rsid w:val="000B4E51"/>
    <w:rPr>
      <w:color w:val="0000FF"/>
      <w:u w:val="single"/>
    </w:rPr>
  </w:style>
  <w:style w:type="character" w:styleId="Hipervnculovisitado">
    <w:name w:val="FollowedHyperlink"/>
    <w:rsid w:val="000B4E51"/>
    <w:rPr>
      <w:color w:val="800080"/>
      <w:u w:val="single"/>
    </w:rPr>
  </w:style>
  <w:style w:type="paragraph" w:styleId="Textonotapie">
    <w:name w:val="footnote text"/>
    <w:basedOn w:val="Normal"/>
    <w:link w:val="TextonotapieCar"/>
    <w:semiHidden/>
    <w:rsid w:val="000B4E51"/>
    <w:pPr>
      <w:spacing w:before="160" w:after="160"/>
    </w:pPr>
    <w:rPr>
      <w:rFonts w:ascii="Arial" w:hAnsi="Arial"/>
      <w:sz w:val="22"/>
      <w:szCs w:val="20"/>
      <w:lang w:val="es-CO"/>
    </w:rPr>
  </w:style>
  <w:style w:type="character" w:customStyle="1" w:styleId="TextonotapieCar">
    <w:name w:val="Texto nota pie Car"/>
    <w:link w:val="Textonotapie"/>
    <w:uiPriority w:val="99"/>
    <w:semiHidden/>
    <w:rsid w:val="000B4E51"/>
    <w:rPr>
      <w:rFonts w:ascii="Arial" w:hAnsi="Arial"/>
      <w:sz w:val="22"/>
      <w:lang w:eastAsia="es-ES"/>
    </w:rPr>
  </w:style>
  <w:style w:type="character" w:styleId="Refdenotaalpie">
    <w:name w:val="footnote reference"/>
    <w:uiPriority w:val="99"/>
    <w:semiHidden/>
    <w:rsid w:val="000B4E51"/>
    <w:rPr>
      <w:vertAlign w:val="superscript"/>
    </w:rPr>
  </w:style>
  <w:style w:type="paragraph" w:styleId="Listaconvietas">
    <w:name w:val="List Bullet"/>
    <w:basedOn w:val="Normal"/>
    <w:autoRedefine/>
    <w:rsid w:val="000B4E51"/>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0B4E51"/>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0B4E51"/>
    <w:pPr>
      <w:tabs>
        <w:tab w:val="num" w:pos="1209"/>
      </w:tabs>
      <w:spacing w:before="160" w:after="160"/>
      <w:ind w:left="1209" w:hanging="360"/>
    </w:pPr>
    <w:rPr>
      <w:rFonts w:ascii="CG Times" w:hAnsi="CG Times"/>
      <w:sz w:val="22"/>
      <w:szCs w:val="20"/>
      <w:lang w:val="es-CO"/>
    </w:rPr>
  </w:style>
  <w:style w:type="paragraph" w:styleId="TDC2">
    <w:name w:val="toc 2"/>
    <w:basedOn w:val="Normal"/>
    <w:next w:val="Normal"/>
    <w:autoRedefine/>
    <w:uiPriority w:val="39"/>
    <w:qFormat/>
    <w:rsid w:val="00D3307A"/>
    <w:pPr>
      <w:tabs>
        <w:tab w:val="left" w:pos="1701"/>
        <w:tab w:val="right" w:leader="dot" w:pos="9214"/>
      </w:tabs>
      <w:spacing w:before="160"/>
      <w:ind w:left="1560" w:hanging="709"/>
    </w:pPr>
    <w:rPr>
      <w:bCs/>
      <w:noProof/>
      <w:szCs w:val="20"/>
      <w:lang w:val="es-CO"/>
    </w:rPr>
  </w:style>
  <w:style w:type="paragraph" w:styleId="TDC3">
    <w:name w:val="toc 3"/>
    <w:basedOn w:val="Normal"/>
    <w:next w:val="Normal"/>
    <w:autoRedefine/>
    <w:uiPriority w:val="39"/>
    <w:qFormat/>
    <w:rsid w:val="00E74DBA"/>
    <w:pPr>
      <w:tabs>
        <w:tab w:val="left" w:pos="2268"/>
        <w:tab w:val="right" w:leader="dot" w:pos="9214"/>
      </w:tabs>
      <w:spacing w:before="100"/>
      <w:ind w:left="2268" w:right="142" w:hanging="708"/>
    </w:pPr>
    <w:rPr>
      <w:noProof/>
      <w:szCs w:val="20"/>
      <w:lang w:val="es-CO"/>
    </w:rPr>
  </w:style>
  <w:style w:type="paragraph" w:styleId="TDC4">
    <w:name w:val="toc 4"/>
    <w:basedOn w:val="Normal"/>
    <w:next w:val="Normal"/>
    <w:autoRedefine/>
    <w:uiPriority w:val="39"/>
    <w:rsid w:val="000B4E51"/>
    <w:pPr>
      <w:ind w:left="480"/>
    </w:pPr>
    <w:rPr>
      <w:rFonts w:ascii="Calibri" w:hAnsi="Calibri"/>
      <w:sz w:val="20"/>
      <w:szCs w:val="20"/>
      <w:lang w:val="es-CO"/>
    </w:rPr>
  </w:style>
  <w:style w:type="paragraph" w:styleId="TDC5">
    <w:name w:val="toc 5"/>
    <w:basedOn w:val="Normal"/>
    <w:next w:val="Normal"/>
    <w:autoRedefine/>
    <w:uiPriority w:val="39"/>
    <w:rsid w:val="000B4E51"/>
    <w:pPr>
      <w:ind w:left="720"/>
    </w:pPr>
    <w:rPr>
      <w:rFonts w:ascii="Calibri" w:hAnsi="Calibri"/>
      <w:sz w:val="20"/>
      <w:szCs w:val="20"/>
      <w:lang w:val="es-CO"/>
    </w:rPr>
  </w:style>
  <w:style w:type="paragraph" w:styleId="TDC6">
    <w:name w:val="toc 6"/>
    <w:basedOn w:val="Normal"/>
    <w:next w:val="Normal"/>
    <w:autoRedefine/>
    <w:uiPriority w:val="39"/>
    <w:rsid w:val="000B4E51"/>
    <w:pPr>
      <w:ind w:left="960"/>
    </w:pPr>
    <w:rPr>
      <w:rFonts w:ascii="Calibri" w:hAnsi="Calibri"/>
      <w:sz w:val="20"/>
      <w:szCs w:val="20"/>
      <w:lang w:val="es-CO"/>
    </w:rPr>
  </w:style>
  <w:style w:type="paragraph" w:styleId="TDC7">
    <w:name w:val="toc 7"/>
    <w:basedOn w:val="Normal"/>
    <w:next w:val="Normal"/>
    <w:autoRedefine/>
    <w:uiPriority w:val="39"/>
    <w:rsid w:val="000B4E51"/>
    <w:pPr>
      <w:tabs>
        <w:tab w:val="right" w:pos="9111"/>
      </w:tabs>
    </w:pPr>
    <w:rPr>
      <w:rFonts w:ascii="Arial" w:hAnsi="Arial"/>
      <w:b/>
      <w:sz w:val="22"/>
      <w:szCs w:val="20"/>
      <w:lang w:val="es-CO"/>
    </w:rPr>
  </w:style>
  <w:style w:type="paragraph" w:styleId="TDC8">
    <w:name w:val="toc 8"/>
    <w:basedOn w:val="Normal"/>
    <w:next w:val="Normal"/>
    <w:autoRedefine/>
    <w:uiPriority w:val="39"/>
    <w:rsid w:val="000B4E51"/>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0B4E51"/>
    <w:pPr>
      <w:ind w:left="1680"/>
    </w:pPr>
    <w:rPr>
      <w:rFonts w:ascii="Calibri" w:hAnsi="Calibri"/>
      <w:sz w:val="20"/>
      <w:szCs w:val="20"/>
      <w:lang w:val="es-CO"/>
    </w:rPr>
  </w:style>
  <w:style w:type="paragraph" w:customStyle="1" w:styleId="Textodenotaalfinal">
    <w:name w:val="Texto de nota al final"/>
    <w:basedOn w:val="Normal"/>
    <w:rsid w:val="000B4E51"/>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0B4E51"/>
    <w:pPr>
      <w:spacing w:before="160" w:after="160"/>
      <w:ind w:left="2880" w:hanging="2880"/>
    </w:pPr>
    <w:rPr>
      <w:spacing w:val="-4"/>
      <w:sz w:val="22"/>
      <w:szCs w:val="20"/>
      <w:lang w:val="es-CO"/>
    </w:rPr>
  </w:style>
  <w:style w:type="character" w:customStyle="1" w:styleId="Sangra3detindependienteCar">
    <w:name w:val="Sangría 3 de t. independiente Car"/>
    <w:link w:val="Sangra3detindependiente"/>
    <w:rsid w:val="000B4E51"/>
    <w:rPr>
      <w:rFonts w:ascii="Bookman Old Style" w:hAnsi="Bookman Old Style"/>
      <w:spacing w:val="-4"/>
      <w:sz w:val="22"/>
      <w:lang w:eastAsia="es-ES"/>
    </w:rPr>
  </w:style>
  <w:style w:type="paragraph" w:styleId="Cita">
    <w:name w:val="Quote"/>
    <w:basedOn w:val="Normal"/>
    <w:next w:val="Normal"/>
    <w:link w:val="CitaCar"/>
    <w:uiPriority w:val="29"/>
    <w:qFormat/>
    <w:rsid w:val="000B4E51"/>
    <w:pPr>
      <w:spacing w:after="120"/>
      <w:ind w:right="616"/>
    </w:pPr>
    <w:rPr>
      <w:rFonts w:ascii="Arial" w:eastAsia="Calibri" w:hAnsi="Arial" w:cs="Arial"/>
      <w:i/>
      <w:iCs/>
      <w:color w:val="000000"/>
      <w:sz w:val="20"/>
      <w:szCs w:val="22"/>
      <w:lang w:val="es-CO" w:eastAsia="en-US"/>
    </w:rPr>
  </w:style>
  <w:style w:type="character" w:customStyle="1" w:styleId="CitaCar">
    <w:name w:val="Cita Car"/>
    <w:link w:val="Cita"/>
    <w:uiPriority w:val="29"/>
    <w:rsid w:val="000B4E51"/>
    <w:rPr>
      <w:rFonts w:ascii="Arial" w:eastAsia="Calibri" w:hAnsi="Arial" w:cs="Arial"/>
      <w:i/>
      <w:iCs/>
      <w:color w:val="000000"/>
      <w:szCs w:val="22"/>
      <w:lang w:eastAsia="en-US"/>
    </w:rPr>
  </w:style>
  <w:style w:type="character" w:styleId="Refdecomentario">
    <w:name w:val="annotation reference"/>
    <w:uiPriority w:val="99"/>
    <w:semiHidden/>
    <w:unhideWhenUsed/>
    <w:rsid w:val="000B4E51"/>
    <w:rPr>
      <w:sz w:val="16"/>
      <w:szCs w:val="16"/>
    </w:rPr>
  </w:style>
  <w:style w:type="paragraph" w:styleId="Textocomentario">
    <w:name w:val="annotation text"/>
    <w:basedOn w:val="Normal"/>
    <w:link w:val="TextocomentarioCar"/>
    <w:uiPriority w:val="99"/>
    <w:unhideWhenUsed/>
    <w:rsid w:val="000B4E51"/>
    <w:pPr>
      <w:spacing w:before="160" w:after="160"/>
    </w:pPr>
    <w:rPr>
      <w:rFonts w:ascii="Arial" w:hAnsi="Arial"/>
      <w:sz w:val="20"/>
      <w:szCs w:val="20"/>
      <w:lang w:val="es-CO"/>
    </w:rPr>
  </w:style>
  <w:style w:type="character" w:customStyle="1" w:styleId="TextocomentarioCar">
    <w:name w:val="Texto comentario Car"/>
    <w:link w:val="Textocomentario"/>
    <w:uiPriority w:val="99"/>
    <w:rsid w:val="000B4E51"/>
    <w:rPr>
      <w:rFonts w:ascii="Arial" w:hAnsi="Arial"/>
      <w:lang w:eastAsia="es-ES"/>
    </w:rPr>
  </w:style>
  <w:style w:type="paragraph" w:styleId="Asuntodelcomentario">
    <w:name w:val="annotation subject"/>
    <w:basedOn w:val="Textocomentario"/>
    <w:next w:val="Textocomentario"/>
    <w:link w:val="AsuntodelcomentarioCar"/>
    <w:semiHidden/>
    <w:unhideWhenUsed/>
    <w:rsid w:val="000B4E51"/>
    <w:rPr>
      <w:b/>
      <w:bCs/>
    </w:rPr>
  </w:style>
  <w:style w:type="character" w:customStyle="1" w:styleId="AsuntodelcomentarioCar">
    <w:name w:val="Asunto del comentario Car"/>
    <w:link w:val="Asuntodelcomentario"/>
    <w:semiHidden/>
    <w:rsid w:val="000B4E51"/>
    <w:rPr>
      <w:rFonts w:ascii="Arial" w:hAnsi="Arial"/>
      <w:b/>
      <w:bCs/>
      <w:lang w:eastAsia="es-ES"/>
    </w:rPr>
  </w:style>
  <w:style w:type="character" w:styleId="Textoennegrita">
    <w:name w:val="Strong"/>
    <w:uiPriority w:val="22"/>
    <w:qFormat/>
    <w:rsid w:val="000B4E51"/>
    <w:rPr>
      <w:b/>
      <w:bCs/>
    </w:rPr>
  </w:style>
  <w:style w:type="paragraph" w:styleId="TtulodeTDC">
    <w:name w:val="TOC Heading"/>
    <w:basedOn w:val="Ttulo1"/>
    <w:next w:val="Normal"/>
    <w:uiPriority w:val="39"/>
    <w:unhideWhenUsed/>
    <w:qFormat/>
    <w:rsid w:val="000B4E51"/>
    <w:pPr>
      <w:keepLines/>
      <w:spacing w:before="480" w:after="360" w:line="276" w:lineRule="auto"/>
      <w:ind w:hanging="357"/>
      <w:jc w:val="left"/>
      <w:outlineLvl w:val="9"/>
    </w:pPr>
    <w:rPr>
      <w:rFonts w:ascii="Cambria" w:hAnsi="Cambria"/>
      <w:bCs/>
      <w:caps/>
      <w:color w:val="365F91"/>
      <w:spacing w:val="4"/>
      <w:sz w:val="28"/>
      <w:szCs w:val="28"/>
      <w:lang w:val="es-ES" w:eastAsia="en-US"/>
    </w:rPr>
  </w:style>
  <w:style w:type="paragraph" w:styleId="Mapadeldocumento">
    <w:name w:val="Document Map"/>
    <w:basedOn w:val="Normal"/>
    <w:link w:val="MapadeldocumentoCar"/>
    <w:uiPriority w:val="99"/>
    <w:unhideWhenUsed/>
    <w:rsid w:val="000B4E51"/>
    <w:pPr>
      <w:spacing w:before="160" w:after="160"/>
    </w:pPr>
    <w:rPr>
      <w:rFonts w:ascii="Tahoma" w:hAnsi="Tahoma" w:cs="Tahoma"/>
      <w:sz w:val="16"/>
      <w:szCs w:val="16"/>
      <w:lang w:val="es-CO"/>
    </w:rPr>
  </w:style>
  <w:style w:type="character" w:customStyle="1" w:styleId="MapadeldocumentoCar">
    <w:name w:val="Mapa del documento Car"/>
    <w:link w:val="Mapadeldocumento"/>
    <w:uiPriority w:val="99"/>
    <w:rsid w:val="000B4E51"/>
    <w:rPr>
      <w:rFonts w:ascii="Tahoma" w:hAnsi="Tahoma" w:cs="Tahoma"/>
      <w:sz w:val="16"/>
      <w:szCs w:val="16"/>
      <w:lang w:eastAsia="es-ES"/>
    </w:rPr>
  </w:style>
  <w:style w:type="paragraph" w:customStyle="1" w:styleId="Anexo">
    <w:name w:val="Anexo"/>
    <w:basedOn w:val="Normal"/>
    <w:link w:val="AnexoCar"/>
    <w:qFormat/>
    <w:rsid w:val="000B4E51"/>
    <w:pPr>
      <w:suppressAutoHyphens/>
      <w:ind w:left="1429" w:hanging="360"/>
    </w:pPr>
    <w:rPr>
      <w:rFonts w:cs="Arial"/>
      <w:b/>
      <w:bCs/>
      <w:spacing w:val="-4"/>
    </w:rPr>
  </w:style>
  <w:style w:type="character" w:customStyle="1" w:styleId="AnexoCar">
    <w:name w:val="Anexo Car"/>
    <w:link w:val="Anexo"/>
    <w:rsid w:val="000B4E5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0B4E51"/>
    <w:pPr>
      <w:tabs>
        <w:tab w:val="num" w:pos="432"/>
      </w:tabs>
      <w:ind w:left="432" w:hanging="432"/>
      <w:jc w:val="center"/>
    </w:pPr>
    <w:rPr>
      <w:b/>
    </w:rPr>
  </w:style>
  <w:style w:type="paragraph" w:customStyle="1" w:styleId="Pliego-Normal">
    <w:name w:val="Pliego-Normal"/>
    <w:basedOn w:val="Normal"/>
    <w:rsid w:val="000B4E51"/>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0B4E51"/>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0B4E51"/>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0B4E51"/>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0B4E51"/>
    <w:rPr>
      <w:rFonts w:ascii="Arial" w:hAnsi="Arial" w:cs="Arial"/>
      <w:vanish/>
      <w:color w:val="000000"/>
      <w:sz w:val="16"/>
      <w:szCs w:val="16"/>
      <w:lang w:val="es-ES" w:eastAsia="es-ES"/>
    </w:rPr>
  </w:style>
  <w:style w:type="paragraph" w:customStyle="1" w:styleId="NormalTesis">
    <w:name w:val="Normal Tesis"/>
    <w:basedOn w:val="Textoindependiente"/>
    <w:rsid w:val="000B4E51"/>
    <w:pPr>
      <w:widowControl w:val="0"/>
      <w:adjustRightInd w:val="0"/>
      <w:spacing w:line="360" w:lineRule="auto"/>
      <w:jc w:val="both"/>
      <w:textAlignment w:val="baseline"/>
    </w:pPr>
    <w:rPr>
      <w:b w:val="0"/>
      <w:bCs w:val="0"/>
      <w:sz w:val="22"/>
    </w:rPr>
  </w:style>
  <w:style w:type="paragraph" w:customStyle="1" w:styleId="Citas">
    <w:name w:val="Citas"/>
    <w:basedOn w:val="Normal"/>
    <w:rsid w:val="000B4E51"/>
    <w:pPr>
      <w:ind w:left="708" w:right="618"/>
    </w:pPr>
    <w:rPr>
      <w:rFonts w:cs="Arial"/>
      <w:i/>
      <w:iCs/>
      <w:szCs w:val="20"/>
    </w:rPr>
  </w:style>
  <w:style w:type="paragraph" w:customStyle="1" w:styleId="articulo">
    <w:name w:val="articulo"/>
    <w:basedOn w:val="Normal"/>
    <w:next w:val="Normal"/>
    <w:autoRedefine/>
    <w:rsid w:val="000B4E51"/>
    <w:pPr>
      <w:tabs>
        <w:tab w:val="left" w:pos="-720"/>
        <w:tab w:val="left" w:pos="1560"/>
      </w:tabs>
      <w:suppressAutoHyphens/>
      <w:ind w:left="1560" w:hanging="1560"/>
    </w:pPr>
    <w:rPr>
      <w:rFonts w:cs="Arial"/>
      <w:bCs/>
      <w:spacing w:val="-4"/>
    </w:rPr>
  </w:style>
  <w:style w:type="character" w:styleId="Textodelmarcadordeposicin">
    <w:name w:val="Placeholder Text"/>
    <w:uiPriority w:val="99"/>
    <w:semiHidden/>
    <w:rsid w:val="000B4E51"/>
    <w:rPr>
      <w:color w:val="808080"/>
    </w:rPr>
  </w:style>
  <w:style w:type="paragraph" w:customStyle="1" w:styleId="EstiloPrrafodelistaJustificado">
    <w:name w:val="Estilo Párrafo de lista + Justificado"/>
    <w:basedOn w:val="Prrafodelista"/>
    <w:rsid w:val="000B4E51"/>
    <w:pPr>
      <w:spacing w:before="120"/>
      <w:ind w:left="720" w:hanging="360"/>
    </w:pPr>
    <w:rPr>
      <w:spacing w:val="4"/>
      <w:sz w:val="24"/>
      <w:lang w:val="es-ES"/>
    </w:rPr>
  </w:style>
  <w:style w:type="paragraph" w:customStyle="1" w:styleId="Vietas">
    <w:name w:val="Viñetas"/>
    <w:basedOn w:val="Prrafodelista"/>
    <w:rsid w:val="000B4E51"/>
    <w:pPr>
      <w:spacing w:before="120"/>
      <w:ind w:left="720" w:hanging="360"/>
    </w:pPr>
    <w:rPr>
      <w:spacing w:val="4"/>
      <w:sz w:val="24"/>
      <w:lang w:val="es-ES"/>
    </w:rPr>
  </w:style>
  <w:style w:type="paragraph" w:customStyle="1" w:styleId="Listaletras">
    <w:name w:val="Lista letras"/>
    <w:basedOn w:val="Sangra2detindependiente"/>
    <w:link w:val="ListaletrasCar"/>
    <w:qFormat/>
    <w:rsid w:val="000B4E51"/>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0B4E51"/>
    <w:rPr>
      <w:rFonts w:ascii="Bookman Old Style" w:hAnsi="Bookman Old Style"/>
      <w:b/>
      <w:sz w:val="22"/>
      <w:lang w:eastAsia="es-ES"/>
    </w:rPr>
  </w:style>
  <w:style w:type="paragraph" w:customStyle="1" w:styleId="Textoindependiente31">
    <w:name w:val="Texto independiente 31"/>
    <w:basedOn w:val="Normal"/>
    <w:rsid w:val="000B4E51"/>
    <w:pPr>
      <w:tabs>
        <w:tab w:val="left" w:pos="-720"/>
      </w:tabs>
      <w:suppressAutoHyphens/>
      <w:overflowPunct w:val="0"/>
      <w:autoSpaceDE w:val="0"/>
      <w:autoSpaceDN w:val="0"/>
      <w:adjustRightInd w:val="0"/>
      <w:ind w:right="45"/>
      <w:textAlignment w:val="baseline"/>
    </w:pPr>
    <w:rPr>
      <w:sz w:val="22"/>
      <w:szCs w:val="20"/>
    </w:rPr>
  </w:style>
  <w:style w:type="paragraph" w:customStyle="1" w:styleId="Estilo2">
    <w:name w:val="Estilo2"/>
    <w:basedOn w:val="Ttulo1"/>
    <w:rsid w:val="000B4E51"/>
    <w:pPr>
      <w:adjustRightInd w:val="0"/>
      <w:spacing w:after="360"/>
      <w:textAlignment w:val="baseline"/>
    </w:pPr>
    <w:rPr>
      <w:rFonts w:ascii="Bookman Old Style" w:hAnsi="Bookman Old Style"/>
      <w:bCs/>
      <w:caps/>
      <w:spacing w:val="4"/>
      <w:szCs w:val="24"/>
      <w:lang w:val="es-ES"/>
    </w:rPr>
  </w:style>
  <w:style w:type="paragraph" w:styleId="Continuarlista">
    <w:name w:val="List Continue"/>
    <w:basedOn w:val="Normal"/>
    <w:rsid w:val="000B4E51"/>
    <w:pPr>
      <w:widowControl w:val="0"/>
      <w:adjustRightInd w:val="0"/>
      <w:spacing w:after="120"/>
      <w:ind w:left="283"/>
      <w:contextualSpacing/>
      <w:textAlignment w:val="baseline"/>
    </w:pPr>
  </w:style>
  <w:style w:type="character" w:customStyle="1" w:styleId="Fuentedeprrafopredeter1">
    <w:name w:val="Fuente de párrafo predeter.1"/>
    <w:rsid w:val="000B4E51"/>
  </w:style>
  <w:style w:type="character" w:customStyle="1" w:styleId="FootnoteCharacters">
    <w:name w:val="Footnote Characters"/>
    <w:rsid w:val="000B4E51"/>
    <w:rPr>
      <w:vertAlign w:val="superscript"/>
    </w:rPr>
  </w:style>
  <w:style w:type="character" w:customStyle="1" w:styleId="Refdenotaalpie1">
    <w:name w:val="Ref. de nota al pie1"/>
    <w:rsid w:val="000B4E51"/>
    <w:rPr>
      <w:vertAlign w:val="superscript"/>
    </w:rPr>
  </w:style>
  <w:style w:type="character" w:customStyle="1" w:styleId="Refdecomentario1">
    <w:name w:val="Ref. de comentario1"/>
    <w:rsid w:val="000B4E51"/>
    <w:rPr>
      <w:sz w:val="16"/>
    </w:rPr>
  </w:style>
  <w:style w:type="paragraph" w:customStyle="1" w:styleId="Heading">
    <w:name w:val="Heading"/>
    <w:basedOn w:val="Normal"/>
    <w:next w:val="Textoindependiente"/>
    <w:rsid w:val="000B4E51"/>
    <w:pPr>
      <w:keepNext/>
      <w:suppressAutoHyphens/>
      <w:spacing w:after="120"/>
    </w:pPr>
    <w:rPr>
      <w:rFonts w:ascii="Arial" w:eastAsia="DejaVu Sans" w:hAnsi="Arial" w:cs="DejaVu Sans"/>
      <w:sz w:val="28"/>
      <w:szCs w:val="28"/>
      <w:lang w:val="es-CO" w:eastAsia="ar-SA"/>
    </w:rPr>
  </w:style>
  <w:style w:type="paragraph" w:styleId="Lista">
    <w:name w:val="List"/>
    <w:basedOn w:val="Normal"/>
    <w:rsid w:val="000B4E51"/>
    <w:pPr>
      <w:suppressAutoHyphens/>
      <w:ind w:left="283" w:hanging="283"/>
    </w:pPr>
    <w:rPr>
      <w:sz w:val="22"/>
      <w:szCs w:val="20"/>
      <w:lang w:val="es-CO" w:eastAsia="ar-SA"/>
    </w:rPr>
  </w:style>
  <w:style w:type="paragraph" w:customStyle="1" w:styleId="Index">
    <w:name w:val="Index"/>
    <w:basedOn w:val="Normal"/>
    <w:rsid w:val="000B4E51"/>
    <w:pPr>
      <w:suppressLineNumbers/>
      <w:suppressAutoHyphens/>
    </w:pPr>
    <w:rPr>
      <w:sz w:val="22"/>
      <w:szCs w:val="20"/>
      <w:lang w:val="es-CO" w:eastAsia="ar-SA"/>
    </w:rPr>
  </w:style>
  <w:style w:type="paragraph" w:styleId="Ttulodendice">
    <w:name w:val="index heading"/>
    <w:basedOn w:val="Normal"/>
    <w:next w:val="ndice1"/>
    <w:rsid w:val="000B4E51"/>
    <w:pPr>
      <w:suppressAutoHyphens/>
      <w:spacing w:before="120" w:after="120"/>
    </w:pPr>
    <w:rPr>
      <w:b/>
      <w:i/>
      <w:sz w:val="20"/>
      <w:szCs w:val="20"/>
      <w:lang w:val="es-CO" w:eastAsia="ar-SA"/>
    </w:rPr>
  </w:style>
  <w:style w:type="paragraph" w:styleId="ndice2">
    <w:name w:val="index 2"/>
    <w:basedOn w:val="Normal"/>
    <w:next w:val="Normal"/>
    <w:rsid w:val="000B4E51"/>
    <w:pPr>
      <w:suppressAutoHyphens/>
      <w:ind w:left="480" w:hanging="240"/>
    </w:pPr>
    <w:rPr>
      <w:sz w:val="20"/>
      <w:szCs w:val="20"/>
      <w:lang w:val="es-CO" w:eastAsia="ar-SA"/>
    </w:rPr>
  </w:style>
  <w:style w:type="paragraph" w:styleId="ndice3">
    <w:name w:val="index 3"/>
    <w:basedOn w:val="Normal"/>
    <w:next w:val="Normal"/>
    <w:rsid w:val="000B4E51"/>
    <w:pPr>
      <w:suppressAutoHyphens/>
      <w:ind w:left="720" w:hanging="240"/>
    </w:pPr>
    <w:rPr>
      <w:sz w:val="20"/>
      <w:szCs w:val="20"/>
      <w:lang w:val="es-CO" w:eastAsia="ar-SA"/>
    </w:rPr>
  </w:style>
  <w:style w:type="paragraph" w:customStyle="1" w:styleId="Figuras">
    <w:name w:val="Figuras"/>
    <w:basedOn w:val="Textoindependiente"/>
    <w:rsid w:val="000B4E51"/>
    <w:pPr>
      <w:suppressAutoHyphens/>
    </w:pPr>
    <w:rPr>
      <w:rFonts w:cs="Times New Roman"/>
      <w:b w:val="0"/>
      <w:bCs w:val="0"/>
      <w:i/>
      <w:iCs/>
      <w:sz w:val="22"/>
      <w:szCs w:val="20"/>
      <w:lang w:val="es-CO" w:eastAsia="ar-SA"/>
    </w:rPr>
  </w:style>
  <w:style w:type="paragraph" w:customStyle="1" w:styleId="Text">
    <w:name w:val="Text"/>
    <w:basedOn w:val="Normal"/>
    <w:rsid w:val="000B4E51"/>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0B4E51"/>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0B4E51"/>
    <w:rPr>
      <w:rFonts w:ascii="Arial" w:hAnsi="Arial" w:cs="Arial"/>
      <w:b/>
      <w:bCs w:val="0"/>
      <w:i/>
      <w:sz w:val="28"/>
      <w:szCs w:val="24"/>
      <w:lang w:eastAsia="ar-SA"/>
    </w:rPr>
  </w:style>
  <w:style w:type="paragraph" w:customStyle="1" w:styleId="Notes">
    <w:name w:val="Notes"/>
    <w:rsid w:val="000B4E5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Epgrafe"/>
    <w:link w:val="TablaCar"/>
    <w:qFormat/>
    <w:rsid w:val="000B4E51"/>
    <w:pPr>
      <w:keepNext/>
      <w:widowControl/>
      <w:suppressAutoHyphens/>
      <w:adjustRightInd/>
      <w:spacing w:after="200" w:line="240" w:lineRule="auto"/>
      <w:textAlignment w:val="auto"/>
    </w:pPr>
    <w:rPr>
      <w:b/>
      <w:bCs/>
      <w:iCs/>
    </w:rPr>
  </w:style>
  <w:style w:type="character" w:customStyle="1" w:styleId="TablaCar">
    <w:name w:val="Tabla Car"/>
    <w:link w:val="Tabla"/>
    <w:rsid w:val="000B4E51"/>
    <w:rPr>
      <w:rFonts w:ascii="Arial" w:hAnsi="Arial"/>
      <w:b/>
      <w:bCs/>
      <w:iCs/>
      <w:lang w:val="es-ES" w:eastAsia="es-ES"/>
    </w:rPr>
  </w:style>
  <w:style w:type="paragraph" w:customStyle="1" w:styleId="DatosDocumento">
    <w:name w:val="Datos Documento"/>
    <w:basedOn w:val="Normal"/>
    <w:rsid w:val="000B4E51"/>
    <w:pPr>
      <w:jc w:val="right"/>
    </w:pPr>
    <w:rPr>
      <w:rFonts w:ascii="Arial" w:hAnsi="Arial" w:cs="Arial"/>
      <w:szCs w:val="20"/>
    </w:rPr>
  </w:style>
  <w:style w:type="paragraph" w:customStyle="1" w:styleId="TituloDocumento">
    <w:name w:val="Titulo Documento"/>
    <w:basedOn w:val="Normal"/>
    <w:rsid w:val="000B4E51"/>
    <w:pPr>
      <w:jc w:val="right"/>
    </w:pPr>
    <w:rPr>
      <w:rFonts w:ascii="Arial Black" w:hAnsi="Arial Black" w:cs="Arial"/>
      <w:sz w:val="48"/>
      <w:szCs w:val="20"/>
    </w:rPr>
  </w:style>
  <w:style w:type="paragraph" w:customStyle="1" w:styleId="SubtituloDocumento">
    <w:name w:val="Subtitulo Documento"/>
    <w:basedOn w:val="Normal"/>
    <w:rsid w:val="000B4E51"/>
    <w:pPr>
      <w:jc w:val="right"/>
    </w:pPr>
    <w:rPr>
      <w:rFonts w:ascii="Arial Black" w:hAnsi="Arial Black" w:cs="Arial"/>
      <w:sz w:val="32"/>
      <w:szCs w:val="20"/>
    </w:rPr>
  </w:style>
  <w:style w:type="paragraph" w:customStyle="1" w:styleId="TtuloInforme">
    <w:name w:val="Título Informe"/>
    <w:basedOn w:val="Normal"/>
    <w:next w:val="Normal"/>
    <w:rsid w:val="000B4E51"/>
    <w:pPr>
      <w:spacing w:before="120" w:after="120"/>
      <w:jc w:val="center"/>
    </w:pPr>
    <w:rPr>
      <w:rFonts w:ascii="Arial" w:hAnsi="Arial" w:cs="Arial"/>
      <w:color w:val="FF6309"/>
      <w:sz w:val="28"/>
      <w:szCs w:val="28"/>
    </w:rPr>
  </w:style>
  <w:style w:type="character" w:customStyle="1" w:styleId="TtuloInformeChar">
    <w:name w:val="Título Informe Char"/>
    <w:rsid w:val="000B4E5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0B4E51"/>
    <w:pPr>
      <w:spacing w:before="120" w:after="120"/>
    </w:pPr>
    <w:rPr>
      <w:rFonts w:ascii="Arial" w:hAnsi="Arial" w:cs="Arial"/>
      <w:color w:val="808080"/>
    </w:rPr>
  </w:style>
  <w:style w:type="character" w:customStyle="1" w:styleId="SubtuloInformeChar">
    <w:name w:val="Subítulo Informe Char"/>
    <w:rsid w:val="000B4E51"/>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0B4E5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0B4E51"/>
    <w:pPr>
      <w:spacing w:before="120" w:after="120"/>
    </w:pPr>
    <w:rPr>
      <w:rFonts w:ascii="Arial" w:hAnsi="Arial" w:cs="Arial"/>
      <w:sz w:val="20"/>
      <w:szCs w:val="20"/>
    </w:rPr>
  </w:style>
  <w:style w:type="paragraph" w:customStyle="1" w:styleId="CUERPOTEXTO">
    <w:name w:val="CUERPO TEXTO"/>
    <w:rsid w:val="000B4E5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0B4E51"/>
    <w:rPr>
      <w:rFonts w:ascii="Bookman Old Style" w:hAnsi="Bookman Old Style"/>
      <w:sz w:val="24"/>
      <w:szCs w:val="24"/>
      <w:lang w:val="es-ES" w:eastAsia="es-ES"/>
    </w:rPr>
  </w:style>
  <w:style w:type="paragraph" w:styleId="Saludo">
    <w:name w:val="Salutation"/>
    <w:basedOn w:val="Normal"/>
    <w:next w:val="Normal"/>
    <w:link w:val="SaludoCar"/>
    <w:uiPriority w:val="99"/>
    <w:unhideWhenUsed/>
    <w:rsid w:val="000B4E51"/>
    <w:pPr>
      <w:widowControl w:val="0"/>
      <w:adjustRightInd w:val="0"/>
      <w:textAlignment w:val="baseline"/>
    </w:pPr>
    <w:rPr>
      <w:lang w:val="es-CO"/>
    </w:rPr>
  </w:style>
  <w:style w:type="character" w:customStyle="1" w:styleId="SaludoCar">
    <w:name w:val="Saludo Car"/>
    <w:link w:val="Saludo"/>
    <w:uiPriority w:val="99"/>
    <w:rsid w:val="000B4E51"/>
    <w:rPr>
      <w:rFonts w:ascii="Bookman Old Style" w:hAnsi="Bookman Old Style"/>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17018">
      <w:bodyDiv w:val="1"/>
      <w:marLeft w:val="0"/>
      <w:marRight w:val="0"/>
      <w:marTop w:val="0"/>
      <w:marBottom w:val="0"/>
      <w:divBdr>
        <w:top w:val="none" w:sz="0" w:space="0" w:color="auto"/>
        <w:left w:val="none" w:sz="0" w:space="0" w:color="auto"/>
        <w:bottom w:val="none" w:sz="0" w:space="0" w:color="auto"/>
        <w:right w:val="none" w:sz="0" w:space="0" w:color="auto"/>
      </w:divBdr>
    </w:div>
    <w:div w:id="247883796">
      <w:bodyDiv w:val="1"/>
      <w:marLeft w:val="0"/>
      <w:marRight w:val="0"/>
      <w:marTop w:val="0"/>
      <w:marBottom w:val="0"/>
      <w:divBdr>
        <w:top w:val="none" w:sz="0" w:space="0" w:color="auto"/>
        <w:left w:val="none" w:sz="0" w:space="0" w:color="auto"/>
        <w:bottom w:val="none" w:sz="0" w:space="0" w:color="auto"/>
        <w:right w:val="none" w:sz="0" w:space="0" w:color="auto"/>
      </w:divBdr>
    </w:div>
    <w:div w:id="322706355">
      <w:bodyDiv w:val="1"/>
      <w:marLeft w:val="0"/>
      <w:marRight w:val="0"/>
      <w:marTop w:val="0"/>
      <w:marBottom w:val="0"/>
      <w:divBdr>
        <w:top w:val="none" w:sz="0" w:space="0" w:color="auto"/>
        <w:left w:val="none" w:sz="0" w:space="0" w:color="auto"/>
        <w:bottom w:val="none" w:sz="0" w:space="0" w:color="auto"/>
        <w:right w:val="none" w:sz="0" w:space="0" w:color="auto"/>
      </w:divBdr>
    </w:div>
    <w:div w:id="415980442">
      <w:bodyDiv w:val="1"/>
      <w:marLeft w:val="0"/>
      <w:marRight w:val="0"/>
      <w:marTop w:val="0"/>
      <w:marBottom w:val="0"/>
      <w:divBdr>
        <w:top w:val="none" w:sz="0" w:space="0" w:color="auto"/>
        <w:left w:val="none" w:sz="0" w:space="0" w:color="auto"/>
        <w:bottom w:val="none" w:sz="0" w:space="0" w:color="auto"/>
        <w:right w:val="none" w:sz="0" w:space="0" w:color="auto"/>
      </w:divBdr>
    </w:div>
    <w:div w:id="445347142">
      <w:bodyDiv w:val="1"/>
      <w:marLeft w:val="0"/>
      <w:marRight w:val="0"/>
      <w:marTop w:val="0"/>
      <w:marBottom w:val="0"/>
      <w:divBdr>
        <w:top w:val="none" w:sz="0" w:space="0" w:color="auto"/>
        <w:left w:val="none" w:sz="0" w:space="0" w:color="auto"/>
        <w:bottom w:val="none" w:sz="0" w:space="0" w:color="auto"/>
        <w:right w:val="none" w:sz="0" w:space="0" w:color="auto"/>
      </w:divBdr>
    </w:div>
    <w:div w:id="765611422">
      <w:bodyDiv w:val="1"/>
      <w:marLeft w:val="0"/>
      <w:marRight w:val="0"/>
      <w:marTop w:val="0"/>
      <w:marBottom w:val="0"/>
      <w:divBdr>
        <w:top w:val="none" w:sz="0" w:space="0" w:color="auto"/>
        <w:left w:val="none" w:sz="0" w:space="0" w:color="auto"/>
        <w:bottom w:val="none" w:sz="0" w:space="0" w:color="auto"/>
        <w:right w:val="none" w:sz="0" w:space="0" w:color="auto"/>
      </w:divBdr>
    </w:div>
    <w:div w:id="895238213">
      <w:bodyDiv w:val="1"/>
      <w:marLeft w:val="0"/>
      <w:marRight w:val="0"/>
      <w:marTop w:val="0"/>
      <w:marBottom w:val="0"/>
      <w:divBdr>
        <w:top w:val="none" w:sz="0" w:space="0" w:color="auto"/>
        <w:left w:val="none" w:sz="0" w:space="0" w:color="auto"/>
        <w:bottom w:val="none" w:sz="0" w:space="0" w:color="auto"/>
        <w:right w:val="none" w:sz="0" w:space="0" w:color="auto"/>
      </w:divBdr>
    </w:div>
    <w:div w:id="1267153318">
      <w:bodyDiv w:val="1"/>
      <w:marLeft w:val="0"/>
      <w:marRight w:val="0"/>
      <w:marTop w:val="0"/>
      <w:marBottom w:val="0"/>
      <w:divBdr>
        <w:top w:val="none" w:sz="0" w:space="0" w:color="auto"/>
        <w:left w:val="none" w:sz="0" w:space="0" w:color="auto"/>
        <w:bottom w:val="none" w:sz="0" w:space="0" w:color="auto"/>
        <w:right w:val="none" w:sz="0" w:space="0" w:color="auto"/>
      </w:divBdr>
    </w:div>
    <w:div w:id="1295405369">
      <w:bodyDiv w:val="1"/>
      <w:marLeft w:val="0"/>
      <w:marRight w:val="0"/>
      <w:marTop w:val="0"/>
      <w:marBottom w:val="0"/>
      <w:divBdr>
        <w:top w:val="none" w:sz="0" w:space="0" w:color="auto"/>
        <w:left w:val="none" w:sz="0" w:space="0" w:color="auto"/>
        <w:bottom w:val="none" w:sz="0" w:space="0" w:color="auto"/>
        <w:right w:val="none" w:sz="0" w:space="0" w:color="auto"/>
      </w:divBdr>
    </w:div>
    <w:div w:id="1401054214">
      <w:bodyDiv w:val="1"/>
      <w:marLeft w:val="0"/>
      <w:marRight w:val="0"/>
      <w:marTop w:val="0"/>
      <w:marBottom w:val="0"/>
      <w:divBdr>
        <w:top w:val="none" w:sz="0" w:space="0" w:color="auto"/>
        <w:left w:val="none" w:sz="0" w:space="0" w:color="auto"/>
        <w:bottom w:val="none" w:sz="0" w:space="0" w:color="auto"/>
        <w:right w:val="none" w:sz="0" w:space="0" w:color="auto"/>
      </w:divBdr>
    </w:div>
    <w:div w:id="1411854714">
      <w:bodyDiv w:val="1"/>
      <w:marLeft w:val="0"/>
      <w:marRight w:val="0"/>
      <w:marTop w:val="0"/>
      <w:marBottom w:val="0"/>
      <w:divBdr>
        <w:top w:val="none" w:sz="0" w:space="0" w:color="auto"/>
        <w:left w:val="none" w:sz="0" w:space="0" w:color="auto"/>
        <w:bottom w:val="none" w:sz="0" w:space="0" w:color="auto"/>
        <w:right w:val="none" w:sz="0" w:space="0" w:color="auto"/>
      </w:divBdr>
    </w:div>
    <w:div w:id="1634824749">
      <w:bodyDiv w:val="1"/>
      <w:marLeft w:val="0"/>
      <w:marRight w:val="0"/>
      <w:marTop w:val="0"/>
      <w:marBottom w:val="0"/>
      <w:divBdr>
        <w:top w:val="none" w:sz="0" w:space="0" w:color="auto"/>
        <w:left w:val="none" w:sz="0" w:space="0" w:color="auto"/>
        <w:bottom w:val="none" w:sz="0" w:space="0" w:color="auto"/>
        <w:right w:val="none" w:sz="0" w:space="0" w:color="auto"/>
      </w:divBdr>
    </w:div>
    <w:div w:id="1652369409">
      <w:bodyDiv w:val="1"/>
      <w:marLeft w:val="0"/>
      <w:marRight w:val="0"/>
      <w:marTop w:val="0"/>
      <w:marBottom w:val="0"/>
      <w:divBdr>
        <w:top w:val="none" w:sz="0" w:space="0" w:color="auto"/>
        <w:left w:val="none" w:sz="0" w:space="0" w:color="auto"/>
        <w:bottom w:val="none" w:sz="0" w:space="0" w:color="auto"/>
        <w:right w:val="none" w:sz="0" w:space="0" w:color="auto"/>
      </w:divBdr>
    </w:div>
    <w:div w:id="1674726452">
      <w:bodyDiv w:val="1"/>
      <w:marLeft w:val="0"/>
      <w:marRight w:val="0"/>
      <w:marTop w:val="0"/>
      <w:marBottom w:val="0"/>
      <w:divBdr>
        <w:top w:val="none" w:sz="0" w:space="0" w:color="auto"/>
        <w:left w:val="none" w:sz="0" w:space="0" w:color="auto"/>
        <w:bottom w:val="none" w:sz="0" w:space="0" w:color="auto"/>
        <w:right w:val="none" w:sz="0" w:space="0" w:color="auto"/>
      </w:divBdr>
    </w:div>
    <w:div w:id="1802305680">
      <w:bodyDiv w:val="1"/>
      <w:marLeft w:val="0"/>
      <w:marRight w:val="0"/>
      <w:marTop w:val="0"/>
      <w:marBottom w:val="0"/>
      <w:divBdr>
        <w:top w:val="none" w:sz="0" w:space="0" w:color="auto"/>
        <w:left w:val="none" w:sz="0" w:space="0" w:color="auto"/>
        <w:bottom w:val="none" w:sz="0" w:space="0" w:color="auto"/>
        <w:right w:val="none" w:sz="0" w:space="0" w:color="auto"/>
      </w:divBdr>
    </w:div>
    <w:div w:id="1849908953">
      <w:bodyDiv w:val="1"/>
      <w:marLeft w:val="0"/>
      <w:marRight w:val="0"/>
      <w:marTop w:val="0"/>
      <w:marBottom w:val="0"/>
      <w:divBdr>
        <w:top w:val="none" w:sz="0" w:space="0" w:color="auto"/>
        <w:left w:val="none" w:sz="0" w:space="0" w:color="auto"/>
        <w:bottom w:val="none" w:sz="0" w:space="0" w:color="auto"/>
        <w:right w:val="none" w:sz="0" w:space="0" w:color="auto"/>
      </w:divBdr>
    </w:div>
    <w:div w:id="2002542419">
      <w:bodyDiv w:val="1"/>
      <w:marLeft w:val="0"/>
      <w:marRight w:val="0"/>
      <w:marTop w:val="0"/>
      <w:marBottom w:val="0"/>
      <w:divBdr>
        <w:top w:val="none" w:sz="0" w:space="0" w:color="auto"/>
        <w:left w:val="none" w:sz="0" w:space="0" w:color="auto"/>
        <w:bottom w:val="none" w:sz="0" w:space="0" w:color="auto"/>
        <w:right w:val="none" w:sz="0" w:space="0" w:color="auto"/>
      </w:divBdr>
    </w:div>
    <w:div w:id="2071032834">
      <w:bodyDiv w:val="1"/>
      <w:marLeft w:val="0"/>
      <w:marRight w:val="0"/>
      <w:marTop w:val="0"/>
      <w:marBottom w:val="0"/>
      <w:divBdr>
        <w:top w:val="none" w:sz="0" w:space="0" w:color="auto"/>
        <w:left w:val="none" w:sz="0" w:space="0" w:color="auto"/>
        <w:bottom w:val="none" w:sz="0" w:space="0" w:color="auto"/>
        <w:right w:val="none" w:sz="0" w:space="0" w:color="auto"/>
      </w:divBdr>
    </w:div>
    <w:div w:id="207153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59E17-FF5C-4885-8D93-88865F156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4</Pages>
  <Words>1111</Words>
  <Characters>6113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7210</CharactersWithSpaces>
  <SharedDoc>false</SharedDoc>
  <HLinks>
    <vt:vector size="300" baseType="variant">
      <vt:variant>
        <vt:i4>1310768</vt:i4>
      </vt:variant>
      <vt:variant>
        <vt:i4>443</vt:i4>
      </vt:variant>
      <vt:variant>
        <vt:i4>0</vt:i4>
      </vt:variant>
      <vt:variant>
        <vt:i4>5</vt:i4>
      </vt:variant>
      <vt:variant>
        <vt:lpwstr/>
      </vt:variant>
      <vt:variant>
        <vt:lpwstr>_Toc310577409</vt:lpwstr>
      </vt:variant>
      <vt:variant>
        <vt:i4>1310768</vt:i4>
      </vt:variant>
      <vt:variant>
        <vt:i4>437</vt:i4>
      </vt:variant>
      <vt:variant>
        <vt:i4>0</vt:i4>
      </vt:variant>
      <vt:variant>
        <vt:i4>5</vt:i4>
      </vt:variant>
      <vt:variant>
        <vt:lpwstr/>
      </vt:variant>
      <vt:variant>
        <vt:lpwstr>_Toc310577408</vt:lpwstr>
      </vt:variant>
      <vt:variant>
        <vt:i4>1310768</vt:i4>
      </vt:variant>
      <vt:variant>
        <vt:i4>431</vt:i4>
      </vt:variant>
      <vt:variant>
        <vt:i4>0</vt:i4>
      </vt:variant>
      <vt:variant>
        <vt:i4>5</vt:i4>
      </vt:variant>
      <vt:variant>
        <vt:lpwstr/>
      </vt:variant>
      <vt:variant>
        <vt:lpwstr>_Toc310577407</vt:lpwstr>
      </vt:variant>
      <vt:variant>
        <vt:i4>1310768</vt:i4>
      </vt:variant>
      <vt:variant>
        <vt:i4>425</vt:i4>
      </vt:variant>
      <vt:variant>
        <vt:i4>0</vt:i4>
      </vt:variant>
      <vt:variant>
        <vt:i4>5</vt:i4>
      </vt:variant>
      <vt:variant>
        <vt:lpwstr/>
      </vt:variant>
      <vt:variant>
        <vt:lpwstr>_Toc310577406</vt:lpwstr>
      </vt:variant>
      <vt:variant>
        <vt:i4>1310768</vt:i4>
      </vt:variant>
      <vt:variant>
        <vt:i4>419</vt:i4>
      </vt:variant>
      <vt:variant>
        <vt:i4>0</vt:i4>
      </vt:variant>
      <vt:variant>
        <vt:i4>5</vt:i4>
      </vt:variant>
      <vt:variant>
        <vt:lpwstr/>
      </vt:variant>
      <vt:variant>
        <vt:lpwstr>_Toc310577405</vt:lpwstr>
      </vt:variant>
      <vt:variant>
        <vt:i4>1310768</vt:i4>
      </vt:variant>
      <vt:variant>
        <vt:i4>413</vt:i4>
      </vt:variant>
      <vt:variant>
        <vt:i4>0</vt:i4>
      </vt:variant>
      <vt:variant>
        <vt:i4>5</vt:i4>
      </vt:variant>
      <vt:variant>
        <vt:lpwstr/>
      </vt:variant>
      <vt:variant>
        <vt:lpwstr>_Toc310577404</vt:lpwstr>
      </vt:variant>
      <vt:variant>
        <vt:i4>1310768</vt:i4>
      </vt:variant>
      <vt:variant>
        <vt:i4>407</vt:i4>
      </vt:variant>
      <vt:variant>
        <vt:i4>0</vt:i4>
      </vt:variant>
      <vt:variant>
        <vt:i4>5</vt:i4>
      </vt:variant>
      <vt:variant>
        <vt:lpwstr/>
      </vt:variant>
      <vt:variant>
        <vt:lpwstr>_Toc310577403</vt:lpwstr>
      </vt:variant>
      <vt:variant>
        <vt:i4>1310768</vt:i4>
      </vt:variant>
      <vt:variant>
        <vt:i4>401</vt:i4>
      </vt:variant>
      <vt:variant>
        <vt:i4>0</vt:i4>
      </vt:variant>
      <vt:variant>
        <vt:i4>5</vt:i4>
      </vt:variant>
      <vt:variant>
        <vt:lpwstr/>
      </vt:variant>
      <vt:variant>
        <vt:lpwstr>_Toc310577402</vt:lpwstr>
      </vt:variant>
      <vt:variant>
        <vt:i4>1310768</vt:i4>
      </vt:variant>
      <vt:variant>
        <vt:i4>395</vt:i4>
      </vt:variant>
      <vt:variant>
        <vt:i4>0</vt:i4>
      </vt:variant>
      <vt:variant>
        <vt:i4>5</vt:i4>
      </vt:variant>
      <vt:variant>
        <vt:lpwstr/>
      </vt:variant>
      <vt:variant>
        <vt:lpwstr>_Toc310577401</vt:lpwstr>
      </vt:variant>
      <vt:variant>
        <vt:i4>1310768</vt:i4>
      </vt:variant>
      <vt:variant>
        <vt:i4>389</vt:i4>
      </vt:variant>
      <vt:variant>
        <vt:i4>0</vt:i4>
      </vt:variant>
      <vt:variant>
        <vt:i4>5</vt:i4>
      </vt:variant>
      <vt:variant>
        <vt:lpwstr/>
      </vt:variant>
      <vt:variant>
        <vt:lpwstr>_Toc310577400</vt:lpwstr>
      </vt:variant>
      <vt:variant>
        <vt:i4>1900599</vt:i4>
      </vt:variant>
      <vt:variant>
        <vt:i4>383</vt:i4>
      </vt:variant>
      <vt:variant>
        <vt:i4>0</vt:i4>
      </vt:variant>
      <vt:variant>
        <vt:i4>5</vt:i4>
      </vt:variant>
      <vt:variant>
        <vt:lpwstr/>
      </vt:variant>
      <vt:variant>
        <vt:lpwstr>_Toc310577399</vt:lpwstr>
      </vt:variant>
      <vt:variant>
        <vt:i4>1900599</vt:i4>
      </vt:variant>
      <vt:variant>
        <vt:i4>377</vt:i4>
      </vt:variant>
      <vt:variant>
        <vt:i4>0</vt:i4>
      </vt:variant>
      <vt:variant>
        <vt:i4>5</vt:i4>
      </vt:variant>
      <vt:variant>
        <vt:lpwstr/>
      </vt:variant>
      <vt:variant>
        <vt:lpwstr>_Toc310577398</vt:lpwstr>
      </vt:variant>
      <vt:variant>
        <vt:i4>1900599</vt:i4>
      </vt:variant>
      <vt:variant>
        <vt:i4>371</vt:i4>
      </vt:variant>
      <vt:variant>
        <vt:i4>0</vt:i4>
      </vt:variant>
      <vt:variant>
        <vt:i4>5</vt:i4>
      </vt:variant>
      <vt:variant>
        <vt:lpwstr/>
      </vt:variant>
      <vt:variant>
        <vt:lpwstr>_Toc310577397</vt:lpwstr>
      </vt:variant>
      <vt:variant>
        <vt:i4>1900599</vt:i4>
      </vt:variant>
      <vt:variant>
        <vt:i4>365</vt:i4>
      </vt:variant>
      <vt:variant>
        <vt:i4>0</vt:i4>
      </vt:variant>
      <vt:variant>
        <vt:i4>5</vt:i4>
      </vt:variant>
      <vt:variant>
        <vt:lpwstr/>
      </vt:variant>
      <vt:variant>
        <vt:lpwstr>_Toc310577396</vt:lpwstr>
      </vt:variant>
      <vt:variant>
        <vt:i4>1900599</vt:i4>
      </vt:variant>
      <vt:variant>
        <vt:i4>359</vt:i4>
      </vt:variant>
      <vt:variant>
        <vt:i4>0</vt:i4>
      </vt:variant>
      <vt:variant>
        <vt:i4>5</vt:i4>
      </vt:variant>
      <vt:variant>
        <vt:lpwstr/>
      </vt:variant>
      <vt:variant>
        <vt:lpwstr>_Toc310577395</vt:lpwstr>
      </vt:variant>
      <vt:variant>
        <vt:i4>1900599</vt:i4>
      </vt:variant>
      <vt:variant>
        <vt:i4>353</vt:i4>
      </vt:variant>
      <vt:variant>
        <vt:i4>0</vt:i4>
      </vt:variant>
      <vt:variant>
        <vt:i4>5</vt:i4>
      </vt:variant>
      <vt:variant>
        <vt:lpwstr/>
      </vt:variant>
      <vt:variant>
        <vt:lpwstr>_Toc310577394</vt:lpwstr>
      </vt:variant>
      <vt:variant>
        <vt:i4>1900599</vt:i4>
      </vt:variant>
      <vt:variant>
        <vt:i4>347</vt:i4>
      </vt:variant>
      <vt:variant>
        <vt:i4>0</vt:i4>
      </vt:variant>
      <vt:variant>
        <vt:i4>5</vt:i4>
      </vt:variant>
      <vt:variant>
        <vt:lpwstr/>
      </vt:variant>
      <vt:variant>
        <vt:lpwstr>_Toc310577393</vt:lpwstr>
      </vt:variant>
      <vt:variant>
        <vt:i4>1900599</vt:i4>
      </vt:variant>
      <vt:variant>
        <vt:i4>341</vt:i4>
      </vt:variant>
      <vt:variant>
        <vt:i4>0</vt:i4>
      </vt:variant>
      <vt:variant>
        <vt:i4>5</vt:i4>
      </vt:variant>
      <vt:variant>
        <vt:lpwstr/>
      </vt:variant>
      <vt:variant>
        <vt:lpwstr>_Toc310577392</vt:lpwstr>
      </vt:variant>
      <vt:variant>
        <vt:i4>1900599</vt:i4>
      </vt:variant>
      <vt:variant>
        <vt:i4>335</vt:i4>
      </vt:variant>
      <vt:variant>
        <vt:i4>0</vt:i4>
      </vt:variant>
      <vt:variant>
        <vt:i4>5</vt:i4>
      </vt:variant>
      <vt:variant>
        <vt:lpwstr/>
      </vt:variant>
      <vt:variant>
        <vt:lpwstr>_Toc310577391</vt:lpwstr>
      </vt:variant>
      <vt:variant>
        <vt:i4>1900599</vt:i4>
      </vt:variant>
      <vt:variant>
        <vt:i4>329</vt:i4>
      </vt:variant>
      <vt:variant>
        <vt:i4>0</vt:i4>
      </vt:variant>
      <vt:variant>
        <vt:i4>5</vt:i4>
      </vt:variant>
      <vt:variant>
        <vt:lpwstr/>
      </vt:variant>
      <vt:variant>
        <vt:lpwstr>_Toc310577390</vt:lpwstr>
      </vt:variant>
      <vt:variant>
        <vt:i4>1835063</vt:i4>
      </vt:variant>
      <vt:variant>
        <vt:i4>323</vt:i4>
      </vt:variant>
      <vt:variant>
        <vt:i4>0</vt:i4>
      </vt:variant>
      <vt:variant>
        <vt:i4>5</vt:i4>
      </vt:variant>
      <vt:variant>
        <vt:lpwstr/>
      </vt:variant>
      <vt:variant>
        <vt:lpwstr>_Toc310577389</vt:lpwstr>
      </vt:variant>
      <vt:variant>
        <vt:i4>1835063</vt:i4>
      </vt:variant>
      <vt:variant>
        <vt:i4>317</vt:i4>
      </vt:variant>
      <vt:variant>
        <vt:i4>0</vt:i4>
      </vt:variant>
      <vt:variant>
        <vt:i4>5</vt:i4>
      </vt:variant>
      <vt:variant>
        <vt:lpwstr/>
      </vt:variant>
      <vt:variant>
        <vt:lpwstr>_Toc310577388</vt:lpwstr>
      </vt:variant>
      <vt:variant>
        <vt:i4>1835063</vt:i4>
      </vt:variant>
      <vt:variant>
        <vt:i4>311</vt:i4>
      </vt:variant>
      <vt:variant>
        <vt:i4>0</vt:i4>
      </vt:variant>
      <vt:variant>
        <vt:i4>5</vt:i4>
      </vt:variant>
      <vt:variant>
        <vt:lpwstr/>
      </vt:variant>
      <vt:variant>
        <vt:lpwstr>_Toc310577387</vt:lpwstr>
      </vt:variant>
      <vt:variant>
        <vt:i4>1835063</vt:i4>
      </vt:variant>
      <vt:variant>
        <vt:i4>305</vt:i4>
      </vt:variant>
      <vt:variant>
        <vt:i4>0</vt:i4>
      </vt:variant>
      <vt:variant>
        <vt:i4>5</vt:i4>
      </vt:variant>
      <vt:variant>
        <vt:lpwstr/>
      </vt:variant>
      <vt:variant>
        <vt:lpwstr>_Toc310577386</vt:lpwstr>
      </vt:variant>
      <vt:variant>
        <vt:i4>1835063</vt:i4>
      </vt:variant>
      <vt:variant>
        <vt:i4>299</vt:i4>
      </vt:variant>
      <vt:variant>
        <vt:i4>0</vt:i4>
      </vt:variant>
      <vt:variant>
        <vt:i4>5</vt:i4>
      </vt:variant>
      <vt:variant>
        <vt:lpwstr/>
      </vt:variant>
      <vt:variant>
        <vt:lpwstr>_Toc310577385</vt:lpwstr>
      </vt:variant>
      <vt:variant>
        <vt:i4>1835063</vt:i4>
      </vt:variant>
      <vt:variant>
        <vt:i4>293</vt:i4>
      </vt:variant>
      <vt:variant>
        <vt:i4>0</vt:i4>
      </vt:variant>
      <vt:variant>
        <vt:i4>5</vt:i4>
      </vt:variant>
      <vt:variant>
        <vt:lpwstr/>
      </vt:variant>
      <vt:variant>
        <vt:lpwstr>_Toc310577384</vt:lpwstr>
      </vt:variant>
      <vt:variant>
        <vt:i4>1835063</vt:i4>
      </vt:variant>
      <vt:variant>
        <vt:i4>287</vt:i4>
      </vt:variant>
      <vt:variant>
        <vt:i4>0</vt:i4>
      </vt:variant>
      <vt:variant>
        <vt:i4>5</vt:i4>
      </vt:variant>
      <vt:variant>
        <vt:lpwstr/>
      </vt:variant>
      <vt:variant>
        <vt:lpwstr>_Toc310577383</vt:lpwstr>
      </vt:variant>
      <vt:variant>
        <vt:i4>1835063</vt:i4>
      </vt:variant>
      <vt:variant>
        <vt:i4>281</vt:i4>
      </vt:variant>
      <vt:variant>
        <vt:i4>0</vt:i4>
      </vt:variant>
      <vt:variant>
        <vt:i4>5</vt:i4>
      </vt:variant>
      <vt:variant>
        <vt:lpwstr/>
      </vt:variant>
      <vt:variant>
        <vt:lpwstr>_Toc310577382</vt:lpwstr>
      </vt:variant>
      <vt:variant>
        <vt:i4>1835063</vt:i4>
      </vt:variant>
      <vt:variant>
        <vt:i4>275</vt:i4>
      </vt:variant>
      <vt:variant>
        <vt:i4>0</vt:i4>
      </vt:variant>
      <vt:variant>
        <vt:i4>5</vt:i4>
      </vt:variant>
      <vt:variant>
        <vt:lpwstr/>
      </vt:variant>
      <vt:variant>
        <vt:lpwstr>_Toc310577381</vt:lpwstr>
      </vt:variant>
      <vt:variant>
        <vt:i4>1835063</vt:i4>
      </vt:variant>
      <vt:variant>
        <vt:i4>269</vt:i4>
      </vt:variant>
      <vt:variant>
        <vt:i4>0</vt:i4>
      </vt:variant>
      <vt:variant>
        <vt:i4>5</vt:i4>
      </vt:variant>
      <vt:variant>
        <vt:lpwstr/>
      </vt:variant>
      <vt:variant>
        <vt:lpwstr>_Toc310577380</vt:lpwstr>
      </vt:variant>
      <vt:variant>
        <vt:i4>1245239</vt:i4>
      </vt:variant>
      <vt:variant>
        <vt:i4>263</vt:i4>
      </vt:variant>
      <vt:variant>
        <vt:i4>0</vt:i4>
      </vt:variant>
      <vt:variant>
        <vt:i4>5</vt:i4>
      </vt:variant>
      <vt:variant>
        <vt:lpwstr/>
      </vt:variant>
      <vt:variant>
        <vt:lpwstr>_Toc310577379</vt:lpwstr>
      </vt:variant>
      <vt:variant>
        <vt:i4>1245239</vt:i4>
      </vt:variant>
      <vt:variant>
        <vt:i4>257</vt:i4>
      </vt:variant>
      <vt:variant>
        <vt:i4>0</vt:i4>
      </vt:variant>
      <vt:variant>
        <vt:i4>5</vt:i4>
      </vt:variant>
      <vt:variant>
        <vt:lpwstr/>
      </vt:variant>
      <vt:variant>
        <vt:lpwstr>_Toc310577378</vt:lpwstr>
      </vt:variant>
      <vt:variant>
        <vt:i4>1245239</vt:i4>
      </vt:variant>
      <vt:variant>
        <vt:i4>251</vt:i4>
      </vt:variant>
      <vt:variant>
        <vt:i4>0</vt:i4>
      </vt:variant>
      <vt:variant>
        <vt:i4>5</vt:i4>
      </vt:variant>
      <vt:variant>
        <vt:lpwstr/>
      </vt:variant>
      <vt:variant>
        <vt:lpwstr>_Toc310577377</vt:lpwstr>
      </vt:variant>
      <vt:variant>
        <vt:i4>1245239</vt:i4>
      </vt:variant>
      <vt:variant>
        <vt:i4>245</vt:i4>
      </vt:variant>
      <vt:variant>
        <vt:i4>0</vt:i4>
      </vt:variant>
      <vt:variant>
        <vt:i4>5</vt:i4>
      </vt:variant>
      <vt:variant>
        <vt:lpwstr/>
      </vt:variant>
      <vt:variant>
        <vt:lpwstr>_Toc310577376</vt:lpwstr>
      </vt:variant>
      <vt:variant>
        <vt:i4>1245239</vt:i4>
      </vt:variant>
      <vt:variant>
        <vt:i4>239</vt:i4>
      </vt:variant>
      <vt:variant>
        <vt:i4>0</vt:i4>
      </vt:variant>
      <vt:variant>
        <vt:i4>5</vt:i4>
      </vt:variant>
      <vt:variant>
        <vt:lpwstr/>
      </vt:variant>
      <vt:variant>
        <vt:lpwstr>_Toc310577375</vt:lpwstr>
      </vt:variant>
      <vt:variant>
        <vt:i4>1245239</vt:i4>
      </vt:variant>
      <vt:variant>
        <vt:i4>233</vt:i4>
      </vt:variant>
      <vt:variant>
        <vt:i4>0</vt:i4>
      </vt:variant>
      <vt:variant>
        <vt:i4>5</vt:i4>
      </vt:variant>
      <vt:variant>
        <vt:lpwstr/>
      </vt:variant>
      <vt:variant>
        <vt:lpwstr>_Toc310577374</vt:lpwstr>
      </vt:variant>
      <vt:variant>
        <vt:i4>1245239</vt:i4>
      </vt:variant>
      <vt:variant>
        <vt:i4>227</vt:i4>
      </vt:variant>
      <vt:variant>
        <vt:i4>0</vt:i4>
      </vt:variant>
      <vt:variant>
        <vt:i4>5</vt:i4>
      </vt:variant>
      <vt:variant>
        <vt:lpwstr/>
      </vt:variant>
      <vt:variant>
        <vt:lpwstr>_Toc310577373</vt:lpwstr>
      </vt:variant>
      <vt:variant>
        <vt:i4>1245239</vt:i4>
      </vt:variant>
      <vt:variant>
        <vt:i4>221</vt:i4>
      </vt:variant>
      <vt:variant>
        <vt:i4>0</vt:i4>
      </vt:variant>
      <vt:variant>
        <vt:i4>5</vt:i4>
      </vt:variant>
      <vt:variant>
        <vt:lpwstr/>
      </vt:variant>
      <vt:variant>
        <vt:lpwstr>_Toc310577372</vt:lpwstr>
      </vt:variant>
      <vt:variant>
        <vt:i4>1245239</vt:i4>
      </vt:variant>
      <vt:variant>
        <vt:i4>215</vt:i4>
      </vt:variant>
      <vt:variant>
        <vt:i4>0</vt:i4>
      </vt:variant>
      <vt:variant>
        <vt:i4>5</vt:i4>
      </vt:variant>
      <vt:variant>
        <vt:lpwstr/>
      </vt:variant>
      <vt:variant>
        <vt:lpwstr>_Toc310577371</vt:lpwstr>
      </vt:variant>
      <vt:variant>
        <vt:i4>1245239</vt:i4>
      </vt:variant>
      <vt:variant>
        <vt:i4>209</vt:i4>
      </vt:variant>
      <vt:variant>
        <vt:i4>0</vt:i4>
      </vt:variant>
      <vt:variant>
        <vt:i4>5</vt:i4>
      </vt:variant>
      <vt:variant>
        <vt:lpwstr/>
      </vt:variant>
      <vt:variant>
        <vt:lpwstr>_Toc310577370</vt:lpwstr>
      </vt:variant>
      <vt:variant>
        <vt:i4>1179703</vt:i4>
      </vt:variant>
      <vt:variant>
        <vt:i4>203</vt:i4>
      </vt:variant>
      <vt:variant>
        <vt:i4>0</vt:i4>
      </vt:variant>
      <vt:variant>
        <vt:i4>5</vt:i4>
      </vt:variant>
      <vt:variant>
        <vt:lpwstr/>
      </vt:variant>
      <vt:variant>
        <vt:lpwstr>_Toc310577369</vt:lpwstr>
      </vt:variant>
      <vt:variant>
        <vt:i4>1179703</vt:i4>
      </vt:variant>
      <vt:variant>
        <vt:i4>197</vt:i4>
      </vt:variant>
      <vt:variant>
        <vt:i4>0</vt:i4>
      </vt:variant>
      <vt:variant>
        <vt:i4>5</vt:i4>
      </vt:variant>
      <vt:variant>
        <vt:lpwstr/>
      </vt:variant>
      <vt:variant>
        <vt:lpwstr>_Toc310577368</vt:lpwstr>
      </vt:variant>
      <vt:variant>
        <vt:i4>1179703</vt:i4>
      </vt:variant>
      <vt:variant>
        <vt:i4>191</vt:i4>
      </vt:variant>
      <vt:variant>
        <vt:i4>0</vt:i4>
      </vt:variant>
      <vt:variant>
        <vt:i4>5</vt:i4>
      </vt:variant>
      <vt:variant>
        <vt:lpwstr/>
      </vt:variant>
      <vt:variant>
        <vt:lpwstr>_Toc310577367</vt:lpwstr>
      </vt:variant>
      <vt:variant>
        <vt:i4>1179703</vt:i4>
      </vt:variant>
      <vt:variant>
        <vt:i4>185</vt:i4>
      </vt:variant>
      <vt:variant>
        <vt:i4>0</vt:i4>
      </vt:variant>
      <vt:variant>
        <vt:i4>5</vt:i4>
      </vt:variant>
      <vt:variant>
        <vt:lpwstr/>
      </vt:variant>
      <vt:variant>
        <vt:lpwstr>_Toc310577366</vt:lpwstr>
      </vt:variant>
      <vt:variant>
        <vt:i4>1179703</vt:i4>
      </vt:variant>
      <vt:variant>
        <vt:i4>179</vt:i4>
      </vt:variant>
      <vt:variant>
        <vt:i4>0</vt:i4>
      </vt:variant>
      <vt:variant>
        <vt:i4>5</vt:i4>
      </vt:variant>
      <vt:variant>
        <vt:lpwstr/>
      </vt:variant>
      <vt:variant>
        <vt:lpwstr>_Toc310577365</vt:lpwstr>
      </vt:variant>
      <vt:variant>
        <vt:i4>1179703</vt:i4>
      </vt:variant>
      <vt:variant>
        <vt:i4>173</vt:i4>
      </vt:variant>
      <vt:variant>
        <vt:i4>0</vt:i4>
      </vt:variant>
      <vt:variant>
        <vt:i4>5</vt:i4>
      </vt:variant>
      <vt:variant>
        <vt:lpwstr/>
      </vt:variant>
      <vt:variant>
        <vt:lpwstr>_Toc310577364</vt:lpwstr>
      </vt:variant>
      <vt:variant>
        <vt:i4>1179703</vt:i4>
      </vt:variant>
      <vt:variant>
        <vt:i4>167</vt:i4>
      </vt:variant>
      <vt:variant>
        <vt:i4>0</vt:i4>
      </vt:variant>
      <vt:variant>
        <vt:i4>5</vt:i4>
      </vt:variant>
      <vt:variant>
        <vt:lpwstr/>
      </vt:variant>
      <vt:variant>
        <vt:lpwstr>_Toc310577363</vt:lpwstr>
      </vt:variant>
      <vt:variant>
        <vt:i4>1179703</vt:i4>
      </vt:variant>
      <vt:variant>
        <vt:i4>161</vt:i4>
      </vt:variant>
      <vt:variant>
        <vt:i4>0</vt:i4>
      </vt:variant>
      <vt:variant>
        <vt:i4>5</vt:i4>
      </vt:variant>
      <vt:variant>
        <vt:lpwstr/>
      </vt:variant>
      <vt:variant>
        <vt:lpwstr>_Toc310577362</vt:lpwstr>
      </vt:variant>
      <vt:variant>
        <vt:i4>1179703</vt:i4>
      </vt:variant>
      <vt:variant>
        <vt:i4>155</vt:i4>
      </vt:variant>
      <vt:variant>
        <vt:i4>0</vt:i4>
      </vt:variant>
      <vt:variant>
        <vt:i4>5</vt:i4>
      </vt:variant>
      <vt:variant>
        <vt:lpwstr/>
      </vt:variant>
      <vt:variant>
        <vt:lpwstr>_Toc310577361</vt:lpwstr>
      </vt:variant>
      <vt:variant>
        <vt:i4>1179703</vt:i4>
      </vt:variant>
      <vt:variant>
        <vt:i4>149</vt:i4>
      </vt:variant>
      <vt:variant>
        <vt:i4>0</vt:i4>
      </vt:variant>
      <vt:variant>
        <vt:i4>5</vt:i4>
      </vt:variant>
      <vt:variant>
        <vt:lpwstr/>
      </vt:variant>
      <vt:variant>
        <vt:lpwstr>_Toc310577360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2015-07-09T20:39:00Z</cp:lastPrinted>
  <dcterms:created xsi:type="dcterms:W3CDTF">2015-07-17T21:09:00Z</dcterms:created>
  <dcterms:modified xsi:type="dcterms:W3CDTF">2015-07-17T21:09:00Z</dcterms:modified>
</cp:coreProperties>
</file>